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51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517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Brady James Parker</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20" w:type="dxa"/>
            <w:vAlign w:val="bottom"/>
            <w:tcBorders>
              <w:top w:val="single" w:sz="8" w:color="0000EE"/>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06/18/2025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ARDELYX,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ARDX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60" w:type="dxa"/>
            <w:vAlign w:val="bottom"/>
          </w:tcPr>
          <w:p>
            <w:pPr>
              <w:ind w:left="280"/>
              <w:spacing w:after="0"/>
              <w:rPr>
                <w:sz w:val="20"/>
                <w:szCs w:val="20"/>
                <w:color w:val="auto"/>
              </w:rPr>
            </w:pPr>
            <w:r>
              <w:rPr>
                <w:rFonts w:ascii="Arial" w:cs="Arial" w:eastAsia="Arial" w:hAnsi="Arial"/>
                <w:sz w:val="15"/>
                <w:szCs w:val="15"/>
                <w:color w:val="auto"/>
              </w:rPr>
              <w:t>(First)</w:t>
            </w:r>
          </w:p>
        </w:tc>
        <w:tc>
          <w:tcPr>
            <w:tcW w:w="1160" w:type="dxa"/>
            <w:vAlign w:val="bottom"/>
          </w:tcPr>
          <w:p>
            <w:pPr>
              <w:ind w:left="160"/>
              <w:spacing w:after="0"/>
              <w:rPr>
                <w:sz w:val="20"/>
                <w:szCs w:val="20"/>
                <w:color w:val="auto"/>
              </w:rPr>
            </w:pPr>
            <w:r>
              <w:rPr>
                <w:rFonts w:ascii="Arial" w:cs="Arial" w:eastAsia="Arial" w:hAnsi="Arial"/>
                <w:sz w:val="15"/>
                <w:szCs w:val="15"/>
                <w:color w:val="auto"/>
              </w:rPr>
              <w:t>(Middle)</w:t>
            </w:r>
          </w:p>
        </w:tc>
      </w:tr>
      <w:tr>
        <w:trPr>
          <w:trHeight w:val="310"/>
        </w:trPr>
        <w:tc>
          <w:tcPr>
            <w:tcW w:w="19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ARDELYX, INC.</w:t>
            </w:r>
          </w:p>
        </w:tc>
        <w:tc>
          <w:tcPr>
            <w:tcW w:w="116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400 FIFTH AVENUE, SUITE 210</w:t>
            </w:r>
          </w:p>
        </w:tc>
      </w:tr>
      <w:tr>
        <w:trPr>
          <w:trHeight w:val="177"/>
        </w:trPr>
        <w:tc>
          <w:tcPr>
            <w:tcW w:w="7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65"/>
        </w:trPr>
        <w:tc>
          <w:tcPr>
            <w:tcW w:w="19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WALTHAM MA</w:t>
            </w:r>
          </w:p>
        </w:tc>
        <w:tc>
          <w:tcPr>
            <w:tcW w:w="116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02451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303"/>
        <w:spacing w:after="0"/>
        <w:rPr>
          <w:sz w:val="20"/>
          <w:szCs w:val="20"/>
          <w:color w:val="auto"/>
        </w:rPr>
      </w:pPr>
      <w:r>
        <w:rPr>
          <w:rFonts w:ascii="Times New Roman" w:cs="Times New Roman" w:eastAsia="Times New Roman" w:hAnsi="Times New Roman"/>
          <w:sz w:val="20"/>
          <w:szCs w:val="20"/>
          <w:color w:val="0000FF"/>
        </w:rPr>
        <w:t>Chief Human Resources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580"/>
              <w:spacing w:after="0"/>
              <w:rPr>
                <w:sz w:val="20"/>
                <w:szCs w:val="20"/>
                <w:color w:val="auto"/>
              </w:rPr>
            </w:pPr>
            <w:r>
              <w:rPr>
                <w:rFonts w:ascii="Times New Roman" w:cs="Times New Roman" w:eastAsia="Times New Roman" w:hAnsi="Times New Roman"/>
                <w:sz w:val="20"/>
                <w:szCs w:val="20"/>
                <w:color w:val="0000FF"/>
              </w:rPr>
              <w:t>166,000</w:t>
            </w:r>
            <w:r>
              <w:rPr>
                <w:rFonts w:ascii="Times New Roman" w:cs="Times New Roman" w:eastAsia="Times New Roman" w:hAnsi="Times New Roman"/>
                <w:sz w:val="25"/>
                <w:szCs w:val="25"/>
                <w:color w:val="008000"/>
                <w:vertAlign w:val="superscript"/>
              </w:rPr>
              <w:t>(1)</w:t>
            </w:r>
          </w:p>
        </w:tc>
        <w:tc>
          <w:tcPr>
            <w:tcW w:w="96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0000FF"/>
              </w:rPr>
              <w:t>06/03/2035</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250,000</w:t>
            </w:r>
          </w:p>
        </w:tc>
        <w:tc>
          <w:tcPr>
            <w:tcW w:w="6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3.93</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Restricted stock units ("RSUs"). The Reporting Person is entitled to receive one (1) shares of Common Stock for each one (1) RSU upon the vesting thereof.</w:t>
      </w:r>
    </w:p>
    <w:p>
      <w:pPr>
        <w:spacing w:after="0" w:line="52" w:lineRule="exact"/>
        <w:rPr>
          <w:rFonts w:ascii="Times New Roman" w:cs="Times New Roman" w:eastAsia="Times New Roman" w:hAnsi="Times New Roman"/>
          <w:sz w:val="15"/>
          <w:szCs w:val="15"/>
          <w:color w:val="008000"/>
        </w:rPr>
      </w:pPr>
    </w:p>
    <w:p>
      <w:pPr>
        <w:ind w:left="40" w:right="7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Twenty Five Percent (25%) of the shares subject to the option vest on June 3, 2026 and the remaining shares subject to the option vest in 36 successive, equal monthly installments thereafter, subject to the Reporting Person's continued employment or service relationship with the Issuer on each such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14744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147445" cy="9525"/>
                    </a:xfrm>
                    <a:prstGeom prst="rect">
                      <a:avLst/>
                    </a:prstGeom>
                    <a:noFill/>
                  </pic:spPr>
                </pic:pic>
              </a:graphicData>
            </a:graphic>
          </wp:anchor>
        </w:drawing>
      </w:r>
    </w:p>
    <w:p>
      <w:pPr>
        <w:spacing w:after="0" w:line="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Attorney-in-Fact for James 10/17/2025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Parker Brady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65722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57225" cy="9525"/>
                    </a:xfrm>
                    <a:prstGeom prst="rect">
                      <a:avLst/>
                    </a:prstGeom>
                    <a:noFill/>
                  </pic:spPr>
                </pic:pic>
              </a:graphicData>
            </a:graphic>
          </wp:anchor>
        </w:drawing>
      </w:r>
    </w:p>
    <w:p>
      <w:pPr>
        <w:spacing w:after="0" w:line="3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47" w:lineRule="exact"/>
        <w:rPr>
          <w:sz w:val="20"/>
          <w:szCs w:val="20"/>
          <w:color w:val="auto"/>
        </w:rPr>
      </w:pPr>
    </w:p>
    <w:p>
      <w:pPr>
        <w:jc w:val="center"/>
        <w:ind w:right="739"/>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ind w:left="580" w:right="839"/>
        <w:spacing w:after="0" w:line="264"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(i) the Chief Executive Officer of Ardelyx, Inc., a Delaware corporation (the "Company"), who is currently Michael Raab, (ii) the Company's Principal Financial Officer, who is currently Justin Renz,</w:t>
      </w:r>
    </w:p>
    <w:p>
      <w:pPr>
        <w:spacing w:after="0" w:line="3" w:lineRule="exact"/>
        <w:rPr>
          <w:sz w:val="20"/>
          <w:szCs w:val="20"/>
          <w:color w:val="auto"/>
        </w:rPr>
      </w:pPr>
    </w:p>
    <w:p>
      <w:pPr>
        <w:ind w:left="580" w:right="739" w:firstLine="5"/>
        <w:spacing w:after="0" w:line="238" w:lineRule="auto"/>
        <w:tabs>
          <w:tab w:leader="none" w:pos="1282"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the Company's Principal Accounting Officer, who is currently, Joseph Reilly, (iv) the Senior Vice President of Legal, who is currently Shannon Moesaa, and (v) the Chief Legal Officer, who is currently Elizabeth Grammer, and their respective successors, signing singly, with full power of substitution and resubstitution, as the undersigned's true and lawful attorney-in-fact to:</w:t>
      </w:r>
    </w:p>
    <w:p>
      <w:pPr>
        <w:spacing w:after="0" w:line="3" w:lineRule="exact"/>
        <w:rPr>
          <w:sz w:val="20"/>
          <w:szCs w:val="20"/>
          <w:color w:val="auto"/>
        </w:rPr>
      </w:pPr>
    </w:p>
    <w:p>
      <w:pPr>
        <w:ind w:left="580" w:right="1199" w:firstLine="5"/>
        <w:spacing w:after="0" w:line="238" w:lineRule="auto"/>
        <w:tabs>
          <w:tab w:leader="none" w:pos="1165"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the Company,</w:t>
      </w:r>
    </w:p>
    <w:p>
      <w:pPr>
        <w:spacing w:after="0" w:line="1" w:lineRule="exact"/>
        <w:rPr>
          <w:sz w:val="20"/>
          <w:szCs w:val="20"/>
          <w:color w:val="auto"/>
        </w:rPr>
      </w:pPr>
    </w:p>
    <w:p>
      <w:pPr>
        <w:jc w:val="both"/>
        <w:ind w:left="580" w:right="1199" w:firstLine="5"/>
        <w:spacing w:after="0" w:line="238" w:lineRule="auto"/>
        <w:tabs>
          <w:tab w:leader="none" w:pos="1165"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Schedules 13D and 13G in accordance with Section 13 of the Securities Exchange Act of 1934, as amended (the "Exchange Act"), and the rules thereunder, (b) Forms 3, 4 and 5 (including amendments thereto) in accordance with Section 16(a) of Exchange Act and the rules and regulations thereunder, (c) Notices of Proposed Sale of Securities Pursuant to Rule 144 ("Form 144"), in accordance with the requirements of Rule 144 under the Securities Act of 1933, as amended (the "Securities Act") and (d) Form ID, Uniform Application for Access Codes to File on EDGAR;</w:t>
      </w:r>
    </w:p>
    <w:p>
      <w:pPr>
        <w:spacing w:after="0" w:line="4" w:lineRule="exact"/>
        <w:rPr>
          <w:sz w:val="20"/>
          <w:szCs w:val="20"/>
          <w:color w:val="auto"/>
        </w:rPr>
      </w:pPr>
    </w:p>
    <w:p>
      <w:pPr>
        <w:jc w:val="both"/>
        <w:ind w:left="580" w:right="1199" w:firstLine="5"/>
        <w:spacing w:after="0" w:line="238" w:lineRule="auto"/>
        <w:tabs>
          <w:tab w:leader="none" w:pos="1165" w:val="left"/>
        </w:tabs>
        <w:numPr>
          <w:ilvl w:val="0"/>
          <w:numId w:val="8"/>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Schedule 13D, Schedule 13G, Forms 3, 4, 5 or 144 or Form ID, or any amendment thereto, and timely file such forms (including amendments thereto) and application with the United States Securities and Exchange Commission and any stock exchange or similar authority; and</w:t>
      </w:r>
    </w:p>
    <w:p>
      <w:pPr>
        <w:spacing w:after="0" w:line="3" w:lineRule="exact"/>
        <w:rPr>
          <w:rFonts w:ascii="Courier New" w:cs="Courier New" w:eastAsia="Courier New" w:hAnsi="Courier New"/>
          <w:sz w:val="20"/>
          <w:szCs w:val="20"/>
          <w:color w:val="auto"/>
        </w:rPr>
      </w:pPr>
    </w:p>
    <w:p>
      <w:pPr>
        <w:jc w:val="both"/>
        <w:ind w:left="580" w:right="1199" w:firstLine="5"/>
        <w:spacing w:after="0" w:line="238" w:lineRule="auto"/>
        <w:tabs>
          <w:tab w:leader="none" w:pos="1165" w:val="left"/>
        </w:tabs>
        <w:numPr>
          <w:ilvl w:val="0"/>
          <w:numId w:val="8"/>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3" w:lineRule="exact"/>
        <w:rPr>
          <w:rFonts w:ascii="Courier New" w:cs="Courier New" w:eastAsia="Courier New" w:hAnsi="Courier New"/>
          <w:sz w:val="20"/>
          <w:szCs w:val="20"/>
          <w:color w:val="auto"/>
        </w:rPr>
      </w:pPr>
    </w:p>
    <w:p>
      <w:pPr>
        <w:ind w:left="1180"/>
        <w:spacing w:after="0"/>
        <w:rPr>
          <w:rFonts w:ascii="Courier New" w:cs="Courier New" w:eastAsia="Courier New" w:hAnsi="Courier New"/>
          <w:sz w:val="20"/>
          <w:szCs w:val="20"/>
          <w:color w:val="auto"/>
        </w:rPr>
      </w:pPr>
      <w:r>
        <w:rPr>
          <w:rFonts w:ascii="Courier New" w:cs="Courier New" w:eastAsia="Courier New" w:hAnsi="Courier New"/>
          <w:sz w:val="18"/>
          <w:szCs w:val="18"/>
          <w:color w:val="auto"/>
        </w:rPr>
        <w:t>The  undersigned  hereby  grants  to  each  such attorney-in-fact full</w:t>
      </w:r>
    </w:p>
    <w:p>
      <w:pPr>
        <w:spacing w:after="0" w:line="21" w:lineRule="exact"/>
        <w:rPr>
          <w:sz w:val="20"/>
          <w:szCs w:val="20"/>
          <w:color w:val="auto"/>
        </w:rPr>
      </w:pPr>
    </w:p>
    <w:p>
      <w:pPr>
        <w:ind w:right="619"/>
        <w:spacing w:after="0" w:line="238" w:lineRule="auto"/>
        <w:rPr>
          <w:sz w:val="20"/>
          <w:szCs w:val="20"/>
          <w:color w:val="auto"/>
        </w:rPr>
      </w:pPr>
      <w:r>
        <w:rPr>
          <w:rFonts w:ascii="Courier New" w:cs="Courier New" w:eastAsia="Courier New" w:hAnsi="Courier New"/>
          <w:sz w:val="20"/>
          <w:szCs w:val="20"/>
          <w:color w:val="auto"/>
        </w:rPr>
        <w:t>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13 and 16 of the Exchange Act or Rule 144 under the Securities Act.</w:t>
      </w:r>
    </w:p>
    <w:p>
      <w:pPr>
        <w:spacing w:after="0" w:line="5" w:lineRule="exact"/>
        <w:rPr>
          <w:sz w:val="20"/>
          <w:szCs w:val="20"/>
          <w:color w:val="auto"/>
        </w:rPr>
      </w:pPr>
    </w:p>
    <w:p>
      <w:pPr>
        <w:jc w:val="both"/>
        <w:ind w:right="619" w:firstLine="585"/>
        <w:spacing w:after="0" w:line="238" w:lineRule="auto"/>
        <w:rPr>
          <w:sz w:val="20"/>
          <w:szCs w:val="20"/>
          <w:color w:val="auto"/>
        </w:rPr>
      </w:pPr>
      <w:r>
        <w:rPr>
          <w:rFonts w:ascii="Courier New" w:cs="Courier New" w:eastAsia="Courier New" w:hAnsi="Courier New"/>
          <w:sz w:val="20"/>
          <w:szCs w:val="20"/>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 fact for purposes of executing, acknowledging, delivering or filing Forms 3, 4, 5 or 144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5" w:lineRule="exact"/>
        <w:rPr>
          <w:sz w:val="20"/>
          <w:szCs w:val="20"/>
          <w:color w:val="auto"/>
        </w:rPr>
      </w:pPr>
    </w:p>
    <w:p>
      <w:pPr>
        <w:jc w:val="both"/>
        <w:ind w:right="619" w:firstLine="585"/>
        <w:spacing w:after="0" w:line="238" w:lineRule="auto"/>
        <w:rPr>
          <w:sz w:val="20"/>
          <w:szCs w:val="20"/>
          <w:color w:val="auto"/>
        </w:rPr>
      </w:pPr>
      <w:r>
        <w:rPr>
          <w:rFonts w:ascii="Courier New" w:cs="Courier New" w:eastAsia="Courier New" w:hAnsi="Courier New"/>
          <w:sz w:val="20"/>
          <w:szCs w:val="20"/>
          <w:color w:val="auto"/>
        </w:rPr>
        <w:t>This Power of Attorney supersedes any power of attorney previously executed by the undersigned regarding the purposes outlined in the first paragraph hereof ("Prior Powers of Attorney"), and the authority of the attorneys-in-fact named in any Prior Powers of Attorney is hereby revoked.</w:t>
      </w:r>
    </w:p>
    <w:p>
      <w:pPr>
        <w:spacing w:after="0" w:line="2" w:lineRule="exact"/>
        <w:rPr>
          <w:sz w:val="20"/>
          <w:szCs w:val="20"/>
          <w:color w:val="auto"/>
        </w:rPr>
      </w:pPr>
    </w:p>
    <w:p>
      <w:pPr>
        <w:jc w:val="both"/>
        <w:ind w:right="619" w:firstLine="585"/>
        <w:spacing w:after="0" w:line="291"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Schedule 13D or 13G and Forms 3, 4, 5 or 144 with respect to the undersigned's holdings of and transactions in securities issued by the Company, unless earlier (a) revoked by the undersigned in a signed writing delivered to the foregoing attorneys-in-fact or (b)</w:t>
      </w:r>
    </w:p>
    <w:p>
      <w:pPr>
        <w:sectPr>
          <w:pgSz w:w="11900" w:h="16886" w:orient="portrait"/>
          <w:cols w:equalWidth="0" w:num="1">
            <w:col w:w="9979"/>
          </w:cols>
          <w:pgMar w:left="480" w:top="556" w:right="1440" w:bottom="0" w:gutter="0" w:footer="0" w:header="0"/>
        </w:sectPr>
      </w:pPr>
    </w:p>
    <w:bookmarkStart w:id="2" w:name="page3"/>
    <w:bookmarkEnd w:id="2"/>
    <w:p>
      <w:pPr>
        <w:ind w:right="619"/>
        <w:spacing w:after="0" w:line="257" w:lineRule="auto"/>
        <w:rPr>
          <w:sz w:val="20"/>
          <w:szCs w:val="20"/>
          <w:color w:val="auto"/>
        </w:rPr>
      </w:pPr>
      <w:r>
        <w:rPr>
          <w:rFonts w:ascii="Courier New" w:cs="Courier New" w:eastAsia="Courier New" w:hAnsi="Courier New"/>
          <w:sz w:val="20"/>
          <w:szCs w:val="20"/>
          <w:color w:val="auto"/>
        </w:rPr>
        <w:t>superseded by a new power of attorney regarding the purposes outlined in the first paragraph hereof dated as of a later date.</w:t>
      </w:r>
    </w:p>
    <w:p>
      <w:pPr>
        <w:spacing w:after="0" w:line="1" w:lineRule="exact"/>
        <w:rPr>
          <w:sz w:val="20"/>
          <w:szCs w:val="20"/>
          <w:color w:val="auto"/>
        </w:rPr>
      </w:pPr>
    </w:p>
    <w:p>
      <w:pPr>
        <w:ind w:right="959" w:firstLine="585"/>
        <w:spacing w:after="0" w:line="310"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day of October 6, 2025.</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800"/>
        <w:spacing w:after="0"/>
        <w:rPr>
          <w:sz w:val="20"/>
          <w:szCs w:val="20"/>
          <w:color w:val="auto"/>
        </w:rPr>
      </w:pPr>
      <w:r>
        <w:rPr>
          <w:rFonts w:ascii="Courier New" w:cs="Courier New" w:eastAsia="Courier New" w:hAnsi="Courier New"/>
          <w:sz w:val="20"/>
          <w:szCs w:val="20"/>
          <w:color w:val="auto"/>
        </w:rPr>
        <w:t>/S/JAMES PARKER BRADY</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4"/>
    </w:lvl>
  </w:abstractNum>
  <w:abstractNum w:abstractNumId="1">
    <w:nsid w:val="46E87CCD"/>
    <w:multiLevelType w:val="hybridMultilevel"/>
    <w:lvl w:ilvl="0">
      <w:lvlJc w:val="left"/>
      <w:lvlText w:val="%1."/>
      <w:numFmt w:val="decimal"/>
      <w:start w:val="5"/>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lowerRoman"/>
      <w:start w:val="3"/>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088887" TargetMode="External"/><Relationship Id="rId11"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2025-10-17T17:17:15Z</dcterms:created>
  <dcterms:modified xsi:type="dcterms:W3CDTF">2025-10-17T17:17:15Z</dcterms:modified>
</cp:coreProperties>
</file>