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10,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2014 Equity Incentive Award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V. Roeder,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 Scott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328-4600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(650) 463-2600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r>
              <w:rPr>
                <w:rFonts w:ascii="Arial" w:cs="Arial" w:eastAsia="Arial" w:hAnsi="Arial"/>
                <w:sz w:val="12"/>
                <w:szCs w:val="12"/>
                <w:b w:val="1"/>
                <w:bCs w:val="1"/>
                <w:color w:val="auto"/>
                <w:w w:val="94"/>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2"/>
                <w:szCs w:val="12"/>
                <w:b w:val="1"/>
                <w:bCs w:val="1"/>
                <w:color w:val="auto"/>
                <w:w w:val="96"/>
              </w:rPr>
              <w:t>(2)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3,552,709 shares</w:t>
            </w:r>
            <w:r>
              <w:rPr>
                <w:rFonts w:ascii="Arial" w:cs="Arial" w:eastAsia="Arial" w:hAnsi="Arial"/>
                <w:sz w:val="15"/>
                <w:szCs w:val="15"/>
                <w:color w:val="auto"/>
                <w:w w:val="88"/>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$5.875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$20,872,165.38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$2,710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ind w:left="424" w:right="20"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the Registrant’s common stock that become issuable under the 2014 Equity Incentive Award Plan (the “2014 Plan”) by reason of any stock dividend, stock split, recapitalization or similar transaction effected without the Registrant’s receipt of consideration which would increase the number of outstanding shares of common stock.</w:t>
      </w:r>
    </w:p>
    <w:p>
      <w:pPr>
        <w:spacing w:after="0" w:line="2"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2014 Plan are based on the average of the high and the low price of Registrant’s Common Stock as reported on The Nasdaq Global Market on March 9, 2020.</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the shares of the Registrant’s common stock issuable under the 2014 Plan resulting from an annual increase as of January 1, 2020.</w:t>
      </w:r>
    </w:p>
    <w:p>
      <w:pPr>
        <w:spacing w:after="0" w:line="230" w:lineRule="exact"/>
        <w:rPr>
          <w:sz w:val="20"/>
          <w:szCs w:val="20"/>
          <w:color w:val="auto"/>
        </w:rPr>
      </w:pPr>
    </w:p>
    <w:p>
      <w:pPr>
        <w:jc w:val="center"/>
        <w:ind w:left="500" w:right="20"/>
        <w:spacing w:after="0" w:line="312" w:lineRule="auto"/>
        <w:rPr>
          <w:sz w:val="20"/>
          <w:szCs w:val="20"/>
          <w:color w:val="auto"/>
        </w:rPr>
      </w:pPr>
      <w:r>
        <w:rPr>
          <w:rFonts w:ascii="Arial" w:cs="Arial" w:eastAsia="Arial" w:hAnsi="Arial"/>
          <w:sz w:val="17"/>
          <w:szCs w:val="17"/>
          <w:b w:val="1"/>
          <w:bCs w:val="1"/>
          <w:color w:val="auto"/>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2" w:name="page3"/>
    <w:bookmarkEnd w:id="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OF ADDITIONAL SECURITIES</w:t>
      </w:r>
    </w:p>
    <w:p>
      <w:pPr>
        <w:spacing w:after="0" w:line="229"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color w:val="auto"/>
        </w:rPr>
        <w:t>By a registration statement on Form S-8 filed with the Securities and Exchange Commission (the “SEC”) on July 14, 2014, File No. 333-197408 (the “Original Registration Statement”), Ardelyx, Inc. (the “Registrant”) registered 1,646,134 shares of common stock, par value $0.0001 per share (the “Common Stock”), issuable under the Ardelyx, Inc. 2014 Equity Incentive Award Plan (the “2014 Plan”).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w:t>
      </w:r>
    </w:p>
    <w:p>
      <w:pPr>
        <w:spacing w:after="0" w:line="192"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By the registration statements on Form S-8 listed in the table below filed with the SEC, the Registrant registered the following additional shares of Common Stock issuable under the 2014 Plan.</w:t>
      </w:r>
    </w:p>
    <w:p>
      <w:pPr>
        <w:spacing w:after="0" w:line="189" w:lineRule="exact"/>
        <w:rPr>
          <w:sz w:val="20"/>
          <w:szCs w:val="20"/>
          <w:color w:val="auto"/>
        </w:rPr>
      </w:pPr>
    </w:p>
    <w:tbl>
      <w:tblPr>
        <w:tblLayout w:type="fixed"/>
        <w:tblInd w:w="884" w:type="dxa"/>
        <w:tblCellMar>
          <w:top w:w="0" w:type="dxa"/>
          <w:left w:w="0" w:type="dxa"/>
          <w:bottom w:w="0" w:type="dxa"/>
          <w:right w:w="0" w:type="dxa"/>
        </w:tblCellMar>
      </w:tblPr>
      <w:tr>
        <w:trPr>
          <w:trHeight w:val="19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Filing Date</w:t>
            </w:r>
          </w:p>
        </w:tc>
        <w:tc>
          <w:tcPr>
            <w:tcW w:w="1500" w:type="dxa"/>
            <w:vAlign w:val="bottom"/>
          </w:tcPr>
          <w:p>
            <w:pPr>
              <w:spacing w:after="0"/>
              <w:rPr>
                <w:sz w:val="16"/>
                <w:szCs w:val="16"/>
                <w:color w:val="auto"/>
              </w:rPr>
            </w:pPr>
          </w:p>
        </w:tc>
        <w:tc>
          <w:tcPr>
            <w:tcW w:w="2000" w:type="dxa"/>
            <w:vAlign w:val="bottom"/>
            <w:gridSpan w:val="2"/>
          </w:tcPr>
          <w:p>
            <w:pPr>
              <w:jc w:val="center"/>
              <w:ind w:left="774"/>
              <w:spacing w:after="0"/>
              <w:rPr>
                <w:sz w:val="20"/>
                <w:szCs w:val="20"/>
                <w:color w:val="auto"/>
              </w:rPr>
            </w:pPr>
            <w:r>
              <w:rPr>
                <w:rFonts w:ascii="Arial" w:cs="Arial" w:eastAsia="Arial" w:hAnsi="Arial"/>
                <w:sz w:val="14"/>
                <w:szCs w:val="14"/>
                <w:b w:val="1"/>
                <w:bCs w:val="1"/>
                <w:color w:val="auto"/>
                <w:w w:val="96"/>
              </w:rPr>
              <w:t>SEC File Number</w:t>
            </w:r>
          </w:p>
        </w:tc>
        <w:tc>
          <w:tcPr>
            <w:tcW w:w="5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2320" w:type="dxa"/>
            <w:vAlign w:val="bottom"/>
            <w:gridSpan w:val="2"/>
          </w:tcPr>
          <w:p>
            <w:pPr>
              <w:ind w:left="520"/>
              <w:spacing w:after="0"/>
              <w:rPr>
                <w:sz w:val="20"/>
                <w:szCs w:val="20"/>
                <w:color w:val="auto"/>
              </w:rPr>
            </w:pPr>
            <w:r>
              <w:rPr>
                <w:rFonts w:ascii="Arial" w:cs="Arial" w:eastAsia="Arial" w:hAnsi="Arial"/>
                <w:sz w:val="14"/>
                <w:szCs w:val="14"/>
                <w:b w:val="1"/>
                <w:bCs w:val="1"/>
                <w:color w:val="auto"/>
                <w:w w:val="91"/>
              </w:rPr>
              <w:t>Additional Shares Registered</w:t>
            </w:r>
          </w:p>
        </w:tc>
      </w:tr>
      <w:tr>
        <w:trPr>
          <w:trHeight w:val="203"/>
        </w:trPr>
        <w:tc>
          <w:tcPr>
            <w:tcW w:w="2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11, 2015</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333-202663</w:t>
            </w:r>
          </w:p>
        </w:tc>
        <w:tc>
          <w:tcPr>
            <w:tcW w:w="5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“2015 Registration Statement”</w:t>
            </w:r>
          </w:p>
        </w:tc>
        <w:tc>
          <w:tcPr>
            <w:tcW w:w="5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743,569</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March 10, 2016</w:t>
            </w:r>
          </w:p>
        </w:tc>
        <w:tc>
          <w:tcPr>
            <w:tcW w:w="2000" w:type="dxa"/>
            <w:vAlign w:val="bottom"/>
            <w:gridSpan w:val="2"/>
          </w:tcPr>
          <w:p>
            <w:pPr>
              <w:jc w:val="center"/>
              <w:ind w:left="774"/>
              <w:spacing w:after="0"/>
              <w:rPr>
                <w:sz w:val="20"/>
                <w:szCs w:val="20"/>
                <w:color w:val="auto"/>
              </w:rPr>
            </w:pPr>
            <w:r>
              <w:rPr>
                <w:rFonts w:ascii="Arial" w:cs="Arial" w:eastAsia="Arial" w:hAnsi="Arial"/>
                <w:sz w:val="18"/>
                <w:szCs w:val="18"/>
                <w:color w:val="auto"/>
                <w:w w:val="89"/>
              </w:rPr>
              <w:t>333-210079</w:t>
            </w:r>
          </w:p>
        </w:tc>
        <w:tc>
          <w:tcPr>
            <w:tcW w:w="274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“2016 Registration Statement”</w:t>
            </w:r>
          </w:p>
        </w:tc>
        <w:tc>
          <w:tcPr>
            <w:tcW w:w="2320" w:type="dxa"/>
            <w:vAlign w:val="bottom"/>
            <w:gridSpan w:val="2"/>
          </w:tcPr>
          <w:p>
            <w:pPr>
              <w:jc w:val="center"/>
              <w:ind w:left="414"/>
              <w:spacing w:after="0"/>
              <w:rPr>
                <w:sz w:val="20"/>
                <w:szCs w:val="20"/>
                <w:color w:val="auto"/>
              </w:rPr>
            </w:pPr>
            <w:r>
              <w:rPr>
                <w:rFonts w:ascii="Arial" w:cs="Arial" w:eastAsia="Arial" w:hAnsi="Arial"/>
                <w:sz w:val="18"/>
                <w:szCs w:val="18"/>
                <w:color w:val="auto"/>
                <w:w w:val="87"/>
              </w:rPr>
              <w:t>1,038,595</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21, 2017</w:t>
            </w:r>
          </w:p>
        </w:tc>
        <w:tc>
          <w:tcPr>
            <w:tcW w:w="200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89"/>
              </w:rPr>
              <w:t>333-216154</w:t>
            </w:r>
          </w:p>
        </w:tc>
        <w:tc>
          <w:tcPr>
            <w:tcW w:w="27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“2017 Registration Statement”</w:t>
            </w:r>
          </w:p>
        </w:tc>
        <w:tc>
          <w:tcPr>
            <w:tcW w:w="232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87"/>
              </w:rPr>
              <w:t>1,892,376</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March 16, 2018</w:t>
            </w:r>
          </w:p>
        </w:tc>
        <w:tc>
          <w:tcPr>
            <w:tcW w:w="2000" w:type="dxa"/>
            <w:vAlign w:val="bottom"/>
            <w:gridSpan w:val="2"/>
          </w:tcPr>
          <w:p>
            <w:pPr>
              <w:jc w:val="center"/>
              <w:ind w:left="774"/>
              <w:spacing w:after="0"/>
              <w:rPr>
                <w:sz w:val="20"/>
                <w:szCs w:val="20"/>
                <w:color w:val="auto"/>
              </w:rPr>
            </w:pPr>
            <w:r>
              <w:rPr>
                <w:rFonts w:ascii="Arial" w:cs="Arial" w:eastAsia="Arial" w:hAnsi="Arial"/>
                <w:sz w:val="18"/>
                <w:szCs w:val="18"/>
                <w:color w:val="auto"/>
                <w:w w:val="89"/>
              </w:rPr>
              <w:t>333-223694</w:t>
            </w:r>
          </w:p>
        </w:tc>
        <w:tc>
          <w:tcPr>
            <w:tcW w:w="274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“2018 Registration Statement”</w:t>
            </w:r>
          </w:p>
        </w:tc>
        <w:tc>
          <w:tcPr>
            <w:tcW w:w="2320" w:type="dxa"/>
            <w:vAlign w:val="bottom"/>
            <w:gridSpan w:val="2"/>
          </w:tcPr>
          <w:p>
            <w:pPr>
              <w:jc w:val="center"/>
              <w:ind w:left="414"/>
              <w:spacing w:after="0"/>
              <w:rPr>
                <w:sz w:val="20"/>
                <w:szCs w:val="20"/>
                <w:color w:val="auto"/>
              </w:rPr>
            </w:pPr>
            <w:r>
              <w:rPr>
                <w:rFonts w:ascii="Arial" w:cs="Arial" w:eastAsia="Arial" w:hAnsi="Arial"/>
                <w:sz w:val="18"/>
                <w:szCs w:val="18"/>
                <w:color w:val="auto"/>
                <w:w w:val="87"/>
              </w:rPr>
              <w:t>1,901,339</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2019</w:t>
            </w:r>
          </w:p>
        </w:tc>
        <w:tc>
          <w:tcPr>
            <w:tcW w:w="200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89"/>
              </w:rPr>
              <w:t>333-230156</w:t>
            </w:r>
          </w:p>
        </w:tc>
        <w:tc>
          <w:tcPr>
            <w:tcW w:w="27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“2019 Registration Statement”</w:t>
            </w:r>
          </w:p>
        </w:tc>
        <w:tc>
          <w:tcPr>
            <w:tcW w:w="232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87"/>
              </w:rPr>
              <w:t>2,490,417</w:t>
            </w:r>
          </w:p>
        </w:tc>
      </w:tr>
    </w:tbl>
    <w:p>
      <w:pPr>
        <w:spacing w:after="0" w:line="20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Registrant is hereby registering an additional 3,552,709 shares of Common Stock issuable under the 2014 Plan, which shares are now available for grant due to automatic annual increase provisions in the 2014 Plan.</w:t>
      </w:r>
    </w:p>
    <w:p>
      <w:pPr>
        <w:spacing w:after="0" w:line="170"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Pursuant to Instruction E of Form S-8, the contents of the Original Registration Statement, the 2015 Registration Statement, the 2016 Registration Statement, the 2017 Registration Statement, the 2018 Registration Statement and the 2019 Registration Statement are incorporated by reference in this registration statement on Form S-8.</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Form S-8 (by incorporation by reference or otherwise) in accordance with the rules and regulations of the SEC.</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In this registration statement, Ardelyx, Inc. is sometimes referred to as “Registrant,” “we,” “us” or “our.”</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Incorporation of Documents by Reference</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92" w:lineRule="exact"/>
        <w:rPr>
          <w:sz w:val="20"/>
          <w:szCs w:val="20"/>
          <w:color w:val="auto"/>
        </w:rPr>
      </w:pPr>
    </w:p>
    <w:p>
      <w:pPr>
        <w:ind w:left="424" w:right="64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as filed with the SEC on March 6, 2020 (File No. 001-36485); and</w:t>
      </w:r>
    </w:p>
    <w:p>
      <w:pPr>
        <w:spacing w:after="0" w:line="7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w:t>
      </w:r>
      <w:hyperlink r:id="rId2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001-36485), filed by the Registrant with the SEC under Section 12(b) of the Securities Exchange Act of 1934, as amended (the “Exchange Act”), on June 9, 2014, including any amendments or reports filed for the purpose of updating such description.</w:t>
      </w:r>
    </w:p>
    <w:p>
      <w:pPr>
        <w:sectPr>
          <w:pgSz w:w="11900" w:h="16838" w:orient="portrait"/>
          <w:cols w:equalWidth="0" w:num="1">
            <w:col w:w="11004"/>
          </w:cols>
          <w:pgMar w:left="436" w:top="270" w:right="459" w:bottom="1440" w:gutter="0" w:footer="0" w:header="0"/>
        </w:sectPr>
      </w:pPr>
    </w:p>
    <w:bookmarkStart w:id="3" w:name="page4"/>
    <w:bookmarkEnd w:id="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Description of Securities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Interests of Named Experts and Counsel</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Indemnification of Directors and Officers</w:t>
      </w:r>
      <w:r>
        <w:rPr>
          <w:rFonts w:ascii="Arial" w:cs="Arial" w:eastAsia="Arial" w:hAnsi="Arial"/>
          <w:sz w:val="18"/>
          <w:szCs w:val="18"/>
          <w:b w:val="1"/>
          <w:bCs w:val="1"/>
          <w:color w:val="auto"/>
        </w:rPr>
        <w: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93"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permitted by Section 145 of the Delaware General Corporation Law, our amended and restated bylaws provide that:</w:t>
      </w:r>
    </w:p>
    <w:p>
      <w:pPr>
        <w:spacing w:after="0" w:line="131" w:lineRule="exact"/>
        <w:rPr>
          <w:sz w:val="20"/>
          <w:szCs w:val="20"/>
          <w:color w:val="auto"/>
        </w:rPr>
      </w:pPr>
    </w:p>
    <w:p>
      <w:pPr>
        <w:ind w:left="964" w:right="120" w:hanging="424"/>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64" w:right="120" w:hanging="424"/>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Exemption from Registration Claimed</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5"/>
        </w:trPr>
        <w:tc>
          <w:tcPr>
            <w:tcW w:w="960" w:type="dxa"/>
            <w:vAlign w:val="bottom"/>
            <w:gridSpan w:val="2"/>
            <w:vMerge w:val="continue"/>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6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Date</w:t>
            </w: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gridSpan w:val="10"/>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3"/>
                <w:szCs w:val="23"/>
                <w:color w:val="auto"/>
              </w:rPr>
            </w:pPr>
          </w:p>
        </w:tc>
        <w:tc>
          <w:tcPr>
            <w:tcW w:w="3740" w:type="dxa"/>
            <w:vAlign w:val="bottom"/>
            <w:tcBorders>
              <w:top w:val="single" w:sz="8" w:color="auto"/>
              <w:bottom w:val="single" w:sz="8" w:color="0000EE"/>
            </w:tcBorders>
            <w:gridSpan w:val="6"/>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Amended and Restated Certificate of Incorporation.</w:t>
              </w:r>
            </w:hyperlink>
          </w:p>
        </w:tc>
        <w:tc>
          <w:tcPr>
            <w:tcW w:w="2900" w:type="dxa"/>
            <w:vAlign w:val="bottom"/>
            <w:tcBorders>
              <w:top w:val="single" w:sz="8" w:color="auto"/>
            </w:tcBorders>
            <w:gridSpan w:val="7"/>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3"/>
                <w:szCs w:val="23"/>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June 24, 2014</w:t>
            </w:r>
          </w:p>
        </w:tc>
        <w:tc>
          <w:tcPr>
            <w:tcW w:w="200" w:type="dxa"/>
            <w:vAlign w:val="bottom"/>
          </w:tcPr>
          <w:p>
            <w:pPr>
              <w:spacing w:after="0"/>
              <w:rPr>
                <w:sz w:val="23"/>
                <w:szCs w:val="2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2300" w:type="dxa"/>
            <w:vAlign w:val="bottom"/>
            <w:tcBorders>
              <w:bottom w:val="single" w:sz="8" w:color="0000EE"/>
            </w:tcBorders>
          </w:tcPr>
          <w:p>
            <w:pPr>
              <w:spacing w:after="0"/>
              <w:rPr>
                <w:rFonts w:ascii="Arial" w:cs="Arial" w:eastAsia="Arial" w:hAnsi="Arial"/>
                <w:sz w:val="18"/>
                <w:szCs w:val="18"/>
                <w:color w:val="0000EE"/>
                <w:w w:val="88"/>
              </w:rPr>
            </w:pPr>
            <w:hyperlink r:id="rId24">
              <w:r>
                <w:rPr>
                  <w:rFonts w:ascii="Arial" w:cs="Arial" w:eastAsia="Arial" w:hAnsi="Arial"/>
                  <w:sz w:val="18"/>
                  <w:szCs w:val="18"/>
                  <w:color w:val="0000EE"/>
                  <w:w w:val="88"/>
                </w:rPr>
                <w:t>Amended and Restated Bylaws.</w:t>
              </w:r>
            </w:hyperlink>
          </w:p>
        </w:tc>
        <w:tc>
          <w:tcPr>
            <w:tcW w:w="4560" w:type="dxa"/>
            <w:vAlign w:val="bottom"/>
            <w:gridSpan w:val="13"/>
          </w:tcPr>
          <w:p>
            <w:pPr>
              <w:spacing w:after="0"/>
              <w:rPr>
                <w:sz w:val="24"/>
                <w:szCs w:val="2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24, 2014</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2600" w:type="dxa"/>
            <w:vAlign w:val="bottom"/>
            <w:tcBorders>
              <w:bottom w:val="single" w:sz="8" w:color="0000EE"/>
            </w:tcBorders>
            <w:gridSpan w:val="4"/>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Form of Common Stock Certificate.</w:t>
              </w:r>
            </w:hyperlink>
          </w:p>
        </w:tc>
        <w:tc>
          <w:tcPr>
            <w:tcW w:w="4260" w:type="dxa"/>
            <w:vAlign w:val="bottom"/>
            <w:gridSpan w:val="10"/>
          </w:tcPr>
          <w:p>
            <w:pPr>
              <w:spacing w:after="0"/>
              <w:rPr>
                <w:sz w:val="24"/>
                <w:szCs w:val="2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18, 2014</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25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Opinion of Latham &amp; Watkins LLP.</w:t>
              </w:r>
            </w:hyperlink>
          </w:p>
        </w:tc>
        <w:tc>
          <w:tcPr>
            <w:tcW w:w="428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Consent of Independent Registered Public Accounting Firm.</w:t>
              </w:r>
            </w:hyperlink>
          </w:p>
        </w:tc>
        <w:tc>
          <w:tcPr>
            <w:tcW w:w="25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44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Consent of Latham &amp; Watkins LLP (included in Exhibit 5.1).</w:t>
              </w:r>
            </w:hyperlink>
          </w:p>
        </w:tc>
        <w:tc>
          <w:tcPr>
            <w:tcW w:w="244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4"/>
                <w:szCs w:val="24"/>
                <w:color w:val="auto"/>
              </w:rPr>
            </w:pPr>
          </w:p>
        </w:tc>
        <w:tc>
          <w:tcPr>
            <w:tcW w:w="39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signature page hereto).</w:t>
              </w:r>
            </w:hyperlink>
          </w:p>
        </w:tc>
        <w:tc>
          <w:tcPr>
            <w:tcW w:w="288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99.1(#)</w:t>
            </w:r>
          </w:p>
        </w:tc>
        <w:tc>
          <w:tcPr>
            <w:tcW w:w="3480" w:type="dxa"/>
            <w:vAlign w:val="bottom"/>
            <w:tcBorders>
              <w:bottom w:val="single" w:sz="8" w:color="0000EE"/>
            </w:tcBorders>
            <w:gridSpan w:val="5"/>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Ardelyx, Inc. 2014 Equity Incentive Award Plan</w:t>
              </w:r>
            </w:hyperlink>
          </w:p>
        </w:tc>
        <w:tc>
          <w:tcPr>
            <w:tcW w:w="3380" w:type="dxa"/>
            <w:vAlign w:val="bottom"/>
            <w:gridSpan w:val="9"/>
          </w:tcPr>
          <w:p>
            <w:pPr>
              <w:spacing w:after="0"/>
              <w:rPr>
                <w:sz w:val="24"/>
                <w:szCs w:val="2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S-8</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July 14, 2014</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99.2(#)</w:t>
            </w:r>
          </w:p>
        </w:tc>
        <w:tc>
          <w:tcPr>
            <w:tcW w:w="6860" w:type="dxa"/>
            <w:vAlign w:val="bottom"/>
            <w:gridSpan w:val="14"/>
          </w:tcPr>
          <w:p>
            <w:pPr>
              <w:spacing w:after="0"/>
              <w:rPr>
                <w:rFonts w:ascii="Arial" w:cs="Arial" w:eastAsia="Arial" w:hAnsi="Arial"/>
                <w:sz w:val="18"/>
                <w:szCs w:val="18"/>
                <w:color w:val="0000EE"/>
                <w:w w:val="98"/>
              </w:rPr>
            </w:pPr>
            <w:hyperlink r:id="rId27">
              <w:r>
                <w:rPr>
                  <w:rFonts w:ascii="Arial" w:cs="Arial" w:eastAsia="Arial" w:hAnsi="Arial"/>
                  <w:sz w:val="18"/>
                  <w:szCs w:val="18"/>
                  <w:color w:val="0000EE"/>
                  <w:w w:val="98"/>
                </w:rPr>
                <w:t>Form of Stock Option Grant Notice and Stock Option Agreement under the Ardelyx, Inc.</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2014 Equity Incentive Award Plan</w:t>
              </w:r>
            </w:hyperlink>
          </w:p>
        </w:tc>
        <w:tc>
          <w:tcPr>
            <w:tcW w:w="3940" w:type="dxa"/>
            <w:vAlign w:val="bottom"/>
            <w:tcBorders>
              <w:top w:val="single" w:sz="8" w:color="0000EE"/>
            </w:tcBorders>
            <w:gridSpan w:val="9"/>
          </w:tcPr>
          <w:p>
            <w:pPr>
              <w:spacing w:after="0"/>
              <w:rPr>
                <w:sz w:val="17"/>
                <w:szCs w:val="17"/>
                <w:color w:val="auto"/>
              </w:rPr>
            </w:pPr>
          </w:p>
        </w:tc>
        <w:tc>
          <w:tcPr>
            <w:tcW w:w="440" w:type="dxa"/>
            <w:vAlign w:val="bottom"/>
            <w:gridSpan w:val="3"/>
          </w:tcPr>
          <w:p>
            <w:pPr>
              <w:spacing w:after="0"/>
              <w:rPr>
                <w:sz w:val="17"/>
                <w:szCs w:val="17"/>
                <w:color w:val="auto"/>
              </w:rPr>
            </w:pPr>
          </w:p>
        </w:tc>
        <w:tc>
          <w:tcPr>
            <w:tcW w:w="64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3"/>
              </w:rPr>
              <w:t>S-1/A</w:t>
            </w:r>
          </w:p>
        </w:tc>
        <w:tc>
          <w:tcPr>
            <w:tcW w:w="122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8"/>
              </w:rPr>
              <w:t>June 9, 2014</w:t>
            </w:r>
          </w:p>
        </w:tc>
        <w:tc>
          <w:tcPr>
            <w:tcW w:w="76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4"/>
              </w:rPr>
              <w:t>10.6(b)</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99.3(#)</w:t>
            </w:r>
          </w:p>
        </w:tc>
        <w:tc>
          <w:tcPr>
            <w:tcW w:w="6440" w:type="dxa"/>
            <w:vAlign w:val="bottom"/>
            <w:tcBorders>
              <w:bottom w:val="single" w:sz="8" w:color="0000EE"/>
            </w:tcBorders>
            <w:gridSpan w:val="12"/>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Form of Restricted Stock Award Agreement and Restricted Stock Unit Award Agreement</w:t>
              </w:r>
            </w:hyperlink>
          </w:p>
        </w:tc>
        <w:tc>
          <w:tcPr>
            <w:tcW w:w="4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under the Ardelyx, Inc. 2014 Equity Incentive Award Plan</w:t>
              </w:r>
            </w:hyperlink>
          </w:p>
        </w:tc>
        <w:tc>
          <w:tcPr>
            <w:tcW w:w="2660" w:type="dxa"/>
            <w:vAlign w:val="bottom"/>
            <w:gridSpan w:val="6"/>
          </w:tcPr>
          <w:p>
            <w:pPr>
              <w:spacing w:after="0"/>
              <w:rPr>
                <w:sz w:val="17"/>
                <w:szCs w:val="17"/>
                <w:color w:val="auto"/>
              </w:rPr>
            </w:pPr>
          </w:p>
        </w:tc>
        <w:tc>
          <w:tcPr>
            <w:tcW w:w="64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3"/>
              </w:rPr>
              <w:t>S-1/A</w:t>
            </w:r>
          </w:p>
        </w:tc>
        <w:tc>
          <w:tcPr>
            <w:tcW w:w="122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8"/>
              </w:rPr>
              <w:t>June 9, 2014</w:t>
            </w:r>
          </w:p>
        </w:tc>
        <w:tc>
          <w:tcPr>
            <w:tcW w:w="76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9"/>
              </w:rPr>
              <w:t>10.6(c)</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ectPr>
          <w:pgSz w:w="11900" w:h="16838" w:orient="portrait"/>
          <w:cols w:equalWidth="0" w:num="1">
            <w:col w:w="11024"/>
          </w:cols>
          <w:pgMar w:left="436" w:top="274"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9. </w:t>
      </w:r>
      <w:r>
        <w:rPr>
          <w:rFonts w:ascii="Arial" w:cs="Arial" w:eastAsia="Arial" w:hAnsi="Arial"/>
          <w:sz w:val="18"/>
          <w:szCs w:val="18"/>
          <w:b w:val="1"/>
          <w:bCs w:val="1"/>
          <w:u w:val="single" w:color="auto"/>
          <w:color w:val="auto"/>
        </w:rPr>
        <w:t>Undertakings</w:t>
      </w:r>
      <w:r>
        <w:rPr>
          <w:rFonts w:ascii="Arial" w:cs="Arial" w:eastAsia="Arial" w:hAnsi="Arial"/>
          <w:sz w:val="18"/>
          <w:szCs w:val="18"/>
          <w:b w:val="1"/>
          <w:bCs w:val="1"/>
          <w:color w:val="auto"/>
        </w:rPr>
        <w:t>.</w:t>
      </w:r>
    </w:p>
    <w:p>
      <w:pPr>
        <w:spacing w:after="0" w:line="135"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44" w:hanging="212"/>
        <w:spacing w:after="0"/>
        <w:tabs>
          <w:tab w:leader="none" w:pos="1644"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4" w:firstLine="1428"/>
        <w:spacing w:after="0" w:line="293" w:lineRule="auto"/>
        <w:tabs>
          <w:tab w:leader="none" w:pos="1701"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left="4" w:right="20" w:firstLine="1428"/>
        <w:spacing w:after="0" w:line="277" w:lineRule="auto"/>
        <w:tabs>
          <w:tab w:leader="none" w:pos="1751"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4" w:right="320" w:firstLine="991"/>
        <w:spacing w:after="0" w:line="31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registration statement is on Form S-8 and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spacing w:after="0" w:line="41" w:lineRule="exact"/>
        <w:rPr>
          <w:sz w:val="20"/>
          <w:szCs w:val="20"/>
          <w:color w:val="auto"/>
        </w:rPr>
      </w:pPr>
    </w:p>
    <w:p>
      <w:pPr>
        <w:ind w:left="4" w:right="20" w:firstLine="987"/>
        <w:spacing w:after="0" w:line="263" w:lineRule="auto"/>
        <w:tabs>
          <w:tab w:leader="none" w:pos="125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 w:right="80" w:firstLine="987"/>
        <w:spacing w:after="0" w:line="277" w:lineRule="auto"/>
        <w:tabs>
          <w:tab w:leader="none" w:pos="125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93" w:lineRule="exact"/>
        <w:rPr>
          <w:rFonts w:ascii="Arial" w:cs="Arial" w:eastAsia="Arial" w:hAnsi="Arial"/>
          <w:sz w:val="18"/>
          <w:szCs w:val="18"/>
          <w:color w:val="auto"/>
        </w:rPr>
      </w:pPr>
    </w:p>
    <w:p>
      <w:pPr>
        <w:ind w:left="424" w:hanging="424"/>
        <w:spacing w:after="0" w:line="271"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Fremont, California, on March 10, 2020.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ARDELYX,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Raab</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Michael Raab and Mark Kaufmann, and each of them, as attorneys-in-fact, each with the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such attorneys-in-fact and agents or any of them, or their substitute or substitutes, may lawfully do or cause to be done by virtue hereof.</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President, Chief Executive Officer and</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09"/>
        </w:trPr>
        <w:tc>
          <w:tcPr>
            <w:tcW w:w="4620" w:type="dxa"/>
            <w:vAlign w:val="bottom"/>
          </w:tcPr>
          <w:p>
            <w:pPr>
              <w:jc w:val="center"/>
              <w:spacing w:after="0"/>
              <w:rPr>
                <w:sz w:val="20"/>
                <w:szCs w:val="20"/>
                <w:color w:val="auto"/>
              </w:rPr>
            </w:pPr>
            <w:r>
              <w:rPr>
                <w:rFonts w:ascii="Arial" w:cs="Arial" w:eastAsia="Arial" w:hAnsi="Arial"/>
                <w:sz w:val="18"/>
                <w:szCs w:val="18"/>
                <w:color w:val="auto"/>
                <w:w w:val="92"/>
              </w:rPr>
              <w:t>Michael Raab</w:t>
            </w:r>
          </w:p>
        </w:tc>
        <w:tc>
          <w:tcPr>
            <w:tcW w:w="120" w:type="dxa"/>
            <w:vAlign w:val="bottom"/>
          </w:tcPr>
          <w:p>
            <w:pPr>
              <w:spacing w:after="0"/>
              <w:rPr>
                <w:sz w:val="18"/>
                <w:szCs w:val="18"/>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760" w:type="dxa"/>
            <w:vAlign w:val="bottom"/>
          </w:tcPr>
          <w:p>
            <w:pPr>
              <w:spacing w:after="0"/>
              <w:rPr>
                <w:sz w:val="20"/>
                <w:szCs w:val="20"/>
                <w:color w:val="auto"/>
              </w:rPr>
            </w:pPr>
          </w:p>
        </w:tc>
      </w:tr>
      <w:tr>
        <w:trPr>
          <w:trHeight w:val="43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Kaufmann</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2"/>
              </w:rPr>
              <w:t>Mark Kaufmann</w:t>
            </w:r>
          </w:p>
        </w:tc>
        <w:tc>
          <w:tcPr>
            <w:tcW w:w="120" w:type="dxa"/>
            <w:vAlign w:val="bottom"/>
          </w:tcPr>
          <w:p>
            <w:pPr>
              <w:spacing w:after="0"/>
              <w:rPr>
                <w:sz w:val="19"/>
                <w:szCs w:val="19"/>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officer and principal accounting officer</w:t>
            </w:r>
            <w:r>
              <w:rPr>
                <w:rFonts w:ascii="Arial" w:cs="Arial" w:eastAsia="Arial" w:hAnsi="Arial"/>
                <w:sz w:val="18"/>
                <w:szCs w:val="18"/>
                <w:color w:val="auto"/>
                <w:w w:val="95"/>
              </w:rPr>
              <w:t>)</w:t>
            </w: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Mott</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of the Board of Directors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5"/>
              </w:rPr>
              <w:t>David Mott</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Robert Bazemore</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Bertrand, Jr.</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2"/>
              </w:rPr>
              <w:t>William Bertrand, Jr.</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4"/>
                <w:szCs w:val="24"/>
                <w:color w:val="auto"/>
              </w:rPr>
            </w:pP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6"/>
              </w:rPr>
              <w:t>Geoffrey A. Block, M.D.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Annalisa Jenkins, MBBS, FRCP</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Jan M. Lundberg</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Jan M. Lundberg, Ph.D.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Gordon Ringold</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Gordon Ringold, Ph.D.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Rodgers</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10, 2020</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Richard Rodgers</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140 Scott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06565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2065655" cy="18859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Tel: +1.650.328.4600 Fax: +1.650.463.2600</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www.lw.com</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10, 2020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5"/>
          <w:szCs w:val="15"/>
          <w:color w:val="auto"/>
        </w:rPr>
        <w:t>Shanghai</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Madrid</w:t>
      </w:r>
      <w:r>
        <w:rPr>
          <w:sz w:val="20"/>
          <w:szCs w:val="20"/>
          <w:color w:val="auto"/>
        </w:rPr>
        <w:tab/>
      </w:r>
      <w:r>
        <w:rPr>
          <w:rFonts w:ascii="Arial" w:cs="Arial" w:eastAsia="Arial" w:hAnsi="Arial"/>
          <w:sz w:val="16"/>
          <w:szCs w:val="16"/>
          <w:color w:val="auto"/>
        </w:rPr>
        <w:t>Washington, D.C.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200" w:lineRule="exact"/>
        <w:rPr>
          <w:sz w:val="20"/>
          <w:szCs w:val="20"/>
          <w:color w:val="auto"/>
        </w:rPr>
      </w:pPr>
    </w:p>
    <w:p>
      <w:pPr>
        <w:sectPr>
          <w:pgSz w:w="11900" w:h="16838" w:orient="portrait"/>
          <w:cols w:equalWidth="0" w:num="2">
            <w:col w:w="6020" w:space="720"/>
            <w:col w:w="4280"/>
          </w:cols>
          <w:pgMar w:left="440" w:top="121"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34175 Ardenwood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 94555</w:t>
      </w:r>
    </w:p>
    <w:p>
      <w:pPr>
        <w:spacing w:after="0" w:line="234"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Registration Statement on Form S-8; 3,552,709 shares of Common Stock of Ardelyx, Inc., par value $0.0001 per share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We have acted as special counsel to Ardelyx,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registration by the Company of 3,552,709 shares of common stock of the Company,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issuable under the Company’s 2014 Equity Incentive Award Plan (the “</w:t>
      </w:r>
      <w:r>
        <w:rPr>
          <w:rFonts w:ascii="Arial" w:cs="Arial" w:eastAsia="Arial" w:hAnsi="Arial"/>
          <w:sz w:val="18"/>
          <w:szCs w:val="18"/>
          <w:b w:val="1"/>
          <w:bCs w:val="1"/>
          <w:i w:val="1"/>
          <w:iCs w:val="1"/>
          <w:color w:val="auto"/>
        </w:rPr>
        <w:t>2014 Plan</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The Shares are included in a registration statement on Form S-8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March 10, 2020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5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ectPr>
          <w:pgSz w:w="11900" w:h="16838" w:orient="portrait"/>
          <w:cols w:equalWidth="0" w:num="1">
            <w:col w:w="11020"/>
          </w:cols>
          <w:pgMar w:left="440" w:top="121" w:right="4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10,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2014 Plan, assuming in each case that the individual issuances, grants or awards under the 2014 Plan are duly authorized by all necessary corporate action and duly issued, granted or awarded and exercised in accordance with the requirements of law and the 2014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80"/>
          </w:cols>
          <w:pgMar w:left="440" w:top="274"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Equity Incentive Award Plan of Ardelyx, Inc. of our reports dated March 6, 2020, with respect to the financial statements of Ardelyx, Inc. and the effectiveness of internal control over financial reporting of Ardelyx, Inc. included in its Annual Report (Form 10-K) for the year ended December 31, 2019,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jpeg"/><Relationship Id="rId34" Type="http://schemas.openxmlformats.org/officeDocument/2006/relationships/image" Target="media/image19.png"/><Relationship Id="rId35" Type="http://schemas.openxmlformats.org/officeDocument/2006/relationships/image" Target="media/image20.jpeg"/><Relationship Id="rId19" Type="http://schemas.openxmlformats.org/officeDocument/2006/relationships/hyperlink" Target="http://www.sec.gov/Archives/edgar/data/1437402/000155837020002138/ardx-20191231x10k.htm" TargetMode="External"/><Relationship Id="rId20" Type="http://schemas.openxmlformats.org/officeDocument/2006/relationships/hyperlink" Target="http://www.sec.gov/Archives/edgar/data/1437402/000119312514230441/d740908d8a12b.htm" TargetMode="External"/><Relationship Id="rId23" Type="http://schemas.openxmlformats.org/officeDocument/2006/relationships/hyperlink" Target="http://www.sec.gov/Archives/edgar/data/1437402/000119312514247380/d748616dex31.htm" TargetMode="External"/><Relationship Id="rId24" Type="http://schemas.openxmlformats.org/officeDocument/2006/relationships/hyperlink" Target="http://www.sec.gov/Archives/edgar/data/1437402/000119312514247380/d748616dex32.htm" TargetMode="External"/><Relationship Id="rId25" Type="http://schemas.openxmlformats.org/officeDocument/2006/relationships/hyperlink" Target="http://www.sec.gov/Archives/edgar/data/1437402/000119312514240520/d704770dex42.htm" TargetMode="External"/><Relationship Id="rId26" Type="http://schemas.openxmlformats.org/officeDocument/2006/relationships/hyperlink" Target="http://www.sec.gov/Archives/edgar/data/1437402/000119312514267896/d758186dex993.htm" TargetMode="External"/><Relationship Id="rId27" Type="http://schemas.openxmlformats.org/officeDocument/2006/relationships/hyperlink" Target="http://www.sec.gov/Archives/edgar/data/1437402/000119312514229371/d704770dex106b.htm" TargetMode="External"/><Relationship Id="rId28" Type="http://schemas.openxmlformats.org/officeDocument/2006/relationships/hyperlink" Target="http://www.sec.gov/Archives/edgar/data/1437402/000119312514229371/d704770dex106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2020-03-10T15:44:42Z</dcterms:created>
  <dcterms:modified xsi:type="dcterms:W3CDTF">2020-03-10T15:44:42Z</dcterms:modified>
</cp:coreProperties>
</file>