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November 3, 2025</w:t>
      </w:r>
    </w:p>
    <w:p>
      <w:pPr>
        <w:spacing w:after="0" w:line="32" w:lineRule="exact"/>
        <w:rPr>
          <w:sz w:val="24"/>
          <w:szCs w:val="24"/>
          <w:color w:val="auto"/>
        </w:rPr>
      </w:pPr>
    </w:p>
    <w:p>
      <w:pPr>
        <w:ind w:left="8480"/>
        <w:spacing w:after="0"/>
        <w:rPr>
          <w:sz w:val="20"/>
          <w:szCs w:val="20"/>
          <w:color w:val="auto"/>
        </w:rPr>
      </w:pPr>
      <w:r>
        <w:rPr>
          <w:rFonts w:ascii="Times New Roman" w:cs="Times New Roman" w:eastAsia="Times New Roman" w:hAnsi="Times New Roman"/>
          <w:sz w:val="17"/>
          <w:szCs w:val="17"/>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67100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100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106045</wp:posOffset>
            </wp:positionV>
            <wp:extent cx="67100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19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210820</wp:posOffset>
            </wp:positionV>
            <wp:extent cx="14141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FORM S-8</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REGISTRATION STATEMENT</w:t>
      </w:r>
    </w:p>
    <w:p>
      <w:pPr>
        <w:jc w:val="center"/>
        <w:ind w:right="-39"/>
        <w:spacing w:after="0" w:line="231"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210820</wp:posOffset>
            </wp:positionV>
            <wp:extent cx="14141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145" cy="8255"/>
                    </a:xfrm>
                    <a:prstGeom prst="rect">
                      <a:avLst/>
                    </a:prstGeom>
                    <a:noFill/>
                  </pic:spPr>
                </pic:pic>
              </a:graphicData>
            </a:graphic>
          </wp:anchor>
        </w:drawing>
        <w:drawing>
          <wp:anchor simplePos="0" relativeHeight="251657728" behindDoc="1" locked="0" layoutInCell="0" allowOverlap="1">
            <wp:simplePos x="0" y="0"/>
            <wp:positionH relativeFrom="column">
              <wp:posOffset>2442845</wp:posOffset>
            </wp:positionH>
            <wp:positionV relativeFrom="paragraph">
              <wp:posOffset>391795</wp:posOffset>
            </wp:positionV>
            <wp:extent cx="1833880" cy="443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33880" cy="4438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1"/>
          <w:szCs w:val="41"/>
          <w:b w:val="1"/>
          <w:bCs w:val="1"/>
          <w:color w:val="auto"/>
        </w:rPr>
        <w:t>ARDELYX, INC.</w:t>
      </w:r>
    </w:p>
    <w:p>
      <w:pPr>
        <w:spacing w:after="0" w:line="5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220345</wp:posOffset>
            </wp:positionV>
            <wp:extent cx="14141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91" w:lineRule="exact"/>
        <w:rPr>
          <w:sz w:val="24"/>
          <w:szCs w:val="24"/>
          <w:color w:val="auto"/>
        </w:rPr>
      </w:pPr>
    </w:p>
    <w:tbl>
      <w:tblPr>
        <w:tblLayout w:type="fixed"/>
        <w:tblInd w:w="900" w:type="dxa"/>
        <w:tblCellMar>
          <w:top w:w="0" w:type="dxa"/>
          <w:left w:w="0" w:type="dxa"/>
          <w:bottom w:w="0" w:type="dxa"/>
          <w:right w:w="0" w:type="dxa"/>
        </w:tblCellMar>
      </w:tblPr>
      <w:tr>
        <w:trPr>
          <w:trHeight w:val="203"/>
        </w:trPr>
        <w:tc>
          <w:tcPr>
            <w:tcW w:w="3500" w:type="dxa"/>
            <w:vAlign w:val="bottom"/>
          </w:tcPr>
          <w:p>
            <w:pPr>
              <w:jc w:val="center"/>
              <w:ind w:right="1642"/>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234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001-36485</w:t>
            </w:r>
          </w:p>
        </w:tc>
        <w:tc>
          <w:tcPr>
            <w:tcW w:w="2820" w:type="dxa"/>
            <w:vAlign w:val="bottom"/>
          </w:tcPr>
          <w:p>
            <w:pPr>
              <w:jc w:val="center"/>
              <w:ind w:left="1384"/>
              <w:spacing w:after="0"/>
              <w:rPr>
                <w:sz w:val="20"/>
                <w:szCs w:val="20"/>
                <w:color w:val="auto"/>
              </w:rPr>
            </w:pPr>
            <w:r>
              <w:rPr>
                <w:rFonts w:ascii="Times New Roman" w:cs="Times New Roman" w:eastAsia="Times New Roman" w:hAnsi="Times New Roman"/>
                <w:sz w:val="17"/>
                <w:szCs w:val="17"/>
                <w:b w:val="1"/>
                <w:bCs w:val="1"/>
                <w:color w:val="auto"/>
              </w:rPr>
              <w:t>26-1303944</w:t>
            </w:r>
          </w:p>
        </w:tc>
      </w:tr>
      <w:tr>
        <w:trPr>
          <w:trHeight w:val="142"/>
        </w:trPr>
        <w:tc>
          <w:tcPr>
            <w:tcW w:w="3500" w:type="dxa"/>
            <w:vAlign w:val="bottom"/>
          </w:tcPr>
          <w:p>
            <w:pPr>
              <w:jc w:val="center"/>
              <w:ind w:right="1622"/>
              <w:spacing w:after="0" w:line="143" w:lineRule="exact"/>
              <w:rPr>
                <w:sz w:val="20"/>
                <w:szCs w:val="20"/>
                <w:color w:val="auto"/>
              </w:rPr>
            </w:pPr>
            <w:r>
              <w:rPr>
                <w:rFonts w:ascii="Times New Roman" w:cs="Times New Roman" w:eastAsia="Times New Roman" w:hAnsi="Times New Roman"/>
                <w:sz w:val="14"/>
                <w:szCs w:val="14"/>
                <w:b w:val="1"/>
                <w:bCs w:val="1"/>
                <w:color w:val="auto"/>
                <w:w w:val="98"/>
              </w:rPr>
              <w:t>(State or other jurisdiction of</w:t>
            </w:r>
          </w:p>
        </w:tc>
        <w:tc>
          <w:tcPr>
            <w:tcW w:w="2340" w:type="dxa"/>
            <w:vAlign w:val="bottom"/>
          </w:tcPr>
          <w:p>
            <w:pPr>
              <w:ind w:left="600"/>
              <w:spacing w:after="0" w:line="143"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20" w:type="dxa"/>
            <w:vAlign w:val="bottom"/>
          </w:tcPr>
          <w:p>
            <w:pPr>
              <w:jc w:val="center"/>
              <w:ind w:left="1384"/>
              <w:spacing w:after="0" w:line="143" w:lineRule="exact"/>
              <w:rPr>
                <w:sz w:val="20"/>
                <w:szCs w:val="20"/>
                <w:color w:val="auto"/>
              </w:rPr>
            </w:pPr>
            <w:r>
              <w:rPr>
                <w:rFonts w:ascii="Times New Roman" w:cs="Times New Roman" w:eastAsia="Times New Roman" w:hAnsi="Times New Roman"/>
                <w:sz w:val="14"/>
                <w:szCs w:val="14"/>
                <w:b w:val="1"/>
                <w:bCs w:val="1"/>
                <w:color w:val="auto"/>
                <w:w w:val="97"/>
              </w:rPr>
              <w:t>(IRS Employer</w:t>
            </w:r>
          </w:p>
        </w:tc>
      </w:tr>
      <w:tr>
        <w:trPr>
          <w:trHeight w:val="183"/>
        </w:trPr>
        <w:tc>
          <w:tcPr>
            <w:tcW w:w="3500" w:type="dxa"/>
            <w:vAlign w:val="bottom"/>
          </w:tcPr>
          <w:p>
            <w:pPr>
              <w:jc w:val="center"/>
              <w:ind w:right="1622"/>
              <w:spacing w:after="0"/>
              <w:rPr>
                <w:sz w:val="20"/>
                <w:szCs w:val="20"/>
                <w:color w:val="auto"/>
              </w:rPr>
            </w:pPr>
            <w:r>
              <w:rPr>
                <w:rFonts w:ascii="Times New Roman" w:cs="Times New Roman" w:eastAsia="Times New Roman" w:hAnsi="Times New Roman"/>
                <w:sz w:val="14"/>
                <w:szCs w:val="14"/>
                <w:b w:val="1"/>
                <w:bCs w:val="1"/>
                <w:color w:val="auto"/>
                <w:w w:val="98"/>
              </w:rPr>
              <w:t>incorporation or organization)</w:t>
            </w:r>
          </w:p>
        </w:tc>
        <w:tc>
          <w:tcPr>
            <w:tcW w:w="234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20" w:type="dxa"/>
            <w:vAlign w:val="bottom"/>
          </w:tcPr>
          <w:p>
            <w:pPr>
              <w:jc w:val="center"/>
              <w:ind w:left="1384"/>
              <w:spacing w:after="0"/>
              <w:rPr>
                <w:sz w:val="20"/>
                <w:szCs w:val="20"/>
                <w:color w:val="auto"/>
              </w:rPr>
            </w:pPr>
            <w:r>
              <w:rPr>
                <w:rFonts w:ascii="Times New Roman" w:cs="Times New Roman" w:eastAsia="Times New Roman" w:hAnsi="Times New Roman"/>
                <w:sz w:val="14"/>
                <w:szCs w:val="14"/>
                <w:b w:val="1"/>
                <w:bCs w:val="1"/>
                <w:color w:val="auto"/>
                <w:w w:val="97"/>
              </w:rPr>
              <w:t>Identification Number)</w:t>
            </w:r>
          </w:p>
        </w:tc>
      </w:tr>
      <w:tr>
        <w:trPr>
          <w:trHeight w:val="404"/>
        </w:trPr>
        <w:tc>
          <w:tcPr>
            <w:tcW w:w="35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400 Fifth Ave., Suite 210</w:t>
            </w:r>
          </w:p>
        </w:tc>
        <w:tc>
          <w:tcPr>
            <w:tcW w:w="23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16"/>
        </w:trPr>
        <w:tc>
          <w:tcPr>
            <w:tcW w:w="35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Waltham, Massachusetts</w:t>
            </w:r>
          </w:p>
        </w:tc>
        <w:tc>
          <w:tcPr>
            <w:tcW w:w="2340" w:type="dxa"/>
            <w:vAlign w:val="bottom"/>
          </w:tcPr>
          <w:p>
            <w:pPr>
              <w:spacing w:after="0"/>
              <w:rPr>
                <w:sz w:val="18"/>
                <w:szCs w:val="18"/>
                <w:color w:val="auto"/>
              </w:rPr>
            </w:pPr>
          </w:p>
        </w:tc>
        <w:tc>
          <w:tcPr>
            <w:tcW w:w="2820" w:type="dxa"/>
            <w:vAlign w:val="bottom"/>
          </w:tcPr>
          <w:p>
            <w:pPr>
              <w:jc w:val="right"/>
              <w:ind w:right="1264"/>
              <w:spacing w:after="0"/>
              <w:rPr>
                <w:sz w:val="20"/>
                <w:szCs w:val="20"/>
                <w:color w:val="auto"/>
              </w:rPr>
            </w:pPr>
            <w:r>
              <w:rPr>
                <w:rFonts w:ascii="Times New Roman" w:cs="Times New Roman" w:eastAsia="Times New Roman" w:hAnsi="Times New Roman"/>
                <w:sz w:val="17"/>
                <w:szCs w:val="17"/>
                <w:b w:val="1"/>
                <w:bCs w:val="1"/>
                <w:color w:val="auto"/>
              </w:rPr>
              <w:t>02451</w:t>
            </w:r>
          </w:p>
        </w:tc>
      </w:tr>
      <w:tr>
        <w:trPr>
          <w:trHeight w:val="183"/>
        </w:trPr>
        <w:tc>
          <w:tcPr>
            <w:tcW w:w="3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w:t>
            </w:r>
          </w:p>
        </w:tc>
        <w:tc>
          <w:tcPr>
            <w:tcW w:w="2340" w:type="dxa"/>
            <w:vAlign w:val="bottom"/>
          </w:tcPr>
          <w:p>
            <w:pPr>
              <w:spacing w:after="0"/>
              <w:rPr>
                <w:sz w:val="15"/>
                <w:szCs w:val="15"/>
                <w:color w:val="auto"/>
              </w:rPr>
            </w:pPr>
          </w:p>
        </w:tc>
        <w:tc>
          <w:tcPr>
            <w:tcW w:w="2820" w:type="dxa"/>
            <w:vAlign w:val="bottom"/>
          </w:tcPr>
          <w:p>
            <w:pPr>
              <w:jc w:val="center"/>
              <w:ind w:right="224"/>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bl>
    <w:p>
      <w:pPr>
        <w:spacing w:after="0" w:line="1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(510) 745-1700</w:t>
      </w:r>
    </w:p>
    <w:p>
      <w:pPr>
        <w:spacing w:after="0" w:line="2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Amended and Restated 2014 Equity Incentive Award Plan</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17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Elizabeth Grammer</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Chief Legal and Administrative Officer</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Ardelyx, Inc.</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400 Fifth Avenue, Suite 210</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Waltham, MA 02451</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(510) 745-1700</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17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i w:val="1"/>
          <w:iCs w:val="1"/>
          <w:color w:val="auto"/>
        </w:rPr>
        <w:t>Copies to:</w:t>
      </w:r>
    </w:p>
    <w:p>
      <w:pPr>
        <w:spacing w:after="0" w:line="2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Mark V. Roeder, Esq.</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John C. Williams, Esq.</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Latham &amp; Watkins LLP</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140 Scott Drive</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Menlo Park, California 94025</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(650) 328-4600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220980</wp:posOffset>
            </wp:positionV>
            <wp:extent cx="14141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90"/>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32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5080" w:type="dxa"/>
            <w:vAlign w:val="bottom"/>
          </w:tcPr>
          <w:p>
            <w:pPr>
              <w:ind w:left="2980"/>
              <w:spacing w:after="0"/>
              <w:rPr>
                <w:sz w:val="20"/>
                <w:szCs w:val="20"/>
                <w:color w:val="auto"/>
              </w:rPr>
            </w:pPr>
            <w:r>
              <w:rPr>
                <w:rFonts w:ascii="Times New Roman" w:cs="Times New Roman" w:eastAsia="Times New Roman" w:hAnsi="Times New Roman"/>
                <w:sz w:val="17"/>
                <w:szCs w:val="17"/>
                <w:color w:val="auto"/>
              </w:rPr>
              <w:t>Accelerated filer</w:t>
            </w:r>
          </w:p>
        </w:tc>
        <w:tc>
          <w:tcPr>
            <w:tcW w:w="380" w:type="dxa"/>
            <w:vAlign w:val="bottom"/>
          </w:tcPr>
          <w:p>
            <w:pPr>
              <w:ind w:left="2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1"/>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32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5080" w:type="dxa"/>
            <w:vAlign w:val="bottom"/>
          </w:tcPr>
          <w:p>
            <w:pPr>
              <w:ind w:left="298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380" w:type="dxa"/>
            <w:vAlign w:val="bottom"/>
          </w:tcPr>
          <w:p>
            <w:pPr>
              <w:ind w:left="2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1"/>
        </w:trPr>
        <w:tc>
          <w:tcPr>
            <w:tcW w:w="17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080" w:type="dxa"/>
            <w:vAlign w:val="bottom"/>
          </w:tcPr>
          <w:p>
            <w:pPr>
              <w:ind w:left="2980"/>
              <w:spacing w:after="0"/>
              <w:rPr>
                <w:sz w:val="20"/>
                <w:szCs w:val="20"/>
                <w:color w:val="auto"/>
              </w:rPr>
            </w:pPr>
            <w:r>
              <w:rPr>
                <w:rFonts w:ascii="Times New Roman" w:cs="Times New Roman" w:eastAsia="Times New Roman" w:hAnsi="Times New Roman"/>
                <w:sz w:val="17"/>
                <w:szCs w:val="17"/>
                <w:color w:val="auto"/>
              </w:rPr>
              <w:t>Emerging growth company</w:t>
            </w:r>
          </w:p>
        </w:tc>
        <w:tc>
          <w:tcPr>
            <w:tcW w:w="380" w:type="dxa"/>
            <w:vAlign w:val="bottom"/>
          </w:tcPr>
          <w:p>
            <w:pPr>
              <w:ind w:left="2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63" w:lineRule="exact"/>
        <w:rPr>
          <w:sz w:val="24"/>
          <w:szCs w:val="24"/>
          <w:color w:val="auto"/>
        </w:rPr>
      </w:pPr>
    </w:p>
    <w:p>
      <w:pPr>
        <w:ind w:right="240"/>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162" w:lineRule="exact"/>
        <w:rPr>
          <w:sz w:val="24"/>
          <w:szCs w:val="24"/>
          <w:color w:val="auto"/>
        </w:rPr>
      </w:pPr>
    </w:p>
    <w:p>
      <w:pPr>
        <w:ind w:right="100"/>
        <w:spacing w:after="0" w:line="294" w:lineRule="auto"/>
        <w:rPr>
          <w:sz w:val="20"/>
          <w:szCs w:val="20"/>
          <w:color w:val="auto"/>
        </w:rPr>
      </w:pPr>
      <w:r>
        <w:rPr>
          <w:rFonts w:ascii="Times New Roman" w:cs="Times New Roman" w:eastAsia="Times New Roman" w:hAnsi="Times New Roman"/>
          <w:sz w:val="17"/>
          <w:szCs w:val="17"/>
          <w:b w:val="1"/>
          <w:bCs w:val="1"/>
          <w:color w:val="auto"/>
        </w:rPr>
        <w:t>This registration statement will become effective upon filing in accordance with Rule 462 under the Securities Act. Proposed sale to take place as soon after the effective date of the registration statement as awards under the plans are exercised and/or vest.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6710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100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161290</wp:posOffset>
            </wp:positionV>
            <wp:extent cx="6710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ectPr>
          <w:pgSz w:w="11900" w:h="16838" w:orient="portrait"/>
          <w:cols w:equalWidth="0" w:num="1">
            <w:col w:w="10520"/>
          </w:cols>
          <w:pgMar w:left="660" w:top="223" w:right="719" w:bottom="627"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EXPLANATORY NOTE</w:t>
      </w:r>
    </w:p>
    <w:p>
      <w:pPr>
        <w:spacing w:after="0" w:line="1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By a registration statement on Form S-8 filed with the Securities and Exchange Commission (the “SEC”) on July 14, 2014, File No. 333-197408 (the “Original Registration Statement”), Ardelyx, Inc. (the “Registrant”) registered 1,646,134 shares of common stock, par value $0.0001 per share (the “Common Stock”) issuable under the Ardelyx, Inc. 2014 Equity Incentive Award Plan (the “2014 Plan”) and 202,762 shares of Common Stock issuable under the Ardelyx, Inc. 2014 Employee Stock Purchase Plan (the “ESPP”). The Original Registration Statement also registered 880,497 shares of Common Stock issuable under the Ardelyx, Inc. 2008 Stock Incentive Plan, as amended (the “2008 Plan”), which shares become available for issuance under the 2014 Plan to the extent awards under the 2008 Plan are forfeited or lapse unexercised and are not issued under the 2008 Plan.</w:t>
      </w:r>
    </w:p>
    <w:p>
      <w:pPr>
        <w:spacing w:after="0" w:line="175" w:lineRule="exact"/>
        <w:rPr>
          <w:sz w:val="20"/>
          <w:szCs w:val="20"/>
          <w:color w:val="auto"/>
        </w:rPr>
      </w:pPr>
    </w:p>
    <w:p>
      <w:pPr>
        <w:ind w:right="300"/>
        <w:spacing w:after="0" w:line="273" w:lineRule="auto"/>
        <w:rPr>
          <w:sz w:val="20"/>
          <w:szCs w:val="20"/>
          <w:color w:val="auto"/>
        </w:rPr>
      </w:pPr>
      <w:r>
        <w:rPr>
          <w:rFonts w:ascii="Times New Roman" w:cs="Times New Roman" w:eastAsia="Times New Roman" w:hAnsi="Times New Roman"/>
          <w:sz w:val="17"/>
          <w:szCs w:val="17"/>
          <w:color w:val="auto"/>
        </w:rPr>
        <w:t>This Registration Statement on Form S-8 is being filed by the Company for the purpose of registering additional securities of the same class as other securities for which a Registration Statement on Form S-8 has previously been filed and is effective. Accordingly, this Registration Statement incorporates by reference the contents of the Registration Statement on Form S-8 listed in the table below filed with the SEC:</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Filing Date</w:t>
            </w:r>
          </w:p>
        </w:tc>
        <w:tc>
          <w:tcPr>
            <w:tcW w:w="3220" w:type="dxa"/>
            <w:vAlign w:val="bottom"/>
            <w:gridSpan w:val="7"/>
            <w:vMerge w:val="restart"/>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SEC File Number</w:t>
            </w:r>
          </w:p>
        </w:tc>
        <w:tc>
          <w:tcPr>
            <w:tcW w:w="3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17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Additional Shares Registered</w:t>
            </w:r>
          </w:p>
        </w:tc>
        <w:tc>
          <w:tcPr>
            <w:tcW w:w="0" w:type="dxa"/>
            <w:vAlign w:val="bottom"/>
          </w:tcPr>
          <w:p>
            <w:pPr>
              <w:spacing w:after="0"/>
              <w:rPr>
                <w:sz w:val="1"/>
                <w:szCs w:val="1"/>
                <w:color w:val="auto"/>
              </w:rPr>
            </w:pPr>
          </w:p>
        </w:tc>
      </w:tr>
      <w:tr>
        <w:trPr>
          <w:trHeight w:val="142"/>
        </w:trPr>
        <w:tc>
          <w:tcPr>
            <w:tcW w:w="660" w:type="dxa"/>
            <w:vAlign w:val="bottom"/>
            <w:tcBorders>
              <w:bottom w:val="single" w:sz="8" w:color="auto"/>
            </w:tcBorders>
            <w:vMerge w:val="continue"/>
          </w:tcPr>
          <w:p>
            <w:pPr>
              <w:spacing w:after="0"/>
              <w:rPr>
                <w:sz w:val="12"/>
                <w:szCs w:val="12"/>
                <w:color w:val="auto"/>
              </w:rPr>
            </w:pPr>
          </w:p>
        </w:tc>
        <w:tc>
          <w:tcPr>
            <w:tcW w:w="3220" w:type="dxa"/>
            <w:vAlign w:val="bottom"/>
            <w:gridSpan w:val="7"/>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980" w:type="dxa"/>
            <w:vAlign w:val="bottom"/>
            <w:tcBorders>
              <w:top w:val="single" w:sz="8" w:color="auto"/>
            </w:tcBorders>
            <w:gridSpan w:val="2"/>
          </w:tcPr>
          <w:p>
            <w:pPr>
              <w:jc w:val="right"/>
              <w:ind w:right="280"/>
              <w:spacing w:after="0" w:line="123" w:lineRule="exact"/>
              <w:rPr>
                <w:sz w:val="20"/>
                <w:szCs w:val="20"/>
                <w:color w:val="auto"/>
              </w:rPr>
            </w:pPr>
            <w:r>
              <w:rPr>
                <w:rFonts w:ascii="Times New Roman" w:cs="Times New Roman" w:eastAsia="Times New Roman" w:hAnsi="Times New Roman"/>
                <w:sz w:val="14"/>
                <w:szCs w:val="14"/>
                <w:b w:val="1"/>
                <w:bCs w:val="1"/>
                <w:color w:val="auto"/>
              </w:rPr>
              <w:t>2014 Plan</w:t>
            </w:r>
          </w:p>
        </w:tc>
        <w:tc>
          <w:tcPr>
            <w:tcW w:w="760" w:type="dxa"/>
            <w:vAlign w:val="bottom"/>
            <w:tcBorders>
              <w:top w:val="single" w:sz="8" w:color="auto"/>
            </w:tcBorders>
          </w:tcPr>
          <w:p>
            <w:pPr>
              <w:ind w:left="220"/>
              <w:spacing w:after="0" w:line="123" w:lineRule="exact"/>
              <w:rPr>
                <w:sz w:val="20"/>
                <w:szCs w:val="20"/>
                <w:color w:val="auto"/>
              </w:rPr>
            </w:pPr>
            <w:r>
              <w:rPr>
                <w:rFonts w:ascii="Times New Roman" w:cs="Times New Roman" w:eastAsia="Times New Roman" w:hAnsi="Times New Roman"/>
                <w:sz w:val="14"/>
                <w:szCs w:val="14"/>
                <w:b w:val="1"/>
                <w:bCs w:val="1"/>
                <w:color w:val="auto"/>
              </w:rPr>
              <w:t>ESPP</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100" w:type="dxa"/>
            <w:vAlign w:val="bottom"/>
            <w:tcBorders>
              <w:top w:val="single" w:sz="8" w:color="CCEEFF"/>
              <w:bottom w:val="single" w:sz="8" w:color="0000EE"/>
            </w:tcBorders>
            <w:gridSpan w:val="4"/>
            <w:shd w:val="clear" w:color="auto" w:fill="CCEEFF"/>
          </w:tcPr>
          <w:p>
            <w:pPr>
              <w:spacing w:after="0" w:line="129" w:lineRule="exact"/>
              <w:rPr>
                <w:rFonts w:ascii="Times New Roman" w:cs="Times New Roman" w:eastAsia="Times New Roman" w:hAnsi="Times New Roman"/>
                <w:sz w:val="14"/>
                <w:szCs w:val="14"/>
                <w:color w:val="0000EE"/>
              </w:rPr>
            </w:pPr>
            <w:hyperlink r:id="rId18">
              <w:r>
                <w:rPr>
                  <w:rFonts w:ascii="Times New Roman" w:cs="Times New Roman" w:eastAsia="Times New Roman" w:hAnsi="Times New Roman"/>
                  <w:sz w:val="14"/>
                  <w:szCs w:val="14"/>
                  <w:color w:val="0000EE"/>
                </w:rPr>
                <w:t>March 11, 2015</w:t>
              </w:r>
            </w:hyperlink>
          </w:p>
        </w:tc>
        <w:tc>
          <w:tcPr>
            <w:tcW w:w="278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1060" w:type="dxa"/>
            <w:vAlign w:val="bottom"/>
            <w:tcBorders>
              <w:top w:val="single" w:sz="8" w:color="auto"/>
              <w:bottom w:val="single" w:sz="8" w:color="CCEEFF"/>
            </w:tcBorders>
            <w:shd w:val="clear" w:color="auto" w:fill="CCEEFF"/>
          </w:tcPr>
          <w:p>
            <w:pPr>
              <w:jc w:val="center"/>
              <w:spacing w:after="0" w:line="136" w:lineRule="exact"/>
              <w:rPr>
                <w:sz w:val="20"/>
                <w:szCs w:val="20"/>
                <w:color w:val="auto"/>
              </w:rPr>
            </w:pPr>
            <w:r>
              <w:rPr>
                <w:rFonts w:ascii="Times New Roman" w:cs="Times New Roman" w:eastAsia="Times New Roman" w:hAnsi="Times New Roman"/>
                <w:sz w:val="15"/>
                <w:szCs w:val="15"/>
                <w:color w:val="auto"/>
              </w:rPr>
              <w:t>333-202663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640" w:type="dxa"/>
            <w:vAlign w:val="bottom"/>
            <w:tcBorders>
              <w:top w:val="single" w:sz="8" w:color="auto"/>
              <w:bottom w:val="single" w:sz="8" w:color="CCEEFF"/>
            </w:tcBorders>
            <w:shd w:val="clear" w:color="auto" w:fill="CCEEFF"/>
          </w:tcPr>
          <w:p>
            <w:pPr>
              <w:jc w:val="center"/>
              <w:spacing w:after="0" w:line="136" w:lineRule="exact"/>
              <w:rPr>
                <w:sz w:val="20"/>
                <w:szCs w:val="20"/>
                <w:color w:val="auto"/>
              </w:rPr>
            </w:pPr>
            <w:r>
              <w:rPr>
                <w:rFonts w:ascii="Times New Roman" w:cs="Times New Roman" w:eastAsia="Times New Roman" w:hAnsi="Times New Roman"/>
                <w:sz w:val="15"/>
                <w:szCs w:val="15"/>
                <w:color w:val="auto"/>
              </w:rPr>
              <w:t>“Mar. 2015 Registration Statement”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5"/>
                <w:szCs w:val="15"/>
                <w:color w:val="auto"/>
              </w:rPr>
              <w:t>743,569</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5"/>
                <w:szCs w:val="15"/>
                <w:color w:val="auto"/>
              </w:rPr>
              <w:t>185,892</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100" w:type="dxa"/>
            <w:vAlign w:val="bottom"/>
            <w:tcBorders>
              <w:bottom w:val="single" w:sz="8" w:color="0000EE"/>
            </w:tcBorders>
            <w:gridSpan w:val="4"/>
          </w:tcPr>
          <w:p>
            <w:pPr>
              <w:spacing w:after="0" w:line="168" w:lineRule="exact"/>
              <w:rPr>
                <w:rFonts w:ascii="Times New Roman" w:cs="Times New Roman" w:eastAsia="Times New Roman" w:hAnsi="Times New Roman"/>
                <w:sz w:val="17"/>
                <w:szCs w:val="17"/>
                <w:color w:val="0000EE"/>
                <w:w w:val="99"/>
              </w:rPr>
            </w:pPr>
            <w:hyperlink r:id="rId19">
              <w:r>
                <w:rPr>
                  <w:rFonts w:ascii="Times New Roman" w:cs="Times New Roman" w:eastAsia="Times New Roman" w:hAnsi="Times New Roman"/>
                  <w:sz w:val="17"/>
                  <w:szCs w:val="17"/>
                  <w:color w:val="0000EE"/>
                  <w:w w:val="99"/>
                </w:rPr>
                <w:t>March 10, 2016</w:t>
              </w:r>
            </w:hyperlink>
          </w:p>
        </w:tc>
        <w:tc>
          <w:tcPr>
            <w:tcW w:w="2780" w:type="dxa"/>
            <w:vAlign w:val="bottom"/>
            <w:gridSpan w:val="4"/>
          </w:tcPr>
          <w:p>
            <w:pPr>
              <w:spacing w:after="0"/>
              <w:rPr>
                <w:sz w:val="15"/>
                <w:szCs w:val="15"/>
                <w:color w:val="auto"/>
              </w:rPr>
            </w:pPr>
          </w:p>
        </w:tc>
        <w:tc>
          <w:tcPr>
            <w:tcW w:w="106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333-210079</w:t>
            </w:r>
          </w:p>
        </w:tc>
        <w:tc>
          <w:tcPr>
            <w:tcW w:w="100" w:type="dxa"/>
            <w:vAlign w:val="bottom"/>
          </w:tcPr>
          <w:p>
            <w:pPr>
              <w:spacing w:after="0"/>
              <w:rPr>
                <w:sz w:val="15"/>
                <w:szCs w:val="15"/>
                <w:color w:val="auto"/>
              </w:rPr>
            </w:pPr>
          </w:p>
        </w:tc>
        <w:tc>
          <w:tcPr>
            <w:tcW w:w="3740" w:type="dxa"/>
            <w:vAlign w:val="bottom"/>
            <w:gridSpan w:val="2"/>
          </w:tcPr>
          <w:p>
            <w:pPr>
              <w:jc w:val="center"/>
              <w:ind w:right="100"/>
              <w:spacing w:after="0" w:line="168" w:lineRule="exact"/>
              <w:rPr>
                <w:sz w:val="20"/>
                <w:szCs w:val="20"/>
                <w:color w:val="auto"/>
              </w:rPr>
            </w:pPr>
            <w:r>
              <w:rPr>
                <w:rFonts w:ascii="Times New Roman" w:cs="Times New Roman" w:eastAsia="Times New Roman" w:hAnsi="Times New Roman"/>
                <w:sz w:val="17"/>
                <w:szCs w:val="17"/>
                <w:color w:val="auto"/>
              </w:rPr>
              <w:t>“Mar. 2016 Registration Statement”</w:t>
            </w:r>
          </w:p>
        </w:tc>
        <w:tc>
          <w:tcPr>
            <w:tcW w:w="980" w:type="dxa"/>
            <w:vAlign w:val="bottom"/>
            <w:gridSpan w:val="2"/>
          </w:tcPr>
          <w:p>
            <w:pPr>
              <w:jc w:val="right"/>
              <w:ind w:right="160"/>
              <w:spacing w:after="0" w:line="168" w:lineRule="exact"/>
              <w:rPr>
                <w:sz w:val="20"/>
                <w:szCs w:val="20"/>
                <w:color w:val="auto"/>
              </w:rPr>
            </w:pPr>
            <w:r>
              <w:rPr>
                <w:rFonts w:ascii="Times New Roman" w:cs="Times New Roman" w:eastAsia="Times New Roman" w:hAnsi="Times New Roman"/>
                <w:sz w:val="17"/>
                <w:szCs w:val="17"/>
                <w:color w:val="auto"/>
              </w:rPr>
              <w:t>1,038,595</w:t>
            </w:r>
          </w:p>
        </w:tc>
        <w:tc>
          <w:tcPr>
            <w:tcW w:w="800" w:type="dxa"/>
            <w:vAlign w:val="bottom"/>
            <w:gridSpan w:val="2"/>
          </w:tcPr>
          <w:p>
            <w:pPr>
              <w:ind w:left="500"/>
              <w:spacing w:after="0" w:line="168" w:lineRule="exact"/>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197"/>
        </w:trPr>
        <w:tc>
          <w:tcPr>
            <w:tcW w:w="1280" w:type="dxa"/>
            <w:vAlign w:val="bottom"/>
            <w:tcBorders>
              <w:bottom w:val="single" w:sz="8" w:color="0000EE"/>
            </w:tcBorders>
            <w:gridSpan w:val="5"/>
            <w:shd w:val="clear" w:color="auto" w:fill="CCEEFF"/>
          </w:tcPr>
          <w:p>
            <w:pPr>
              <w:spacing w:after="0" w:line="178" w:lineRule="exact"/>
              <w:rPr>
                <w:rFonts w:ascii="Times New Roman" w:cs="Times New Roman" w:eastAsia="Times New Roman" w:hAnsi="Times New Roman"/>
                <w:sz w:val="17"/>
                <w:szCs w:val="17"/>
                <w:color w:val="0000EE"/>
              </w:rPr>
            </w:pPr>
            <w:hyperlink r:id="rId20">
              <w:r>
                <w:rPr>
                  <w:rFonts w:ascii="Times New Roman" w:cs="Times New Roman" w:eastAsia="Times New Roman" w:hAnsi="Times New Roman"/>
                  <w:sz w:val="17"/>
                  <w:szCs w:val="17"/>
                  <w:color w:val="0000EE"/>
                </w:rPr>
                <w:t>February 21, 2017</w:t>
              </w:r>
            </w:hyperlink>
          </w:p>
        </w:tc>
        <w:tc>
          <w:tcPr>
            <w:tcW w:w="2600" w:type="dxa"/>
            <w:vAlign w:val="bottom"/>
            <w:tcBorders>
              <w:bottom w:val="single" w:sz="8" w:color="CCEEFF"/>
            </w:tcBorders>
            <w:gridSpan w:val="3"/>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center"/>
              <w:spacing w:after="0" w:line="178" w:lineRule="exact"/>
              <w:rPr>
                <w:sz w:val="20"/>
                <w:szCs w:val="20"/>
                <w:color w:val="auto"/>
              </w:rPr>
            </w:pPr>
            <w:r>
              <w:rPr>
                <w:rFonts w:ascii="Times New Roman" w:cs="Times New Roman" w:eastAsia="Times New Roman" w:hAnsi="Times New Roman"/>
                <w:sz w:val="17"/>
                <w:szCs w:val="17"/>
                <w:color w:val="auto"/>
              </w:rPr>
              <w:t>333-216154</w:t>
            </w:r>
          </w:p>
        </w:tc>
        <w:tc>
          <w:tcPr>
            <w:tcW w:w="100" w:type="dxa"/>
            <w:vAlign w:val="bottom"/>
            <w:tcBorders>
              <w:bottom w:val="single" w:sz="8" w:color="CCEEFF"/>
            </w:tcBorders>
            <w:shd w:val="clear" w:color="auto" w:fill="CCEEFF"/>
          </w:tcPr>
          <w:p>
            <w:pPr>
              <w:spacing w:after="0"/>
              <w:rPr>
                <w:sz w:val="17"/>
                <w:szCs w:val="17"/>
                <w:color w:val="auto"/>
              </w:rPr>
            </w:pPr>
          </w:p>
        </w:tc>
        <w:tc>
          <w:tcPr>
            <w:tcW w:w="3740" w:type="dxa"/>
            <w:vAlign w:val="bottom"/>
            <w:tcBorders>
              <w:bottom w:val="single" w:sz="8" w:color="CCEEFF"/>
            </w:tcBorders>
            <w:gridSpan w:val="2"/>
            <w:shd w:val="clear" w:color="auto" w:fill="CCEEFF"/>
          </w:tcPr>
          <w:p>
            <w:pPr>
              <w:jc w:val="center"/>
              <w:ind w:right="120"/>
              <w:spacing w:after="0" w:line="178" w:lineRule="exact"/>
              <w:rPr>
                <w:sz w:val="20"/>
                <w:szCs w:val="20"/>
                <w:color w:val="auto"/>
              </w:rPr>
            </w:pPr>
            <w:r>
              <w:rPr>
                <w:rFonts w:ascii="Times New Roman" w:cs="Times New Roman" w:eastAsia="Times New Roman" w:hAnsi="Times New Roman"/>
                <w:sz w:val="17"/>
                <w:szCs w:val="17"/>
                <w:color w:val="auto"/>
              </w:rPr>
              <w:t>“Feb. 2017 Registration Statement”</w:t>
            </w:r>
          </w:p>
        </w:tc>
        <w:tc>
          <w:tcPr>
            <w:tcW w:w="980" w:type="dxa"/>
            <w:vAlign w:val="bottom"/>
            <w:tcBorders>
              <w:bottom w:val="single" w:sz="8" w:color="CCEEFF"/>
            </w:tcBorders>
            <w:gridSpan w:val="2"/>
            <w:shd w:val="clear" w:color="auto" w:fill="CCEEFF"/>
          </w:tcPr>
          <w:p>
            <w:pPr>
              <w:jc w:val="right"/>
              <w:ind w:right="160"/>
              <w:spacing w:after="0" w:line="178" w:lineRule="exact"/>
              <w:rPr>
                <w:sz w:val="20"/>
                <w:szCs w:val="20"/>
                <w:color w:val="auto"/>
              </w:rPr>
            </w:pPr>
            <w:r>
              <w:rPr>
                <w:rFonts w:ascii="Times New Roman" w:cs="Times New Roman" w:eastAsia="Times New Roman" w:hAnsi="Times New Roman"/>
                <w:sz w:val="17"/>
                <w:szCs w:val="17"/>
                <w:color w:val="auto"/>
              </w:rPr>
              <w:t>1,892,376</w:t>
            </w:r>
          </w:p>
        </w:tc>
        <w:tc>
          <w:tcPr>
            <w:tcW w:w="800" w:type="dxa"/>
            <w:vAlign w:val="bottom"/>
            <w:tcBorders>
              <w:bottom w:val="single" w:sz="8" w:color="CCEEFF"/>
            </w:tcBorders>
            <w:gridSpan w:val="2"/>
            <w:shd w:val="clear" w:color="auto" w:fill="CCEEFF"/>
          </w:tcPr>
          <w:p>
            <w:pPr>
              <w:ind w:left="500"/>
              <w:spacing w:after="0" w:line="178" w:lineRule="exact"/>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178"/>
        </w:trPr>
        <w:tc>
          <w:tcPr>
            <w:tcW w:w="1100" w:type="dxa"/>
            <w:vAlign w:val="bottom"/>
            <w:tcBorders>
              <w:bottom w:val="single" w:sz="8" w:color="0000EE"/>
            </w:tcBorders>
            <w:gridSpan w:val="4"/>
          </w:tcPr>
          <w:p>
            <w:pPr>
              <w:spacing w:after="0" w:line="168" w:lineRule="exact"/>
              <w:rPr>
                <w:rFonts w:ascii="Times New Roman" w:cs="Times New Roman" w:eastAsia="Times New Roman" w:hAnsi="Times New Roman"/>
                <w:sz w:val="17"/>
                <w:szCs w:val="17"/>
                <w:color w:val="0000EE"/>
                <w:w w:val="99"/>
              </w:rPr>
            </w:pPr>
            <w:hyperlink r:id="rId21">
              <w:r>
                <w:rPr>
                  <w:rFonts w:ascii="Times New Roman" w:cs="Times New Roman" w:eastAsia="Times New Roman" w:hAnsi="Times New Roman"/>
                  <w:sz w:val="17"/>
                  <w:szCs w:val="17"/>
                  <w:color w:val="0000EE"/>
                  <w:w w:val="99"/>
                </w:rPr>
                <w:t>March 16, 2018</w:t>
              </w:r>
            </w:hyperlink>
          </w:p>
        </w:tc>
        <w:tc>
          <w:tcPr>
            <w:tcW w:w="2780" w:type="dxa"/>
            <w:vAlign w:val="bottom"/>
            <w:gridSpan w:val="4"/>
          </w:tcPr>
          <w:p>
            <w:pPr>
              <w:spacing w:after="0"/>
              <w:rPr>
                <w:sz w:val="15"/>
                <w:szCs w:val="15"/>
                <w:color w:val="auto"/>
              </w:rPr>
            </w:pPr>
          </w:p>
        </w:tc>
        <w:tc>
          <w:tcPr>
            <w:tcW w:w="106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333-223694</w:t>
            </w:r>
          </w:p>
        </w:tc>
        <w:tc>
          <w:tcPr>
            <w:tcW w:w="100" w:type="dxa"/>
            <w:vAlign w:val="bottom"/>
          </w:tcPr>
          <w:p>
            <w:pPr>
              <w:spacing w:after="0"/>
              <w:rPr>
                <w:sz w:val="15"/>
                <w:szCs w:val="15"/>
                <w:color w:val="auto"/>
              </w:rPr>
            </w:pPr>
          </w:p>
        </w:tc>
        <w:tc>
          <w:tcPr>
            <w:tcW w:w="3740" w:type="dxa"/>
            <w:vAlign w:val="bottom"/>
            <w:gridSpan w:val="2"/>
          </w:tcPr>
          <w:p>
            <w:pPr>
              <w:jc w:val="center"/>
              <w:ind w:right="100"/>
              <w:spacing w:after="0" w:line="168" w:lineRule="exact"/>
              <w:rPr>
                <w:sz w:val="20"/>
                <w:szCs w:val="20"/>
                <w:color w:val="auto"/>
              </w:rPr>
            </w:pPr>
            <w:r>
              <w:rPr>
                <w:rFonts w:ascii="Times New Roman" w:cs="Times New Roman" w:eastAsia="Times New Roman" w:hAnsi="Times New Roman"/>
                <w:sz w:val="17"/>
                <w:szCs w:val="17"/>
                <w:color w:val="auto"/>
              </w:rPr>
              <w:t>“Mar. 2018 Registration Statement”</w:t>
            </w:r>
          </w:p>
        </w:tc>
        <w:tc>
          <w:tcPr>
            <w:tcW w:w="980" w:type="dxa"/>
            <w:vAlign w:val="bottom"/>
            <w:gridSpan w:val="2"/>
          </w:tcPr>
          <w:p>
            <w:pPr>
              <w:jc w:val="right"/>
              <w:ind w:right="160"/>
              <w:spacing w:after="0" w:line="168" w:lineRule="exact"/>
              <w:rPr>
                <w:sz w:val="20"/>
                <w:szCs w:val="20"/>
                <w:color w:val="auto"/>
              </w:rPr>
            </w:pPr>
            <w:r>
              <w:rPr>
                <w:rFonts w:ascii="Times New Roman" w:cs="Times New Roman" w:eastAsia="Times New Roman" w:hAnsi="Times New Roman"/>
                <w:sz w:val="17"/>
                <w:szCs w:val="17"/>
                <w:color w:val="auto"/>
              </w:rPr>
              <w:t>1,901,339</w:t>
            </w:r>
          </w:p>
        </w:tc>
        <w:tc>
          <w:tcPr>
            <w:tcW w:w="800" w:type="dxa"/>
            <w:vAlign w:val="bottom"/>
            <w:gridSpan w:val="2"/>
          </w:tcPr>
          <w:p>
            <w:pPr>
              <w:ind w:left="500"/>
              <w:spacing w:after="0" w:line="168" w:lineRule="exact"/>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197"/>
        </w:trPr>
        <w:tc>
          <w:tcPr>
            <w:tcW w:w="1060" w:type="dxa"/>
            <w:vAlign w:val="bottom"/>
            <w:tcBorders>
              <w:bottom w:val="single" w:sz="8" w:color="0000EE"/>
            </w:tcBorders>
            <w:gridSpan w:val="3"/>
            <w:shd w:val="clear" w:color="auto" w:fill="CCEEFF"/>
          </w:tcPr>
          <w:p>
            <w:pPr>
              <w:spacing w:after="0" w:line="178" w:lineRule="exact"/>
              <w:rPr>
                <w:rFonts w:ascii="Times New Roman" w:cs="Times New Roman" w:eastAsia="Times New Roman" w:hAnsi="Times New Roman"/>
                <w:sz w:val="17"/>
                <w:szCs w:val="17"/>
                <w:color w:val="0000EE"/>
              </w:rPr>
            </w:pPr>
            <w:hyperlink r:id="rId22">
              <w:r>
                <w:rPr>
                  <w:rFonts w:ascii="Times New Roman" w:cs="Times New Roman" w:eastAsia="Times New Roman" w:hAnsi="Times New Roman"/>
                  <w:sz w:val="17"/>
                  <w:szCs w:val="17"/>
                  <w:color w:val="0000EE"/>
                </w:rPr>
                <w:t>March 8, 2019</w:t>
              </w:r>
            </w:hyperlink>
          </w:p>
        </w:tc>
        <w:tc>
          <w:tcPr>
            <w:tcW w:w="2820" w:type="dxa"/>
            <w:vAlign w:val="bottom"/>
            <w:tcBorders>
              <w:bottom w:val="single" w:sz="8" w:color="CCEEFF"/>
            </w:tcBorders>
            <w:gridSpan w:val="5"/>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center"/>
              <w:spacing w:after="0" w:line="178" w:lineRule="exact"/>
              <w:rPr>
                <w:sz w:val="20"/>
                <w:szCs w:val="20"/>
                <w:color w:val="auto"/>
              </w:rPr>
            </w:pPr>
            <w:r>
              <w:rPr>
                <w:rFonts w:ascii="Times New Roman" w:cs="Times New Roman" w:eastAsia="Times New Roman" w:hAnsi="Times New Roman"/>
                <w:sz w:val="17"/>
                <w:szCs w:val="17"/>
                <w:color w:val="auto"/>
              </w:rPr>
              <w:t>333-230156</w:t>
            </w:r>
          </w:p>
        </w:tc>
        <w:tc>
          <w:tcPr>
            <w:tcW w:w="100" w:type="dxa"/>
            <w:vAlign w:val="bottom"/>
            <w:tcBorders>
              <w:bottom w:val="single" w:sz="8" w:color="CCEEFF"/>
            </w:tcBorders>
            <w:shd w:val="clear" w:color="auto" w:fill="CCEEFF"/>
          </w:tcPr>
          <w:p>
            <w:pPr>
              <w:spacing w:after="0"/>
              <w:rPr>
                <w:sz w:val="17"/>
                <w:szCs w:val="17"/>
                <w:color w:val="auto"/>
              </w:rPr>
            </w:pPr>
          </w:p>
        </w:tc>
        <w:tc>
          <w:tcPr>
            <w:tcW w:w="3740" w:type="dxa"/>
            <w:vAlign w:val="bottom"/>
            <w:tcBorders>
              <w:bottom w:val="single" w:sz="8" w:color="CCEEFF"/>
            </w:tcBorders>
            <w:gridSpan w:val="2"/>
            <w:shd w:val="clear" w:color="auto" w:fill="CCEEFF"/>
          </w:tcPr>
          <w:p>
            <w:pPr>
              <w:jc w:val="center"/>
              <w:ind w:right="100"/>
              <w:spacing w:after="0" w:line="178" w:lineRule="exact"/>
              <w:rPr>
                <w:sz w:val="20"/>
                <w:szCs w:val="20"/>
                <w:color w:val="auto"/>
              </w:rPr>
            </w:pPr>
            <w:r>
              <w:rPr>
                <w:rFonts w:ascii="Times New Roman" w:cs="Times New Roman" w:eastAsia="Times New Roman" w:hAnsi="Times New Roman"/>
                <w:sz w:val="17"/>
                <w:szCs w:val="17"/>
                <w:color w:val="auto"/>
              </w:rPr>
              <w:t>“Mar. 2019 Registration Statement”</w:t>
            </w:r>
          </w:p>
        </w:tc>
        <w:tc>
          <w:tcPr>
            <w:tcW w:w="980" w:type="dxa"/>
            <w:vAlign w:val="bottom"/>
            <w:tcBorders>
              <w:bottom w:val="single" w:sz="8" w:color="CCEEFF"/>
            </w:tcBorders>
            <w:gridSpan w:val="2"/>
            <w:shd w:val="clear" w:color="auto" w:fill="CCEEFF"/>
          </w:tcPr>
          <w:p>
            <w:pPr>
              <w:jc w:val="right"/>
              <w:ind w:right="160"/>
              <w:spacing w:after="0" w:line="178" w:lineRule="exact"/>
              <w:rPr>
                <w:sz w:val="20"/>
                <w:szCs w:val="20"/>
                <w:color w:val="auto"/>
              </w:rPr>
            </w:pPr>
            <w:r>
              <w:rPr>
                <w:rFonts w:ascii="Times New Roman" w:cs="Times New Roman" w:eastAsia="Times New Roman" w:hAnsi="Times New Roman"/>
                <w:sz w:val="17"/>
                <w:szCs w:val="17"/>
                <w:color w:val="auto"/>
              </w:rPr>
              <w:t>2,490,417</w:t>
            </w:r>
          </w:p>
        </w:tc>
        <w:tc>
          <w:tcPr>
            <w:tcW w:w="800" w:type="dxa"/>
            <w:vAlign w:val="bottom"/>
            <w:tcBorders>
              <w:bottom w:val="single" w:sz="8" w:color="CCEEFF"/>
            </w:tcBorders>
            <w:gridSpan w:val="2"/>
            <w:shd w:val="clear" w:color="auto" w:fill="CCEEFF"/>
          </w:tcPr>
          <w:p>
            <w:pPr>
              <w:jc w:val="right"/>
              <w:ind w:right="40"/>
              <w:spacing w:after="0" w:line="178" w:lineRule="exact"/>
              <w:rPr>
                <w:sz w:val="20"/>
                <w:szCs w:val="20"/>
                <w:color w:val="auto"/>
              </w:rPr>
            </w:pPr>
            <w:r>
              <w:rPr>
                <w:rFonts w:ascii="Times New Roman" w:cs="Times New Roman" w:eastAsia="Times New Roman" w:hAnsi="Times New Roman"/>
                <w:sz w:val="17"/>
                <w:szCs w:val="17"/>
                <w:color w:val="auto"/>
              </w:rPr>
              <w:t>622,604</w:t>
            </w:r>
          </w:p>
        </w:tc>
        <w:tc>
          <w:tcPr>
            <w:tcW w:w="0" w:type="dxa"/>
            <w:vAlign w:val="bottom"/>
          </w:tcPr>
          <w:p>
            <w:pPr>
              <w:spacing w:after="0"/>
              <w:rPr>
                <w:sz w:val="1"/>
                <w:szCs w:val="1"/>
                <w:color w:val="auto"/>
              </w:rPr>
            </w:pPr>
          </w:p>
        </w:tc>
      </w:tr>
      <w:tr>
        <w:trPr>
          <w:trHeight w:val="178"/>
        </w:trPr>
        <w:tc>
          <w:tcPr>
            <w:tcW w:w="1100" w:type="dxa"/>
            <w:vAlign w:val="bottom"/>
            <w:tcBorders>
              <w:bottom w:val="single" w:sz="8" w:color="0000EE"/>
            </w:tcBorders>
            <w:gridSpan w:val="4"/>
          </w:tcPr>
          <w:p>
            <w:pPr>
              <w:spacing w:after="0" w:line="168" w:lineRule="exact"/>
              <w:rPr>
                <w:rFonts w:ascii="Times New Roman" w:cs="Times New Roman" w:eastAsia="Times New Roman" w:hAnsi="Times New Roman"/>
                <w:sz w:val="17"/>
                <w:szCs w:val="17"/>
                <w:color w:val="0000EE"/>
                <w:w w:val="99"/>
              </w:rPr>
            </w:pPr>
            <w:hyperlink r:id="rId23">
              <w:r>
                <w:rPr>
                  <w:rFonts w:ascii="Times New Roman" w:cs="Times New Roman" w:eastAsia="Times New Roman" w:hAnsi="Times New Roman"/>
                  <w:sz w:val="17"/>
                  <w:szCs w:val="17"/>
                  <w:color w:val="0000EE"/>
                  <w:w w:val="99"/>
                </w:rPr>
                <w:t>March 10, 2020</w:t>
              </w:r>
            </w:hyperlink>
          </w:p>
        </w:tc>
        <w:tc>
          <w:tcPr>
            <w:tcW w:w="2780" w:type="dxa"/>
            <w:vAlign w:val="bottom"/>
            <w:gridSpan w:val="4"/>
          </w:tcPr>
          <w:p>
            <w:pPr>
              <w:spacing w:after="0"/>
              <w:rPr>
                <w:sz w:val="15"/>
                <w:szCs w:val="15"/>
                <w:color w:val="auto"/>
              </w:rPr>
            </w:pPr>
          </w:p>
        </w:tc>
        <w:tc>
          <w:tcPr>
            <w:tcW w:w="106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333-237057</w:t>
            </w:r>
          </w:p>
        </w:tc>
        <w:tc>
          <w:tcPr>
            <w:tcW w:w="100" w:type="dxa"/>
            <w:vAlign w:val="bottom"/>
          </w:tcPr>
          <w:p>
            <w:pPr>
              <w:spacing w:after="0"/>
              <w:rPr>
                <w:sz w:val="15"/>
                <w:szCs w:val="15"/>
                <w:color w:val="auto"/>
              </w:rPr>
            </w:pPr>
          </w:p>
        </w:tc>
        <w:tc>
          <w:tcPr>
            <w:tcW w:w="3740" w:type="dxa"/>
            <w:vAlign w:val="bottom"/>
            <w:gridSpan w:val="2"/>
          </w:tcPr>
          <w:p>
            <w:pPr>
              <w:jc w:val="center"/>
              <w:ind w:right="100"/>
              <w:spacing w:after="0" w:line="168" w:lineRule="exact"/>
              <w:rPr>
                <w:sz w:val="20"/>
                <w:szCs w:val="20"/>
                <w:color w:val="auto"/>
              </w:rPr>
            </w:pPr>
            <w:r>
              <w:rPr>
                <w:rFonts w:ascii="Times New Roman" w:cs="Times New Roman" w:eastAsia="Times New Roman" w:hAnsi="Times New Roman"/>
                <w:sz w:val="17"/>
                <w:szCs w:val="17"/>
                <w:color w:val="auto"/>
              </w:rPr>
              <w:t>“Mar. 2020 Registration Statement”</w:t>
            </w:r>
          </w:p>
        </w:tc>
        <w:tc>
          <w:tcPr>
            <w:tcW w:w="980" w:type="dxa"/>
            <w:vAlign w:val="bottom"/>
            <w:gridSpan w:val="2"/>
          </w:tcPr>
          <w:p>
            <w:pPr>
              <w:jc w:val="right"/>
              <w:ind w:right="160"/>
              <w:spacing w:after="0" w:line="168" w:lineRule="exact"/>
              <w:rPr>
                <w:sz w:val="20"/>
                <w:szCs w:val="20"/>
                <w:color w:val="auto"/>
              </w:rPr>
            </w:pPr>
            <w:r>
              <w:rPr>
                <w:rFonts w:ascii="Times New Roman" w:cs="Times New Roman" w:eastAsia="Times New Roman" w:hAnsi="Times New Roman"/>
                <w:sz w:val="17"/>
                <w:szCs w:val="17"/>
                <w:color w:val="auto"/>
              </w:rPr>
              <w:t>3,552,709</w:t>
            </w:r>
          </w:p>
        </w:tc>
        <w:tc>
          <w:tcPr>
            <w:tcW w:w="800" w:type="dxa"/>
            <w:vAlign w:val="bottom"/>
            <w:gridSpan w:val="2"/>
          </w:tcPr>
          <w:p>
            <w:pPr>
              <w:ind w:left="500"/>
              <w:spacing w:after="0" w:line="168" w:lineRule="exact"/>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197"/>
        </w:trPr>
        <w:tc>
          <w:tcPr>
            <w:tcW w:w="1100" w:type="dxa"/>
            <w:vAlign w:val="bottom"/>
            <w:tcBorders>
              <w:bottom w:val="single" w:sz="8" w:color="0000EE"/>
            </w:tcBorders>
            <w:gridSpan w:val="4"/>
            <w:shd w:val="clear" w:color="auto" w:fill="CCEEFF"/>
          </w:tcPr>
          <w:p>
            <w:pPr>
              <w:spacing w:after="0" w:line="178" w:lineRule="exact"/>
              <w:rPr>
                <w:rFonts w:ascii="Times New Roman" w:cs="Times New Roman" w:eastAsia="Times New Roman" w:hAnsi="Times New Roman"/>
                <w:sz w:val="17"/>
                <w:szCs w:val="17"/>
                <w:color w:val="0000EE"/>
                <w:w w:val="99"/>
              </w:rPr>
            </w:pPr>
            <w:hyperlink r:id="rId24">
              <w:r>
                <w:rPr>
                  <w:rFonts w:ascii="Times New Roman" w:cs="Times New Roman" w:eastAsia="Times New Roman" w:hAnsi="Times New Roman"/>
                  <w:sz w:val="17"/>
                  <w:szCs w:val="17"/>
                  <w:color w:val="0000EE"/>
                  <w:w w:val="99"/>
                </w:rPr>
                <w:t>March 12, 2021</w:t>
              </w:r>
            </w:hyperlink>
          </w:p>
        </w:tc>
        <w:tc>
          <w:tcPr>
            <w:tcW w:w="2780" w:type="dxa"/>
            <w:vAlign w:val="bottom"/>
            <w:tcBorders>
              <w:bottom w:val="single" w:sz="8" w:color="CCEEFF"/>
            </w:tcBorders>
            <w:gridSpan w:val="4"/>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center"/>
              <w:spacing w:after="0" w:line="178" w:lineRule="exact"/>
              <w:rPr>
                <w:sz w:val="20"/>
                <w:szCs w:val="20"/>
                <w:color w:val="auto"/>
              </w:rPr>
            </w:pPr>
            <w:r>
              <w:rPr>
                <w:rFonts w:ascii="Times New Roman" w:cs="Times New Roman" w:eastAsia="Times New Roman" w:hAnsi="Times New Roman"/>
                <w:sz w:val="17"/>
                <w:szCs w:val="17"/>
                <w:color w:val="auto"/>
              </w:rPr>
              <w:t>333-254187</w:t>
            </w:r>
          </w:p>
        </w:tc>
        <w:tc>
          <w:tcPr>
            <w:tcW w:w="100" w:type="dxa"/>
            <w:vAlign w:val="bottom"/>
            <w:tcBorders>
              <w:bottom w:val="single" w:sz="8" w:color="CCEEFF"/>
            </w:tcBorders>
            <w:shd w:val="clear" w:color="auto" w:fill="CCEEFF"/>
          </w:tcPr>
          <w:p>
            <w:pPr>
              <w:spacing w:after="0"/>
              <w:rPr>
                <w:sz w:val="17"/>
                <w:szCs w:val="17"/>
                <w:color w:val="auto"/>
              </w:rPr>
            </w:pPr>
          </w:p>
        </w:tc>
        <w:tc>
          <w:tcPr>
            <w:tcW w:w="3740" w:type="dxa"/>
            <w:vAlign w:val="bottom"/>
            <w:tcBorders>
              <w:bottom w:val="single" w:sz="8" w:color="CCEEFF"/>
            </w:tcBorders>
            <w:gridSpan w:val="2"/>
            <w:shd w:val="clear" w:color="auto" w:fill="CCEEFF"/>
          </w:tcPr>
          <w:p>
            <w:pPr>
              <w:jc w:val="center"/>
              <w:ind w:right="100"/>
              <w:spacing w:after="0" w:line="178" w:lineRule="exact"/>
              <w:rPr>
                <w:sz w:val="20"/>
                <w:szCs w:val="20"/>
                <w:color w:val="auto"/>
              </w:rPr>
            </w:pPr>
            <w:r>
              <w:rPr>
                <w:rFonts w:ascii="Times New Roman" w:cs="Times New Roman" w:eastAsia="Times New Roman" w:hAnsi="Times New Roman"/>
                <w:sz w:val="17"/>
                <w:szCs w:val="17"/>
                <w:color w:val="auto"/>
              </w:rPr>
              <w:t>“Mar. 2021 Registration Statement”</w:t>
            </w:r>
          </w:p>
        </w:tc>
        <w:tc>
          <w:tcPr>
            <w:tcW w:w="980" w:type="dxa"/>
            <w:vAlign w:val="bottom"/>
            <w:tcBorders>
              <w:bottom w:val="single" w:sz="8" w:color="CCEEFF"/>
            </w:tcBorders>
            <w:gridSpan w:val="2"/>
            <w:shd w:val="clear" w:color="auto" w:fill="CCEEFF"/>
          </w:tcPr>
          <w:p>
            <w:pPr>
              <w:jc w:val="right"/>
              <w:ind w:right="160"/>
              <w:spacing w:after="0" w:line="178" w:lineRule="exact"/>
              <w:rPr>
                <w:sz w:val="20"/>
                <w:szCs w:val="20"/>
                <w:color w:val="auto"/>
              </w:rPr>
            </w:pPr>
            <w:r>
              <w:rPr>
                <w:rFonts w:ascii="Times New Roman" w:cs="Times New Roman" w:eastAsia="Times New Roman" w:hAnsi="Times New Roman"/>
                <w:sz w:val="17"/>
                <w:szCs w:val="17"/>
                <w:color w:val="auto"/>
              </w:rPr>
              <w:t>3,743,999</w:t>
            </w:r>
          </w:p>
        </w:tc>
        <w:tc>
          <w:tcPr>
            <w:tcW w:w="800" w:type="dxa"/>
            <w:vAlign w:val="bottom"/>
            <w:tcBorders>
              <w:bottom w:val="single" w:sz="8" w:color="CCEEFF"/>
            </w:tcBorders>
            <w:gridSpan w:val="2"/>
            <w:shd w:val="clear" w:color="auto" w:fill="CCEEFF"/>
          </w:tcPr>
          <w:p>
            <w:pPr>
              <w:jc w:val="right"/>
              <w:ind w:right="40"/>
              <w:spacing w:after="0" w:line="178" w:lineRule="exact"/>
              <w:rPr>
                <w:sz w:val="20"/>
                <w:szCs w:val="20"/>
                <w:color w:val="auto"/>
              </w:rPr>
            </w:pPr>
            <w:r>
              <w:rPr>
                <w:rFonts w:ascii="Times New Roman" w:cs="Times New Roman" w:eastAsia="Times New Roman" w:hAnsi="Times New Roman"/>
                <w:sz w:val="17"/>
                <w:szCs w:val="17"/>
                <w:color w:val="auto"/>
              </w:rPr>
              <w:t>935,999</w:t>
            </w:r>
          </w:p>
        </w:tc>
        <w:tc>
          <w:tcPr>
            <w:tcW w:w="0" w:type="dxa"/>
            <w:vAlign w:val="bottom"/>
          </w:tcPr>
          <w:p>
            <w:pPr>
              <w:spacing w:after="0"/>
              <w:rPr>
                <w:sz w:val="1"/>
                <w:szCs w:val="1"/>
                <w:color w:val="auto"/>
              </w:rPr>
            </w:pPr>
          </w:p>
        </w:tc>
      </w:tr>
      <w:tr>
        <w:trPr>
          <w:trHeight w:val="178"/>
        </w:trPr>
        <w:tc>
          <w:tcPr>
            <w:tcW w:w="1020" w:type="dxa"/>
            <w:vAlign w:val="bottom"/>
            <w:tcBorders>
              <w:bottom w:val="single" w:sz="8" w:color="0000EE"/>
            </w:tcBorders>
            <w:gridSpan w:val="2"/>
          </w:tcPr>
          <w:p>
            <w:pPr>
              <w:spacing w:after="0" w:line="168" w:lineRule="exact"/>
              <w:rPr>
                <w:rFonts w:ascii="Times New Roman" w:cs="Times New Roman" w:eastAsia="Times New Roman" w:hAnsi="Times New Roman"/>
                <w:sz w:val="17"/>
                <w:szCs w:val="17"/>
                <w:color w:val="0000EE"/>
              </w:rPr>
            </w:pPr>
            <w:hyperlink r:id="rId25">
              <w:r>
                <w:rPr>
                  <w:rFonts w:ascii="Times New Roman" w:cs="Times New Roman" w:eastAsia="Times New Roman" w:hAnsi="Times New Roman"/>
                  <w:sz w:val="17"/>
                  <w:szCs w:val="17"/>
                  <w:color w:val="0000EE"/>
                </w:rPr>
                <w:t>March 1, 2022</w:t>
              </w:r>
            </w:hyperlink>
          </w:p>
        </w:tc>
        <w:tc>
          <w:tcPr>
            <w:tcW w:w="2860" w:type="dxa"/>
            <w:vAlign w:val="bottom"/>
            <w:gridSpan w:val="6"/>
          </w:tcPr>
          <w:p>
            <w:pPr>
              <w:spacing w:after="0"/>
              <w:rPr>
                <w:sz w:val="15"/>
                <w:szCs w:val="15"/>
                <w:color w:val="auto"/>
              </w:rPr>
            </w:pPr>
          </w:p>
        </w:tc>
        <w:tc>
          <w:tcPr>
            <w:tcW w:w="106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333-263145</w:t>
            </w:r>
          </w:p>
        </w:tc>
        <w:tc>
          <w:tcPr>
            <w:tcW w:w="100" w:type="dxa"/>
            <w:vAlign w:val="bottom"/>
          </w:tcPr>
          <w:p>
            <w:pPr>
              <w:spacing w:after="0"/>
              <w:rPr>
                <w:sz w:val="15"/>
                <w:szCs w:val="15"/>
                <w:color w:val="auto"/>
              </w:rPr>
            </w:pPr>
          </w:p>
        </w:tc>
        <w:tc>
          <w:tcPr>
            <w:tcW w:w="3740" w:type="dxa"/>
            <w:vAlign w:val="bottom"/>
            <w:gridSpan w:val="2"/>
          </w:tcPr>
          <w:p>
            <w:pPr>
              <w:jc w:val="center"/>
              <w:ind w:right="100"/>
              <w:spacing w:after="0" w:line="168" w:lineRule="exact"/>
              <w:rPr>
                <w:sz w:val="20"/>
                <w:szCs w:val="20"/>
                <w:color w:val="auto"/>
              </w:rPr>
            </w:pPr>
            <w:r>
              <w:rPr>
                <w:rFonts w:ascii="Times New Roman" w:cs="Times New Roman" w:eastAsia="Times New Roman" w:hAnsi="Times New Roman"/>
                <w:sz w:val="17"/>
                <w:szCs w:val="17"/>
                <w:color w:val="auto"/>
              </w:rPr>
              <w:t>“Mar. 2022 Registration Statement”</w:t>
            </w:r>
          </w:p>
        </w:tc>
        <w:tc>
          <w:tcPr>
            <w:tcW w:w="980" w:type="dxa"/>
            <w:vAlign w:val="bottom"/>
            <w:gridSpan w:val="2"/>
          </w:tcPr>
          <w:p>
            <w:pPr>
              <w:jc w:val="right"/>
              <w:ind w:right="160"/>
              <w:spacing w:after="0" w:line="168" w:lineRule="exact"/>
              <w:rPr>
                <w:sz w:val="20"/>
                <w:szCs w:val="20"/>
                <w:color w:val="auto"/>
              </w:rPr>
            </w:pPr>
            <w:r>
              <w:rPr>
                <w:rFonts w:ascii="Times New Roman" w:cs="Times New Roman" w:eastAsia="Times New Roman" w:hAnsi="Times New Roman"/>
                <w:sz w:val="17"/>
                <w:szCs w:val="17"/>
                <w:color w:val="auto"/>
              </w:rPr>
              <w:t>5,207,301</w:t>
            </w:r>
          </w:p>
        </w:tc>
        <w:tc>
          <w:tcPr>
            <w:tcW w:w="800" w:type="dxa"/>
            <w:vAlign w:val="bottom"/>
            <w:gridSpan w:val="2"/>
          </w:tcPr>
          <w:p>
            <w:pPr>
              <w:ind w:left="500"/>
              <w:spacing w:after="0" w:line="168" w:lineRule="exact"/>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197"/>
        </w:trPr>
        <w:tc>
          <w:tcPr>
            <w:tcW w:w="1060" w:type="dxa"/>
            <w:vAlign w:val="bottom"/>
            <w:tcBorders>
              <w:bottom w:val="single" w:sz="8" w:color="0000EE"/>
            </w:tcBorders>
            <w:gridSpan w:val="3"/>
            <w:shd w:val="clear" w:color="auto" w:fill="CCEEFF"/>
          </w:tcPr>
          <w:p>
            <w:pPr>
              <w:spacing w:after="0" w:line="178" w:lineRule="exact"/>
              <w:rPr>
                <w:rFonts w:ascii="Times New Roman" w:cs="Times New Roman" w:eastAsia="Times New Roman" w:hAnsi="Times New Roman"/>
                <w:sz w:val="17"/>
                <w:szCs w:val="17"/>
                <w:color w:val="0000EE"/>
              </w:rPr>
            </w:pPr>
            <w:hyperlink r:id="rId26">
              <w:r>
                <w:rPr>
                  <w:rFonts w:ascii="Times New Roman" w:cs="Times New Roman" w:eastAsia="Times New Roman" w:hAnsi="Times New Roman"/>
                  <w:sz w:val="17"/>
                  <w:szCs w:val="17"/>
                  <w:color w:val="0000EE"/>
                </w:rPr>
                <w:t>March 7, 2023</w:t>
              </w:r>
            </w:hyperlink>
          </w:p>
        </w:tc>
        <w:tc>
          <w:tcPr>
            <w:tcW w:w="2820" w:type="dxa"/>
            <w:vAlign w:val="bottom"/>
            <w:tcBorders>
              <w:bottom w:val="single" w:sz="8" w:color="CCEEFF"/>
            </w:tcBorders>
            <w:gridSpan w:val="5"/>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center"/>
              <w:spacing w:after="0" w:line="178" w:lineRule="exact"/>
              <w:rPr>
                <w:sz w:val="20"/>
                <w:szCs w:val="20"/>
                <w:color w:val="auto"/>
              </w:rPr>
            </w:pPr>
            <w:r>
              <w:rPr>
                <w:rFonts w:ascii="Times New Roman" w:cs="Times New Roman" w:eastAsia="Times New Roman" w:hAnsi="Times New Roman"/>
                <w:sz w:val="17"/>
                <w:szCs w:val="17"/>
                <w:color w:val="auto"/>
              </w:rPr>
              <w:t>333-270314</w:t>
            </w:r>
          </w:p>
        </w:tc>
        <w:tc>
          <w:tcPr>
            <w:tcW w:w="100" w:type="dxa"/>
            <w:vAlign w:val="bottom"/>
            <w:tcBorders>
              <w:bottom w:val="single" w:sz="8" w:color="CCEEFF"/>
            </w:tcBorders>
            <w:shd w:val="clear" w:color="auto" w:fill="CCEEFF"/>
          </w:tcPr>
          <w:p>
            <w:pPr>
              <w:spacing w:after="0"/>
              <w:rPr>
                <w:sz w:val="17"/>
                <w:szCs w:val="17"/>
                <w:color w:val="auto"/>
              </w:rPr>
            </w:pPr>
          </w:p>
        </w:tc>
        <w:tc>
          <w:tcPr>
            <w:tcW w:w="3740" w:type="dxa"/>
            <w:vAlign w:val="bottom"/>
            <w:tcBorders>
              <w:bottom w:val="single" w:sz="8" w:color="CCEEFF"/>
            </w:tcBorders>
            <w:gridSpan w:val="2"/>
            <w:shd w:val="clear" w:color="auto" w:fill="CCEEFF"/>
          </w:tcPr>
          <w:p>
            <w:pPr>
              <w:jc w:val="center"/>
              <w:ind w:right="100"/>
              <w:spacing w:after="0" w:line="178" w:lineRule="exact"/>
              <w:rPr>
                <w:sz w:val="20"/>
                <w:szCs w:val="20"/>
                <w:color w:val="auto"/>
              </w:rPr>
            </w:pPr>
            <w:r>
              <w:rPr>
                <w:rFonts w:ascii="Times New Roman" w:cs="Times New Roman" w:eastAsia="Times New Roman" w:hAnsi="Times New Roman"/>
                <w:sz w:val="17"/>
                <w:szCs w:val="17"/>
                <w:color w:val="auto"/>
              </w:rPr>
              <w:t>“Mar. 2023 Registration Statement”</w:t>
            </w:r>
          </w:p>
        </w:tc>
        <w:tc>
          <w:tcPr>
            <w:tcW w:w="980" w:type="dxa"/>
            <w:vAlign w:val="bottom"/>
            <w:tcBorders>
              <w:bottom w:val="single" w:sz="8" w:color="CCEEFF"/>
            </w:tcBorders>
            <w:gridSpan w:val="2"/>
            <w:shd w:val="clear" w:color="auto" w:fill="CCEEFF"/>
          </w:tcPr>
          <w:p>
            <w:pPr>
              <w:jc w:val="right"/>
              <w:ind w:right="160"/>
              <w:spacing w:after="0" w:line="178" w:lineRule="exact"/>
              <w:rPr>
                <w:sz w:val="20"/>
                <w:szCs w:val="20"/>
                <w:color w:val="auto"/>
              </w:rPr>
            </w:pPr>
            <w:r>
              <w:rPr>
                <w:rFonts w:ascii="Times New Roman" w:cs="Times New Roman" w:eastAsia="Times New Roman" w:hAnsi="Times New Roman"/>
                <w:sz w:val="17"/>
                <w:szCs w:val="17"/>
                <w:color w:val="auto"/>
              </w:rPr>
              <w:t>7,943,000</w:t>
            </w:r>
          </w:p>
        </w:tc>
        <w:tc>
          <w:tcPr>
            <w:tcW w:w="800" w:type="dxa"/>
            <w:vAlign w:val="bottom"/>
            <w:tcBorders>
              <w:bottom w:val="single" w:sz="8" w:color="CCEEFF"/>
            </w:tcBorders>
            <w:gridSpan w:val="2"/>
            <w:shd w:val="clear" w:color="auto" w:fill="CCEEFF"/>
          </w:tcPr>
          <w:p>
            <w:pPr>
              <w:jc w:val="right"/>
              <w:ind w:right="40"/>
              <w:spacing w:after="0" w:line="178" w:lineRule="exact"/>
              <w:rPr>
                <w:sz w:val="20"/>
                <w:szCs w:val="20"/>
                <w:color w:val="auto"/>
              </w:rPr>
            </w:pPr>
            <w:r>
              <w:rPr>
                <w:rFonts w:ascii="Times New Roman" w:cs="Times New Roman" w:eastAsia="Times New Roman" w:hAnsi="Times New Roman"/>
                <w:sz w:val="17"/>
                <w:szCs w:val="17"/>
                <w:color w:val="auto"/>
              </w:rPr>
              <w:t>992,875</w:t>
            </w:r>
          </w:p>
        </w:tc>
        <w:tc>
          <w:tcPr>
            <w:tcW w:w="0" w:type="dxa"/>
            <w:vAlign w:val="bottom"/>
          </w:tcPr>
          <w:p>
            <w:pPr>
              <w:spacing w:after="0"/>
              <w:rPr>
                <w:sz w:val="1"/>
                <w:szCs w:val="1"/>
                <w:color w:val="auto"/>
              </w:rPr>
            </w:pPr>
          </w:p>
        </w:tc>
      </w:tr>
      <w:tr>
        <w:trPr>
          <w:trHeight w:val="178"/>
        </w:trPr>
        <w:tc>
          <w:tcPr>
            <w:tcW w:w="1320" w:type="dxa"/>
            <w:vAlign w:val="bottom"/>
            <w:tcBorders>
              <w:bottom w:val="single" w:sz="8" w:color="0000EE"/>
            </w:tcBorders>
            <w:gridSpan w:val="6"/>
          </w:tcPr>
          <w:p>
            <w:pPr>
              <w:spacing w:after="0" w:line="168" w:lineRule="exact"/>
              <w:rPr>
                <w:rFonts w:ascii="Times New Roman" w:cs="Times New Roman" w:eastAsia="Times New Roman" w:hAnsi="Times New Roman"/>
                <w:sz w:val="17"/>
                <w:szCs w:val="17"/>
                <w:color w:val="0000EE"/>
              </w:rPr>
            </w:pPr>
            <w:hyperlink r:id="rId27">
              <w:r>
                <w:rPr>
                  <w:rFonts w:ascii="Times New Roman" w:cs="Times New Roman" w:eastAsia="Times New Roman" w:hAnsi="Times New Roman"/>
                  <w:sz w:val="17"/>
                  <w:szCs w:val="17"/>
                  <w:color w:val="0000EE"/>
                </w:rPr>
                <w:t>February 27, 2024</w:t>
              </w:r>
            </w:hyperlink>
          </w:p>
        </w:tc>
        <w:tc>
          <w:tcPr>
            <w:tcW w:w="2560" w:type="dxa"/>
            <w:vAlign w:val="bottom"/>
            <w:gridSpan w:val="2"/>
          </w:tcPr>
          <w:p>
            <w:pPr>
              <w:spacing w:after="0"/>
              <w:rPr>
                <w:sz w:val="15"/>
                <w:szCs w:val="15"/>
                <w:color w:val="auto"/>
              </w:rPr>
            </w:pPr>
          </w:p>
        </w:tc>
        <w:tc>
          <w:tcPr>
            <w:tcW w:w="106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color w:val="auto"/>
              </w:rPr>
              <w:t>333-277428</w:t>
            </w:r>
          </w:p>
        </w:tc>
        <w:tc>
          <w:tcPr>
            <w:tcW w:w="100" w:type="dxa"/>
            <w:vAlign w:val="bottom"/>
          </w:tcPr>
          <w:p>
            <w:pPr>
              <w:spacing w:after="0"/>
              <w:rPr>
                <w:sz w:val="15"/>
                <w:szCs w:val="15"/>
                <w:color w:val="auto"/>
              </w:rPr>
            </w:pPr>
          </w:p>
        </w:tc>
        <w:tc>
          <w:tcPr>
            <w:tcW w:w="3740" w:type="dxa"/>
            <w:vAlign w:val="bottom"/>
            <w:gridSpan w:val="2"/>
          </w:tcPr>
          <w:p>
            <w:pPr>
              <w:jc w:val="center"/>
              <w:ind w:right="120"/>
              <w:spacing w:after="0" w:line="168" w:lineRule="exact"/>
              <w:rPr>
                <w:sz w:val="20"/>
                <w:szCs w:val="20"/>
                <w:color w:val="auto"/>
              </w:rPr>
            </w:pPr>
            <w:r>
              <w:rPr>
                <w:rFonts w:ascii="Times New Roman" w:cs="Times New Roman" w:eastAsia="Times New Roman" w:hAnsi="Times New Roman"/>
                <w:sz w:val="17"/>
                <w:szCs w:val="17"/>
                <w:color w:val="auto"/>
              </w:rPr>
              <w:t>“Feb. 2024 Registration Statement”</w:t>
            </w:r>
          </w:p>
        </w:tc>
        <w:tc>
          <w:tcPr>
            <w:tcW w:w="980" w:type="dxa"/>
            <w:vAlign w:val="bottom"/>
            <w:gridSpan w:val="2"/>
          </w:tcPr>
          <w:p>
            <w:pPr>
              <w:jc w:val="right"/>
              <w:ind w:right="160"/>
              <w:spacing w:after="0" w:line="168" w:lineRule="exact"/>
              <w:rPr>
                <w:sz w:val="20"/>
                <w:szCs w:val="20"/>
                <w:color w:val="auto"/>
              </w:rPr>
            </w:pPr>
            <w:r>
              <w:rPr>
                <w:rFonts w:ascii="Times New Roman" w:cs="Times New Roman" w:eastAsia="Times New Roman" w:hAnsi="Times New Roman"/>
                <w:sz w:val="17"/>
                <w:szCs w:val="17"/>
                <w:color w:val="auto"/>
              </w:rPr>
              <w:t>9,298,127</w:t>
            </w:r>
          </w:p>
        </w:tc>
        <w:tc>
          <w:tcPr>
            <w:tcW w:w="800" w:type="dxa"/>
            <w:vAlign w:val="bottom"/>
            <w:gridSpan w:val="2"/>
          </w:tcPr>
          <w:p>
            <w:pPr>
              <w:ind w:left="500"/>
              <w:spacing w:after="0" w:line="168" w:lineRule="exact"/>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197"/>
        </w:trPr>
        <w:tc>
          <w:tcPr>
            <w:tcW w:w="1340" w:type="dxa"/>
            <w:vAlign w:val="bottom"/>
            <w:tcBorders>
              <w:bottom w:val="single" w:sz="8" w:color="0000EE"/>
            </w:tcBorders>
            <w:gridSpan w:val="7"/>
            <w:shd w:val="clear" w:color="auto" w:fill="CCEEFF"/>
          </w:tcPr>
          <w:p>
            <w:pPr>
              <w:spacing w:after="0" w:line="178" w:lineRule="exact"/>
              <w:rPr>
                <w:rFonts w:ascii="Times New Roman" w:cs="Times New Roman" w:eastAsia="Times New Roman" w:hAnsi="Times New Roman"/>
                <w:sz w:val="17"/>
                <w:szCs w:val="17"/>
                <w:color w:val="0000EE"/>
              </w:rPr>
            </w:pPr>
            <w:hyperlink r:id="rId28">
              <w:r>
                <w:rPr>
                  <w:rFonts w:ascii="Times New Roman" w:cs="Times New Roman" w:eastAsia="Times New Roman" w:hAnsi="Times New Roman"/>
                  <w:sz w:val="17"/>
                  <w:szCs w:val="17"/>
                  <w:color w:val="0000EE"/>
                </w:rPr>
                <w:t>November 5, 2024</w:t>
              </w:r>
            </w:hyperlink>
          </w:p>
        </w:tc>
        <w:tc>
          <w:tcPr>
            <w:tcW w:w="25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center"/>
              <w:spacing w:after="0" w:line="178" w:lineRule="exact"/>
              <w:rPr>
                <w:sz w:val="20"/>
                <w:szCs w:val="20"/>
                <w:color w:val="auto"/>
              </w:rPr>
            </w:pPr>
            <w:r>
              <w:rPr>
                <w:rFonts w:ascii="Times New Roman" w:cs="Times New Roman" w:eastAsia="Times New Roman" w:hAnsi="Times New Roman"/>
                <w:sz w:val="17"/>
                <w:szCs w:val="17"/>
                <w:color w:val="auto"/>
              </w:rPr>
              <w:t>333-283006</w:t>
            </w:r>
          </w:p>
        </w:tc>
        <w:tc>
          <w:tcPr>
            <w:tcW w:w="100" w:type="dxa"/>
            <w:vAlign w:val="bottom"/>
            <w:tcBorders>
              <w:bottom w:val="single" w:sz="8" w:color="CCEEFF"/>
            </w:tcBorders>
            <w:shd w:val="clear" w:color="auto" w:fill="CCEEFF"/>
          </w:tcPr>
          <w:p>
            <w:pPr>
              <w:spacing w:after="0"/>
              <w:rPr>
                <w:sz w:val="17"/>
                <w:szCs w:val="17"/>
                <w:color w:val="auto"/>
              </w:rPr>
            </w:pPr>
          </w:p>
        </w:tc>
        <w:tc>
          <w:tcPr>
            <w:tcW w:w="3740" w:type="dxa"/>
            <w:vAlign w:val="bottom"/>
            <w:tcBorders>
              <w:bottom w:val="single" w:sz="8" w:color="CCEEFF"/>
            </w:tcBorders>
            <w:gridSpan w:val="2"/>
            <w:shd w:val="clear" w:color="auto" w:fill="CCEEFF"/>
          </w:tcPr>
          <w:p>
            <w:pPr>
              <w:jc w:val="center"/>
              <w:ind w:right="100"/>
              <w:spacing w:after="0" w:line="178" w:lineRule="exact"/>
              <w:rPr>
                <w:sz w:val="20"/>
                <w:szCs w:val="20"/>
                <w:color w:val="auto"/>
              </w:rPr>
            </w:pPr>
            <w:r>
              <w:rPr>
                <w:rFonts w:ascii="Times New Roman" w:cs="Times New Roman" w:eastAsia="Times New Roman" w:hAnsi="Times New Roman"/>
                <w:sz w:val="17"/>
                <w:szCs w:val="17"/>
                <w:color w:val="auto"/>
              </w:rPr>
              <w:t>“Nov. 2024 Registration Statement”</w:t>
            </w:r>
          </w:p>
        </w:tc>
        <w:tc>
          <w:tcPr>
            <w:tcW w:w="980" w:type="dxa"/>
            <w:vAlign w:val="bottom"/>
            <w:tcBorders>
              <w:bottom w:val="single" w:sz="8" w:color="CCEEFF"/>
            </w:tcBorders>
            <w:gridSpan w:val="2"/>
            <w:shd w:val="clear" w:color="auto" w:fill="CCEEFF"/>
          </w:tcPr>
          <w:p>
            <w:pPr>
              <w:jc w:val="right"/>
              <w:ind w:right="160"/>
              <w:spacing w:after="0" w:line="178" w:lineRule="exact"/>
              <w:rPr>
                <w:sz w:val="20"/>
                <w:szCs w:val="20"/>
                <w:color w:val="auto"/>
              </w:rPr>
            </w:pPr>
            <w:r>
              <w:rPr>
                <w:rFonts w:ascii="Times New Roman" w:cs="Times New Roman" w:eastAsia="Times New Roman" w:hAnsi="Times New Roman"/>
                <w:sz w:val="17"/>
                <w:szCs w:val="17"/>
                <w:color w:val="auto"/>
              </w:rPr>
              <w:t>19,000,000</w:t>
            </w:r>
          </w:p>
        </w:tc>
        <w:tc>
          <w:tcPr>
            <w:tcW w:w="800" w:type="dxa"/>
            <w:vAlign w:val="bottom"/>
            <w:tcBorders>
              <w:bottom w:val="single" w:sz="8" w:color="CCEEFF"/>
            </w:tcBorders>
            <w:gridSpan w:val="2"/>
            <w:shd w:val="clear" w:color="auto" w:fill="CCEEFF"/>
          </w:tcPr>
          <w:p>
            <w:pPr>
              <w:jc w:val="right"/>
              <w:ind w:right="40"/>
              <w:spacing w:after="0" w:line="178" w:lineRule="exact"/>
              <w:rPr>
                <w:sz w:val="20"/>
                <w:szCs w:val="20"/>
                <w:color w:val="auto"/>
              </w:rPr>
            </w:pPr>
            <w:r>
              <w:rPr>
                <w:rFonts w:ascii="Times New Roman" w:cs="Times New Roman" w:eastAsia="Times New Roman" w:hAnsi="Times New Roman"/>
                <w:sz w:val="17"/>
                <w:szCs w:val="17"/>
                <w:color w:val="auto"/>
              </w:rPr>
              <w:t>3,000,000</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340"/>
        <w:spacing w:after="0" w:line="273" w:lineRule="auto"/>
        <w:rPr>
          <w:sz w:val="20"/>
          <w:szCs w:val="20"/>
          <w:color w:val="auto"/>
        </w:rPr>
      </w:pPr>
      <w:r>
        <w:rPr>
          <w:rFonts w:ascii="Times New Roman" w:cs="Times New Roman" w:eastAsia="Times New Roman" w:hAnsi="Times New Roman"/>
          <w:sz w:val="17"/>
          <w:szCs w:val="17"/>
          <w:color w:val="auto"/>
        </w:rPr>
        <w:t>This registration statement on Form S-8 (the “Registration Statement”) is filed by the Registrant relating to 10,000,000 shares of common stock, par value $0.0001 per share (the “Common Stock”) available for issuance under the 2014 Plan resulting from an increase approved by the Registrant’s stockholders on June 18, 2025.</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INFORMATION REQUIRED IN THE SECTION 10(a) PROSPECTUS</w:t>
      </w:r>
    </w:p>
    <w:p>
      <w:pPr>
        <w:spacing w:after="0" w:line="221" w:lineRule="exact"/>
        <w:rPr>
          <w:sz w:val="20"/>
          <w:szCs w:val="20"/>
          <w:color w:val="auto"/>
        </w:rPr>
      </w:pPr>
    </w:p>
    <w:p>
      <w:pPr>
        <w:ind w:right="420"/>
        <w:spacing w:after="0" w:line="291" w:lineRule="auto"/>
        <w:rPr>
          <w:sz w:val="20"/>
          <w:szCs w:val="20"/>
          <w:color w:val="auto"/>
        </w:rPr>
      </w:pPr>
      <w:r>
        <w:rPr>
          <w:rFonts w:ascii="Times New Roman" w:cs="Times New Roman" w:eastAsia="Times New Roman" w:hAnsi="Times New Roman"/>
          <w:sz w:val="17"/>
          <w:szCs w:val="17"/>
          <w:color w:val="auto"/>
        </w:rPr>
        <w:t>The information called for in Part I of Form S-8 is not being filed with or included in this Form S-8 (by incorporation by reference or otherwise) in accordance with the rules and regulations of the SEC.</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INFORMATION REQUIRED IN THE REGISTRATION STATEMENT</w:t>
      </w:r>
    </w:p>
    <w:p>
      <w:pPr>
        <w:spacing w:after="0" w:line="21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7"/>
          <w:szCs w:val="17"/>
          <w:i w:val="1"/>
          <w:iCs w:val="1"/>
          <w:color w:val="auto"/>
        </w:rPr>
        <w:t>In this registration statement, Ardelyx, Inc. is sometimes referred to as “Registrant,” “we,” “us” or “our.”</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u w:val="single" w:color="auto"/>
          <w:color w:val="auto"/>
        </w:rPr>
        <w:t>Incorporation of Documents by Reference</w:t>
      </w:r>
      <w:r>
        <w:rPr>
          <w:rFonts w:ascii="Times New Roman" w:cs="Times New Roman" w:eastAsia="Times New Roman" w:hAnsi="Times New Roman"/>
          <w:sz w:val="17"/>
          <w:szCs w:val="17"/>
          <w:b w:val="1"/>
          <w:bCs w:val="1"/>
          <w:color w:val="auto"/>
        </w:rPr>
        <w:t>.</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The SEC allows the Registrant to “incorporate by reference” the information it files with them, which means that the Registrant can disclose important information to you by referring to those documents. The information incorporated by reference is considered to be part of this registration statement, and later information filed with the SEC will update and supersede this information. The Registrant hereby incorporates by reference into this registration statement the following documents previously filed with the SEC:</w:t>
      </w:r>
    </w:p>
    <w:p>
      <w:pPr>
        <w:sectPr>
          <w:pgSz w:w="11900" w:h="16838" w:orient="portrait"/>
          <w:cols w:equalWidth="0" w:num="1">
            <w:col w:w="10560"/>
          </w:cols>
          <w:pgMar w:left="660" w:top="262" w:right="679" w:bottom="1440" w:gutter="0" w:footer="0" w:header="0"/>
        </w:sectPr>
      </w:pPr>
    </w:p>
    <w:bookmarkStart w:id="2" w:name="page3"/>
    <w:bookmarkEnd w:id="2"/>
    <w:p>
      <w:pPr>
        <w:ind w:left="320" w:right="440" w:hanging="320"/>
        <w:spacing w:after="0" w:line="291" w:lineRule="auto"/>
        <w:tabs>
          <w:tab w:leader="none" w:pos="320" w:val="left"/>
        </w:tabs>
        <w:numPr>
          <w:ilvl w:val="0"/>
          <w:numId w:val="1"/>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hyperlink r:id="rId30">
        <w:r>
          <w:rPr>
            <w:rFonts w:ascii="Times New Roman" w:cs="Times New Roman" w:eastAsia="Times New Roman" w:hAnsi="Times New Roman"/>
            <w:sz w:val="17"/>
            <w:szCs w:val="17"/>
            <w:color w:val="auto"/>
          </w:rPr>
          <w:t xml:space="preserve">The Registrant’s </w:t>
        </w:r>
        <w:r>
          <w:rPr>
            <w:rFonts w:ascii="Times New Roman" w:cs="Times New Roman" w:eastAsia="Times New Roman" w:hAnsi="Times New Roman"/>
            <w:sz w:val="17"/>
            <w:szCs w:val="17"/>
            <w:u w:val="single" w:color="auto"/>
            <w:color w:val="0000EE"/>
          </w:rPr>
          <w:t>Annual Report on Form 10-K for the fiscal year ended December 31, 2024, as filed with the SEC on February 20, 2025 (File</w:t>
        </w:r>
      </w:hyperlink>
      <w:r>
        <w:rPr>
          <w:rFonts w:ascii="Times New Roman" w:cs="Times New Roman" w:eastAsia="Times New Roman" w:hAnsi="Times New Roman"/>
          <w:sz w:val="17"/>
          <w:szCs w:val="17"/>
          <w:color w:val="auto"/>
        </w:rPr>
        <w:t xml:space="preserve"> </w:t>
      </w:r>
      <w:hyperlink r:id="rId30">
        <w:r>
          <w:rPr>
            <w:rFonts w:ascii="Times New Roman" w:cs="Times New Roman" w:eastAsia="Times New Roman" w:hAnsi="Times New Roman"/>
            <w:sz w:val="17"/>
            <w:szCs w:val="17"/>
            <w:u w:val="single" w:color="auto"/>
            <w:color w:val="0000EE"/>
          </w:rPr>
          <w:t>No. 001-36485);</w:t>
        </w:r>
      </w:hyperlink>
    </w:p>
    <w:p>
      <w:pPr>
        <w:spacing w:after="0" w:line="43" w:lineRule="exact"/>
        <w:rPr>
          <w:rFonts w:ascii="Times New Roman" w:cs="Times New Roman" w:eastAsia="Times New Roman" w:hAnsi="Times New Roman"/>
          <w:sz w:val="17"/>
          <w:szCs w:val="17"/>
          <w:u w:val="single" w:color="auto"/>
          <w:color w:val="0000EE"/>
        </w:rPr>
      </w:pPr>
    </w:p>
    <w:p>
      <w:pPr>
        <w:ind w:left="320" w:right="280" w:hanging="320"/>
        <w:spacing w:after="0" w:line="291" w:lineRule="auto"/>
        <w:tabs>
          <w:tab w:leader="none" w:pos="3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Registrant’s Quarterly Reports on Form 10-Q for the fiscal quarters ended March 31, 2025, June 30, 2025 and September 30, 2025, as filed with the SEC on </w:t>
      </w:r>
      <w:hyperlink r:id="rId31">
        <w:r>
          <w:rPr>
            <w:rFonts w:ascii="Times New Roman" w:cs="Times New Roman" w:eastAsia="Times New Roman" w:hAnsi="Times New Roman"/>
            <w:sz w:val="17"/>
            <w:szCs w:val="17"/>
            <w:u w:val="single" w:color="auto"/>
            <w:color w:val="0000EE"/>
          </w:rPr>
          <w:t>May 1, 2025</w:t>
        </w:r>
      </w:hyperlink>
      <w:r>
        <w:rPr>
          <w:rFonts w:ascii="Times New Roman" w:cs="Times New Roman" w:eastAsia="Times New Roman" w:hAnsi="Times New Roman"/>
          <w:sz w:val="17"/>
          <w:szCs w:val="17"/>
          <w:color w:val="auto"/>
        </w:rPr>
        <w:t xml:space="preserve">, </w:t>
      </w:r>
      <w:hyperlink r:id="rId32">
        <w:r>
          <w:rPr>
            <w:rFonts w:ascii="Times New Roman" w:cs="Times New Roman" w:eastAsia="Times New Roman" w:hAnsi="Times New Roman"/>
            <w:sz w:val="17"/>
            <w:szCs w:val="17"/>
            <w:u w:val="single" w:color="auto"/>
            <w:color w:val="0000EE"/>
          </w:rPr>
          <w:t>August 4, 2025</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and </w:t>
      </w:r>
      <w:hyperlink r:id="rId33">
        <w:r>
          <w:rPr>
            <w:rFonts w:ascii="Times New Roman" w:cs="Times New Roman" w:eastAsia="Times New Roman" w:hAnsi="Times New Roman"/>
            <w:sz w:val="17"/>
            <w:szCs w:val="17"/>
            <w:u w:val="single" w:color="auto"/>
            <w:color w:val="0000EE"/>
          </w:rPr>
          <w:t>October 30, 2025</w:t>
        </w:r>
      </w:hyperlink>
      <w:r>
        <w:rPr>
          <w:rFonts w:ascii="Times New Roman" w:cs="Times New Roman" w:eastAsia="Times New Roman" w:hAnsi="Times New Roman"/>
          <w:sz w:val="17"/>
          <w:szCs w:val="17"/>
          <w:color w:val="auto"/>
        </w:rPr>
        <w:t>;</w:t>
      </w:r>
    </w:p>
    <w:p>
      <w:pPr>
        <w:spacing w:after="0" w:line="43" w:lineRule="exact"/>
        <w:rPr>
          <w:rFonts w:ascii="Times New Roman" w:cs="Times New Roman" w:eastAsia="Times New Roman" w:hAnsi="Times New Roman"/>
          <w:sz w:val="17"/>
          <w:szCs w:val="17"/>
          <w:color w:val="auto"/>
        </w:rPr>
      </w:pPr>
    </w:p>
    <w:p>
      <w:pPr>
        <w:ind w:left="320" w:right="220" w:hanging="320"/>
        <w:spacing w:after="0" w:line="291" w:lineRule="auto"/>
        <w:tabs>
          <w:tab w:leader="none" w:pos="320" w:val="left"/>
        </w:tabs>
        <w:numPr>
          <w:ilvl w:val="0"/>
          <w:numId w:val="1"/>
        </w:numPr>
        <w:rPr>
          <w:rFonts w:ascii="Times New Roman" w:cs="Times New Roman" w:eastAsia="Times New Roman" w:hAnsi="Times New Roman"/>
          <w:sz w:val="17"/>
          <w:szCs w:val="17"/>
          <w:color w:val="0000EE"/>
        </w:rPr>
      </w:pPr>
      <w:hyperlink r:id="rId34">
        <w:r>
          <w:rPr>
            <w:rFonts w:ascii="Times New Roman" w:cs="Times New Roman" w:eastAsia="Times New Roman" w:hAnsi="Times New Roman"/>
            <w:sz w:val="17"/>
            <w:szCs w:val="17"/>
            <w:color w:val="auto"/>
          </w:rPr>
          <w:t xml:space="preserve">The Registrant’s Current Reports on Form 8-K filed with the SEC on </w:t>
        </w:r>
        <w:r>
          <w:rPr>
            <w:rFonts w:ascii="Times New Roman" w:cs="Times New Roman" w:eastAsia="Times New Roman" w:hAnsi="Times New Roman"/>
            <w:sz w:val="17"/>
            <w:szCs w:val="17"/>
            <w:u w:val="single" w:color="auto"/>
            <w:color w:val="0000EE"/>
          </w:rPr>
          <w:t>January 13, 2025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April 29, 2025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June 18, 2025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July 3, 2025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August 4,</w:t>
        </w:r>
      </w:hyperlink>
      <w:r>
        <w:rPr>
          <w:rFonts w:ascii="Times New Roman" w:cs="Times New Roman" w:eastAsia="Times New Roman" w:hAnsi="Times New Roman"/>
          <w:sz w:val="17"/>
          <w:szCs w:val="17"/>
          <w:color w:val="auto"/>
        </w:rPr>
        <w:t xml:space="preserve"> </w:t>
      </w:r>
      <w:hyperlink r:id="rId34">
        <w:r>
          <w:rPr>
            <w:rFonts w:ascii="Times New Roman" w:cs="Times New Roman" w:eastAsia="Times New Roman" w:hAnsi="Times New Roman"/>
            <w:sz w:val="17"/>
            <w:szCs w:val="17"/>
            <w:u w:val="single" w:color="auto"/>
            <w:color w:val="0000EE"/>
          </w:rPr>
          <w:t>2025</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(solely with respect to Items 5.02 and 5.03 and Exhibit 3.1 thereto) and</w:t>
        </w:r>
        <w:r>
          <w:rPr>
            <w:rFonts w:ascii="Times New Roman" w:cs="Times New Roman" w:eastAsia="Times New Roman" w:hAnsi="Times New Roman"/>
            <w:sz w:val="17"/>
            <w:szCs w:val="17"/>
            <w:color w:val="0000EE"/>
          </w:rPr>
          <w:t xml:space="preserve"> </w:t>
        </w:r>
      </w:hyperlink>
      <w:hyperlink r:id="rId35">
        <w:r>
          <w:rPr>
            <w:rFonts w:ascii="Times New Roman" w:cs="Times New Roman" w:eastAsia="Times New Roman" w:hAnsi="Times New Roman"/>
            <w:sz w:val="17"/>
            <w:szCs w:val="17"/>
            <w:u w:val="single" w:color="auto"/>
            <w:color w:val="0000EE"/>
          </w:rPr>
          <w:t>October 14, 2025</w:t>
        </w:r>
      </w:hyperlink>
      <w:hyperlink r:id="rId34">
        <w:r>
          <w:rPr>
            <w:rFonts w:ascii="Times New Roman" w:cs="Times New Roman" w:eastAsia="Times New Roman" w:hAnsi="Times New Roman"/>
            <w:sz w:val="17"/>
            <w:szCs w:val="17"/>
            <w:color w:val="000000"/>
          </w:rPr>
          <w:t>;</w:t>
        </w:r>
      </w:hyperlink>
    </w:p>
    <w:p>
      <w:pPr>
        <w:spacing w:after="0" w:line="43" w:lineRule="exact"/>
        <w:rPr>
          <w:rFonts w:ascii="Times New Roman" w:cs="Times New Roman" w:eastAsia="Times New Roman" w:hAnsi="Times New Roman"/>
          <w:sz w:val="17"/>
          <w:szCs w:val="17"/>
          <w:color w:val="0000EE"/>
        </w:rPr>
      </w:pPr>
    </w:p>
    <w:p>
      <w:pPr>
        <w:ind w:left="320" w:right="220" w:hanging="320"/>
        <w:spacing w:after="0" w:line="291" w:lineRule="auto"/>
        <w:tabs>
          <w:tab w:leader="none" w:pos="320" w:val="left"/>
        </w:tabs>
        <w:numPr>
          <w:ilvl w:val="0"/>
          <w:numId w:val="1"/>
        </w:numPr>
        <w:rPr>
          <w:rFonts w:ascii="Times New Roman" w:cs="Times New Roman" w:eastAsia="Times New Roman" w:hAnsi="Times New Roman"/>
          <w:sz w:val="17"/>
          <w:szCs w:val="17"/>
          <w:u w:val="single" w:color="auto"/>
          <w:color w:val="0000EE"/>
        </w:rPr>
      </w:pPr>
      <w:hyperlink r:id="rId36">
        <w:r>
          <w:rPr>
            <w:rFonts w:ascii="Times New Roman" w:cs="Times New Roman" w:eastAsia="Times New Roman" w:hAnsi="Times New Roman"/>
            <w:sz w:val="17"/>
            <w:szCs w:val="17"/>
            <w:u w:val="single" w:color="auto"/>
            <w:color w:val="0000EE"/>
          </w:rPr>
          <w:t>The information specifically incorporated by reference into the Registrant’s Annual Report on Form 10-K from the Registrant’s Definitive Proxy</w:t>
        </w:r>
      </w:hyperlink>
      <w:r>
        <w:rPr>
          <w:rFonts w:ascii="Times New Roman" w:cs="Times New Roman" w:eastAsia="Times New Roman" w:hAnsi="Times New Roman"/>
          <w:sz w:val="17"/>
          <w:szCs w:val="17"/>
          <w:u w:val="single" w:color="auto"/>
          <w:color w:val="0000EE"/>
        </w:rPr>
        <w:t xml:space="preserve"> </w:t>
      </w:r>
      <w:hyperlink r:id="rId36">
        <w:r>
          <w:rPr>
            <w:rFonts w:ascii="Times New Roman" w:cs="Times New Roman" w:eastAsia="Times New Roman" w:hAnsi="Times New Roman"/>
            <w:sz w:val="17"/>
            <w:szCs w:val="17"/>
            <w:u w:val="single" w:color="auto"/>
            <w:color w:val="0000EE"/>
          </w:rPr>
          <w:t>Statement on Schedule 14A, filed with the SEC on April 30, 2025; and</w:t>
        </w:r>
      </w:hyperlink>
    </w:p>
    <w:p>
      <w:pPr>
        <w:spacing w:after="0" w:line="43" w:lineRule="exact"/>
        <w:rPr>
          <w:rFonts w:ascii="Times New Roman" w:cs="Times New Roman" w:eastAsia="Times New Roman" w:hAnsi="Times New Roman"/>
          <w:sz w:val="17"/>
          <w:szCs w:val="17"/>
          <w:u w:val="single" w:color="auto"/>
          <w:color w:val="0000EE"/>
        </w:rPr>
      </w:pPr>
    </w:p>
    <w:p>
      <w:pPr>
        <w:ind w:left="320" w:right="100" w:hanging="320"/>
        <w:spacing w:after="0" w:line="263" w:lineRule="auto"/>
        <w:tabs>
          <w:tab w:leader="none" w:pos="320" w:val="left"/>
        </w:tabs>
        <w:numPr>
          <w:ilvl w:val="0"/>
          <w:numId w:val="1"/>
        </w:numPr>
        <w:rPr>
          <w:rFonts w:ascii="Times New Roman" w:cs="Times New Roman" w:eastAsia="Times New Roman" w:hAnsi="Times New Roman"/>
          <w:sz w:val="17"/>
          <w:szCs w:val="17"/>
          <w:color w:val="0000EE"/>
        </w:rPr>
      </w:pPr>
      <w:hyperlink r:id="rId37">
        <w:r>
          <w:rPr>
            <w:rFonts w:ascii="Times New Roman" w:cs="Times New Roman" w:eastAsia="Times New Roman" w:hAnsi="Times New Roman"/>
            <w:sz w:val="17"/>
            <w:szCs w:val="17"/>
            <w:color w:val="auto"/>
          </w:rPr>
          <w:t xml:space="preserve">The description of the Registrant’s Common Stock contained in the Registrant’s registration statement on </w:t>
        </w:r>
        <w:r>
          <w:rPr>
            <w:rFonts w:ascii="Times New Roman" w:cs="Times New Roman" w:eastAsia="Times New Roman" w:hAnsi="Times New Roman"/>
            <w:sz w:val="17"/>
            <w:szCs w:val="17"/>
            <w:u w:val="single" w:color="auto"/>
            <w:color w:val="0000EE"/>
          </w:rPr>
          <w:t>Form 8-A (File No. 001-36485), filed by</w:t>
        </w:r>
      </w:hyperlink>
      <w:r>
        <w:rPr>
          <w:rFonts w:ascii="Times New Roman" w:cs="Times New Roman" w:eastAsia="Times New Roman" w:hAnsi="Times New Roman"/>
          <w:sz w:val="17"/>
          <w:szCs w:val="17"/>
          <w:color w:val="auto"/>
        </w:rPr>
        <w:t xml:space="preserve"> </w:t>
      </w:r>
      <w:hyperlink r:id="rId37">
        <w:r>
          <w:rPr>
            <w:rFonts w:ascii="Times New Roman" w:cs="Times New Roman" w:eastAsia="Times New Roman" w:hAnsi="Times New Roman"/>
            <w:sz w:val="17"/>
            <w:szCs w:val="17"/>
            <w:u w:val="single" w:color="auto"/>
            <w:color w:val="0000EE"/>
          </w:rPr>
          <w:t>the Registrant with the SEC under Section 12 of the Securities Exchange Act of 1934, as amended (the “Exchange Act”), on June 9, 2014</w:t>
        </w:r>
        <w:r>
          <w:rPr>
            <w:rFonts w:ascii="Times New Roman" w:cs="Times New Roman" w:eastAsia="Times New Roman" w:hAnsi="Times New Roman"/>
            <w:sz w:val="17"/>
            <w:szCs w:val="17"/>
            <w:color w:val="000000"/>
          </w:rPr>
          <w:t>, as</w:t>
        </w:r>
      </w:hyperlink>
      <w:r>
        <w:rPr>
          <w:rFonts w:ascii="Times New Roman" w:cs="Times New Roman" w:eastAsia="Times New Roman" w:hAnsi="Times New Roman"/>
          <w:sz w:val="17"/>
          <w:szCs w:val="17"/>
          <w:color w:val="0000EE"/>
        </w:rPr>
        <w:t xml:space="preserve"> </w:t>
      </w:r>
      <w:hyperlink r:id="rId38">
        <w:r>
          <w:rPr>
            <w:rFonts w:ascii="Times New Roman" w:cs="Times New Roman" w:eastAsia="Times New Roman" w:hAnsi="Times New Roman"/>
            <w:sz w:val="17"/>
            <w:szCs w:val="17"/>
            <w:color w:val="000000"/>
          </w:rPr>
          <w:t xml:space="preserve">amended by the description of the Registrant’s Common Stock contained in </w:t>
        </w:r>
        <w:r>
          <w:rPr>
            <w:rFonts w:ascii="Times New Roman" w:cs="Times New Roman" w:eastAsia="Times New Roman" w:hAnsi="Times New Roman"/>
            <w:sz w:val="17"/>
            <w:szCs w:val="17"/>
            <w:u w:val="single" w:color="auto"/>
            <w:color w:val="0000EE"/>
          </w:rPr>
          <w:t>Exhibit 4.4 to the Registrant’s Annual Report on Form 10-K for the</w:t>
        </w:r>
      </w:hyperlink>
      <w:r>
        <w:rPr>
          <w:rFonts w:ascii="Times New Roman" w:cs="Times New Roman" w:eastAsia="Times New Roman" w:hAnsi="Times New Roman"/>
          <w:sz w:val="17"/>
          <w:szCs w:val="17"/>
          <w:color w:val="000000"/>
        </w:rPr>
        <w:t xml:space="preserve"> </w:t>
      </w:r>
      <w:hyperlink r:id="rId38">
        <w:r>
          <w:rPr>
            <w:rFonts w:ascii="Times New Roman" w:cs="Times New Roman" w:eastAsia="Times New Roman" w:hAnsi="Times New Roman"/>
            <w:sz w:val="17"/>
            <w:szCs w:val="17"/>
            <w:u w:val="single" w:color="auto"/>
            <w:color w:val="0000EE"/>
          </w:rPr>
          <w:t>fiscal year ended December 31, 2020, filed on March 8, 2021,</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including any amendments or reports filed for the purpose of updating such</w:t>
        </w:r>
      </w:hyperlink>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description.</w:t>
      </w:r>
    </w:p>
    <w:p>
      <w:pPr>
        <w:spacing w:after="0" w:line="172" w:lineRule="exact"/>
        <w:rPr>
          <w:rFonts w:ascii="Times New Roman" w:cs="Times New Roman" w:eastAsia="Times New Roman" w:hAnsi="Times New Roman"/>
          <w:sz w:val="17"/>
          <w:szCs w:val="17"/>
          <w:color w:val="0000EE"/>
        </w:rPr>
      </w:pPr>
    </w:p>
    <w:p>
      <w:pPr>
        <w:spacing w:after="0" w:line="258" w:lineRule="auto"/>
        <w:rPr>
          <w:sz w:val="20"/>
          <w:szCs w:val="20"/>
          <w:color w:val="auto"/>
        </w:rPr>
      </w:pPr>
      <w:r>
        <w:rPr>
          <w:rFonts w:ascii="Times New Roman" w:cs="Times New Roman" w:eastAsia="Times New Roman" w:hAnsi="Times New Roman"/>
          <w:sz w:val="17"/>
          <w:szCs w:val="17"/>
          <w:color w:val="auto"/>
        </w:rPr>
        <w:t>All documents that the Registrant subsequently files pursuant to Sections 13(a), 13(c), 14 and 15(d) of the Exchange Act prior to the filing of a post-effective amendment to the registration statement which indicates that all of the shares of Common Stock offered have been sold or which deregisters all of such shares then remaining unsold, shall be deemed to be incorporated by reference in this registration statement and to be a part hereof from the date of the filing of such documents; except as to any portion of any future annual or quarterly report to stockholders, or document or current report furnished under any current or future items of Form 8-K (including current Items 2.02 and 7.01, and exhibits furnished on such form that relate to such items), in each case, that is not deemed filed under such provisions. For the purposes of this registration statement, 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78" w:lineRule="exact"/>
        <w:rPr>
          <w:rFonts w:ascii="Times New Roman" w:cs="Times New Roman" w:eastAsia="Times New Roman" w:hAnsi="Times New Roman"/>
          <w:sz w:val="17"/>
          <w:szCs w:val="17"/>
          <w:color w:val="0000EE"/>
        </w:rPr>
      </w:pPr>
    </w:p>
    <w:p>
      <w:pPr>
        <w:ind w:right="40"/>
        <w:spacing w:after="0" w:line="291" w:lineRule="auto"/>
        <w:rPr>
          <w:sz w:val="20"/>
          <w:szCs w:val="20"/>
          <w:color w:val="auto"/>
        </w:rPr>
      </w:pPr>
      <w:r>
        <w:rPr>
          <w:rFonts w:ascii="Times New Roman" w:cs="Times New Roman" w:eastAsia="Times New Roman" w:hAnsi="Times New Roman"/>
          <w:sz w:val="17"/>
          <w:szCs w:val="17"/>
          <w:color w:val="auto"/>
        </w:rPr>
        <w:t>Under no circumstances will any information filed under current Items 2.02 or 7.01 of Form 8-K, and exhibits furnished on such form that relate to such items, be deemed incorporated herein by reference unless such Form 8-K expressly provides to the contrary.</w:t>
      </w:r>
    </w:p>
    <w:p>
      <w:pPr>
        <w:spacing w:after="0" w:line="249" w:lineRule="exact"/>
        <w:rPr>
          <w:rFonts w:ascii="Times New Roman" w:cs="Times New Roman" w:eastAsia="Times New Roman" w:hAnsi="Times New Roman"/>
          <w:sz w:val="17"/>
          <w:szCs w:val="17"/>
          <w:color w:val="0000EE"/>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u w:val="single" w:color="auto"/>
          <w:color w:val="auto"/>
        </w:rPr>
        <w:t>Description of Securities</w:t>
      </w:r>
      <w:r>
        <w:rPr>
          <w:rFonts w:ascii="Times New Roman" w:cs="Times New Roman" w:eastAsia="Times New Roman" w:hAnsi="Times New Roman"/>
          <w:sz w:val="17"/>
          <w:szCs w:val="17"/>
          <w:b w:val="1"/>
          <w:bCs w:val="1"/>
          <w:color w:val="auto"/>
        </w:rPr>
        <w:t>.</w:t>
      </w:r>
    </w:p>
    <w:p>
      <w:pPr>
        <w:spacing w:after="0" w:line="117" w:lineRule="exact"/>
        <w:rPr>
          <w:rFonts w:ascii="Times New Roman" w:cs="Times New Roman" w:eastAsia="Times New Roman" w:hAnsi="Times New Roman"/>
          <w:sz w:val="17"/>
          <w:szCs w:val="17"/>
          <w:color w:val="0000EE"/>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321" w:lineRule="exact"/>
        <w:rPr>
          <w:rFonts w:ascii="Times New Roman" w:cs="Times New Roman" w:eastAsia="Times New Roman" w:hAnsi="Times New Roman"/>
          <w:sz w:val="17"/>
          <w:szCs w:val="17"/>
          <w:color w:val="0000EE"/>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5. </w:t>
      </w:r>
      <w:r>
        <w:rPr>
          <w:rFonts w:ascii="Times New Roman" w:cs="Times New Roman" w:eastAsia="Times New Roman" w:hAnsi="Times New Roman"/>
          <w:sz w:val="17"/>
          <w:szCs w:val="17"/>
          <w:b w:val="1"/>
          <w:bCs w:val="1"/>
          <w:u w:val="single" w:color="auto"/>
          <w:color w:val="auto"/>
        </w:rPr>
        <w:t>Interests of Named Experts and Counsel</w:t>
      </w:r>
      <w:r>
        <w:rPr>
          <w:rFonts w:ascii="Times New Roman" w:cs="Times New Roman" w:eastAsia="Times New Roman" w:hAnsi="Times New Roman"/>
          <w:sz w:val="17"/>
          <w:szCs w:val="17"/>
          <w:b w:val="1"/>
          <w:bCs w:val="1"/>
          <w:color w:val="auto"/>
        </w:rPr>
        <w:t>.</w:t>
      </w:r>
    </w:p>
    <w:p>
      <w:pPr>
        <w:spacing w:after="0" w:line="117" w:lineRule="exact"/>
        <w:rPr>
          <w:rFonts w:ascii="Times New Roman" w:cs="Times New Roman" w:eastAsia="Times New Roman" w:hAnsi="Times New Roman"/>
          <w:sz w:val="17"/>
          <w:szCs w:val="17"/>
          <w:color w:val="0000EE"/>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321" w:lineRule="exact"/>
        <w:rPr>
          <w:rFonts w:ascii="Times New Roman" w:cs="Times New Roman" w:eastAsia="Times New Roman" w:hAnsi="Times New Roman"/>
          <w:sz w:val="17"/>
          <w:szCs w:val="17"/>
          <w:color w:val="0000EE"/>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6. </w:t>
      </w:r>
      <w:r>
        <w:rPr>
          <w:rFonts w:ascii="Times New Roman" w:cs="Times New Roman" w:eastAsia="Times New Roman" w:hAnsi="Times New Roman"/>
          <w:sz w:val="17"/>
          <w:szCs w:val="17"/>
          <w:b w:val="1"/>
          <w:bCs w:val="1"/>
          <w:u w:val="single" w:color="auto"/>
          <w:color w:val="auto"/>
        </w:rPr>
        <w:t>Indemnification of Directors and Officers</w:t>
      </w:r>
      <w:r>
        <w:rPr>
          <w:rFonts w:ascii="Times New Roman" w:cs="Times New Roman" w:eastAsia="Times New Roman" w:hAnsi="Times New Roman"/>
          <w:sz w:val="17"/>
          <w:szCs w:val="17"/>
          <w:b w:val="1"/>
          <w:bCs w:val="1"/>
          <w:color w:val="auto"/>
        </w:rPr>
        <w:t>.</w:t>
      </w:r>
    </w:p>
    <w:p>
      <w:pPr>
        <w:spacing w:after="0" w:line="117" w:lineRule="exact"/>
        <w:rPr>
          <w:rFonts w:ascii="Times New Roman" w:cs="Times New Roman" w:eastAsia="Times New Roman" w:hAnsi="Times New Roman"/>
          <w:sz w:val="17"/>
          <w:szCs w:val="17"/>
          <w:color w:val="0000EE"/>
        </w:rPr>
      </w:pPr>
    </w:p>
    <w:p>
      <w:pPr>
        <w:ind w:right="280"/>
        <w:spacing w:after="0" w:line="263" w:lineRule="auto"/>
        <w:rPr>
          <w:sz w:val="20"/>
          <w:szCs w:val="20"/>
          <w:color w:val="auto"/>
        </w:rPr>
      </w:pPr>
      <w:r>
        <w:rPr>
          <w:rFonts w:ascii="Times New Roman" w:cs="Times New Roman" w:eastAsia="Times New Roman" w:hAnsi="Times New Roman"/>
          <w:sz w:val="17"/>
          <w:szCs w:val="17"/>
          <w:color w:val="auto"/>
        </w:rPr>
        <w:t>As permitted by Section 102 of the Delaware General Corporation Law, we have adopted provisions in our amended and restated certificate of incorporation that limit or eliminate the personal liability of our directors for a breach of their fiduciary duties of care as directors.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spacing w:after="0" w:line="81" w:lineRule="exact"/>
        <w:rPr>
          <w:rFonts w:ascii="Times New Roman" w:cs="Times New Roman" w:eastAsia="Times New Roman" w:hAnsi="Times New Roman"/>
          <w:sz w:val="17"/>
          <w:szCs w:val="17"/>
          <w:color w:val="0000EE"/>
        </w:rPr>
      </w:pPr>
    </w:p>
    <w:p>
      <w:pPr>
        <w:ind w:left="940" w:hanging="422"/>
        <w:spacing w:after="0"/>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breach of the director’s duty of loyalty to us or our stockholders;</w:t>
      </w:r>
    </w:p>
    <w:p>
      <w:pPr>
        <w:sectPr>
          <w:pgSz w:w="11900" w:h="16838" w:orient="portrait"/>
          <w:cols w:equalWidth="0" w:num="1">
            <w:col w:w="10560"/>
          </w:cols>
          <w:pgMar w:left="660" w:top="264" w:right="679" w:bottom="1440" w:gutter="0" w:footer="0" w:header="0"/>
        </w:sectPr>
      </w:pPr>
    </w:p>
    <w:bookmarkStart w:id="3" w:name="page4"/>
    <w:bookmarkEnd w:id="3"/>
    <w:p>
      <w:pPr>
        <w:ind w:left="940" w:hanging="422"/>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any act or omission not in good faith or that involves intentional misconduct or a knowing violation of law;</w:t>
      </w:r>
    </w:p>
    <w:p>
      <w:pPr>
        <w:spacing w:after="0" w:line="128" w:lineRule="exact"/>
        <w:rPr>
          <w:rFonts w:ascii="Times New Roman" w:cs="Times New Roman" w:eastAsia="Times New Roman" w:hAnsi="Times New Roman"/>
          <w:sz w:val="17"/>
          <w:szCs w:val="17"/>
          <w:color w:val="auto"/>
        </w:rPr>
      </w:pPr>
    </w:p>
    <w:p>
      <w:pPr>
        <w:ind w:left="940" w:hanging="422"/>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 related to unlawful stock repurchases, redemptions or other distributions or payment of dividends; and</w:t>
      </w:r>
    </w:p>
    <w:p>
      <w:pPr>
        <w:spacing w:after="0" w:line="128" w:lineRule="exact"/>
        <w:rPr>
          <w:rFonts w:ascii="Times New Roman" w:cs="Times New Roman" w:eastAsia="Times New Roman" w:hAnsi="Times New Roman"/>
          <w:sz w:val="17"/>
          <w:szCs w:val="17"/>
          <w:color w:val="auto"/>
        </w:rPr>
      </w:pPr>
    </w:p>
    <w:p>
      <w:pPr>
        <w:ind w:left="940" w:hanging="422"/>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from which the director derived an improper personal benefit.</w:t>
      </w:r>
    </w:p>
    <w:p>
      <w:pPr>
        <w:spacing w:after="0" w:line="219" w:lineRule="exact"/>
        <w:rPr>
          <w:sz w:val="20"/>
          <w:szCs w:val="20"/>
          <w:color w:val="auto"/>
        </w:rPr>
      </w:pPr>
    </w:p>
    <w:p>
      <w:pPr>
        <w:ind w:right="240"/>
        <w:spacing w:after="0" w:line="291" w:lineRule="auto"/>
        <w:rPr>
          <w:sz w:val="20"/>
          <w:szCs w:val="20"/>
          <w:color w:val="auto"/>
        </w:rPr>
      </w:pPr>
      <w:r>
        <w:rPr>
          <w:rFonts w:ascii="Times New Roman" w:cs="Times New Roman" w:eastAsia="Times New Roman" w:hAnsi="Times New Roman"/>
          <w:sz w:val="17"/>
          <w:szCs w:val="17"/>
          <w:color w:val="auto"/>
        </w:rPr>
        <w:t>These limitations of liability do not affect the availability of equitable remedies such as injunctive relief or rescission. Our amended and restated certificate of incorporation also authorizes us to indemnify our officers, directors and other agents to the fullest extent permitted under Delaware law.</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permitted by Section 145 of the Delaware General Corporation Law, our second amended and restated bylaws provide that:</w:t>
      </w:r>
    </w:p>
    <w:p>
      <w:pPr>
        <w:spacing w:after="0" w:line="128" w:lineRule="exact"/>
        <w:rPr>
          <w:sz w:val="20"/>
          <w:szCs w:val="20"/>
          <w:color w:val="auto"/>
        </w:rPr>
      </w:pPr>
    </w:p>
    <w:p>
      <w:pPr>
        <w:ind w:left="940" w:right="80" w:hanging="422"/>
        <w:spacing w:after="0" w:line="291" w:lineRule="auto"/>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indemnify our directors, officers and employees to the fullest extent permitted by the Delaware General Corporation Law, subject to limited exceptions;</w:t>
      </w:r>
    </w:p>
    <w:p>
      <w:pPr>
        <w:spacing w:after="0" w:line="56" w:lineRule="exact"/>
        <w:rPr>
          <w:rFonts w:ascii="Times New Roman" w:cs="Times New Roman" w:eastAsia="Times New Roman" w:hAnsi="Times New Roman"/>
          <w:sz w:val="17"/>
          <w:szCs w:val="17"/>
          <w:color w:val="auto"/>
        </w:rPr>
      </w:pPr>
    </w:p>
    <w:p>
      <w:pPr>
        <w:ind w:left="940" w:right="80" w:hanging="422"/>
        <w:spacing w:after="0" w:line="291" w:lineRule="auto"/>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advance expenses to our directors, officers and employees in connection with a legal proceeding to the fullest extent permitted by the Delaware General Corporation Law, subject to limited exceptions; and</w:t>
      </w:r>
    </w:p>
    <w:p>
      <w:pPr>
        <w:spacing w:after="0" w:line="56" w:lineRule="exact"/>
        <w:rPr>
          <w:rFonts w:ascii="Times New Roman" w:cs="Times New Roman" w:eastAsia="Times New Roman" w:hAnsi="Times New Roman"/>
          <w:sz w:val="17"/>
          <w:szCs w:val="17"/>
          <w:color w:val="auto"/>
        </w:rPr>
      </w:pPr>
    </w:p>
    <w:p>
      <w:pPr>
        <w:ind w:left="940" w:hanging="422"/>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provided in our second amended and restated bylaws are not exclusive.</w:t>
      </w:r>
    </w:p>
    <w:p>
      <w:pPr>
        <w:spacing w:after="0" w:line="21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Our amended and restated certificate of incorporation and our second amended and restated bylaws provide for the indemnification provisions described above and elsewhere herein. We have also entered into separate indemnification agreements with our directors and officers which may be broader than the specific indemnification provisions contained in the Delaware General Corporation Law. These indemnification agreements generally require us, among other things, to indemnify our officers and directors against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In addition, we have purchased a policy of directors’ and officers’ liability insurance that insures our directors and officers against the cost of defense, settlement or payment of a judgment in some circumstances. These indemnification provisions and the indemnification agreements may be sufficiently broad to permit indemnification of our officers and directors for liabilities, including reimbursement of expenses incurred, arising under the Securities Act of 1933, as amended (the “Securities Act”).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7. </w:t>
      </w:r>
      <w:r>
        <w:rPr>
          <w:rFonts w:ascii="Times New Roman" w:cs="Times New Roman" w:eastAsia="Times New Roman" w:hAnsi="Times New Roman"/>
          <w:sz w:val="17"/>
          <w:szCs w:val="17"/>
          <w:b w:val="1"/>
          <w:bCs w:val="1"/>
          <w:u w:val="single" w:color="auto"/>
          <w:color w:val="auto"/>
        </w:rPr>
        <w:t>Exemption from Registration Claimed</w:t>
      </w:r>
      <w:r>
        <w:rPr>
          <w:rFonts w:ascii="Times New Roman" w:cs="Times New Roman" w:eastAsia="Times New Roman" w:hAnsi="Times New Roman"/>
          <w:sz w:val="17"/>
          <w:szCs w:val="17"/>
          <w:b w:val="1"/>
          <w:bCs w:val="1"/>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540"/>
          </w:cols>
          <w:pgMar w:left="660" w:top="264" w:right="6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 xml:space="preserve">Item 8. </w:t>
      </w:r>
      <w:r>
        <w:rPr>
          <w:rFonts w:ascii="Times New Roman" w:cs="Times New Roman" w:eastAsia="Times New Roman" w:hAnsi="Times New Roman"/>
          <w:sz w:val="17"/>
          <w:szCs w:val="17"/>
          <w:b w:val="1"/>
          <w:bCs w:val="1"/>
          <w:u w:val="single" w:color="auto"/>
          <w:color w:val="auto"/>
        </w:rPr>
        <w:t>Exhibits</w:t>
      </w:r>
      <w:r>
        <w:rPr>
          <w:rFonts w:ascii="Times New Roman" w:cs="Times New Roman" w:eastAsia="Times New Roman" w:hAnsi="Times New Roman"/>
          <w:sz w:val="17"/>
          <w:szCs w:val="17"/>
          <w:b w:val="1"/>
          <w:bCs w:val="1"/>
          <w:color w:val="auto"/>
        </w:rPr>
        <w: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gridSpan w:val="12"/>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22"/>
        </w:trPr>
        <w:tc>
          <w:tcPr>
            <w:tcW w:w="5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980" w:type="dxa"/>
            <w:vAlign w:val="bottom"/>
            <w:gridSpan w:val="9"/>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220" w:type="dxa"/>
            <w:vAlign w:val="bottom"/>
            <w:vMerge w:val="restart"/>
          </w:tcPr>
          <w:p>
            <w:pPr>
              <w:spacing w:after="0"/>
              <w:rPr>
                <w:sz w:val="10"/>
                <w:szCs w:val="10"/>
                <w:color w:val="auto"/>
              </w:rPr>
            </w:pPr>
          </w:p>
        </w:tc>
        <w:tc>
          <w:tcPr>
            <w:tcW w:w="400" w:type="dxa"/>
            <w:vAlign w:val="bottom"/>
            <w:tcBorders>
              <w:top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Form</w:t>
            </w:r>
          </w:p>
        </w:tc>
        <w:tc>
          <w:tcPr>
            <w:tcW w:w="2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80" w:type="dxa"/>
            <w:vAlign w:val="bottom"/>
            <w:tcBorders>
              <w:top w:val="single" w:sz="8" w:color="auto"/>
            </w:tcBorders>
            <w:vMerge w:val="restart"/>
          </w:tcPr>
          <w:p>
            <w:pPr>
              <w:spacing w:after="0"/>
              <w:rPr>
                <w:sz w:val="10"/>
                <w:szCs w:val="10"/>
                <w:color w:val="auto"/>
              </w:rPr>
            </w:pPr>
          </w:p>
        </w:tc>
        <w:tc>
          <w:tcPr>
            <w:tcW w:w="520" w:type="dxa"/>
            <w:vAlign w:val="bottom"/>
            <w:tcBorders>
              <w:top w:val="single" w:sz="8" w:color="auto"/>
            </w:tcBorders>
            <w:gridSpan w:val="5"/>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w w:val="99"/>
              </w:rPr>
              <w:t>Exhibit</w:t>
            </w:r>
          </w:p>
        </w:tc>
        <w:tc>
          <w:tcPr>
            <w:tcW w:w="2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980" w:type="dxa"/>
            <w:vAlign w:val="bottom"/>
            <w:tcBorders>
              <w:bottom w:val="single" w:sz="8" w:color="auto"/>
            </w:tcBorders>
            <w:gridSpan w:val="9"/>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400" w:type="dxa"/>
            <w:vAlign w:val="bottom"/>
            <w:tcBorders>
              <w:bottom w:val="single" w:sz="8" w:color="auto"/>
            </w:tcBorders>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5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Herewith</w:t>
            </w:r>
          </w:p>
        </w:tc>
        <w:tc>
          <w:tcPr>
            <w:tcW w:w="0" w:type="dxa"/>
            <w:vAlign w:val="bottom"/>
          </w:tcPr>
          <w:p>
            <w:pPr>
              <w:spacing w:after="0"/>
              <w:rPr>
                <w:sz w:val="1"/>
                <w:szCs w:val="1"/>
                <w:color w:val="auto"/>
              </w:rPr>
            </w:pPr>
          </w:p>
        </w:tc>
      </w:tr>
      <w:tr>
        <w:trPr>
          <w:trHeight w:val="252"/>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4.1</w:t>
            </w:r>
          </w:p>
        </w:tc>
        <w:tc>
          <w:tcPr>
            <w:tcW w:w="200" w:type="dxa"/>
            <w:vAlign w:val="bottom"/>
          </w:tcPr>
          <w:p>
            <w:pPr>
              <w:spacing w:after="0"/>
              <w:rPr>
                <w:sz w:val="21"/>
                <w:szCs w:val="21"/>
                <w:color w:val="auto"/>
              </w:rPr>
            </w:pPr>
          </w:p>
        </w:tc>
        <w:tc>
          <w:tcPr>
            <w:tcW w:w="6700" w:type="dxa"/>
            <w:vAlign w:val="bottom"/>
            <w:gridSpan w:val="14"/>
          </w:tcPr>
          <w:p>
            <w:pPr>
              <w:spacing w:after="0"/>
              <w:rPr>
                <w:rFonts w:ascii="Times New Roman" w:cs="Times New Roman" w:eastAsia="Times New Roman" w:hAnsi="Times New Roman"/>
                <w:sz w:val="17"/>
                <w:szCs w:val="17"/>
                <w:color w:val="0000EE"/>
              </w:rPr>
            </w:pPr>
            <w:hyperlink r:id="rId41">
              <w:r>
                <w:rPr>
                  <w:rFonts w:ascii="Times New Roman" w:cs="Times New Roman" w:eastAsia="Times New Roman" w:hAnsi="Times New Roman"/>
                  <w:sz w:val="17"/>
                  <w:szCs w:val="17"/>
                  <w:color w:val="0000EE"/>
                </w:rPr>
                <w:t>Amended and Restated Certificate of Incorporation.</w:t>
              </w:r>
            </w:hyperlink>
          </w:p>
        </w:tc>
        <w:tc>
          <w:tcPr>
            <w:tcW w:w="60" w:type="dxa"/>
            <w:vAlign w:val="bottom"/>
          </w:tcPr>
          <w:p>
            <w:pPr>
              <w:spacing w:after="0"/>
              <w:rPr>
                <w:sz w:val="21"/>
                <w:szCs w:val="21"/>
                <w:color w:val="auto"/>
              </w:rPr>
            </w:pPr>
          </w:p>
        </w:tc>
        <w:tc>
          <w:tcPr>
            <w:tcW w:w="340" w:type="dxa"/>
            <w:vAlign w:val="bottom"/>
            <w:gridSpan w:val="2"/>
          </w:tcPr>
          <w:p>
            <w:pPr>
              <w:jc w:val="center"/>
              <w:ind w:right="60"/>
              <w:spacing w:after="0"/>
              <w:rPr>
                <w:rFonts w:ascii="Times New Roman" w:cs="Times New Roman" w:eastAsia="Times New Roman" w:hAnsi="Times New Roman"/>
                <w:sz w:val="17"/>
                <w:szCs w:val="17"/>
                <w:color w:val="0000EE"/>
              </w:rPr>
            </w:pPr>
            <w:hyperlink r:id="rId41">
              <w:r>
                <w:rPr>
                  <w:rFonts w:ascii="Times New Roman" w:cs="Times New Roman" w:eastAsia="Times New Roman" w:hAnsi="Times New Roman"/>
                  <w:sz w:val="17"/>
                  <w:szCs w:val="17"/>
                  <w:color w:val="0000EE"/>
                </w:rPr>
                <w:t>8-K</w:t>
              </w:r>
            </w:hyperlink>
          </w:p>
        </w:tc>
        <w:tc>
          <w:tcPr>
            <w:tcW w:w="220" w:type="dxa"/>
            <w:vAlign w:val="bottom"/>
          </w:tcPr>
          <w:p>
            <w:pPr>
              <w:spacing w:after="0"/>
              <w:rPr>
                <w:sz w:val="21"/>
                <w:szCs w:val="21"/>
                <w:color w:val="auto"/>
              </w:rPr>
            </w:pPr>
          </w:p>
        </w:tc>
        <w:tc>
          <w:tcPr>
            <w:tcW w:w="1260" w:type="dxa"/>
            <w:vAlign w:val="bottom"/>
            <w:gridSpan w:val="5"/>
          </w:tcPr>
          <w:p>
            <w:pPr>
              <w:jc w:val="center"/>
              <w:ind w:right="220"/>
              <w:spacing w:after="0"/>
              <w:rPr>
                <w:rFonts w:ascii="Times New Roman" w:cs="Times New Roman" w:eastAsia="Times New Roman" w:hAnsi="Times New Roman"/>
                <w:sz w:val="17"/>
                <w:szCs w:val="17"/>
                <w:color w:val="0000EE"/>
              </w:rPr>
            </w:pPr>
            <w:hyperlink r:id="rId41">
              <w:r>
                <w:rPr>
                  <w:rFonts w:ascii="Times New Roman" w:cs="Times New Roman" w:eastAsia="Times New Roman" w:hAnsi="Times New Roman"/>
                  <w:sz w:val="17"/>
                  <w:szCs w:val="17"/>
                  <w:color w:val="0000EE"/>
                </w:rPr>
                <w:t>June 24, 2014</w:t>
              </w:r>
            </w:hyperlink>
          </w:p>
        </w:tc>
        <w:tc>
          <w:tcPr>
            <w:tcW w:w="420" w:type="dxa"/>
            <w:vAlign w:val="bottom"/>
            <w:gridSpan w:val="4"/>
          </w:tcPr>
          <w:p>
            <w:pPr>
              <w:jc w:val="center"/>
              <w:ind w:left="38"/>
              <w:spacing w:after="0"/>
              <w:rPr>
                <w:rFonts w:ascii="Times New Roman" w:cs="Times New Roman" w:eastAsia="Times New Roman" w:hAnsi="Times New Roman"/>
                <w:sz w:val="17"/>
                <w:szCs w:val="17"/>
                <w:color w:val="0000EE"/>
              </w:rPr>
            </w:pPr>
            <w:hyperlink r:id="rId41">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1</w:t>
              </w:r>
            </w:hyperlink>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4.2</w:t>
            </w:r>
          </w:p>
        </w:tc>
        <w:tc>
          <w:tcPr>
            <w:tcW w:w="200" w:type="dxa"/>
            <w:vAlign w:val="bottom"/>
          </w:tcPr>
          <w:p>
            <w:pPr>
              <w:spacing w:after="0"/>
              <w:rPr>
                <w:sz w:val="24"/>
                <w:szCs w:val="24"/>
                <w:color w:val="auto"/>
              </w:rPr>
            </w:pPr>
          </w:p>
        </w:tc>
        <w:tc>
          <w:tcPr>
            <w:tcW w:w="5620" w:type="dxa"/>
            <w:vAlign w:val="bottom"/>
            <w:gridSpan w:val="11"/>
          </w:tcPr>
          <w:p>
            <w:pPr>
              <w:spacing w:after="0"/>
              <w:rPr>
                <w:rFonts w:ascii="Times New Roman" w:cs="Times New Roman" w:eastAsia="Times New Roman" w:hAnsi="Times New Roman"/>
                <w:sz w:val="17"/>
                <w:szCs w:val="17"/>
                <w:color w:val="0000EE"/>
              </w:rPr>
            </w:pPr>
            <w:hyperlink r:id="rId42">
              <w:r>
                <w:rPr>
                  <w:rFonts w:ascii="Times New Roman" w:cs="Times New Roman" w:eastAsia="Times New Roman" w:hAnsi="Times New Roman"/>
                  <w:sz w:val="17"/>
                  <w:szCs w:val="17"/>
                  <w:color w:val="0000EE"/>
                </w:rPr>
                <w:t>Certificate of Amendment to Amended and Restated Certificate of Incorporation.</w:t>
              </w:r>
            </w:hyperlink>
          </w:p>
        </w:tc>
        <w:tc>
          <w:tcPr>
            <w:tcW w:w="108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jc w:val="center"/>
              <w:spacing w:after="0"/>
              <w:rPr>
                <w:rFonts w:ascii="Times New Roman" w:cs="Times New Roman" w:eastAsia="Times New Roman" w:hAnsi="Times New Roman"/>
                <w:sz w:val="17"/>
                <w:szCs w:val="17"/>
                <w:color w:val="0000EE"/>
              </w:rPr>
            </w:pPr>
            <w:hyperlink r:id="rId42">
              <w:r>
                <w:rPr>
                  <w:rFonts w:ascii="Times New Roman" w:cs="Times New Roman" w:eastAsia="Times New Roman" w:hAnsi="Times New Roman"/>
                  <w:sz w:val="17"/>
                  <w:szCs w:val="17"/>
                  <w:color w:val="0000EE"/>
                </w:rPr>
                <w:t>8-K</w:t>
              </w:r>
            </w:hyperlink>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4"/>
          </w:tcPr>
          <w:p>
            <w:pPr>
              <w:jc w:val="center"/>
              <w:ind w:right="260"/>
              <w:spacing w:after="0"/>
              <w:rPr>
                <w:rFonts w:ascii="Times New Roman" w:cs="Times New Roman" w:eastAsia="Times New Roman" w:hAnsi="Times New Roman"/>
                <w:sz w:val="17"/>
                <w:szCs w:val="17"/>
                <w:color w:val="0000EE"/>
              </w:rPr>
            </w:pPr>
            <w:hyperlink r:id="rId42">
              <w:r>
                <w:rPr>
                  <w:rFonts w:ascii="Times New Roman" w:cs="Times New Roman" w:eastAsia="Times New Roman" w:hAnsi="Times New Roman"/>
                  <w:sz w:val="17"/>
                  <w:szCs w:val="17"/>
                  <w:color w:val="0000EE"/>
                </w:rPr>
                <w:t>June 20, 2023</w:t>
              </w:r>
            </w:hyperlink>
          </w:p>
        </w:tc>
        <w:tc>
          <w:tcPr>
            <w:tcW w:w="420" w:type="dxa"/>
            <w:vAlign w:val="bottom"/>
            <w:gridSpan w:val="4"/>
          </w:tcPr>
          <w:p>
            <w:pPr>
              <w:jc w:val="center"/>
              <w:ind w:left="38"/>
              <w:spacing w:after="0"/>
              <w:rPr>
                <w:rFonts w:ascii="Times New Roman" w:cs="Times New Roman" w:eastAsia="Times New Roman" w:hAnsi="Times New Roman"/>
                <w:sz w:val="17"/>
                <w:szCs w:val="17"/>
                <w:color w:val="0000EE"/>
              </w:rPr>
            </w:pPr>
            <w:hyperlink r:id="rId42">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1</w:t>
              </w:r>
            </w:hyperlink>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4.3</w:t>
            </w:r>
          </w:p>
        </w:tc>
        <w:tc>
          <w:tcPr>
            <w:tcW w:w="200" w:type="dxa"/>
            <w:vAlign w:val="bottom"/>
          </w:tcPr>
          <w:p>
            <w:pPr>
              <w:spacing w:after="0"/>
              <w:rPr>
                <w:sz w:val="24"/>
                <w:szCs w:val="24"/>
                <w:color w:val="auto"/>
              </w:rPr>
            </w:pPr>
          </w:p>
        </w:tc>
        <w:tc>
          <w:tcPr>
            <w:tcW w:w="2760" w:type="dxa"/>
            <w:vAlign w:val="bottom"/>
            <w:gridSpan w:val="5"/>
          </w:tcPr>
          <w:p>
            <w:pPr>
              <w:spacing w:after="0"/>
              <w:rPr>
                <w:rFonts w:ascii="Times New Roman" w:cs="Times New Roman" w:eastAsia="Times New Roman" w:hAnsi="Times New Roman"/>
                <w:sz w:val="17"/>
                <w:szCs w:val="17"/>
                <w:color w:val="0000EE"/>
              </w:rPr>
            </w:pPr>
            <w:hyperlink r:id="rId43">
              <w:r>
                <w:rPr>
                  <w:rFonts w:ascii="Times New Roman" w:cs="Times New Roman" w:eastAsia="Times New Roman" w:hAnsi="Times New Roman"/>
                  <w:sz w:val="17"/>
                  <w:szCs w:val="17"/>
                  <w:color w:val="0000EE"/>
                </w:rPr>
                <w:t>Second Amended and Restated Bylaws.</w:t>
              </w:r>
            </w:hyperlink>
          </w:p>
        </w:tc>
        <w:tc>
          <w:tcPr>
            <w:tcW w:w="2860" w:type="dxa"/>
            <w:vAlign w:val="bottom"/>
            <w:gridSpan w:val="6"/>
          </w:tcPr>
          <w:p>
            <w:pPr>
              <w:spacing w:after="0"/>
              <w:rPr>
                <w:sz w:val="24"/>
                <w:szCs w:val="24"/>
                <w:color w:val="auto"/>
              </w:rPr>
            </w:pPr>
          </w:p>
        </w:tc>
        <w:tc>
          <w:tcPr>
            <w:tcW w:w="108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jc w:val="center"/>
              <w:spacing w:after="0"/>
              <w:rPr>
                <w:rFonts w:ascii="Times New Roman" w:cs="Times New Roman" w:eastAsia="Times New Roman" w:hAnsi="Times New Roman"/>
                <w:sz w:val="17"/>
                <w:szCs w:val="17"/>
                <w:color w:val="0000EE"/>
              </w:rPr>
            </w:pPr>
            <w:hyperlink r:id="rId43">
              <w:r>
                <w:rPr>
                  <w:rFonts w:ascii="Times New Roman" w:cs="Times New Roman" w:eastAsia="Times New Roman" w:hAnsi="Times New Roman"/>
                  <w:sz w:val="17"/>
                  <w:szCs w:val="17"/>
                  <w:color w:val="0000EE"/>
                </w:rPr>
                <w:t>8-K</w:t>
              </w:r>
            </w:hyperlink>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3"/>
          </w:tcPr>
          <w:p>
            <w:pPr>
              <w:jc w:val="center"/>
              <w:spacing w:after="0"/>
              <w:rPr>
                <w:rFonts w:ascii="Times New Roman" w:cs="Times New Roman" w:eastAsia="Times New Roman" w:hAnsi="Times New Roman"/>
                <w:sz w:val="17"/>
                <w:szCs w:val="17"/>
                <w:color w:val="0000EE"/>
              </w:rPr>
            </w:pPr>
            <w:hyperlink r:id="rId43">
              <w:r>
                <w:rPr>
                  <w:rFonts w:ascii="Times New Roman" w:cs="Times New Roman" w:eastAsia="Times New Roman" w:hAnsi="Times New Roman"/>
                  <w:sz w:val="17"/>
                  <w:szCs w:val="17"/>
                  <w:color w:val="0000EE"/>
                </w:rPr>
                <w:t>August 4, 2025</w:t>
              </w:r>
            </w:hyperlink>
          </w:p>
        </w:tc>
        <w:tc>
          <w:tcPr>
            <w:tcW w:w="200" w:type="dxa"/>
            <w:vAlign w:val="bottom"/>
            <w:gridSpan w:val="2"/>
          </w:tcPr>
          <w:p>
            <w:pPr>
              <w:spacing w:after="0"/>
              <w:rPr>
                <w:sz w:val="24"/>
                <w:szCs w:val="24"/>
                <w:color w:val="auto"/>
              </w:rPr>
            </w:pPr>
          </w:p>
        </w:tc>
        <w:tc>
          <w:tcPr>
            <w:tcW w:w="420" w:type="dxa"/>
            <w:vAlign w:val="bottom"/>
            <w:gridSpan w:val="4"/>
          </w:tcPr>
          <w:p>
            <w:pPr>
              <w:jc w:val="center"/>
              <w:ind w:left="38"/>
              <w:spacing w:after="0"/>
              <w:rPr>
                <w:rFonts w:ascii="Times New Roman" w:cs="Times New Roman" w:eastAsia="Times New Roman" w:hAnsi="Times New Roman"/>
                <w:sz w:val="17"/>
                <w:szCs w:val="17"/>
                <w:color w:val="0000EE"/>
              </w:rPr>
            </w:pPr>
            <w:hyperlink r:id="rId43">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1</w:t>
              </w:r>
            </w:hyperlink>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4.4</w:t>
            </w:r>
          </w:p>
        </w:tc>
        <w:tc>
          <w:tcPr>
            <w:tcW w:w="200" w:type="dxa"/>
            <w:vAlign w:val="bottom"/>
          </w:tcPr>
          <w:p>
            <w:pPr>
              <w:spacing w:after="0"/>
              <w:rPr>
                <w:sz w:val="24"/>
                <w:szCs w:val="24"/>
                <w:color w:val="auto"/>
              </w:rPr>
            </w:pPr>
          </w:p>
        </w:tc>
        <w:tc>
          <w:tcPr>
            <w:tcW w:w="2500" w:type="dxa"/>
            <w:vAlign w:val="bottom"/>
            <w:gridSpan w:val="4"/>
          </w:tcPr>
          <w:p>
            <w:pPr>
              <w:spacing w:after="0"/>
              <w:rPr>
                <w:rFonts w:ascii="Times New Roman" w:cs="Times New Roman" w:eastAsia="Times New Roman" w:hAnsi="Times New Roman"/>
                <w:sz w:val="17"/>
                <w:szCs w:val="17"/>
                <w:color w:val="0000EE"/>
              </w:rPr>
            </w:pPr>
            <w:hyperlink r:id="rId44">
              <w:r>
                <w:rPr>
                  <w:rFonts w:ascii="Times New Roman" w:cs="Times New Roman" w:eastAsia="Times New Roman" w:hAnsi="Times New Roman"/>
                  <w:sz w:val="17"/>
                  <w:szCs w:val="17"/>
                  <w:color w:val="0000EE"/>
                </w:rPr>
                <w:t>Form of Common Stock Certificate.</w:t>
              </w:r>
            </w:hyperlink>
          </w:p>
        </w:tc>
        <w:tc>
          <w:tcPr>
            <w:tcW w:w="260" w:type="dxa"/>
            <w:vAlign w:val="bottom"/>
          </w:tcPr>
          <w:p>
            <w:pPr>
              <w:spacing w:after="0"/>
              <w:rPr>
                <w:sz w:val="24"/>
                <w:szCs w:val="24"/>
                <w:color w:val="auto"/>
              </w:rPr>
            </w:pPr>
          </w:p>
        </w:tc>
        <w:tc>
          <w:tcPr>
            <w:tcW w:w="3940" w:type="dxa"/>
            <w:vAlign w:val="bottom"/>
            <w:gridSpan w:val="9"/>
          </w:tcPr>
          <w:p>
            <w:pPr>
              <w:spacing w:after="0"/>
              <w:rPr>
                <w:sz w:val="24"/>
                <w:szCs w:val="24"/>
                <w:color w:val="auto"/>
              </w:rPr>
            </w:pPr>
          </w:p>
        </w:tc>
        <w:tc>
          <w:tcPr>
            <w:tcW w:w="400" w:type="dxa"/>
            <w:vAlign w:val="bottom"/>
            <w:gridSpan w:val="3"/>
          </w:tcPr>
          <w:p>
            <w:pPr>
              <w:jc w:val="center"/>
              <w:spacing w:after="0"/>
              <w:rPr>
                <w:rFonts w:ascii="Times New Roman" w:cs="Times New Roman" w:eastAsia="Times New Roman" w:hAnsi="Times New Roman"/>
                <w:sz w:val="17"/>
                <w:szCs w:val="17"/>
                <w:color w:val="0000EE"/>
                <w:w w:val="98"/>
              </w:rPr>
            </w:pPr>
            <w:hyperlink r:id="rId44">
              <w:r>
                <w:rPr>
                  <w:rFonts w:ascii="Times New Roman" w:cs="Times New Roman" w:eastAsia="Times New Roman" w:hAnsi="Times New Roman"/>
                  <w:sz w:val="17"/>
                  <w:szCs w:val="17"/>
                  <w:color w:val="0000EE"/>
                  <w:w w:val="98"/>
                </w:rPr>
                <w:t>S-1/A</w:t>
              </w:r>
            </w:hyperlink>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4"/>
          </w:tcPr>
          <w:p>
            <w:pPr>
              <w:jc w:val="center"/>
              <w:ind w:right="260"/>
              <w:spacing w:after="0"/>
              <w:rPr>
                <w:rFonts w:ascii="Times New Roman" w:cs="Times New Roman" w:eastAsia="Times New Roman" w:hAnsi="Times New Roman"/>
                <w:sz w:val="17"/>
                <w:szCs w:val="17"/>
                <w:color w:val="0000EE"/>
              </w:rPr>
            </w:pPr>
            <w:hyperlink r:id="rId44">
              <w:r>
                <w:rPr>
                  <w:rFonts w:ascii="Times New Roman" w:cs="Times New Roman" w:eastAsia="Times New Roman" w:hAnsi="Times New Roman"/>
                  <w:sz w:val="17"/>
                  <w:szCs w:val="17"/>
                  <w:color w:val="0000EE"/>
                </w:rPr>
                <w:t>June 18, 2014</w:t>
              </w:r>
            </w:hyperlink>
          </w:p>
        </w:tc>
        <w:tc>
          <w:tcPr>
            <w:tcW w:w="420" w:type="dxa"/>
            <w:vAlign w:val="bottom"/>
            <w:gridSpan w:val="4"/>
          </w:tcPr>
          <w:p>
            <w:pPr>
              <w:jc w:val="center"/>
              <w:ind w:left="38"/>
              <w:spacing w:after="0"/>
              <w:rPr>
                <w:rFonts w:ascii="Times New Roman" w:cs="Times New Roman" w:eastAsia="Times New Roman" w:hAnsi="Times New Roman"/>
                <w:sz w:val="17"/>
                <w:szCs w:val="17"/>
                <w:color w:val="0000EE"/>
              </w:rPr>
            </w:pPr>
            <w:hyperlink r:id="rId44">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2</w:t>
              </w:r>
            </w:hyperlink>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5.1</w:t>
            </w:r>
          </w:p>
        </w:tc>
        <w:tc>
          <w:tcPr>
            <w:tcW w:w="200" w:type="dxa"/>
            <w:vAlign w:val="bottom"/>
          </w:tcPr>
          <w:p>
            <w:pPr>
              <w:spacing w:after="0"/>
              <w:rPr>
                <w:sz w:val="24"/>
                <w:szCs w:val="24"/>
                <w:color w:val="auto"/>
              </w:rPr>
            </w:pPr>
          </w:p>
        </w:tc>
        <w:tc>
          <w:tcPr>
            <w:tcW w:w="24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w w:val="99"/>
              </w:rPr>
              <w:t>Opinion of Latham &amp; Watkins LLP.</w:t>
            </w:r>
          </w:p>
        </w:tc>
        <w:tc>
          <w:tcPr>
            <w:tcW w:w="20" w:type="dxa"/>
            <w:vAlign w:val="bottom"/>
            <w:tcBorders>
              <w:top w:val="single" w:sz="8" w:color="0000EE"/>
            </w:tcBorders>
          </w:tcPr>
          <w:p>
            <w:pPr>
              <w:spacing w:after="0"/>
              <w:rPr>
                <w:sz w:val="24"/>
                <w:szCs w:val="24"/>
                <w:color w:val="auto"/>
              </w:rPr>
            </w:pPr>
          </w:p>
        </w:tc>
        <w:tc>
          <w:tcPr>
            <w:tcW w:w="4200" w:type="dxa"/>
            <w:vAlign w:val="bottom"/>
            <w:gridSpan w:val="10"/>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23.1</w:t>
            </w:r>
          </w:p>
        </w:tc>
        <w:tc>
          <w:tcPr>
            <w:tcW w:w="200" w:type="dxa"/>
            <w:vAlign w:val="bottom"/>
          </w:tcPr>
          <w:p>
            <w:pPr>
              <w:spacing w:after="0"/>
              <w:rPr>
                <w:sz w:val="24"/>
                <w:szCs w:val="24"/>
                <w:color w:val="auto"/>
              </w:rPr>
            </w:pPr>
          </w:p>
        </w:tc>
        <w:tc>
          <w:tcPr>
            <w:tcW w:w="6700" w:type="dxa"/>
            <w:vAlign w:val="bottom"/>
            <w:gridSpan w:val="14"/>
          </w:tcPr>
          <w:p>
            <w:pPr>
              <w:spacing w:after="0"/>
              <w:rPr>
                <w:sz w:val="20"/>
                <w:szCs w:val="20"/>
                <w:color w:val="auto"/>
              </w:rPr>
            </w:pPr>
            <w:r>
              <w:rPr>
                <w:rFonts w:ascii="Times New Roman" w:cs="Times New Roman" w:eastAsia="Times New Roman" w:hAnsi="Times New Roman"/>
                <w:sz w:val="17"/>
                <w:szCs w:val="17"/>
                <w:color w:val="0000EE"/>
              </w:rPr>
              <w:t>Consent of Independent Registered Public Accounting Firm.</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640" w:type="dxa"/>
            <w:vAlign w:val="bottom"/>
            <w:gridSpan w:val="5"/>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23.2</w:t>
            </w:r>
          </w:p>
        </w:tc>
        <w:tc>
          <w:tcPr>
            <w:tcW w:w="200" w:type="dxa"/>
            <w:vAlign w:val="bottom"/>
          </w:tcPr>
          <w:p>
            <w:pPr>
              <w:spacing w:after="0"/>
              <w:rPr>
                <w:sz w:val="24"/>
                <w:szCs w:val="24"/>
                <w:color w:val="auto"/>
              </w:rPr>
            </w:pPr>
          </w:p>
        </w:tc>
        <w:tc>
          <w:tcPr>
            <w:tcW w:w="42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7"/>
                <w:szCs w:val="17"/>
                <w:color w:val="0000EE"/>
              </w:rPr>
              <w:t>Consent of Latham &amp; Watkins LLP (included in Exhibit 5.1).</w:t>
            </w:r>
          </w:p>
        </w:tc>
        <w:tc>
          <w:tcPr>
            <w:tcW w:w="2460" w:type="dxa"/>
            <w:vAlign w:val="bottom"/>
            <w:gridSpan w:val="5"/>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24.1</w:t>
            </w:r>
          </w:p>
        </w:tc>
        <w:tc>
          <w:tcPr>
            <w:tcW w:w="200" w:type="dxa"/>
            <w:vAlign w:val="bottom"/>
          </w:tcPr>
          <w:p>
            <w:pPr>
              <w:spacing w:after="0"/>
              <w:rPr>
                <w:sz w:val="24"/>
                <w:szCs w:val="24"/>
                <w:color w:val="auto"/>
              </w:rPr>
            </w:pPr>
          </w:p>
        </w:tc>
        <w:tc>
          <w:tcPr>
            <w:tcW w:w="38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7"/>
                <w:szCs w:val="17"/>
                <w:color w:val="0000EE"/>
              </w:rPr>
              <w:t>Power of Attorney (included on signature page hereto).</w:t>
            </w:r>
          </w:p>
        </w:tc>
        <w:tc>
          <w:tcPr>
            <w:tcW w:w="2880" w:type="dxa"/>
            <w:vAlign w:val="bottom"/>
            <w:gridSpan w:val="7"/>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w w:val="96"/>
              </w:rPr>
              <w:t>99.1(#)</w:t>
            </w:r>
          </w:p>
        </w:tc>
        <w:tc>
          <w:tcPr>
            <w:tcW w:w="200" w:type="dxa"/>
            <w:vAlign w:val="bottom"/>
          </w:tcPr>
          <w:p>
            <w:pPr>
              <w:spacing w:after="0"/>
              <w:rPr>
                <w:sz w:val="24"/>
                <w:szCs w:val="24"/>
                <w:color w:val="auto"/>
              </w:rPr>
            </w:pPr>
          </w:p>
        </w:tc>
        <w:tc>
          <w:tcPr>
            <w:tcW w:w="6700" w:type="dxa"/>
            <w:vAlign w:val="bottom"/>
            <w:gridSpan w:val="14"/>
          </w:tcPr>
          <w:p>
            <w:pPr>
              <w:spacing w:after="0"/>
              <w:rPr>
                <w:rFonts w:ascii="Times New Roman" w:cs="Times New Roman" w:eastAsia="Times New Roman" w:hAnsi="Times New Roman"/>
                <w:sz w:val="17"/>
                <w:szCs w:val="17"/>
                <w:color w:val="0000EE"/>
              </w:rPr>
            </w:pPr>
            <w:hyperlink r:id="rId45">
              <w:r>
                <w:rPr>
                  <w:rFonts w:ascii="Times New Roman" w:cs="Times New Roman" w:eastAsia="Times New Roman" w:hAnsi="Times New Roman"/>
                  <w:sz w:val="17"/>
                  <w:szCs w:val="17"/>
                  <w:color w:val="0000EE"/>
                </w:rPr>
                <w:t>Ardelyx, Inc. Amended and Restated 2014 Equity Incentive Award Plan.</w:t>
              </w:r>
            </w:hyperlink>
          </w:p>
        </w:tc>
        <w:tc>
          <w:tcPr>
            <w:tcW w:w="60" w:type="dxa"/>
            <w:vAlign w:val="bottom"/>
          </w:tcPr>
          <w:p>
            <w:pPr>
              <w:spacing w:after="0"/>
              <w:rPr>
                <w:sz w:val="24"/>
                <w:szCs w:val="24"/>
                <w:color w:val="auto"/>
              </w:rPr>
            </w:pPr>
          </w:p>
        </w:tc>
        <w:tc>
          <w:tcPr>
            <w:tcW w:w="340" w:type="dxa"/>
            <w:vAlign w:val="bottom"/>
            <w:gridSpan w:val="2"/>
          </w:tcPr>
          <w:p>
            <w:pPr>
              <w:jc w:val="center"/>
              <w:ind w:right="60"/>
              <w:spacing w:after="0"/>
              <w:rPr>
                <w:rFonts w:ascii="Times New Roman" w:cs="Times New Roman" w:eastAsia="Times New Roman" w:hAnsi="Times New Roman"/>
                <w:sz w:val="17"/>
                <w:szCs w:val="17"/>
                <w:color w:val="0000EE"/>
              </w:rPr>
            </w:pPr>
            <w:hyperlink r:id="rId45">
              <w:r>
                <w:rPr>
                  <w:rFonts w:ascii="Times New Roman" w:cs="Times New Roman" w:eastAsia="Times New Roman" w:hAnsi="Times New Roman"/>
                  <w:sz w:val="17"/>
                  <w:szCs w:val="17"/>
                  <w:color w:val="0000EE"/>
                </w:rPr>
                <w:t>8-K</w:t>
              </w:r>
            </w:hyperlink>
          </w:p>
        </w:tc>
        <w:tc>
          <w:tcPr>
            <w:tcW w:w="220" w:type="dxa"/>
            <w:vAlign w:val="bottom"/>
          </w:tcPr>
          <w:p>
            <w:pPr>
              <w:spacing w:after="0"/>
              <w:rPr>
                <w:sz w:val="24"/>
                <w:szCs w:val="24"/>
                <w:color w:val="auto"/>
              </w:rPr>
            </w:pPr>
          </w:p>
        </w:tc>
        <w:tc>
          <w:tcPr>
            <w:tcW w:w="1260" w:type="dxa"/>
            <w:vAlign w:val="bottom"/>
            <w:gridSpan w:val="5"/>
          </w:tcPr>
          <w:p>
            <w:pPr>
              <w:jc w:val="center"/>
              <w:ind w:right="220"/>
              <w:spacing w:after="0"/>
              <w:rPr>
                <w:rFonts w:ascii="Times New Roman" w:cs="Times New Roman" w:eastAsia="Times New Roman" w:hAnsi="Times New Roman"/>
                <w:sz w:val="17"/>
                <w:szCs w:val="17"/>
                <w:color w:val="0000EE"/>
              </w:rPr>
            </w:pPr>
            <w:hyperlink r:id="rId45">
              <w:r>
                <w:rPr>
                  <w:rFonts w:ascii="Times New Roman" w:cs="Times New Roman" w:eastAsia="Times New Roman" w:hAnsi="Times New Roman"/>
                  <w:sz w:val="17"/>
                  <w:szCs w:val="17"/>
                  <w:color w:val="0000EE"/>
                </w:rPr>
                <w:t>June 17, 2024</w:t>
              </w:r>
            </w:hyperlink>
          </w:p>
        </w:tc>
        <w:tc>
          <w:tcPr>
            <w:tcW w:w="520" w:type="dxa"/>
            <w:vAlign w:val="bottom"/>
            <w:gridSpan w:val="5"/>
          </w:tcPr>
          <w:p>
            <w:pPr>
              <w:jc w:val="center"/>
              <w:spacing w:after="0"/>
              <w:rPr>
                <w:rFonts w:ascii="Times New Roman" w:cs="Times New Roman" w:eastAsia="Times New Roman" w:hAnsi="Times New Roman"/>
                <w:sz w:val="17"/>
                <w:szCs w:val="17"/>
                <w:color w:val="0000EE"/>
              </w:rPr>
            </w:pPr>
            <w:hyperlink r:id="rId45">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1</w:t>
              </w:r>
            </w:hyperlink>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840" w:type="dxa"/>
            <w:vAlign w:val="bottom"/>
            <w:gridSpan w:val="8"/>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w w:val="96"/>
              </w:rPr>
              <w:t>99.2(#)</w:t>
            </w:r>
          </w:p>
        </w:tc>
        <w:tc>
          <w:tcPr>
            <w:tcW w:w="200" w:type="dxa"/>
            <w:vAlign w:val="bottom"/>
          </w:tcPr>
          <w:p>
            <w:pPr>
              <w:spacing w:after="0"/>
              <w:rPr>
                <w:sz w:val="24"/>
                <w:szCs w:val="24"/>
                <w:color w:val="auto"/>
              </w:rPr>
            </w:pPr>
          </w:p>
        </w:tc>
        <w:tc>
          <w:tcPr>
            <w:tcW w:w="6700" w:type="dxa"/>
            <w:vAlign w:val="bottom"/>
            <w:gridSpan w:val="14"/>
          </w:tcPr>
          <w:p>
            <w:pPr>
              <w:spacing w:after="0"/>
              <w:rPr>
                <w:rFonts w:ascii="Times New Roman" w:cs="Times New Roman" w:eastAsia="Times New Roman" w:hAnsi="Times New Roman"/>
                <w:sz w:val="17"/>
                <w:szCs w:val="17"/>
                <w:color w:val="0000EE"/>
              </w:rPr>
            </w:pPr>
            <w:hyperlink r:id="rId46">
              <w:r>
                <w:rPr>
                  <w:rFonts w:ascii="Times New Roman" w:cs="Times New Roman" w:eastAsia="Times New Roman" w:hAnsi="Times New Roman"/>
                  <w:sz w:val="17"/>
                  <w:szCs w:val="17"/>
                  <w:color w:val="0000EE"/>
                </w:rPr>
                <w:t>First Amendment to the Ardelyx, Inc. Amended and Restated 2014 Equity Incentive Award</w:t>
              </w:r>
            </w:hyperlink>
          </w:p>
        </w:tc>
        <w:tc>
          <w:tcPr>
            <w:tcW w:w="60" w:type="dxa"/>
            <w:vAlign w:val="bottom"/>
          </w:tcPr>
          <w:p>
            <w:pPr>
              <w:spacing w:after="0"/>
              <w:rPr>
                <w:sz w:val="24"/>
                <w:szCs w:val="24"/>
                <w:color w:val="auto"/>
              </w:rPr>
            </w:pPr>
          </w:p>
        </w:tc>
        <w:tc>
          <w:tcPr>
            <w:tcW w:w="340" w:type="dxa"/>
            <w:vAlign w:val="bottom"/>
            <w:gridSpan w:val="2"/>
          </w:tcPr>
          <w:p>
            <w:pPr>
              <w:jc w:val="center"/>
              <w:ind w:right="60"/>
              <w:spacing w:after="0"/>
              <w:rPr>
                <w:rFonts w:ascii="Times New Roman" w:cs="Times New Roman" w:eastAsia="Times New Roman" w:hAnsi="Times New Roman"/>
                <w:sz w:val="17"/>
                <w:szCs w:val="17"/>
                <w:color w:val="0000EE"/>
              </w:rPr>
            </w:pPr>
            <w:hyperlink r:id="rId46">
              <w:r>
                <w:rPr>
                  <w:rFonts w:ascii="Times New Roman" w:cs="Times New Roman" w:eastAsia="Times New Roman" w:hAnsi="Times New Roman"/>
                  <w:sz w:val="17"/>
                  <w:szCs w:val="17"/>
                  <w:color w:val="0000EE"/>
                </w:rPr>
                <w:t>8-K</w:t>
              </w:r>
            </w:hyperlink>
          </w:p>
        </w:tc>
        <w:tc>
          <w:tcPr>
            <w:tcW w:w="220" w:type="dxa"/>
            <w:vAlign w:val="bottom"/>
          </w:tcPr>
          <w:p>
            <w:pPr>
              <w:spacing w:after="0"/>
              <w:rPr>
                <w:sz w:val="24"/>
                <w:szCs w:val="24"/>
                <w:color w:val="auto"/>
              </w:rPr>
            </w:pPr>
          </w:p>
        </w:tc>
        <w:tc>
          <w:tcPr>
            <w:tcW w:w="1260" w:type="dxa"/>
            <w:vAlign w:val="bottom"/>
            <w:gridSpan w:val="5"/>
          </w:tcPr>
          <w:p>
            <w:pPr>
              <w:jc w:val="center"/>
              <w:ind w:right="220"/>
              <w:spacing w:after="0"/>
              <w:rPr>
                <w:rFonts w:ascii="Times New Roman" w:cs="Times New Roman" w:eastAsia="Times New Roman" w:hAnsi="Times New Roman"/>
                <w:sz w:val="17"/>
                <w:szCs w:val="17"/>
                <w:color w:val="0000EE"/>
              </w:rPr>
            </w:pPr>
            <w:hyperlink r:id="rId46">
              <w:r>
                <w:rPr>
                  <w:rFonts w:ascii="Times New Roman" w:cs="Times New Roman" w:eastAsia="Times New Roman" w:hAnsi="Times New Roman"/>
                  <w:sz w:val="17"/>
                  <w:szCs w:val="17"/>
                  <w:color w:val="0000EE"/>
                </w:rPr>
                <w:t>June 18, 2025</w:t>
              </w:r>
            </w:hyperlink>
          </w:p>
        </w:tc>
        <w:tc>
          <w:tcPr>
            <w:tcW w:w="520" w:type="dxa"/>
            <w:vAlign w:val="bottom"/>
            <w:gridSpan w:val="5"/>
          </w:tcPr>
          <w:p>
            <w:pPr>
              <w:jc w:val="center"/>
              <w:spacing w:after="0"/>
              <w:rPr>
                <w:rFonts w:ascii="Times New Roman" w:cs="Times New Roman" w:eastAsia="Times New Roman" w:hAnsi="Times New Roman"/>
                <w:sz w:val="17"/>
                <w:szCs w:val="17"/>
                <w:color w:val="0000EE"/>
              </w:rPr>
            </w:pPr>
            <w:hyperlink r:id="rId46">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1</w:t>
              </w:r>
            </w:hyperlink>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320" w:type="dxa"/>
            <w:vAlign w:val="bottom"/>
            <w:tcBorders>
              <w:top w:val="single" w:sz="8" w:color="0000EE"/>
            </w:tcBorders>
            <w:gridSpan w:val="12"/>
          </w:tcPr>
          <w:p>
            <w:pPr>
              <w:spacing w:after="0" w:line="187" w:lineRule="exact"/>
              <w:rPr>
                <w:rFonts w:ascii="Times New Roman" w:cs="Times New Roman" w:eastAsia="Times New Roman" w:hAnsi="Times New Roman"/>
                <w:sz w:val="17"/>
                <w:szCs w:val="17"/>
                <w:color w:val="0000EE"/>
              </w:rPr>
            </w:pPr>
            <w:hyperlink r:id="rId46">
              <w:r>
                <w:rPr>
                  <w:rFonts w:ascii="Times New Roman" w:cs="Times New Roman" w:eastAsia="Times New Roman" w:hAnsi="Times New Roman"/>
                  <w:sz w:val="17"/>
                  <w:szCs w:val="17"/>
                  <w:color w:val="0000EE"/>
                </w:rPr>
                <w:t>Plan</w:t>
              </w:r>
              <w:r>
                <w:rPr>
                  <w:rFonts w:ascii="Times New Roman" w:cs="Times New Roman" w:eastAsia="Times New Roman" w:hAnsi="Times New Roman"/>
                  <w:sz w:val="17"/>
                  <w:szCs w:val="17"/>
                  <w:color w:val="000000"/>
                </w:rPr>
                <w:t>.</w:t>
              </w:r>
            </w:hyperlink>
          </w:p>
        </w:tc>
        <w:tc>
          <w:tcPr>
            <w:tcW w:w="38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520" w:type="dxa"/>
            <w:vAlign w:val="bottom"/>
            <w:gridSpan w:val="1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107.1</w:t>
            </w:r>
          </w:p>
        </w:tc>
        <w:tc>
          <w:tcPr>
            <w:tcW w:w="200" w:type="dxa"/>
            <w:vAlign w:val="bottom"/>
          </w:tcPr>
          <w:p>
            <w:pPr>
              <w:spacing w:after="0"/>
              <w:rPr>
                <w:sz w:val="24"/>
                <w:szCs w:val="24"/>
                <w:color w:val="auto"/>
              </w:rPr>
            </w:pPr>
          </w:p>
        </w:tc>
        <w:tc>
          <w:tcPr>
            <w:tcW w:w="11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w w:val="99"/>
              </w:rPr>
              <w:t>Filing Fee Table.</w:t>
            </w:r>
          </w:p>
        </w:tc>
        <w:tc>
          <w:tcPr>
            <w:tcW w:w="5520" w:type="dxa"/>
            <w:vAlign w:val="bottom"/>
            <w:gridSpan w:val="12"/>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420" w:hanging="420"/>
        <w:spacing w:after="0"/>
        <w:tabs>
          <w:tab w:leader="none" w:pos="4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management contract or compensatory plan.</w:t>
      </w:r>
    </w:p>
    <w:p>
      <w:pPr>
        <w:sectPr>
          <w:pgSz w:w="11900" w:h="16838" w:orient="portrait"/>
          <w:cols w:equalWidth="0" w:num="1">
            <w:col w:w="10560"/>
          </w:cols>
          <w:pgMar w:left="660" w:top="262" w:right="6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 xml:space="preserve">Item 9. </w:t>
      </w:r>
      <w:r>
        <w:rPr>
          <w:rFonts w:ascii="Times New Roman" w:cs="Times New Roman" w:eastAsia="Times New Roman" w:hAnsi="Times New Roman"/>
          <w:sz w:val="17"/>
          <w:szCs w:val="17"/>
          <w:b w:val="1"/>
          <w:bCs w:val="1"/>
          <w:u w:val="single" w:color="auto"/>
          <w:color w:val="auto"/>
        </w:rPr>
        <w:t>Undertakings</w:t>
      </w:r>
      <w:r>
        <w:rPr>
          <w:rFonts w:ascii="Times New Roman" w:cs="Times New Roman" w:eastAsia="Times New Roman" w:hAnsi="Times New Roman"/>
          <w:sz w:val="17"/>
          <w:szCs w:val="17"/>
          <w:b w:val="1"/>
          <w:bCs w:val="1"/>
          <w:color w:val="auto"/>
        </w:rPr>
        <w:t>.</w:t>
      </w:r>
    </w:p>
    <w:p>
      <w:pPr>
        <w:spacing w:after="0" w:line="117" w:lineRule="exact"/>
        <w:rPr>
          <w:sz w:val="20"/>
          <w:szCs w:val="20"/>
          <w:color w:val="auto"/>
        </w:rPr>
      </w:pPr>
    </w:p>
    <w:p>
      <w:pPr>
        <w:ind w:left="240" w:hanging="240"/>
        <w:spacing w:after="0"/>
        <w:tabs>
          <w:tab w:leader="none" w:pos="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 hereby undertakes:</w:t>
      </w:r>
    </w:p>
    <w:p>
      <w:pPr>
        <w:spacing w:after="0" w:line="115" w:lineRule="exact"/>
        <w:rPr>
          <w:rFonts w:ascii="Times New Roman" w:cs="Times New Roman" w:eastAsia="Times New Roman" w:hAnsi="Times New Roman"/>
          <w:sz w:val="17"/>
          <w:szCs w:val="17"/>
          <w:color w:val="auto"/>
        </w:rPr>
      </w:pPr>
    </w:p>
    <w:p>
      <w:pPr>
        <w:ind w:left="660" w:hanging="237"/>
        <w:spacing w:after="0"/>
        <w:tabs>
          <w:tab w:leader="none" w:pos="66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115" w:lineRule="exact"/>
        <w:rPr>
          <w:rFonts w:ascii="Times New Roman" w:cs="Times New Roman" w:eastAsia="Times New Roman" w:hAnsi="Times New Roman"/>
          <w:sz w:val="17"/>
          <w:szCs w:val="17"/>
          <w:color w:val="auto"/>
        </w:rPr>
      </w:pPr>
    </w:p>
    <w:p>
      <w:pPr>
        <w:ind w:left="1040" w:hanging="211"/>
        <w:spacing w:after="0"/>
        <w:tabs>
          <w:tab w:leader="none" w:pos="1040" w:val="left"/>
        </w:tabs>
        <w:numPr>
          <w:ilvl w:val="2"/>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prospectus required by Section 10(a)(3) of the Securities Act;</w:t>
      </w:r>
    </w:p>
    <w:p>
      <w:pPr>
        <w:spacing w:after="0" w:line="115" w:lineRule="exact"/>
        <w:rPr>
          <w:rFonts w:ascii="Times New Roman" w:cs="Times New Roman" w:eastAsia="Times New Roman" w:hAnsi="Times New Roman"/>
          <w:sz w:val="17"/>
          <w:szCs w:val="17"/>
          <w:color w:val="auto"/>
        </w:rPr>
      </w:pPr>
    </w:p>
    <w:p>
      <w:pPr>
        <w:ind w:left="420" w:right="100" w:firstLine="409"/>
        <w:spacing w:after="0" w:line="260" w:lineRule="auto"/>
        <w:tabs>
          <w:tab w:leader="none" w:pos="1080" w:val="left"/>
        </w:tabs>
        <w:numPr>
          <w:ilvl w:val="2"/>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72" w:lineRule="exact"/>
        <w:rPr>
          <w:sz w:val="20"/>
          <w:szCs w:val="20"/>
          <w:color w:val="auto"/>
        </w:rPr>
      </w:pPr>
    </w:p>
    <w:p>
      <w:pPr>
        <w:ind w:left="960" w:right="240" w:hanging="9"/>
        <w:spacing w:after="0" w:line="291" w:lineRule="auto"/>
        <w:tabs>
          <w:tab w:leader="none" w:pos="126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44"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7"/>
          <w:szCs w:val="17"/>
          <w:color w:val="auto"/>
        </w:rPr>
        <w:t>Provided, however, that paragraphs (a)(1)(i) and (a)(1)(ii) do not apply if the registration statement is on Form S-8 and the information required to be included in a post-effective amendment by those paragraphs is contained in periodic reports filed with or furnished to the SEC by the Registrant pursuant to Section 13 or 15(d) of the Exchange Act that are incorporated by reference in the registration statement.</w:t>
      </w:r>
    </w:p>
    <w:p>
      <w:pPr>
        <w:spacing w:after="0" w:line="58" w:lineRule="exact"/>
        <w:rPr>
          <w:sz w:val="20"/>
          <w:szCs w:val="20"/>
          <w:color w:val="auto"/>
        </w:rPr>
      </w:pPr>
    </w:p>
    <w:p>
      <w:pPr>
        <w:ind w:right="120" w:firstLine="423"/>
        <w:spacing w:after="0" w:line="273" w:lineRule="auto"/>
        <w:tabs>
          <w:tab w:leader="none" w:pos="667"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58" w:lineRule="exact"/>
        <w:rPr>
          <w:rFonts w:ascii="Times New Roman" w:cs="Times New Roman" w:eastAsia="Times New Roman" w:hAnsi="Times New Roman"/>
          <w:sz w:val="17"/>
          <w:szCs w:val="17"/>
          <w:color w:val="auto"/>
        </w:rPr>
      </w:pPr>
    </w:p>
    <w:p>
      <w:pPr>
        <w:ind w:right="580" w:firstLine="423"/>
        <w:spacing w:after="0" w:line="291" w:lineRule="auto"/>
        <w:tabs>
          <w:tab w:leader="none" w:pos="667"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remove from registration by means of a post-effective amendment any of the securities being registered which remain unsold at the termination of the offering.</w:t>
      </w:r>
    </w:p>
    <w:p>
      <w:pPr>
        <w:spacing w:after="0" w:line="43" w:lineRule="exact"/>
        <w:rPr>
          <w:rFonts w:ascii="Times New Roman" w:cs="Times New Roman" w:eastAsia="Times New Roman" w:hAnsi="Times New Roman"/>
          <w:sz w:val="17"/>
          <w:szCs w:val="17"/>
          <w:color w:val="auto"/>
        </w:rPr>
      </w:pPr>
    </w:p>
    <w:p>
      <w:pPr>
        <w:spacing w:after="0" w:line="266" w:lineRule="auto"/>
        <w:tabs>
          <w:tab w:leader="none" w:pos="24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66" w:lineRule="exact"/>
        <w:rPr>
          <w:sz w:val="20"/>
          <w:szCs w:val="20"/>
          <w:color w:val="auto"/>
        </w:rPr>
      </w:pPr>
    </w:p>
    <w:p>
      <w:pPr>
        <w:ind w:right="100"/>
        <w:spacing w:after="0" w:line="259" w:lineRule="auto"/>
        <w:tabs>
          <w:tab w:leader="none" w:pos="24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540"/>
          </w:cols>
          <w:pgMar w:left="660" w:top="262" w:right="699" w:bottom="1440" w:gutter="0" w:footer="0" w:header="0"/>
        </w:sectPr>
      </w:pPr>
    </w:p>
    <w:bookmarkStart w:id="6" w:name="page7"/>
    <w:bookmarkEnd w:id="6"/>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SIGNATURES</w:t>
      </w:r>
    </w:p>
    <w:p>
      <w:pPr>
        <w:spacing w:after="0" w:line="22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Waltham, Massachusetts, on November 3,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ARDELYX, INC.</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Michael Raab</w:t>
            </w:r>
          </w:p>
        </w:tc>
      </w:tr>
      <w:tr>
        <w:trPr>
          <w:trHeight w:val="195"/>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Michael Raab</w:t>
            </w:r>
          </w:p>
        </w:tc>
      </w:tr>
      <w:tr>
        <w:trPr>
          <w:trHeight w:val="226"/>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bl>
    <w:p>
      <w:pPr>
        <w:spacing w:after="0" w:line="3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KNOW ALL PERSONS BY THESE PRESENTS, that each individual whose signature appears below constitutes and appoints Michael Raab, Sue Hohenleitner and Elizabeth Grammer, and each of them, as attorneys-in-fact, each with the power of substitution, for him or her and in his or her name, place and stead, in any and all capacities, to sign any and all amendments (including post-effective amendments) to this Registration Statement, and to file the same, with all exhibits thereto and all documents in connection therewith, with the SEC,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such attorneys-in-fact and agents or any of them, or their substitute or substitutes, may lawfully do or cause to be done by virtue hereof.</w:t>
      </w:r>
    </w:p>
    <w:p>
      <w:pPr>
        <w:spacing w:after="0" w:line="175" w:lineRule="exact"/>
        <w:rPr>
          <w:sz w:val="20"/>
          <w:szCs w:val="20"/>
          <w:color w:val="auto"/>
        </w:rPr>
      </w:pPr>
    </w:p>
    <w:p>
      <w:pPr>
        <w:ind w:right="300"/>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0480"/>
          </w:cols>
          <w:pgMar w:left="660" w:top="262" w:right="7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0"/>
        </w:trPr>
        <w:tc>
          <w:tcPr>
            <w:tcW w:w="4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20" w:type="dxa"/>
            <w:vAlign w:val="bottom"/>
          </w:tcPr>
          <w:p>
            <w:pPr>
              <w:spacing w:after="0"/>
              <w:rPr>
                <w:sz w:val="15"/>
                <w:szCs w:val="15"/>
                <w:color w:val="auto"/>
              </w:rPr>
            </w:pPr>
          </w:p>
        </w:tc>
        <w:tc>
          <w:tcPr>
            <w:tcW w:w="4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0"/>
        </w:trPr>
        <w:tc>
          <w:tcPr>
            <w:tcW w:w="4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Michael Raab</w:t>
            </w:r>
          </w:p>
        </w:tc>
        <w:tc>
          <w:tcPr>
            <w:tcW w:w="120" w:type="dxa"/>
            <w:vAlign w:val="bottom"/>
          </w:tcPr>
          <w:p>
            <w:pPr>
              <w:spacing w:after="0"/>
              <w:rPr>
                <w:sz w:val="17"/>
                <w:szCs w:val="17"/>
                <w:color w:val="auto"/>
              </w:rPr>
            </w:pPr>
          </w:p>
        </w:tc>
        <w:tc>
          <w:tcPr>
            <w:tcW w:w="4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President, Chief Executive Officer and</w:t>
            </w:r>
          </w:p>
        </w:tc>
        <w:tc>
          <w:tcPr>
            <w:tcW w:w="100" w:type="dxa"/>
            <w:vAlign w:val="bottom"/>
          </w:tcPr>
          <w:p>
            <w:pPr>
              <w:spacing w:after="0"/>
              <w:rPr>
                <w:sz w:val="17"/>
                <w:szCs w:val="17"/>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November 3, 2025</w:t>
            </w:r>
          </w:p>
        </w:tc>
      </w:tr>
      <w:tr>
        <w:trPr>
          <w:trHeight w:val="167"/>
        </w:trPr>
        <w:tc>
          <w:tcPr>
            <w:tcW w:w="402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color w:val="auto"/>
              </w:rPr>
              <w:t>Michael Raab</w:t>
            </w:r>
          </w:p>
        </w:tc>
        <w:tc>
          <w:tcPr>
            <w:tcW w:w="120" w:type="dxa"/>
            <w:vAlign w:val="bottom"/>
          </w:tcPr>
          <w:p>
            <w:pPr>
              <w:spacing w:after="0"/>
              <w:rPr>
                <w:sz w:val="14"/>
                <w:szCs w:val="14"/>
                <w:color w:val="auto"/>
              </w:rPr>
            </w:pPr>
          </w:p>
        </w:tc>
        <w:tc>
          <w:tcPr>
            <w:tcW w:w="4740" w:type="dxa"/>
            <w:vAlign w:val="bottom"/>
            <w:gridSpan w:val="2"/>
          </w:tcPr>
          <w:p>
            <w:pPr>
              <w:jc w:val="center"/>
              <w:ind w:right="120"/>
              <w:spacing w:after="0" w:line="167" w:lineRule="exact"/>
              <w:rPr>
                <w:sz w:val="20"/>
                <w:szCs w:val="20"/>
                <w:color w:val="auto"/>
              </w:rPr>
            </w:pPr>
            <w:r>
              <w:rPr>
                <w:rFonts w:ascii="Times New Roman" w:cs="Times New Roman" w:eastAsia="Times New Roman" w:hAnsi="Times New Roman"/>
                <w:sz w:val="17"/>
                <w:szCs w:val="17"/>
                <w:color w:val="auto"/>
              </w:rPr>
              <w:t>Director</w:t>
            </w:r>
          </w:p>
        </w:tc>
        <w:tc>
          <w:tcPr>
            <w:tcW w:w="1680" w:type="dxa"/>
            <w:vAlign w:val="bottom"/>
          </w:tcPr>
          <w:p>
            <w:pPr>
              <w:spacing w:after="0"/>
              <w:rPr>
                <w:sz w:val="14"/>
                <w:szCs w:val="14"/>
                <w:color w:val="auto"/>
              </w:rPr>
            </w:pPr>
          </w:p>
        </w:tc>
      </w:tr>
      <w:tr>
        <w:trPr>
          <w:trHeight w:val="228"/>
        </w:trPr>
        <w:tc>
          <w:tcPr>
            <w:tcW w:w="4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executive officer</w:t>
            </w:r>
            <w:r>
              <w:rPr>
                <w:rFonts w:ascii="Times New Roman" w:cs="Times New Roman" w:eastAsia="Times New Roman" w:hAnsi="Times New Roman"/>
                <w:sz w:val="17"/>
                <w:szCs w:val="17"/>
                <w:color w:val="auto"/>
              </w:rPr>
              <w:t>)</w:t>
            </w:r>
          </w:p>
        </w:tc>
        <w:tc>
          <w:tcPr>
            <w:tcW w:w="1680" w:type="dxa"/>
            <w:vAlign w:val="bottom"/>
          </w:tcPr>
          <w:p>
            <w:pPr>
              <w:spacing w:after="0"/>
              <w:rPr>
                <w:sz w:val="19"/>
                <w:szCs w:val="19"/>
                <w:color w:val="auto"/>
              </w:rPr>
            </w:pPr>
          </w:p>
        </w:tc>
      </w:tr>
      <w:tr>
        <w:trPr>
          <w:trHeight w:val="414"/>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Justin Renz</w:t>
            </w:r>
          </w:p>
        </w:tc>
        <w:tc>
          <w:tcPr>
            <w:tcW w:w="120" w:type="dxa"/>
            <w:vAlign w:val="bottom"/>
          </w:tcPr>
          <w:p>
            <w:pPr>
              <w:spacing w:after="0"/>
              <w:rPr>
                <w:sz w:val="24"/>
                <w:szCs w:val="24"/>
                <w:color w:val="auto"/>
              </w:rPr>
            </w:pPr>
          </w:p>
        </w:tc>
        <w:tc>
          <w:tcPr>
            <w:tcW w:w="4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Chief Financial and Operations Officer</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3, 2025</w:t>
            </w:r>
          </w:p>
        </w:tc>
      </w:tr>
      <w:tr>
        <w:trPr>
          <w:trHeight w:val="219"/>
        </w:trPr>
        <w:tc>
          <w:tcPr>
            <w:tcW w:w="4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Justin Renz</w:t>
            </w:r>
          </w:p>
        </w:tc>
        <w:tc>
          <w:tcPr>
            <w:tcW w:w="120" w:type="dxa"/>
            <w:vAlign w:val="bottom"/>
          </w:tcPr>
          <w:p>
            <w:pPr>
              <w:spacing w:after="0"/>
              <w:rPr>
                <w:sz w:val="19"/>
                <w:szCs w:val="19"/>
                <w:color w:val="auto"/>
              </w:rPr>
            </w:pPr>
          </w:p>
        </w:tc>
        <w:tc>
          <w:tcPr>
            <w:tcW w:w="4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financial officer</w:t>
            </w:r>
            <w:r>
              <w:rPr>
                <w:rFonts w:ascii="Times New Roman" w:cs="Times New Roman" w:eastAsia="Times New Roman" w:hAnsi="Times New Roman"/>
                <w:sz w:val="17"/>
                <w:szCs w:val="17"/>
                <w:color w:val="auto"/>
              </w:rPr>
              <w:t>)</w:t>
            </w:r>
          </w:p>
        </w:tc>
        <w:tc>
          <w:tcPr>
            <w:tcW w:w="1680" w:type="dxa"/>
            <w:vAlign w:val="bottom"/>
          </w:tcPr>
          <w:p>
            <w:pPr>
              <w:spacing w:after="0"/>
              <w:rPr>
                <w:sz w:val="19"/>
                <w:szCs w:val="19"/>
                <w:color w:val="auto"/>
              </w:rPr>
            </w:pPr>
          </w:p>
        </w:tc>
      </w:tr>
      <w:tr>
        <w:trPr>
          <w:trHeight w:val="409"/>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/s/Joseph Reilly</w:t>
            </w:r>
          </w:p>
        </w:tc>
        <w:tc>
          <w:tcPr>
            <w:tcW w:w="120" w:type="dxa"/>
            <w:vAlign w:val="bottom"/>
          </w:tcPr>
          <w:p>
            <w:pPr>
              <w:spacing w:after="0"/>
              <w:rPr>
                <w:sz w:val="24"/>
                <w:szCs w:val="24"/>
                <w:color w:val="auto"/>
              </w:rPr>
            </w:pPr>
          </w:p>
        </w:tc>
        <w:tc>
          <w:tcPr>
            <w:tcW w:w="4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Senior Vice President and</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3, 2025</w:t>
            </w:r>
          </w:p>
        </w:tc>
      </w:tr>
      <w:tr>
        <w:trPr>
          <w:trHeight w:val="167"/>
        </w:trPr>
        <w:tc>
          <w:tcPr>
            <w:tcW w:w="402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color w:val="auto"/>
              </w:rPr>
              <w:t>Joseph Reilly</w:t>
            </w:r>
          </w:p>
        </w:tc>
        <w:tc>
          <w:tcPr>
            <w:tcW w:w="120" w:type="dxa"/>
            <w:vAlign w:val="bottom"/>
          </w:tcPr>
          <w:p>
            <w:pPr>
              <w:spacing w:after="0"/>
              <w:rPr>
                <w:sz w:val="14"/>
                <w:szCs w:val="14"/>
                <w:color w:val="auto"/>
              </w:rPr>
            </w:pPr>
          </w:p>
        </w:tc>
        <w:tc>
          <w:tcPr>
            <w:tcW w:w="4740" w:type="dxa"/>
            <w:vAlign w:val="bottom"/>
            <w:gridSpan w:val="2"/>
          </w:tcPr>
          <w:p>
            <w:pPr>
              <w:jc w:val="center"/>
              <w:ind w:right="100"/>
              <w:spacing w:after="0" w:line="167" w:lineRule="exact"/>
              <w:rPr>
                <w:sz w:val="20"/>
                <w:szCs w:val="20"/>
                <w:color w:val="auto"/>
              </w:rPr>
            </w:pPr>
            <w:r>
              <w:rPr>
                <w:rFonts w:ascii="Times New Roman" w:cs="Times New Roman" w:eastAsia="Times New Roman" w:hAnsi="Times New Roman"/>
                <w:sz w:val="17"/>
                <w:szCs w:val="17"/>
                <w:color w:val="auto"/>
              </w:rPr>
              <w:t>Chief Accounting Officer</w:t>
            </w:r>
          </w:p>
        </w:tc>
        <w:tc>
          <w:tcPr>
            <w:tcW w:w="1680" w:type="dxa"/>
            <w:vAlign w:val="bottom"/>
          </w:tcPr>
          <w:p>
            <w:pPr>
              <w:spacing w:after="0"/>
              <w:rPr>
                <w:sz w:val="14"/>
                <w:szCs w:val="14"/>
                <w:color w:val="auto"/>
              </w:rPr>
            </w:pPr>
          </w:p>
        </w:tc>
      </w:tr>
      <w:tr>
        <w:trPr>
          <w:trHeight w:val="228"/>
        </w:trPr>
        <w:tc>
          <w:tcPr>
            <w:tcW w:w="4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accounting officer</w:t>
            </w:r>
            <w:r>
              <w:rPr>
                <w:rFonts w:ascii="Times New Roman" w:cs="Times New Roman" w:eastAsia="Times New Roman" w:hAnsi="Times New Roman"/>
                <w:sz w:val="17"/>
                <w:szCs w:val="17"/>
                <w:color w:val="auto"/>
              </w:rPr>
              <w:t>)</w:t>
            </w:r>
          </w:p>
        </w:tc>
        <w:tc>
          <w:tcPr>
            <w:tcW w:w="1680" w:type="dxa"/>
            <w:vAlign w:val="bottom"/>
          </w:tcPr>
          <w:p>
            <w:pPr>
              <w:spacing w:after="0"/>
              <w:rPr>
                <w:sz w:val="19"/>
                <w:szCs w:val="19"/>
                <w:color w:val="auto"/>
              </w:rPr>
            </w:pPr>
          </w:p>
        </w:tc>
      </w:tr>
      <w:tr>
        <w:trPr>
          <w:trHeight w:val="414"/>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David Mott</w:t>
            </w:r>
          </w:p>
        </w:tc>
        <w:tc>
          <w:tcPr>
            <w:tcW w:w="120" w:type="dxa"/>
            <w:vAlign w:val="bottom"/>
          </w:tcPr>
          <w:p>
            <w:pPr>
              <w:spacing w:after="0"/>
              <w:rPr>
                <w:sz w:val="24"/>
                <w:szCs w:val="24"/>
                <w:color w:val="auto"/>
              </w:rPr>
            </w:pPr>
          </w:p>
        </w:tc>
        <w:tc>
          <w:tcPr>
            <w:tcW w:w="4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Chairman of the Board of Directors</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3, 2025</w:t>
            </w:r>
          </w:p>
        </w:tc>
      </w:tr>
      <w:tr>
        <w:trPr>
          <w:trHeight w:val="219"/>
        </w:trPr>
        <w:tc>
          <w:tcPr>
            <w:tcW w:w="4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David Mott</w:t>
            </w:r>
          </w:p>
        </w:tc>
        <w:tc>
          <w:tcPr>
            <w:tcW w:w="1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09"/>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Robert Bazemore</w:t>
            </w:r>
          </w:p>
        </w:tc>
        <w:tc>
          <w:tcPr>
            <w:tcW w:w="120" w:type="dxa"/>
            <w:vAlign w:val="bottom"/>
          </w:tcPr>
          <w:p>
            <w:pPr>
              <w:spacing w:after="0"/>
              <w:rPr>
                <w:sz w:val="24"/>
                <w:szCs w:val="24"/>
                <w:color w:val="auto"/>
              </w:rPr>
            </w:pPr>
          </w:p>
        </w:tc>
        <w:tc>
          <w:tcPr>
            <w:tcW w:w="4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3, 2025</w:t>
            </w:r>
          </w:p>
        </w:tc>
      </w:tr>
      <w:tr>
        <w:trPr>
          <w:trHeight w:val="219"/>
        </w:trPr>
        <w:tc>
          <w:tcPr>
            <w:tcW w:w="4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Robert Bazemore</w:t>
            </w:r>
          </w:p>
        </w:tc>
        <w:tc>
          <w:tcPr>
            <w:tcW w:w="1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09"/>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William Bertrand, Jr.</w:t>
            </w:r>
          </w:p>
        </w:tc>
        <w:tc>
          <w:tcPr>
            <w:tcW w:w="120" w:type="dxa"/>
            <w:vAlign w:val="bottom"/>
          </w:tcPr>
          <w:p>
            <w:pPr>
              <w:spacing w:after="0"/>
              <w:rPr>
                <w:sz w:val="24"/>
                <w:szCs w:val="24"/>
                <w:color w:val="auto"/>
              </w:rPr>
            </w:pPr>
          </w:p>
        </w:tc>
        <w:tc>
          <w:tcPr>
            <w:tcW w:w="4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3, 2025</w:t>
            </w:r>
          </w:p>
        </w:tc>
      </w:tr>
      <w:tr>
        <w:trPr>
          <w:trHeight w:val="219"/>
        </w:trPr>
        <w:tc>
          <w:tcPr>
            <w:tcW w:w="4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William Bertrand, Jr.</w:t>
            </w:r>
          </w:p>
        </w:tc>
        <w:tc>
          <w:tcPr>
            <w:tcW w:w="1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09"/>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Muna Bhanji</w:t>
            </w:r>
          </w:p>
        </w:tc>
        <w:tc>
          <w:tcPr>
            <w:tcW w:w="120" w:type="dxa"/>
            <w:vAlign w:val="bottom"/>
          </w:tcPr>
          <w:p>
            <w:pPr>
              <w:spacing w:after="0"/>
              <w:rPr>
                <w:sz w:val="24"/>
                <w:szCs w:val="24"/>
                <w:color w:val="auto"/>
              </w:rPr>
            </w:pPr>
          </w:p>
        </w:tc>
        <w:tc>
          <w:tcPr>
            <w:tcW w:w="4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3, 2025</w:t>
            </w:r>
          </w:p>
        </w:tc>
      </w:tr>
      <w:tr>
        <w:trPr>
          <w:trHeight w:val="219"/>
        </w:trPr>
        <w:tc>
          <w:tcPr>
            <w:tcW w:w="4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Muna Bhanji, R.Ph.</w:t>
            </w:r>
          </w:p>
        </w:tc>
        <w:tc>
          <w:tcPr>
            <w:tcW w:w="1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09"/>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Onaiza Cadoret-Manier</w:t>
            </w:r>
          </w:p>
        </w:tc>
        <w:tc>
          <w:tcPr>
            <w:tcW w:w="120" w:type="dxa"/>
            <w:vAlign w:val="bottom"/>
          </w:tcPr>
          <w:p>
            <w:pPr>
              <w:spacing w:after="0"/>
              <w:rPr>
                <w:sz w:val="24"/>
                <w:szCs w:val="24"/>
                <w:color w:val="auto"/>
              </w:rPr>
            </w:pPr>
          </w:p>
        </w:tc>
        <w:tc>
          <w:tcPr>
            <w:tcW w:w="4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3, 2025</w:t>
            </w:r>
          </w:p>
        </w:tc>
      </w:tr>
      <w:tr>
        <w:trPr>
          <w:trHeight w:val="219"/>
        </w:trPr>
        <w:tc>
          <w:tcPr>
            <w:tcW w:w="4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Onaiza Cadoret-Manier</w:t>
            </w:r>
          </w:p>
        </w:tc>
        <w:tc>
          <w:tcPr>
            <w:tcW w:w="1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09"/>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Merdad Parsey</w:t>
            </w:r>
          </w:p>
        </w:tc>
        <w:tc>
          <w:tcPr>
            <w:tcW w:w="120" w:type="dxa"/>
            <w:vAlign w:val="bottom"/>
          </w:tcPr>
          <w:p>
            <w:pPr>
              <w:spacing w:after="0"/>
              <w:rPr>
                <w:sz w:val="24"/>
                <w:szCs w:val="24"/>
                <w:color w:val="auto"/>
              </w:rPr>
            </w:pPr>
          </w:p>
        </w:tc>
        <w:tc>
          <w:tcPr>
            <w:tcW w:w="4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3, 2025</w:t>
            </w:r>
          </w:p>
        </w:tc>
      </w:tr>
      <w:tr>
        <w:trPr>
          <w:trHeight w:val="219"/>
        </w:trPr>
        <w:tc>
          <w:tcPr>
            <w:tcW w:w="4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Merdad Parsey, M.D., Ph.D.</w:t>
            </w:r>
          </w:p>
        </w:tc>
        <w:tc>
          <w:tcPr>
            <w:tcW w:w="1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09"/>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Richard Rodgers</w:t>
            </w:r>
          </w:p>
        </w:tc>
        <w:tc>
          <w:tcPr>
            <w:tcW w:w="120" w:type="dxa"/>
            <w:vAlign w:val="bottom"/>
          </w:tcPr>
          <w:p>
            <w:pPr>
              <w:spacing w:after="0"/>
              <w:rPr>
                <w:sz w:val="24"/>
                <w:szCs w:val="24"/>
                <w:color w:val="auto"/>
              </w:rPr>
            </w:pPr>
          </w:p>
        </w:tc>
        <w:tc>
          <w:tcPr>
            <w:tcW w:w="4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3, 2025</w:t>
            </w:r>
          </w:p>
        </w:tc>
      </w:tr>
      <w:tr>
        <w:trPr>
          <w:trHeight w:val="219"/>
        </w:trPr>
        <w:tc>
          <w:tcPr>
            <w:tcW w:w="4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Richard Rodgers</w:t>
            </w:r>
          </w:p>
        </w:tc>
        <w:tc>
          <w:tcPr>
            <w:tcW w:w="1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bl>
    <w:p>
      <w:pPr>
        <w:spacing w:after="0"/>
        <w:rPr>
          <w:sz w:val="20"/>
          <w:szCs w:val="20"/>
          <w:color w:val="auto"/>
        </w:rPr>
        <w:sectPr>
          <w:pgSz w:w="11900" w:h="16838" w:orient="portrait"/>
          <w:cols w:equalWidth="0" w:num="1">
            <w:col w:w="10560"/>
          </w:cols>
          <w:pgMar w:left="660" w:top="258" w:right="679" w:bottom="1440" w:gutter="0" w:footer="0" w:header="0"/>
        </w:sect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9">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p>
    <w:bookmarkStart w:id="8" w:name="page9"/>
    <w:bookmarkEnd w:id="8"/>
    <w:p>
      <w:pPr>
        <w:ind w:left="976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4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7"/>
          <w:szCs w:val="17"/>
          <w:color w:val="auto"/>
        </w:rPr>
        <w:t>140 Scott Drive</w:t>
      </w:r>
    </w:p>
    <w:p>
      <w:pPr>
        <w:spacing w:after="0" w:line="3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7"/>
          <w:szCs w:val="17"/>
          <w:color w:val="auto"/>
        </w:rPr>
        <w:t>Menlo Park, California 94025</w:t>
      </w:r>
    </w:p>
    <w:p>
      <w:pPr>
        <w:spacing w:after="0" w:line="12"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7"/>
          <w:szCs w:val="17"/>
          <w:color w:val="auto"/>
        </w:rPr>
        <w:t>Tel: +1.650.328.4600 Fax: +1.650.463.2600</w:t>
      </w:r>
    </w:p>
    <w:p>
      <w:pPr>
        <w:spacing w:after="0" w:line="12"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7"/>
          <w:szCs w:val="17"/>
          <w:color w:val="auto"/>
        </w:rPr>
        <w:t>www.lw.com</w:t>
      </w:r>
    </w:p>
    <w:p>
      <w:pPr>
        <w:sectPr>
          <w:pgSz w:w="11900" w:h="16838" w:orient="portrait"/>
          <w:cols w:equalWidth="0" w:num="1">
            <w:col w:w="10560"/>
          </w:cols>
          <w:pgMar w:left="660" w:top="119"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-1033145</wp:posOffset>
            </wp:positionV>
            <wp:extent cx="1998345" cy="1727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0">
                      <a:extLst>
                        <a:ext uri="{28A0092B-C50C-407E-A947-70E740481C1C}"/>
                      </a:extLst>
                    </a:blip>
                    <a:srcRect/>
                    <a:stretch>
                      <a:fillRect/>
                    </a:stretch>
                  </pic:blipFill>
                  <pic:spPr bwMode="auto">
                    <a:xfrm>
                      <a:off x="0" y="0"/>
                      <a:ext cx="1998345" cy="1727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FIRM / AFFILIATE OFFICES</w:t>
      </w:r>
    </w:p>
    <w:p>
      <w:pPr>
        <w:spacing w:after="0" w:line="30"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7"/>
          <w:szCs w:val="17"/>
          <w:color w:val="auto"/>
        </w:rPr>
        <w:t>Austin</w:t>
      </w:r>
      <w:r>
        <w:rPr>
          <w:sz w:val="20"/>
          <w:szCs w:val="20"/>
          <w:color w:val="auto"/>
        </w:rPr>
        <w:tab/>
      </w:r>
      <w:r>
        <w:rPr>
          <w:rFonts w:ascii="Times New Roman" w:cs="Times New Roman" w:eastAsia="Times New Roman" w:hAnsi="Times New Roman"/>
          <w:sz w:val="17"/>
          <w:szCs w:val="17"/>
          <w:color w:val="auto"/>
        </w:rPr>
        <w:t>Milan</w:t>
      </w:r>
    </w:p>
    <w:p>
      <w:pPr>
        <w:spacing w:after="0" w:line="12"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7"/>
          <w:szCs w:val="17"/>
          <w:color w:val="auto"/>
        </w:rPr>
        <w:t>Beijing</w:t>
      </w:r>
      <w:r>
        <w:rPr>
          <w:sz w:val="20"/>
          <w:szCs w:val="20"/>
          <w:color w:val="auto"/>
        </w:rPr>
        <w:tab/>
      </w:r>
      <w:r>
        <w:rPr>
          <w:rFonts w:ascii="Times New Roman" w:cs="Times New Roman" w:eastAsia="Times New Roman" w:hAnsi="Times New Roman"/>
          <w:sz w:val="17"/>
          <w:szCs w:val="17"/>
          <w:color w:val="auto"/>
        </w:rPr>
        <w:t>Munich</w:t>
      </w:r>
    </w:p>
    <w:p>
      <w:pPr>
        <w:spacing w:after="0" w:line="12"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7"/>
          <w:szCs w:val="17"/>
          <w:color w:val="auto"/>
        </w:rPr>
        <w:t>Boston</w:t>
      </w:r>
      <w:r>
        <w:rPr>
          <w:sz w:val="20"/>
          <w:szCs w:val="20"/>
          <w:color w:val="auto"/>
        </w:rPr>
        <w:tab/>
      </w:r>
      <w:r>
        <w:rPr>
          <w:rFonts w:ascii="Times New Roman" w:cs="Times New Roman" w:eastAsia="Times New Roman" w:hAnsi="Times New Roman"/>
          <w:sz w:val="17"/>
          <w:szCs w:val="17"/>
          <w:color w:val="auto"/>
        </w:rPr>
        <w:t>New York</w:t>
      </w:r>
    </w:p>
    <w:p>
      <w:pPr>
        <w:spacing w:after="0" w:line="12"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7"/>
          <w:szCs w:val="17"/>
          <w:color w:val="auto"/>
        </w:rPr>
        <w:t>Brussels</w:t>
      </w:r>
      <w:r>
        <w:rPr>
          <w:sz w:val="20"/>
          <w:szCs w:val="20"/>
          <w:color w:val="auto"/>
        </w:rPr>
        <w:tab/>
      </w:r>
      <w:r>
        <w:rPr>
          <w:rFonts w:ascii="Times New Roman" w:cs="Times New Roman" w:eastAsia="Times New Roman" w:hAnsi="Times New Roman"/>
          <w:sz w:val="17"/>
          <w:szCs w:val="17"/>
          <w:color w:val="auto"/>
        </w:rPr>
        <w:t>Orange County</w:t>
      </w:r>
    </w:p>
    <w:p>
      <w:pPr>
        <w:spacing w:after="0" w:line="12"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7"/>
          <w:szCs w:val="17"/>
          <w:color w:val="auto"/>
        </w:rPr>
        <w:t>Chicago</w:t>
      </w:r>
      <w:r>
        <w:rPr>
          <w:sz w:val="20"/>
          <w:szCs w:val="20"/>
          <w:color w:val="auto"/>
        </w:rPr>
        <w:tab/>
      </w:r>
      <w:r>
        <w:rPr>
          <w:rFonts w:ascii="Times New Roman" w:cs="Times New Roman" w:eastAsia="Times New Roman" w:hAnsi="Times New Roman"/>
          <w:sz w:val="17"/>
          <w:szCs w:val="17"/>
          <w:color w:val="auto"/>
        </w:rPr>
        <w:t>Paris</w:t>
      </w:r>
    </w:p>
    <w:p>
      <w:pPr>
        <w:spacing w:after="0" w:line="12"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7"/>
          <w:szCs w:val="17"/>
          <w:color w:val="auto"/>
        </w:rPr>
        <w:t>Dubai</w:t>
      </w:r>
      <w:r>
        <w:rPr>
          <w:sz w:val="20"/>
          <w:szCs w:val="20"/>
          <w:color w:val="auto"/>
        </w:rPr>
        <w:tab/>
      </w:r>
      <w:r>
        <w:rPr>
          <w:rFonts w:ascii="Times New Roman" w:cs="Times New Roman" w:eastAsia="Times New Roman" w:hAnsi="Times New Roman"/>
          <w:sz w:val="17"/>
          <w:szCs w:val="17"/>
          <w:color w:val="auto"/>
        </w:rPr>
        <w:t>Riyadh</w:t>
      </w:r>
    </w:p>
    <w:p>
      <w:pPr>
        <w:spacing w:after="0" w:line="12"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7"/>
          <w:szCs w:val="17"/>
          <w:color w:val="auto"/>
        </w:rPr>
        <w:t>Düsseldorf</w:t>
      </w:r>
      <w:r>
        <w:rPr>
          <w:sz w:val="20"/>
          <w:szCs w:val="20"/>
          <w:color w:val="auto"/>
        </w:rPr>
        <w:tab/>
      </w:r>
      <w:r>
        <w:rPr>
          <w:rFonts w:ascii="Times New Roman" w:cs="Times New Roman" w:eastAsia="Times New Roman" w:hAnsi="Times New Roman"/>
          <w:sz w:val="17"/>
          <w:szCs w:val="17"/>
          <w:color w:val="auto"/>
        </w:rPr>
        <w:t>San Diego</w:t>
      </w:r>
    </w:p>
    <w:p>
      <w:pPr>
        <w:spacing w:after="0" w:line="12"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7"/>
          <w:szCs w:val="17"/>
          <w:color w:val="auto"/>
        </w:rPr>
        <w:t>Frankfurt</w:t>
      </w:r>
      <w:r>
        <w:rPr>
          <w:sz w:val="20"/>
          <w:szCs w:val="20"/>
          <w:color w:val="auto"/>
        </w:rPr>
        <w:tab/>
      </w:r>
      <w:r>
        <w:rPr>
          <w:rFonts w:ascii="Times New Roman" w:cs="Times New Roman" w:eastAsia="Times New Roman" w:hAnsi="Times New Roman"/>
          <w:sz w:val="17"/>
          <w:szCs w:val="17"/>
          <w:color w:val="auto"/>
        </w:rPr>
        <w:t>San Francisco</w:t>
      </w:r>
    </w:p>
    <w:p>
      <w:pPr>
        <w:spacing w:after="0" w:line="12"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7"/>
          <w:szCs w:val="17"/>
          <w:color w:val="auto"/>
        </w:rPr>
        <w:t>Hamburg</w:t>
      </w:r>
      <w:r>
        <w:rPr>
          <w:sz w:val="20"/>
          <w:szCs w:val="20"/>
          <w:color w:val="auto"/>
        </w:rPr>
        <w:tab/>
      </w:r>
      <w:r>
        <w:rPr>
          <w:rFonts w:ascii="Times New Roman" w:cs="Times New Roman" w:eastAsia="Times New Roman" w:hAnsi="Times New Roman"/>
          <w:sz w:val="17"/>
          <w:szCs w:val="17"/>
          <w:color w:val="auto"/>
        </w:rPr>
        <w:t>Seoul</w:t>
      </w:r>
    </w:p>
    <w:p>
      <w:pPr>
        <w:spacing w:after="0" w:line="12"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7"/>
          <w:szCs w:val="17"/>
          <w:color w:val="auto"/>
        </w:rPr>
        <w:t>Hong Kong</w:t>
      </w:r>
      <w:r>
        <w:rPr>
          <w:sz w:val="20"/>
          <w:szCs w:val="20"/>
          <w:color w:val="auto"/>
        </w:rPr>
        <w:tab/>
      </w:r>
      <w:r>
        <w:rPr>
          <w:rFonts w:ascii="Times New Roman" w:cs="Times New Roman" w:eastAsia="Times New Roman" w:hAnsi="Times New Roman"/>
          <w:sz w:val="17"/>
          <w:szCs w:val="17"/>
          <w:color w:val="auto"/>
        </w:rPr>
        <w:t>Silicon Valley</w:t>
      </w:r>
    </w:p>
    <w:p>
      <w:pPr>
        <w:spacing w:after="0" w:line="12"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7"/>
          <w:szCs w:val="17"/>
          <w:color w:val="auto"/>
        </w:rPr>
        <w:t>Houston</w:t>
      </w:r>
      <w:r>
        <w:rPr>
          <w:sz w:val="20"/>
          <w:szCs w:val="20"/>
          <w:color w:val="auto"/>
        </w:rPr>
        <w:tab/>
      </w:r>
      <w:r>
        <w:rPr>
          <w:rFonts w:ascii="Times New Roman" w:cs="Times New Roman" w:eastAsia="Times New Roman" w:hAnsi="Times New Roman"/>
          <w:sz w:val="17"/>
          <w:szCs w:val="17"/>
          <w:color w:val="auto"/>
        </w:rPr>
        <w:t>Singapore</w:t>
      </w:r>
    </w:p>
    <w:p>
      <w:pPr>
        <w:spacing w:after="0" w:line="12"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7"/>
          <w:szCs w:val="17"/>
          <w:color w:val="auto"/>
        </w:rPr>
        <w:t>London</w:t>
      </w:r>
      <w:r>
        <w:rPr>
          <w:sz w:val="20"/>
          <w:szCs w:val="20"/>
          <w:color w:val="auto"/>
        </w:rPr>
        <w:tab/>
      </w:r>
      <w:r>
        <w:rPr>
          <w:rFonts w:ascii="Times New Roman" w:cs="Times New Roman" w:eastAsia="Times New Roman" w:hAnsi="Times New Roman"/>
          <w:sz w:val="17"/>
          <w:szCs w:val="17"/>
          <w:color w:val="auto"/>
        </w:rPr>
        <w:t>Tel Aviv</w:t>
      </w:r>
    </w:p>
    <w:p>
      <w:pPr>
        <w:spacing w:after="0" w:line="12"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7"/>
          <w:szCs w:val="17"/>
          <w:color w:val="auto"/>
        </w:rPr>
        <w:t>Los Angeles </w:t>
      </w:r>
      <w:r>
        <w:rPr>
          <w:sz w:val="20"/>
          <w:szCs w:val="20"/>
          <w:color w:val="auto"/>
        </w:rPr>
        <w:tab/>
      </w:r>
      <w:r>
        <w:rPr>
          <w:rFonts w:ascii="Times New Roman" w:cs="Times New Roman" w:eastAsia="Times New Roman" w:hAnsi="Times New Roman"/>
          <w:sz w:val="16"/>
          <w:szCs w:val="16"/>
          <w:color w:val="auto"/>
        </w:rPr>
        <w:t>Tokyo</w:t>
      </w:r>
    </w:p>
    <w:p>
      <w:pPr>
        <w:spacing w:after="0" w:line="12"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7"/>
          <w:szCs w:val="17"/>
          <w:color w:val="auto"/>
        </w:rPr>
        <w:t>Madrid</w:t>
      </w:r>
      <w:r>
        <w:rPr>
          <w:sz w:val="20"/>
          <w:szCs w:val="20"/>
          <w:color w:val="auto"/>
        </w:rPr>
        <w:tab/>
      </w:r>
      <w:r>
        <w:rPr>
          <w:rFonts w:ascii="Times New Roman" w:cs="Times New Roman" w:eastAsia="Times New Roman" w:hAnsi="Times New Roman"/>
          <w:sz w:val="17"/>
          <w:szCs w:val="17"/>
          <w:color w:val="auto"/>
        </w:rPr>
        <w:t>Washington, D.C.</w:t>
      </w:r>
    </w:p>
    <w:p>
      <w:pPr>
        <w:spacing w:after="0" w:line="200" w:lineRule="exact"/>
        <w:rPr>
          <w:sz w:val="20"/>
          <w:szCs w:val="20"/>
          <w:color w:val="auto"/>
        </w:rPr>
      </w:pPr>
    </w:p>
    <w:p>
      <w:pPr>
        <w:sectPr>
          <w:pgSz w:w="11900" w:h="16838" w:orient="portrait"/>
          <w:cols w:equalWidth="0" w:num="2">
            <w:col w:w="6380" w:space="720"/>
            <w:col w:w="3460"/>
          </w:cols>
          <w:pgMar w:left="660" w:top="119" w:right="6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Ardelyx,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400 Fifth Avenue, Suite 210</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Waltham, MA 02451</w:t>
      </w:r>
    </w:p>
    <w:p>
      <w:pPr>
        <w:spacing w:after="0" w:line="22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color w:val="auto"/>
        </w:rPr>
        <w:t>Re:</w:t>
      </w:r>
      <w:r>
        <w:rPr>
          <w:sz w:val="20"/>
          <w:szCs w:val="20"/>
          <w:color w:val="auto"/>
        </w:rPr>
        <w:tab/>
      </w:r>
      <w:r>
        <w:rPr>
          <w:rFonts w:ascii="Times New Roman" w:cs="Times New Roman" w:eastAsia="Times New Roman" w:hAnsi="Times New Roman"/>
          <w:sz w:val="17"/>
          <w:szCs w:val="17"/>
          <w:u w:val="single" w:color="auto"/>
          <w:color w:val="auto"/>
        </w:rPr>
        <w:t>Registration Statement on Form S-8; 10,000,000 shares of Common Stock of Ardelyx, Inc., par value $0.0001 per share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addressee set forth above:</w:t>
      </w:r>
    </w:p>
    <w:p>
      <w:pPr>
        <w:spacing w:after="0" w:line="111" w:lineRule="exact"/>
        <w:rPr>
          <w:sz w:val="20"/>
          <w:szCs w:val="20"/>
          <w:color w:val="auto"/>
        </w:rPr>
      </w:pPr>
    </w:p>
    <w:p>
      <w:pPr>
        <w:ind w:right="120" w:firstLine="422"/>
        <w:spacing w:after="0" w:line="275" w:lineRule="auto"/>
        <w:rPr>
          <w:sz w:val="20"/>
          <w:szCs w:val="20"/>
          <w:color w:val="auto"/>
        </w:rPr>
      </w:pPr>
      <w:r>
        <w:rPr>
          <w:rFonts w:ascii="Times New Roman" w:cs="Times New Roman" w:eastAsia="Times New Roman" w:hAnsi="Times New Roman"/>
          <w:sz w:val="17"/>
          <w:szCs w:val="17"/>
          <w:color w:val="auto"/>
        </w:rPr>
        <w:t>We have acted as special counsel to Ardelyx,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in connection with the registration by the Company of 10,000,000 shares of common stock of the Company, par value $0.0001 per share (the “</w:t>
      </w:r>
      <w:r>
        <w:rPr>
          <w:rFonts w:ascii="Times New Roman" w:cs="Times New Roman" w:eastAsia="Times New Roman" w:hAnsi="Times New Roman"/>
          <w:sz w:val="17"/>
          <w:szCs w:val="17"/>
          <w:b w:val="1"/>
          <w:bCs w:val="1"/>
          <w:i w:val="1"/>
          <w:iCs w:val="1"/>
          <w:color w:val="auto"/>
        </w:rPr>
        <w:t>Shares</w:t>
      </w:r>
      <w:r>
        <w:rPr>
          <w:rFonts w:ascii="Times New Roman" w:cs="Times New Roman" w:eastAsia="Times New Roman" w:hAnsi="Times New Roman"/>
          <w:sz w:val="17"/>
          <w:szCs w:val="17"/>
          <w:color w:val="auto"/>
        </w:rPr>
        <w:t>”), issuable under the Company’s Amended and Restated 2014 Equity Incentive Award Plan, as amended (the “</w:t>
      </w:r>
      <w:r>
        <w:rPr>
          <w:rFonts w:ascii="Times New Roman" w:cs="Times New Roman" w:eastAsia="Times New Roman" w:hAnsi="Times New Roman"/>
          <w:sz w:val="17"/>
          <w:szCs w:val="17"/>
          <w:b w:val="1"/>
          <w:bCs w:val="1"/>
          <w:i w:val="1"/>
          <w:iCs w:val="1"/>
          <w:color w:val="auto"/>
        </w:rPr>
        <w:t>2014 Plan</w:t>
      </w:r>
      <w:r>
        <w:rPr>
          <w:rFonts w:ascii="Times New Roman" w:cs="Times New Roman" w:eastAsia="Times New Roman" w:hAnsi="Times New Roman"/>
          <w:sz w:val="17"/>
          <w:szCs w:val="17"/>
          <w:color w:val="auto"/>
        </w:rPr>
        <w:t>”).</w:t>
      </w:r>
    </w:p>
    <w:p>
      <w:pPr>
        <w:spacing w:after="0" w:line="157" w:lineRule="exact"/>
        <w:rPr>
          <w:sz w:val="20"/>
          <w:szCs w:val="20"/>
          <w:color w:val="auto"/>
        </w:rPr>
      </w:pPr>
    </w:p>
    <w:p>
      <w:pPr>
        <w:ind w:right="20" w:firstLine="422"/>
        <w:spacing w:after="0" w:line="268" w:lineRule="auto"/>
        <w:rPr>
          <w:sz w:val="20"/>
          <w:szCs w:val="20"/>
          <w:color w:val="auto"/>
        </w:rPr>
      </w:pPr>
      <w:r>
        <w:rPr>
          <w:rFonts w:ascii="Times New Roman" w:cs="Times New Roman" w:eastAsia="Times New Roman" w:hAnsi="Times New Roman"/>
          <w:sz w:val="17"/>
          <w:szCs w:val="17"/>
          <w:color w:val="auto"/>
        </w:rPr>
        <w:t>The Shares are included in a registration statement on Form S-8 under the Securities Act of 1933, as amended (the “</w:t>
      </w:r>
      <w:r>
        <w:rPr>
          <w:rFonts w:ascii="Times New Roman" w:cs="Times New Roman" w:eastAsia="Times New Roman" w:hAnsi="Times New Roman"/>
          <w:sz w:val="17"/>
          <w:szCs w:val="17"/>
          <w:b w:val="1"/>
          <w:bCs w:val="1"/>
          <w:i w:val="1"/>
          <w:iCs w:val="1"/>
          <w:color w:val="auto"/>
        </w:rPr>
        <w:t>Act</w:t>
      </w:r>
      <w:r>
        <w:rPr>
          <w:rFonts w:ascii="Times New Roman" w:cs="Times New Roman" w:eastAsia="Times New Roman" w:hAnsi="Times New Roman"/>
          <w:sz w:val="17"/>
          <w:szCs w:val="17"/>
          <w:color w:val="auto"/>
        </w:rPr>
        <w:t>”), filed with the Securities and Exchange Commission (the “</w:t>
      </w:r>
      <w:r>
        <w:rPr>
          <w:rFonts w:ascii="Times New Roman" w:cs="Times New Roman" w:eastAsia="Times New Roman" w:hAnsi="Times New Roman"/>
          <w:sz w:val="17"/>
          <w:szCs w:val="17"/>
          <w:b w:val="1"/>
          <w:bCs w:val="1"/>
          <w:i w:val="1"/>
          <w:iCs w:val="1"/>
          <w:color w:val="auto"/>
        </w:rPr>
        <w:t>Commission</w:t>
      </w:r>
      <w:r>
        <w:rPr>
          <w:rFonts w:ascii="Times New Roman" w:cs="Times New Roman" w:eastAsia="Times New Roman" w:hAnsi="Times New Roman"/>
          <w:sz w:val="17"/>
          <w:szCs w:val="17"/>
          <w:color w:val="auto"/>
        </w:rPr>
        <w:t>”) on November 3, 2025 (the “</w:t>
      </w:r>
      <w:r>
        <w:rPr>
          <w:rFonts w:ascii="Times New Roman" w:cs="Times New Roman" w:eastAsia="Times New Roman" w:hAnsi="Times New Roman"/>
          <w:sz w:val="17"/>
          <w:szCs w:val="17"/>
          <w:b w:val="1"/>
          <w:bCs w:val="1"/>
          <w:i w:val="1"/>
          <w:iCs w:val="1"/>
          <w:color w:val="auto"/>
        </w:rPr>
        <w:t>Registration Statement</w:t>
      </w:r>
      <w:r>
        <w:rPr>
          <w:rFonts w:ascii="Times New Roman" w:cs="Times New Roman" w:eastAsia="Times New Roman" w:hAnsi="Times New Roman"/>
          <w:sz w:val="17"/>
          <w:szCs w:val="17"/>
          <w:color w:val="auto"/>
        </w:rPr>
        <w:t>”). This opinion is being furnished in connection with the requirements of Item 601(b)(5) of Regulation S-K under the Act, and no opinion is expressed herein as to any matter pertaining to the contents of the Registration Statement or the related prospectus, other than as expressly stated herein with respect to the issue of the Shares.</w:t>
      </w:r>
    </w:p>
    <w:p>
      <w:pPr>
        <w:spacing w:after="0" w:line="167" w:lineRule="exact"/>
        <w:rPr>
          <w:sz w:val="20"/>
          <w:szCs w:val="20"/>
          <w:color w:val="auto"/>
        </w:rPr>
      </w:pPr>
    </w:p>
    <w:p>
      <w:pPr>
        <w:ind w:right="160" w:firstLine="422"/>
        <w:spacing w:after="0" w:line="266" w:lineRule="auto"/>
        <w:rPr>
          <w:sz w:val="20"/>
          <w:szCs w:val="20"/>
          <w:color w:val="auto"/>
        </w:rPr>
      </w:pPr>
      <w:r>
        <w:rPr>
          <w:rFonts w:ascii="Times New Roman" w:cs="Times New Roman" w:eastAsia="Times New Roman" w:hAnsi="Times New Roman"/>
          <w:sz w:val="17"/>
          <w:szCs w:val="17"/>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 w:cs="Times New Roman" w:eastAsia="Times New Roman" w:hAnsi="Times New Roman"/>
          <w:sz w:val="17"/>
          <w:szCs w:val="17"/>
          <w:b w:val="1"/>
          <w:bCs w:val="1"/>
          <w:i w:val="1"/>
          <w:iCs w:val="1"/>
          <w:color w:val="auto"/>
        </w:rPr>
        <w:t>DGCL</w:t>
      </w:r>
      <w:r>
        <w:rPr>
          <w:rFonts w:ascii="Times New Roman" w:cs="Times New Roman" w:eastAsia="Times New Roman" w:hAnsi="Times New Roman"/>
          <w:sz w:val="17"/>
          <w:szCs w:val="17"/>
          <w:color w:val="auto"/>
        </w:rPr>
        <w:t>”), and we express no opinion with respect to any other laws.</w:t>
      </w:r>
    </w:p>
    <w:p>
      <w:pPr>
        <w:sectPr>
          <w:pgSz w:w="11900" w:h="16838" w:orient="portrait"/>
          <w:cols w:equalWidth="0" w:num="1">
            <w:col w:w="10560"/>
          </w:cols>
          <w:pgMar w:left="660" w:top="119" w:right="67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November 3, 2025</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155575</wp:posOffset>
            </wp:positionV>
            <wp:extent cx="1381760" cy="1314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2">
                      <a:extLst>
                        <a:ext uri="{28A0092B-C50C-407E-A947-70E740481C1C}"/>
                      </a:extLst>
                    </a:blip>
                    <a:srcRect/>
                    <a:stretch>
                      <a:fillRect/>
                    </a:stretch>
                  </pic:blipFill>
                  <pic:spPr bwMode="auto">
                    <a:xfrm>
                      <a:off x="0" y="0"/>
                      <a:ext cx="1381760" cy="13144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right="20" w:firstLine="422"/>
        <w:spacing w:after="0" w:line="259" w:lineRule="auto"/>
        <w:rPr>
          <w:sz w:val="20"/>
          <w:szCs w:val="20"/>
          <w:color w:val="auto"/>
        </w:rPr>
      </w:pPr>
      <w:r>
        <w:rPr>
          <w:rFonts w:ascii="Times New Roman" w:cs="Times New Roman" w:eastAsia="Times New Roman" w:hAnsi="Times New Roman"/>
          <w:sz w:val="17"/>
          <w:szCs w:val="17"/>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against payment therefor (not less than par value) in the circumstances contemplated by the 2014 Plan, assuming in each case that the individual issuances, grants or awards under the 2014 Plan are duly authorized by all necessary corporate action and duly issued, granted or awarded and exercised in accordance with the requirements of law and the 2014 Plan (and the agreements and awards duly adopted thereunder and in accordance therewith),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DGCL.</w:t>
      </w:r>
    </w:p>
    <w:p>
      <w:pPr>
        <w:spacing w:after="0" w:line="177" w:lineRule="exact"/>
        <w:rPr>
          <w:sz w:val="20"/>
          <w:szCs w:val="20"/>
          <w:color w:val="auto"/>
        </w:rPr>
      </w:pPr>
    </w:p>
    <w:p>
      <w:pPr>
        <w:ind w:firstLine="422"/>
        <w:spacing w:after="0" w:line="266" w:lineRule="auto"/>
        <w:rPr>
          <w:sz w:val="20"/>
          <w:szCs w:val="20"/>
          <w:color w:val="auto"/>
        </w:rPr>
      </w:pPr>
      <w:r>
        <w:rPr>
          <w:rFonts w:ascii="Times New Roman" w:cs="Times New Roman" w:eastAsia="Times New Roman" w:hAnsi="Times New Roman"/>
          <w:sz w:val="17"/>
          <w:szCs w:val="17"/>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195"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Sincerely,</w:t>
      </w:r>
    </w:p>
    <w:p>
      <w:pPr>
        <w:spacing w:after="0" w:line="219"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/s/ Latham &amp; Watkins LLP</w:t>
      </w:r>
    </w:p>
    <w:p>
      <w:pPr>
        <w:sectPr>
          <w:pgSz w:w="11900" w:h="16838" w:orient="portrait"/>
          <w:cols w:equalWidth="0" w:num="1">
            <w:col w:w="10540"/>
          </w:cols>
          <w:pgMar w:left="660" w:top="262" w:right="69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 (Form S-8) pertaining to the Amended and Restated 2014 Equity Incentive Award Plan of Ardelyx, Inc. of our reports dated February 20, 2025, with respect to the financial statements of Ardelyx, Inc. and the effectiveness of internal control over financial reporting of Ardelyx, Inc. included in its Annual Report (Form 10-K) for the year ended December 31, 2024, filed with the Securities and Exchange Commission.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Massachusetts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3, 2025</w:t>
      </w:r>
    </w:p>
    <w:p>
      <w:pPr>
        <w:sectPr>
          <w:pgSz w:w="11900" w:h="16838" w:orient="portrait"/>
          <w:cols w:equalWidth="0" w:num="1">
            <w:col w:w="10560"/>
          </w:cols>
          <w:pgMar w:left="660" w:top="119" w:right="679" w:bottom="1440" w:gutter="0" w:footer="0" w:header="0"/>
        </w:sectPr>
      </w:pPr>
    </w:p>
    <w:bookmarkStart w:id="11" w:name="page12"/>
    <w:bookmarkEnd w:id="11"/>
    <w:p>
      <w:pPr>
        <w:ind w:left="2980"/>
        <w:spacing w:after="0"/>
        <w:rPr>
          <w:sz w:val="20"/>
          <w:szCs w:val="20"/>
          <w:color w:val="auto"/>
        </w:rPr>
      </w:pPr>
      <w:r>
        <w:rPr>
          <w:rFonts w:ascii="Arial" w:cs="Arial" w:eastAsia="Arial" w:hAnsi="Arial"/>
          <w:sz w:val="35"/>
          <w:szCs w:val="35"/>
          <w:b w:val="1"/>
          <w:bCs w:val="1"/>
          <w:color w:val="auto"/>
        </w:rPr>
        <w:t>Calculation of Filing Fee Tables</w:t>
      </w:r>
    </w:p>
    <w:p>
      <w:pPr>
        <w:spacing w:after="0" w:line="206" w:lineRule="exact"/>
        <w:rPr>
          <w:sz w:val="20"/>
          <w:szCs w:val="20"/>
          <w:color w:val="auto"/>
        </w:rPr>
      </w:pPr>
    </w:p>
    <w:p>
      <w:pPr>
        <w:ind w:left="5280"/>
        <w:spacing w:after="0"/>
        <w:rPr>
          <w:sz w:val="20"/>
          <w:szCs w:val="20"/>
          <w:color w:val="auto"/>
        </w:rPr>
      </w:pPr>
      <w:r>
        <w:rPr>
          <w:rFonts w:ascii="Arial" w:cs="Arial" w:eastAsia="Arial" w:hAnsi="Arial"/>
          <w:sz w:val="35"/>
          <w:szCs w:val="35"/>
          <w:b w:val="1"/>
          <w:bCs w:val="1"/>
          <w:color w:val="auto"/>
        </w:rPr>
        <w:t>S-8</w:t>
      </w:r>
    </w:p>
    <w:p>
      <w:pPr>
        <w:spacing w:after="0" w:line="116" w:lineRule="exact"/>
        <w:rPr>
          <w:sz w:val="20"/>
          <w:szCs w:val="20"/>
          <w:color w:val="auto"/>
        </w:rPr>
      </w:pPr>
    </w:p>
    <w:p>
      <w:pPr>
        <w:jc w:val="center"/>
        <w:ind w:right="240"/>
        <w:spacing w:after="0"/>
        <w:rPr>
          <w:sz w:val="20"/>
          <w:szCs w:val="20"/>
          <w:color w:val="auto"/>
        </w:rPr>
      </w:pPr>
      <w:r>
        <w:rPr>
          <w:rFonts w:ascii="Arial" w:cs="Arial" w:eastAsia="Arial" w:hAnsi="Arial"/>
          <w:sz w:val="35"/>
          <w:szCs w:val="35"/>
          <w:b w:val="1"/>
          <w:bCs w:val="1"/>
          <w:color w:val="auto"/>
        </w:rPr>
        <w:t>ARDELYX, INC.</w:t>
      </w:r>
    </w:p>
    <w:p>
      <w:pPr>
        <w:spacing w:after="0" w:line="153" w:lineRule="exact"/>
        <w:rPr>
          <w:sz w:val="20"/>
          <w:szCs w:val="20"/>
          <w:color w:val="auto"/>
        </w:rPr>
      </w:pPr>
    </w:p>
    <w:p>
      <w:pPr>
        <w:jc w:val="center"/>
        <w:ind w:right="100"/>
        <w:spacing w:after="0"/>
        <w:rPr>
          <w:sz w:val="20"/>
          <w:szCs w:val="20"/>
          <w:color w:val="auto"/>
        </w:rPr>
      </w:pPr>
      <w:r>
        <w:rPr>
          <w:rFonts w:ascii="Arial" w:cs="Arial" w:eastAsia="Arial" w:hAnsi="Arial"/>
          <w:sz w:val="21"/>
          <w:szCs w:val="21"/>
          <w:b w:val="1"/>
          <w:bCs w:val="1"/>
          <w:color w:val="auto"/>
        </w:rPr>
        <w:t>Table 1: Newly Registered Securities</w:t>
      </w:r>
    </w:p>
    <w:p>
      <w:pPr>
        <w:spacing w:after="0" w:line="42" w:lineRule="exact"/>
        <w:rPr>
          <w:sz w:val="20"/>
          <w:szCs w:val="20"/>
          <w:color w:val="auto"/>
        </w:rPr>
      </w:pPr>
    </w:p>
    <w:tbl>
      <w:tblPr>
        <w:tblLayout w:type="fixed"/>
        <w:tblInd w:w="570" w:type="dxa"/>
        <w:tblCellMar>
          <w:top w:w="0" w:type="dxa"/>
          <w:left w:w="0" w:type="dxa"/>
          <w:bottom w:w="0" w:type="dxa"/>
          <w:right w:w="0" w:type="dxa"/>
        </w:tblCellMar>
      </w:tblPr>
      <w:tr>
        <w:trPr>
          <w:trHeight w:val="40"/>
        </w:trPr>
        <w:tc>
          <w:tcPr>
            <w:tcW w:w="60" w:type="dxa"/>
            <w:vAlign w:val="bottom"/>
            <w:tcBorders>
              <w:top w:val="single" w:sz="8" w:color="auto"/>
              <w:left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6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60" w:type="dxa"/>
            <w:vAlign w:val="bottom"/>
            <w:tcBorders>
              <w:left w:val="single" w:sz="8" w:color="auto"/>
            </w:tcBorders>
          </w:tcPr>
          <w:p>
            <w:pPr>
              <w:spacing w:after="0"/>
              <w:rPr>
                <w:sz w:val="18"/>
                <w:szCs w:val="18"/>
                <w:color w:val="auto"/>
              </w:rPr>
            </w:pPr>
          </w:p>
        </w:tc>
        <w:tc>
          <w:tcPr>
            <w:tcW w:w="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18"/>
                <w:szCs w:val="18"/>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18"/>
                <w:szCs w:val="18"/>
                <w:color w:val="auto"/>
              </w:rPr>
            </w:pPr>
          </w:p>
        </w:tc>
        <w:tc>
          <w:tcPr>
            <w:tcW w:w="110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shd w:val="clear" w:color="auto" w:fill="9ADAF6"/>
          </w:tcPr>
          <w:p>
            <w:pPr>
              <w:jc w:val="center"/>
              <w:spacing w:after="0" w:line="214" w:lineRule="exact"/>
              <w:rPr>
                <w:sz w:val="20"/>
                <w:szCs w:val="20"/>
                <w:color w:val="auto"/>
              </w:rPr>
            </w:pPr>
            <w:r>
              <w:rPr>
                <w:rFonts w:ascii="Arial" w:cs="Arial" w:eastAsia="Arial" w:hAnsi="Arial"/>
                <w:sz w:val="21"/>
                <w:szCs w:val="21"/>
                <w:b w:val="1"/>
                <w:bCs w:val="1"/>
                <w:color w:val="auto"/>
                <w:w w:val="99"/>
              </w:rPr>
              <w:t>Proposed</w:t>
            </w:r>
          </w:p>
        </w:tc>
        <w:tc>
          <w:tcPr>
            <w:tcW w:w="20" w:type="dxa"/>
            <w:vAlign w:val="bottom"/>
          </w:tcPr>
          <w:p>
            <w:pPr>
              <w:spacing w:after="0"/>
              <w:rPr>
                <w:sz w:val="18"/>
                <w:szCs w:val="18"/>
                <w:color w:val="auto"/>
              </w:rPr>
            </w:pPr>
          </w:p>
        </w:tc>
        <w:tc>
          <w:tcPr>
            <w:tcW w:w="15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Maximum</w:t>
            </w:r>
          </w:p>
        </w:tc>
        <w:tc>
          <w:tcPr>
            <w:tcW w:w="20" w:type="dxa"/>
            <w:vAlign w:val="bottom"/>
          </w:tcPr>
          <w:p>
            <w:pPr>
              <w:spacing w:after="0"/>
              <w:rPr>
                <w:sz w:val="18"/>
                <w:szCs w:val="18"/>
                <w:color w:val="auto"/>
              </w:rPr>
            </w:pPr>
          </w:p>
        </w:tc>
        <w:tc>
          <w:tcPr>
            <w:tcW w:w="10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Amount of</w:t>
            </w: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60" w:type="dxa"/>
            <w:vAlign w:val="bottom"/>
            <w:tcBorders>
              <w:left w:val="single" w:sz="8" w:color="auto"/>
            </w:tcBorders>
          </w:tcPr>
          <w:p>
            <w:pPr>
              <w:spacing w:after="0"/>
              <w:rPr>
                <w:sz w:val="10"/>
                <w:szCs w:val="10"/>
                <w:color w:val="auto"/>
              </w:rPr>
            </w:pPr>
          </w:p>
        </w:tc>
        <w:tc>
          <w:tcPr>
            <w:tcW w:w="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10"/>
                <w:szCs w:val="10"/>
                <w:color w:val="auto"/>
              </w:rPr>
            </w:pPr>
          </w:p>
        </w:tc>
        <w:tc>
          <w:tcPr>
            <w:tcW w:w="96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vMerge w:val="restart"/>
            <w:shd w:val="clear" w:color="auto" w:fill="9ADAF6"/>
          </w:tcPr>
          <w:p>
            <w:pPr>
              <w:jc w:val="right"/>
              <w:ind w:right="56"/>
              <w:spacing w:after="0"/>
              <w:rPr>
                <w:sz w:val="20"/>
                <w:szCs w:val="20"/>
                <w:color w:val="auto"/>
              </w:rPr>
            </w:pPr>
            <w:r>
              <w:rPr>
                <w:rFonts w:ascii="Arial" w:cs="Arial" w:eastAsia="Arial" w:hAnsi="Arial"/>
                <w:sz w:val="21"/>
                <w:szCs w:val="21"/>
                <w:b w:val="1"/>
                <w:bCs w:val="1"/>
                <w:color w:val="auto"/>
              </w:rPr>
              <w:t>Amount</w:t>
            </w:r>
          </w:p>
        </w:tc>
        <w:tc>
          <w:tcPr>
            <w:tcW w:w="40" w:type="dxa"/>
            <w:vAlign w:val="bottom"/>
          </w:tcPr>
          <w:p>
            <w:pPr>
              <w:spacing w:after="0"/>
              <w:rPr>
                <w:sz w:val="10"/>
                <w:szCs w:val="10"/>
                <w:color w:val="auto"/>
              </w:rPr>
            </w:pPr>
          </w:p>
        </w:tc>
        <w:tc>
          <w:tcPr>
            <w:tcW w:w="14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Maximum</w:t>
            </w:r>
          </w:p>
        </w:tc>
        <w:tc>
          <w:tcPr>
            <w:tcW w:w="20" w:type="dxa"/>
            <w:vAlign w:val="bottom"/>
          </w:tcPr>
          <w:p>
            <w:pPr>
              <w:spacing w:after="0"/>
              <w:rPr>
                <w:sz w:val="10"/>
                <w:szCs w:val="10"/>
                <w:color w:val="auto"/>
              </w:rPr>
            </w:pPr>
          </w:p>
        </w:tc>
        <w:tc>
          <w:tcPr>
            <w:tcW w:w="154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vMerge w:val="continue"/>
            <w:shd w:val="clear" w:color="auto" w:fill="9ADAF6"/>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60" w:type="dxa"/>
            <w:vAlign w:val="bottom"/>
            <w:tcBorders>
              <w:left w:val="single" w:sz="8" w:color="auto"/>
            </w:tcBorders>
          </w:tcPr>
          <w:p>
            <w:pPr>
              <w:spacing w:after="0"/>
              <w:rPr>
                <w:sz w:val="18"/>
                <w:szCs w:val="18"/>
                <w:color w:val="auto"/>
              </w:rPr>
            </w:pPr>
          </w:p>
        </w:tc>
        <w:tc>
          <w:tcPr>
            <w:tcW w:w="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Class</w:t>
            </w:r>
          </w:p>
        </w:tc>
        <w:tc>
          <w:tcPr>
            <w:tcW w:w="20" w:type="dxa"/>
            <w:vAlign w:val="bottom"/>
          </w:tcPr>
          <w:p>
            <w:pPr>
              <w:spacing w:after="0"/>
              <w:rPr>
                <w:sz w:val="18"/>
                <w:szCs w:val="18"/>
                <w:color w:val="auto"/>
              </w:rPr>
            </w:pPr>
          </w:p>
        </w:tc>
        <w:tc>
          <w:tcPr>
            <w:tcW w:w="116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Calculation</w:t>
            </w:r>
          </w:p>
        </w:tc>
        <w:tc>
          <w:tcPr>
            <w:tcW w:w="20" w:type="dxa"/>
            <w:vAlign w:val="bottom"/>
          </w:tcPr>
          <w:p>
            <w:pPr>
              <w:spacing w:after="0"/>
              <w:rPr>
                <w:sz w:val="18"/>
                <w:szCs w:val="18"/>
                <w:color w:val="auto"/>
              </w:rPr>
            </w:pPr>
          </w:p>
        </w:tc>
        <w:tc>
          <w:tcPr>
            <w:tcW w:w="11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18"/>
                <w:szCs w:val="18"/>
                <w:color w:val="auto"/>
              </w:rPr>
            </w:pPr>
          </w:p>
        </w:tc>
        <w:tc>
          <w:tcPr>
            <w:tcW w:w="102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Fee Rate</w:t>
            </w:r>
          </w:p>
        </w:tc>
        <w:tc>
          <w:tcPr>
            <w:tcW w:w="20" w:type="dxa"/>
            <w:vAlign w:val="bottom"/>
          </w:tcPr>
          <w:p>
            <w:pPr>
              <w:spacing w:after="0"/>
              <w:rPr>
                <w:sz w:val="18"/>
                <w:szCs w:val="18"/>
                <w:color w:val="auto"/>
              </w:rPr>
            </w:pPr>
          </w:p>
        </w:tc>
        <w:tc>
          <w:tcPr>
            <w:tcW w:w="152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7"/>
              </w:rPr>
              <w:t>Registration</w:t>
            </w: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Title</w:t>
            </w:r>
          </w:p>
        </w:tc>
        <w:tc>
          <w:tcPr>
            <w:tcW w:w="20" w:type="dxa"/>
            <w:vAlign w:val="bottom"/>
          </w:tcPr>
          <w:p>
            <w:pPr>
              <w:spacing w:after="0"/>
              <w:rPr>
                <w:sz w:val="20"/>
                <w:szCs w:val="20"/>
                <w:color w:val="auto"/>
              </w:rPr>
            </w:pPr>
          </w:p>
        </w:tc>
        <w:tc>
          <w:tcPr>
            <w:tcW w:w="11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Rule</w:t>
            </w:r>
          </w:p>
        </w:tc>
        <w:tc>
          <w:tcPr>
            <w:tcW w:w="20" w:type="dxa"/>
            <w:vAlign w:val="bottom"/>
          </w:tcPr>
          <w:p>
            <w:pPr>
              <w:spacing w:after="0"/>
              <w:rPr>
                <w:sz w:val="20"/>
                <w:szCs w:val="20"/>
                <w:color w:val="auto"/>
              </w:rPr>
            </w:pPr>
          </w:p>
        </w:tc>
        <w:tc>
          <w:tcPr>
            <w:tcW w:w="1100" w:type="dxa"/>
            <w:vAlign w:val="bottom"/>
            <w:shd w:val="clear" w:color="auto" w:fill="9ADAF6"/>
          </w:tcPr>
          <w:p>
            <w:pPr>
              <w:jc w:val="right"/>
              <w:spacing w:after="0" w:line="233" w:lineRule="exact"/>
              <w:rPr>
                <w:sz w:val="20"/>
                <w:szCs w:val="20"/>
                <w:color w:val="auto"/>
              </w:rPr>
            </w:pPr>
            <w:r>
              <w:rPr>
                <w:rFonts w:ascii="Arial" w:cs="Arial" w:eastAsia="Arial" w:hAnsi="Arial"/>
                <w:sz w:val="21"/>
                <w:szCs w:val="21"/>
                <w:b w:val="1"/>
                <w:bCs w:val="1"/>
                <w:color w:val="auto"/>
                <w:w w:val="97"/>
              </w:rPr>
              <w:t>Registered</w:t>
            </w:r>
          </w:p>
        </w:tc>
        <w:tc>
          <w:tcPr>
            <w:tcW w:w="40" w:type="dxa"/>
            <w:vAlign w:val="bottom"/>
          </w:tcPr>
          <w:p>
            <w:pPr>
              <w:spacing w:after="0"/>
              <w:rPr>
                <w:sz w:val="20"/>
                <w:szCs w:val="20"/>
                <w:color w:val="auto"/>
              </w:rPr>
            </w:pPr>
          </w:p>
        </w:tc>
        <w:tc>
          <w:tcPr>
            <w:tcW w:w="14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Offering Price</w:t>
            </w:r>
          </w:p>
        </w:tc>
        <w:tc>
          <w:tcPr>
            <w:tcW w:w="20" w:type="dxa"/>
            <w:vAlign w:val="bottom"/>
          </w:tcPr>
          <w:p>
            <w:pPr>
              <w:spacing w:after="0"/>
              <w:rPr>
                <w:sz w:val="20"/>
                <w:szCs w:val="20"/>
                <w:color w:val="auto"/>
              </w:rPr>
            </w:pPr>
          </w:p>
        </w:tc>
        <w:tc>
          <w:tcPr>
            <w:tcW w:w="15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Offering Price</w:t>
            </w:r>
          </w:p>
        </w:tc>
        <w:tc>
          <w:tcPr>
            <w:tcW w:w="20" w:type="dxa"/>
            <w:vAlign w:val="bottom"/>
          </w:tcPr>
          <w:p>
            <w:pPr>
              <w:spacing w:after="0"/>
              <w:rPr>
                <w:sz w:val="20"/>
                <w:szCs w:val="20"/>
                <w:color w:val="auto"/>
              </w:rPr>
            </w:pPr>
          </w:p>
        </w:tc>
        <w:tc>
          <w:tcPr>
            <w:tcW w:w="10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60" w:type="dxa"/>
            <w:vAlign w:val="bottom"/>
            <w:tcBorders>
              <w:left w:val="single" w:sz="8" w:color="auto"/>
            </w:tcBorders>
          </w:tcPr>
          <w:p>
            <w:pPr>
              <w:spacing w:after="0"/>
              <w:rPr>
                <w:sz w:val="15"/>
                <w:szCs w:val="15"/>
                <w:color w:val="auto"/>
              </w:rPr>
            </w:pPr>
          </w:p>
        </w:tc>
        <w:tc>
          <w:tcPr>
            <w:tcW w:w="1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shd w:val="clear" w:color="auto" w:fill="9ADAF6"/>
          </w:tcPr>
          <w:p>
            <w:pPr>
              <w:jc w:val="center"/>
              <w:spacing w:after="0" w:line="182" w:lineRule="exact"/>
              <w:rPr>
                <w:sz w:val="20"/>
                <w:szCs w:val="20"/>
                <w:color w:val="auto"/>
              </w:rPr>
            </w:pPr>
            <w:r>
              <w:rPr>
                <w:rFonts w:ascii="Arial" w:cs="Arial" w:eastAsia="Arial" w:hAnsi="Arial"/>
                <w:sz w:val="21"/>
                <w:szCs w:val="21"/>
                <w:b w:val="1"/>
                <w:bCs w:val="1"/>
                <w:color w:val="auto"/>
                <w:w w:val="99"/>
              </w:rPr>
              <w:t>Per Unit</w:t>
            </w:r>
          </w:p>
        </w:tc>
        <w:tc>
          <w:tcPr>
            <w:tcW w:w="20" w:type="dxa"/>
            <w:vAlign w:val="bottom"/>
          </w:tcPr>
          <w:p>
            <w:pPr>
              <w:spacing w:after="0"/>
              <w:rPr>
                <w:sz w:val="15"/>
                <w:szCs w:val="15"/>
                <w:color w:val="auto"/>
              </w:rPr>
            </w:pPr>
          </w:p>
        </w:tc>
        <w:tc>
          <w:tcPr>
            <w:tcW w:w="15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shd w:val="clear" w:color="auto" w:fill="9ADAF6"/>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6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$0.0001</w:t>
            </w:r>
          </w:p>
        </w:tc>
        <w:tc>
          <w:tcPr>
            <w:tcW w:w="20" w:type="dxa"/>
            <w:vAlign w:val="bottom"/>
          </w:tcPr>
          <w:p>
            <w:pPr>
              <w:spacing w:after="0"/>
              <w:rPr>
                <w:sz w:val="20"/>
                <w:szCs w:val="20"/>
                <w:color w:val="auto"/>
              </w:rPr>
            </w:pPr>
          </w:p>
        </w:tc>
        <w:tc>
          <w:tcPr>
            <w:tcW w:w="116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20"/>
                <w:szCs w:val="20"/>
                <w:color w:val="auto"/>
              </w:rPr>
            </w:pPr>
          </w:p>
        </w:tc>
        <w:tc>
          <w:tcPr>
            <w:tcW w:w="110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10,000,000</w:t>
            </w:r>
          </w:p>
        </w:tc>
        <w:tc>
          <w:tcPr>
            <w:tcW w:w="40" w:type="dxa"/>
            <w:vAlign w:val="bottom"/>
          </w:tcPr>
          <w:p>
            <w:pPr>
              <w:spacing w:after="0"/>
              <w:rPr>
                <w:sz w:val="20"/>
                <w:szCs w:val="20"/>
                <w:color w:val="auto"/>
              </w:rPr>
            </w:pPr>
          </w:p>
        </w:tc>
        <w:tc>
          <w:tcPr>
            <w:tcW w:w="140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$ 5.01</w:t>
            </w:r>
          </w:p>
        </w:tc>
        <w:tc>
          <w:tcPr>
            <w:tcW w:w="20" w:type="dxa"/>
            <w:vAlign w:val="bottom"/>
          </w:tcPr>
          <w:p>
            <w:pPr>
              <w:spacing w:after="0"/>
              <w:rPr>
                <w:sz w:val="20"/>
                <w:szCs w:val="20"/>
                <w:color w:val="auto"/>
              </w:rPr>
            </w:pPr>
          </w:p>
        </w:tc>
        <w:tc>
          <w:tcPr>
            <w:tcW w:w="154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8"/>
              </w:rPr>
              <w:t>$ 50,100,000.00</w:t>
            </w:r>
          </w:p>
        </w:tc>
        <w:tc>
          <w:tcPr>
            <w:tcW w:w="20" w:type="dxa"/>
            <w:vAlign w:val="bottom"/>
          </w:tcPr>
          <w:p>
            <w:pPr>
              <w:spacing w:after="0"/>
              <w:rPr>
                <w:sz w:val="20"/>
                <w:szCs w:val="20"/>
                <w:color w:val="auto"/>
              </w:rPr>
            </w:pPr>
          </w:p>
        </w:tc>
        <w:tc>
          <w:tcPr>
            <w:tcW w:w="102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w w:val="98"/>
              </w:rPr>
              <w:t>0.0001381</w:t>
            </w:r>
          </w:p>
        </w:tc>
        <w:tc>
          <w:tcPr>
            <w:tcW w:w="20" w:type="dxa"/>
            <w:vAlign w:val="bottom"/>
          </w:tcPr>
          <w:p>
            <w:pPr>
              <w:spacing w:after="0"/>
              <w:rPr>
                <w:sz w:val="20"/>
                <w:szCs w:val="20"/>
                <w:color w:val="auto"/>
              </w:rPr>
            </w:pPr>
          </w:p>
        </w:tc>
        <w:tc>
          <w:tcPr>
            <w:tcW w:w="152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$ 6,918.81</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0" w:type="dxa"/>
            <w:vAlign w:val="bottom"/>
            <w:tcBorders>
              <w:left w:val="single" w:sz="8" w:color="auto"/>
            </w:tcBorders>
          </w:tcPr>
          <w:p>
            <w:pPr>
              <w:spacing w:after="0"/>
              <w:rPr>
                <w:sz w:val="23"/>
                <w:szCs w:val="23"/>
                <w:color w:val="auto"/>
              </w:rPr>
            </w:pPr>
          </w:p>
        </w:tc>
        <w:tc>
          <w:tcPr>
            <w:tcW w:w="1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3"/>
                <w:szCs w:val="23"/>
                <w:color w:val="auto"/>
              </w:rPr>
            </w:pPr>
          </w:p>
        </w:tc>
        <w:tc>
          <w:tcPr>
            <w:tcW w:w="11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4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shd w:val="clear" w:color="auto" w:fill="E7E7E2"/>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6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60" w:type="dxa"/>
            <w:vAlign w:val="bottom"/>
            <w:gridSpan w:val="2"/>
          </w:tcPr>
          <w:p>
            <w:pPr>
              <w:jc w:val="center"/>
              <w:spacing w:after="0"/>
              <w:rPr>
                <w:sz w:val="20"/>
                <w:szCs w:val="20"/>
                <w:color w:val="auto"/>
              </w:rPr>
            </w:pPr>
            <w:r>
              <w:rPr>
                <w:rFonts w:ascii="Arial" w:cs="Arial" w:eastAsia="Arial" w:hAnsi="Arial"/>
                <w:sz w:val="21"/>
                <w:szCs w:val="21"/>
                <w:color w:val="auto"/>
                <w:w w:val="98"/>
              </w:rPr>
              <w:t>$ 50,100,000.00</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$ 6,918.81</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$ 6,918.81</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600"/>
        <w:spacing w:after="0"/>
        <w:rPr>
          <w:sz w:val="20"/>
          <w:szCs w:val="20"/>
          <w:color w:val="auto"/>
        </w:rPr>
      </w:pPr>
      <w:r>
        <w:rPr>
          <w:rFonts w:ascii="Arial" w:cs="Arial" w:eastAsia="Arial" w:hAnsi="Arial"/>
          <w:sz w:val="21"/>
          <w:szCs w:val="21"/>
          <w:b w:val="1"/>
          <w:bCs w:val="1"/>
          <w:color w:val="auto"/>
        </w:rPr>
        <w:t>Offering Note</w:t>
      </w:r>
    </w:p>
    <w:p>
      <w:pPr>
        <w:spacing w:after="0" w:line="134" w:lineRule="exact"/>
        <w:rPr>
          <w:sz w:val="20"/>
          <w:szCs w:val="20"/>
          <w:color w:val="auto"/>
        </w:rPr>
      </w:pPr>
    </w:p>
    <w:p>
      <w:pPr>
        <w:ind w:left="820" w:right="700" w:hanging="214"/>
        <w:spacing w:after="0" w:line="230" w:lineRule="auto"/>
        <w:tabs>
          <w:tab w:leader="none" w:pos="820" w:val="left"/>
        </w:tabs>
        <w:numPr>
          <w:ilvl w:val="0"/>
          <w:numId w:val="11"/>
        </w:numPr>
        <w:rPr>
          <w:rFonts w:ascii="Arial" w:cs="Arial" w:eastAsia="Arial" w:hAnsi="Arial"/>
          <w:sz w:val="26"/>
          <w:szCs w:val="26"/>
          <w:color w:val="auto"/>
          <w:vertAlign w:val="superscript"/>
        </w:rPr>
      </w:pPr>
      <w:r>
        <w:rPr>
          <w:rFonts w:ascii="Arial" w:cs="Arial" w:eastAsia="Arial" w:hAnsi="Arial"/>
          <w:sz w:val="21"/>
          <w:szCs w:val="21"/>
          <w:color w:val="auto"/>
        </w:rPr>
        <w:t>(1) Pursuant to Rule 416(a) under the Securities Act of 1933, as amended (the "Securities Act"), this registration statement shall also cover any additional shares of the Registrant's common stock that become issuable under the Amended and Restated 2014 Equity Incentive Award Plan, as amended (the "Restated Plan"), by reason of any stock dividend, stock split, recapitalization or similar transaction effected without the Registrant's receipt of consideration which would increase the number of outstanding shares of common stock. (2) Estimated solely for the purpose of calculating the amount of the registration fee pursuant to Rule 457(h) and Rule 457(c) promulgated under the Securities Act. The proposed maximum offering price per share and the proposed maximum aggregate offering price for shares reserved for future issuance under the Restated Plan are based on the average of the high and the low price of Registrant's Common Stock as reported on The Nasdaq Global Market on October 29, 2025. (3) Represents the additional shares of the Registrant's common stock available for issuance under the Restated Plan resulting from an increase approved by the Registrant's stockholders on June 18, 2025. (4) The Registrant does not have any fee offsets.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81280</wp:posOffset>
            </wp:positionV>
            <wp:extent cx="6398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3">
                      <a:extLst>
                        <a:ext uri="{28A0092B-C50C-407E-A947-70E740481C1C}"/>
                      </a:extLst>
                    </a:blip>
                    <a:srcRect/>
                    <a:stretch>
                      <a:fillRect/>
                    </a:stretch>
                  </pic:blipFill>
                  <pic:spPr bwMode="auto">
                    <a:xfrm>
                      <a:off x="0" y="0"/>
                      <a:ext cx="6398260" cy="4191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tbl>
      <w:tblPr>
        <w:tblLayout w:type="fixed"/>
        <w:tblInd w:w="10" w:type="dxa"/>
        <w:tblCellMar>
          <w:top w:w="0" w:type="dxa"/>
          <w:left w:w="0" w:type="dxa"/>
          <w:bottom w:w="0" w:type="dxa"/>
          <w:right w:w="0" w:type="dxa"/>
        </w:tblCellMar>
      </w:tblPr>
      <w:tr>
        <w:trPr>
          <w:trHeight w:val="364"/>
        </w:trPr>
        <w:tc>
          <w:tcPr>
            <w:tcW w:w="4380" w:type="dxa"/>
            <w:vAlign w:val="bottom"/>
            <w:tcBorders>
              <w:bottom w:val="single" w:sz="8" w:color="auto"/>
            </w:tcBorders>
            <w:gridSpan w:val="12"/>
          </w:tcPr>
          <w:p>
            <w:pPr>
              <w:ind w:left="40"/>
              <w:spacing w:after="0"/>
              <w:rPr>
                <w:sz w:val="20"/>
                <w:szCs w:val="20"/>
                <w:color w:val="auto"/>
              </w:rPr>
            </w:pPr>
            <w:r>
              <w:rPr>
                <w:rFonts w:ascii="Arial" w:cs="Arial" w:eastAsia="Arial" w:hAnsi="Arial"/>
                <w:sz w:val="21"/>
                <w:szCs w:val="21"/>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ind w:left="200"/>
              <w:spacing w:after="0" w:line="242" w:lineRule="exact"/>
              <w:rPr>
                <w:sz w:val="20"/>
                <w:szCs w:val="20"/>
                <w:color w:val="auto"/>
              </w:rPr>
            </w:pPr>
            <w:r>
              <w:rPr>
                <w:rFonts w:ascii="MS PGothic" w:cs="MS PGothic" w:eastAsia="MS PGothic" w:hAnsi="MS PGothic"/>
                <w:sz w:val="21"/>
                <w:szCs w:val="21"/>
                <w:color w:val="auto"/>
                <w:highlight w:val="black"/>
              </w:rPr>
              <w:t>☑</w:t>
            </w:r>
            <w:r>
              <w:rPr>
                <w:rFonts w:ascii="Arial" w:cs="Arial" w:eastAsia="Arial" w:hAnsi="Arial"/>
                <w:sz w:val="21"/>
                <w:szCs w:val="21"/>
                <w:b w:val="1"/>
                <w:bCs w:val="1"/>
                <w:color w:val="auto"/>
              </w:rPr>
              <w:t>Not Applicable</w:t>
            </w: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jc w:val="center"/>
              <w:spacing w:after="0" w:line="220"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Aggregate</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vMerge w:val="restart"/>
            <w:shd w:val="clear" w:color="auto" w:fill="9ADAF6"/>
          </w:tcPr>
          <w:p>
            <w:pPr>
              <w:ind w:left="20"/>
              <w:spacing w:after="0"/>
              <w:rPr>
                <w:sz w:val="20"/>
                <w:szCs w:val="20"/>
                <w:color w:val="auto"/>
              </w:rPr>
            </w:pPr>
            <w:r>
              <w:rPr>
                <w:rFonts w:ascii="Arial" w:cs="Arial" w:eastAsia="Arial" w:hAnsi="Arial"/>
                <w:sz w:val="21"/>
                <w:szCs w:val="21"/>
                <w:b w:val="1"/>
                <w:bCs w:val="1"/>
                <w:color w:val="auto"/>
                <w:w w:val="98"/>
              </w:rPr>
              <w:t>Registrant</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Form</w:t>
            </w: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Initial</w:t>
            </w: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vMerge w:val="restart"/>
            <w:shd w:val="clear" w:color="auto" w:fill="9ADAF6"/>
          </w:tcPr>
          <w:p>
            <w:pPr>
              <w:jc w:val="right"/>
              <w:ind w:right="141"/>
              <w:spacing w:after="0"/>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Title</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Securities</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Paid</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0" w:type="dxa"/>
            <w:vAlign w:val="bottom"/>
            <w:tcBorders>
              <w:left w:val="single" w:sz="8" w:color="auto"/>
            </w:tcBorders>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5"/>
              </w:rPr>
              <w:t>or</w:t>
            </w:r>
          </w:p>
        </w:tc>
        <w:tc>
          <w:tcPr>
            <w:tcW w:w="20" w:type="dxa"/>
            <w:vAlign w:val="bottom"/>
          </w:tcPr>
          <w:p>
            <w:pPr>
              <w:spacing w:after="0"/>
              <w:rPr>
                <w:sz w:val="18"/>
                <w:szCs w:val="18"/>
                <w:color w:val="auto"/>
              </w:rPr>
            </w:pPr>
          </w:p>
        </w:tc>
        <w:tc>
          <w:tcPr>
            <w:tcW w:w="82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File</w:t>
            </w:r>
          </w:p>
        </w:tc>
        <w:tc>
          <w:tcPr>
            <w:tcW w:w="20" w:type="dxa"/>
            <w:vAlign w:val="bottom"/>
          </w:tcPr>
          <w:p>
            <w:pPr>
              <w:spacing w:after="0"/>
              <w:rPr>
                <w:sz w:val="18"/>
                <w:szCs w:val="18"/>
                <w:color w:val="auto"/>
              </w:rPr>
            </w:pPr>
          </w:p>
        </w:tc>
        <w:tc>
          <w:tcPr>
            <w:tcW w:w="5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Filing</w:t>
            </w: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18"/>
                <w:szCs w:val="18"/>
                <w:color w:val="auto"/>
              </w:rPr>
            </w:pPr>
          </w:p>
        </w:tc>
        <w:tc>
          <w:tcPr>
            <w:tcW w:w="11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Associated</w:t>
            </w:r>
          </w:p>
        </w:tc>
        <w:tc>
          <w:tcPr>
            <w:tcW w:w="40" w:type="dxa"/>
            <w:vAlign w:val="bottom"/>
          </w:tcPr>
          <w:p>
            <w:pPr>
              <w:spacing w:after="0"/>
              <w:rPr>
                <w:sz w:val="18"/>
                <w:szCs w:val="18"/>
                <w:color w:val="auto"/>
              </w:rPr>
            </w:pPr>
          </w:p>
        </w:tc>
        <w:tc>
          <w:tcPr>
            <w:tcW w:w="11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18"/>
                <w:szCs w:val="18"/>
                <w:color w:val="auto"/>
              </w:rPr>
            </w:pPr>
          </w:p>
        </w:tc>
        <w:tc>
          <w:tcPr>
            <w:tcW w:w="11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Amount</w:t>
            </w:r>
          </w:p>
        </w:tc>
        <w:tc>
          <w:tcPr>
            <w:tcW w:w="20" w:type="dxa"/>
            <w:vAlign w:val="bottom"/>
          </w:tcPr>
          <w:p>
            <w:pPr>
              <w:spacing w:after="0"/>
              <w:rPr>
                <w:sz w:val="18"/>
                <w:szCs w:val="18"/>
                <w:color w:val="auto"/>
              </w:rPr>
            </w:pPr>
          </w:p>
        </w:tc>
        <w:tc>
          <w:tcPr>
            <w:tcW w:w="7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with</w:t>
            </w: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0" w:type="dxa"/>
            <w:vAlign w:val="bottom"/>
            <w:tcBorders>
              <w:left w:val="single" w:sz="8" w:color="auto"/>
            </w:tcBorders>
          </w:tcPr>
          <w:p>
            <w:pPr>
              <w:spacing w:after="0"/>
              <w:rPr>
                <w:sz w:val="12"/>
                <w:szCs w:val="12"/>
                <w:color w:val="auto"/>
              </w:rPr>
            </w:pPr>
          </w:p>
        </w:tc>
        <w:tc>
          <w:tcPr>
            <w:tcW w:w="8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or Filer</w:t>
            </w:r>
          </w:p>
        </w:tc>
        <w:tc>
          <w:tcPr>
            <w:tcW w:w="20" w:type="dxa"/>
            <w:vAlign w:val="bottom"/>
          </w:tcPr>
          <w:p>
            <w:pPr>
              <w:spacing w:after="0"/>
              <w:rPr>
                <w:sz w:val="12"/>
                <w:szCs w:val="12"/>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2"/>
                <w:szCs w:val="12"/>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Number</w:t>
            </w:r>
          </w:p>
        </w:tc>
        <w:tc>
          <w:tcPr>
            <w:tcW w:w="20" w:type="dxa"/>
            <w:vAlign w:val="bottom"/>
          </w:tcPr>
          <w:p>
            <w:pPr>
              <w:spacing w:after="0"/>
              <w:rPr>
                <w:sz w:val="12"/>
                <w:szCs w:val="12"/>
                <w:color w:val="auto"/>
              </w:rPr>
            </w:pPr>
          </w:p>
        </w:tc>
        <w:tc>
          <w:tcPr>
            <w:tcW w:w="58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2"/>
                <w:szCs w:val="12"/>
                <w:color w:val="auto"/>
              </w:rPr>
            </w:pPr>
          </w:p>
        </w:tc>
        <w:tc>
          <w:tcPr>
            <w:tcW w:w="5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6"/>
              </w:rPr>
              <w:t>Date</w:t>
            </w:r>
          </w:p>
        </w:tc>
        <w:tc>
          <w:tcPr>
            <w:tcW w:w="40" w:type="dxa"/>
            <w:vAlign w:val="bottom"/>
          </w:tcPr>
          <w:p>
            <w:pPr>
              <w:spacing w:after="0"/>
              <w:rPr>
                <w:sz w:val="12"/>
                <w:szCs w:val="12"/>
                <w:color w:val="auto"/>
              </w:rPr>
            </w:pPr>
          </w:p>
        </w:tc>
        <w:tc>
          <w:tcPr>
            <w:tcW w:w="840" w:type="dxa"/>
            <w:vAlign w:val="bottom"/>
            <w:shd w:val="clear" w:color="auto" w:fill="9ADAF6"/>
          </w:tcPr>
          <w:p>
            <w:pPr>
              <w:ind w:left="120"/>
              <w:spacing w:after="0" w:line="14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with Fee</w:t>
            </w:r>
          </w:p>
        </w:tc>
        <w:tc>
          <w:tcPr>
            <w:tcW w:w="20" w:type="dxa"/>
            <w:vAlign w:val="bottom"/>
          </w:tcPr>
          <w:p>
            <w:pPr>
              <w:spacing w:after="0"/>
              <w:rPr>
                <w:sz w:val="12"/>
                <w:szCs w:val="12"/>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12"/>
                <w:szCs w:val="12"/>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20" w:type="dxa"/>
            <w:vAlign w:val="bottom"/>
          </w:tcPr>
          <w:p>
            <w:pPr>
              <w:spacing w:after="0"/>
              <w:rPr>
                <w:sz w:val="12"/>
                <w:szCs w:val="12"/>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12"/>
                <w:szCs w:val="12"/>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40" w:type="dxa"/>
            <w:vAlign w:val="bottom"/>
            <w:tcBorders>
              <w:left w:val="single" w:sz="8" w:color="auto"/>
            </w:tcBorders>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rPr>
              <w:t>Name</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rPr>
              <w:t>Date</w:t>
            </w:r>
          </w:p>
        </w:tc>
        <w:tc>
          <w:tcPr>
            <w:tcW w:w="20" w:type="dxa"/>
            <w:vAlign w:val="bottom"/>
          </w:tcPr>
          <w:p>
            <w:pPr>
              <w:spacing w:after="0"/>
              <w:rPr>
                <w:sz w:val="18"/>
                <w:szCs w:val="18"/>
                <w:color w:val="auto"/>
              </w:rPr>
            </w:pPr>
          </w:p>
        </w:tc>
        <w:tc>
          <w:tcPr>
            <w:tcW w:w="58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shd w:val="clear" w:color="auto" w:fill="9ADAF6"/>
          </w:tcPr>
          <w:p>
            <w:pPr>
              <w:jc w:val="right"/>
              <w:spacing w:after="0" w:line="208"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vMerge w:val="continue"/>
            <w:shd w:val="clear" w:color="auto" w:fill="9ADAF6"/>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0" w:type="dxa"/>
            <w:vAlign w:val="bottom"/>
            <w:tcBorders>
              <w:left w:val="single" w:sz="8" w:color="auto"/>
            </w:tcBorders>
          </w:tcPr>
          <w:p>
            <w:pPr>
              <w:spacing w:after="0"/>
              <w:rPr>
                <w:sz w:val="12"/>
                <w:szCs w:val="12"/>
                <w:color w:val="auto"/>
              </w:rPr>
            </w:pPr>
          </w:p>
        </w:tc>
        <w:tc>
          <w:tcPr>
            <w:tcW w:w="8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2"/>
                <w:szCs w:val="12"/>
                <w:color w:val="auto"/>
              </w:rPr>
            </w:pPr>
          </w:p>
        </w:tc>
        <w:tc>
          <w:tcPr>
            <w:tcW w:w="8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5"/>
              </w:rPr>
              <w:t>Offset</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Source</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3"/>
                <w:szCs w:val="23"/>
                <w:color w:val="auto"/>
              </w:rPr>
            </w:pPr>
          </w:p>
        </w:tc>
        <w:tc>
          <w:tcPr>
            <w:tcW w:w="740" w:type="dxa"/>
            <w:vAlign w:val="bottom"/>
            <w:shd w:val="clear" w:color="auto" w:fill="9ADAF6"/>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4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gridSpan w:val="3"/>
          </w:tcPr>
          <w:p>
            <w:pPr>
              <w:ind w:left="100"/>
              <w:spacing w:after="0"/>
              <w:rPr>
                <w:sz w:val="20"/>
                <w:szCs w:val="20"/>
                <w:color w:val="auto"/>
              </w:rPr>
            </w:pPr>
            <w:r>
              <w:rPr>
                <w:rFonts w:ascii="Arial" w:cs="Arial" w:eastAsia="Arial" w:hAnsi="Arial"/>
                <w:sz w:val="21"/>
                <w:szCs w:val="21"/>
                <w:b w:val="1"/>
                <w:bCs w:val="1"/>
                <w:color w:val="auto"/>
              </w:rPr>
              <w:t>Rule 457(p)</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rPr>
              <w:t>Claims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40" w:type="dxa"/>
            <w:vAlign w:val="bottom"/>
            <w:tcBorders>
              <w:lef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w w:val="98"/>
              </w:rPr>
              <w:t>Sources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40"/>
      </w:cols>
      <w:pgMar w:left="320" w:top="1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Letter"/>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
    <w:nsid w:val="5BD062C2"/>
    <w:multiLevelType w:val="hybridMultilevel"/>
    <w:lvl w:ilvl="0">
      <w:lvlJc w:val="left"/>
      <w:lvlText w:val="(%1)"/>
      <w:numFmt w:val="lowerRoman"/>
      <w:start w:val="3"/>
    </w:lvl>
  </w:abstractNum>
  <w:abstractNum w:abstractNumId="7">
    <w:nsid w:val="12200854"/>
    <w:multiLevelType w:val="hybridMultilevel"/>
    <w:lvl w:ilvl="0">
      <w:lvlJc w:val="left"/>
      <w:lvlText w:val="%1"/>
      <w:numFmt w:val="lowerLetter"/>
      <w:start w:val="1"/>
    </w:lvl>
    <w:lvl w:ilvl="1">
      <w:lvlJc w:val="left"/>
      <w:lvlText w:val="(%2)"/>
      <w:numFmt w:val="decimal"/>
      <w:start w:val="2"/>
    </w:lvl>
  </w:abstractNum>
  <w:abstractNum w:abstractNumId="8">
    <w:nsid w:val="4DB127F8"/>
    <w:multiLevelType w:val="hybridMultilevel"/>
    <w:lvl w:ilvl="0">
      <w:lvlJc w:val="left"/>
      <w:lvlText w:val="(%1)"/>
      <w:numFmt w:val="lowerLetter"/>
      <w:start w:val="2"/>
    </w:lvl>
    <w:lvl w:ilvl="1">
      <w:lvlJc w:val="left"/>
      <w:lvlText w:val="%2"/>
      <w:numFmt w:val="decimal"/>
      <w:start w:val="1"/>
    </w:lvl>
  </w:abstractNum>
  <w:abstractNum w:abstractNumId="9">
    <w:nsid w:val="216231B"/>
    <w:multiLevelType w:val="hybridMultilevel"/>
    <w:lvl w:ilvl="0">
      <w:lvlJc w:val="left"/>
      <w:lvlText w:val="(%1)"/>
      <w:numFmt w:val="lowerLetter"/>
      <w:start w:val="8"/>
    </w:lvl>
  </w:abstractNum>
  <w:abstractNum w:abstractNumId="10">
    <w:nsid w:val="1F16E9E8"/>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9" Type="http://schemas.openxmlformats.org/officeDocument/2006/relationships/image" Target="media/image11.png"/><Relationship Id="rId39" Type="http://schemas.openxmlformats.org/officeDocument/2006/relationships/image" Target="media/image12.png"/><Relationship Id="rId40" Type="http://schemas.openxmlformats.org/officeDocument/2006/relationships/image" Target="media/image13.png"/><Relationship Id="rId47" Type="http://schemas.openxmlformats.org/officeDocument/2006/relationships/image" Target="media/image14.png"/><Relationship Id="rId48" Type="http://schemas.openxmlformats.org/officeDocument/2006/relationships/image" Target="media/image15.png"/><Relationship Id="rId49" Type="http://schemas.openxmlformats.org/officeDocument/2006/relationships/image" Target="media/image16.png"/><Relationship Id="rId50" Type="http://schemas.openxmlformats.org/officeDocument/2006/relationships/image" Target="media/image17.jpeg"/><Relationship Id="rId51" Type="http://schemas.openxmlformats.org/officeDocument/2006/relationships/image" Target="media/image18.png"/><Relationship Id="rId52" Type="http://schemas.openxmlformats.org/officeDocument/2006/relationships/image" Target="media/image19.jpeg"/><Relationship Id="rId53" Type="http://schemas.openxmlformats.org/officeDocument/2006/relationships/image" Target="media/image20.png"/><Relationship Id="rId18" Type="http://schemas.openxmlformats.org/officeDocument/2006/relationships/hyperlink" Target="http://www.sec.gov/Archives/edgar/data/1437402/000119312515087522/d889275ds8.htm" TargetMode="External"/><Relationship Id="rId19" Type="http://schemas.openxmlformats.org/officeDocument/2006/relationships/hyperlink" Target="http://www.sec.gov/Archives/edgar/data/1437402/000119312516500176/d159520ds8.htm" TargetMode="External"/><Relationship Id="rId20" Type="http://schemas.openxmlformats.org/officeDocument/2006/relationships/hyperlink" Target="http://www.sec.gov/Archives/edgar/data/1437402/000119312517050555/d333014ds8.htm" TargetMode="External"/><Relationship Id="rId21" Type="http://schemas.openxmlformats.org/officeDocument/2006/relationships/hyperlink" Target="http://www.sec.gov/Archives/edgar/data/1437402/000119312518084334/d551566ds8.htm" TargetMode="External"/><Relationship Id="rId22" Type="http://schemas.openxmlformats.org/officeDocument/2006/relationships/hyperlink" Target="http://www.sec.gov/Archives/edgar/data/1437402/000155837019001719/s-8.htm" TargetMode="External"/><Relationship Id="rId23" Type="http://schemas.openxmlformats.org/officeDocument/2006/relationships/hyperlink" Target="http://www.sec.gov/Archives/edgar/data/1437402/000119312520068867/d896070ds8.htm" TargetMode="External"/><Relationship Id="rId24" Type="http://schemas.openxmlformats.org/officeDocument/2006/relationships/hyperlink" Target="http://www.sec.gov/Archives/edgar/data/1437402/000155837021002843/tmb-20210311xs8.htm" TargetMode="External"/><Relationship Id="rId25" Type="http://schemas.openxmlformats.org/officeDocument/2006/relationships/hyperlink" Target="http://www.sec.gov/Archives/edgar/data/1437402/000110465922028658/tm227853d1_s8.htm" TargetMode="External"/><Relationship Id="rId26" Type="http://schemas.openxmlformats.org/officeDocument/2006/relationships/hyperlink" Target="http://www.sec.gov/Archives/edgar/data/1437402/000110465923029195/tm238542d1_s8.htm" TargetMode="External"/><Relationship Id="rId27" Type="http://schemas.openxmlformats.org/officeDocument/2006/relationships/hyperlink" Target="http://www.sec.gov/Archives/edgar/data/1437402/000110465924028324/tm247176d1_s8.htm" TargetMode="External"/><Relationship Id="rId28" Type="http://schemas.openxmlformats.org/officeDocument/2006/relationships/hyperlink" Target="http://www.sec.gov/Archives/edgar/data/1437402/000110465924114363/tm2427403d1_s8.htm" TargetMode="External"/><Relationship Id="rId30" Type="http://schemas.openxmlformats.org/officeDocument/2006/relationships/hyperlink" Target="http://www.sec.gov/ix?doc=/Archives/edgar/data/1437402/000162828024006393/ardx-20231231.htm" TargetMode="External"/><Relationship Id="rId31" Type="http://schemas.openxmlformats.org/officeDocument/2006/relationships/hyperlink" Target="http://www.sec.gov/Archives/edgar/data/1437402/000162828025021516/ardx-20250331.htm" TargetMode="External"/><Relationship Id="rId32" Type="http://schemas.openxmlformats.org/officeDocument/2006/relationships/hyperlink" Target="http://www.sec.gov/Archives/edgar/data/1437402/000162828025037464/ardx-20250630.htm" TargetMode="External"/><Relationship Id="rId33" Type="http://schemas.openxmlformats.org/officeDocument/2006/relationships/hyperlink" Target="http://www.sec.gov/Archives/edgar/data/1437402/000143740225000018/ardx-20250930.htm" TargetMode="External"/><Relationship Id="rId34" Type="http://schemas.openxmlformats.org/officeDocument/2006/relationships/hyperlink" Target="http://www.sec.gov/Archives/edgar/data/1437402/000162828025037441/ardx-20250801.htm" TargetMode="External"/><Relationship Id="rId35" Type="http://schemas.openxmlformats.org/officeDocument/2006/relationships/hyperlink" Target="http://www.sec.gov/Archives/edgar/data/1437402/000143740225000008/ardx-20251013.htm" TargetMode="External"/><Relationship Id="rId36" Type="http://schemas.openxmlformats.org/officeDocument/2006/relationships/hyperlink" Target="http://www.sec.gov/Archives/edgar/data/1437402/000114036124023095/ny20024289x1_def14a.htm" TargetMode="External"/><Relationship Id="rId37" Type="http://schemas.openxmlformats.org/officeDocument/2006/relationships/hyperlink" Target="http://www.sec.gov/Archives/edgar/data/1437402/000119312514230441/d740908d8a12b.htm" TargetMode="External"/><Relationship Id="rId38" Type="http://schemas.openxmlformats.org/officeDocument/2006/relationships/hyperlink" Target="http://www.sec.gov/Archives/edgar/data/1437402/000155837021002500/ardx-20201231xex4d4.htm" TargetMode="External"/><Relationship Id="rId41" Type="http://schemas.openxmlformats.org/officeDocument/2006/relationships/hyperlink" Target="http://www.sec.gov/Archives/edgar/data/1437402/000119312514247380/d748616dex31.htm" TargetMode="External"/><Relationship Id="rId42" Type="http://schemas.openxmlformats.org/officeDocument/2006/relationships/hyperlink" Target="http://www.sec.gov/Archives/edgar/data/1437402/000162828023022681/certificateofamendment6-16.htm" TargetMode="External"/><Relationship Id="rId43" Type="http://schemas.openxmlformats.org/officeDocument/2006/relationships/hyperlink" Target="http://www.sec.gov/Archives/edgar/data/1437402/000162828025037441/ardx-20250630xexhibit31.htm" TargetMode="External"/><Relationship Id="rId44" Type="http://schemas.openxmlformats.org/officeDocument/2006/relationships/hyperlink" Target="http://www.sec.gov/Archives/edgar/data/1437402/000119312514240520/d704770dex42.htm" TargetMode="External"/><Relationship Id="rId45" Type="http://schemas.openxmlformats.org/officeDocument/2006/relationships/hyperlink" Target="http://www.sec.gov/Archives/edgar/data/1437402/000162828024028413/ardelyx-amendedandrestateda.htm" TargetMode="External"/><Relationship Id="rId46" Type="http://schemas.openxmlformats.org/officeDocument/2006/relationships/hyperlink" Target="http://www.sec.gov/Archives/edgar/data/1437402/000162828025032172/ardx-20250618xex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2025-11-03T15:51:39Z</dcterms:created>
  <dcterms:modified xsi:type="dcterms:W3CDTF">2025-11-03T15:51:39Z</dcterms:modified>
</cp:coreProperties>
</file>