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 Jeffrey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06"/>
        <w:spacing w:after="0"/>
        <w:rPr>
          <w:sz w:val="20"/>
          <w:szCs w:val="20"/>
          <w:color w:val="auto"/>
        </w:rPr>
      </w:pPr>
      <w:r>
        <w:rPr>
          <w:rFonts w:ascii="Arial" w:cs="Arial" w:eastAsia="Arial" w:hAnsi="Arial"/>
          <w:sz w:val="17"/>
          <w:szCs w:val="17"/>
          <w:color w:val="0000FF"/>
        </w:rPr>
        <w:t>SVP, Technical Operations</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9"/>
          </w:tcPr>
          <w:p>
            <w:pPr>
              <w:jc w:val="center"/>
              <w:ind w:right="33"/>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94555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6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01/19/2017</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5"/>
              </w:rPr>
              <w:t>17,985</w:t>
            </w:r>
            <w:r>
              <w:rPr>
                <w:rFonts w:ascii="Arial" w:cs="Arial" w:eastAsia="Arial" w:hAnsi="Arial"/>
                <w:sz w:val="22"/>
                <w:szCs w:val="22"/>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67,510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01/19/2017</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79,535</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01/19/2027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79,535</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79,535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ind w:left="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The Reporting Person is entitled to receive one (1) shares of Common Stock for each one (1) RSU upon the vesting thereof.</w:t>
      </w:r>
    </w:p>
    <w:p>
      <w:pPr>
        <w:spacing w:after="0" w:line="51"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it vests and the shares subject to the option vest in 48 successive, equal monthly installments on each monthly anniversary of January 19, 2017, subject to the Reporting Person's continued employment or service relationship with the Issuer on each such vesting date.</w:t>
      </w:r>
    </w:p>
    <w:p>
      <w:pPr>
        <w:spacing w:after="0" w:line="39"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25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552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Attorney-in-Fact for Jeffrey W.  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Jacobs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295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1193"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2019-12-04T01:52:14Z</dcterms:created>
  <dcterms:modified xsi:type="dcterms:W3CDTF">2019-12-04T01:52:14Z</dcterms:modified>
</cp:coreProperties>
</file>