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93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932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Jacobs Jeffrey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34175 ARDENWOOD BLVD., SUITE 100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FREMONT</w:t>
            </w:r>
          </w:p>
        </w:tc>
        <w:tc>
          <w:tcPr>
            <w:tcW w:w="880" w:type="dxa"/>
            <w:vAlign w:val="bottom"/>
          </w:tcPr>
          <w:p>
            <w:pPr>
              <w:ind w:left="14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94555</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Vice President, Chemistry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46,666</w:t>
            </w:r>
            <w:r>
              <w:rPr>
                <w:rFonts w:ascii="Arial" w:cs="Arial" w:eastAsia="Arial" w:hAnsi="Arial"/>
                <w:sz w:val="22"/>
                <w:szCs w:val="22"/>
                <w:color w:val="008000"/>
                <w:vertAlign w:val="superscript"/>
              </w:rPr>
              <w:t>(1)</w:t>
            </w:r>
          </w:p>
        </w:tc>
        <w:tc>
          <w:tcPr>
            <w:tcW w:w="98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10/26/2020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5"/>
              </w:rPr>
              <w:t>2,472</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1.08</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02/17/2021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5"/>
              </w:rPr>
              <w:t>6,416</w:t>
            </w:r>
            <w:r>
              <w:rPr>
                <w:rFonts w:ascii="Arial" w:cs="Arial" w:eastAsia="Arial" w:hAnsi="Arial"/>
                <w:sz w:val="22"/>
                <w:szCs w:val="22"/>
                <w:color w:val="008000"/>
                <w:w w:val="85"/>
                <w:vertAlign w:val="superscript"/>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1.08</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08/11/2021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4"/>
              </w:rPr>
              <w:t>59,374</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0.54</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one-for-nine reverse split of the Issuer's stock effected immediately prior to the consummation of the Issuer's initial public offering.</w:t>
      </w:r>
    </w:p>
    <w:p>
      <w:pPr>
        <w:spacing w:after="0" w:line="41" w:lineRule="exact"/>
        <w:rPr>
          <w:rFonts w:ascii="Arial" w:cs="Arial" w:eastAsia="Arial" w:hAnsi="Arial"/>
          <w:sz w:val="14"/>
          <w:szCs w:val="14"/>
          <w:color w:val="008000"/>
        </w:rPr>
      </w:pPr>
    </w:p>
    <w:p>
      <w:pPr>
        <w:ind w:left="40" w:right="30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option is immediately exercisable in full, but the shares subject thereto vest according to the following schedule: The shares subject to the option vest in 48 successive, equal monthly installments on each monthly anniversary of September 15, 2010, subject to the Reporting Person's continued employment or service relationship with the Issuer on each such vesting date.</w:t>
      </w:r>
    </w:p>
    <w:p>
      <w:pPr>
        <w:ind w:left="40" w:right="30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option is immediately exercisable in full, but the shares subject thereto vest according to the following schedule: The shares subject to the option vest in 48 successive, equal monthly installments on each monthly anniversary of January 1, 2011, subject to the Reporting Person's continued employment or service relationship with the Issuer on each such vesting date.</w:t>
      </w:r>
    </w:p>
    <w:p>
      <w:pPr>
        <w:ind w:left="40" w:right="300" w:firstLine="9"/>
        <w:spacing w:after="0" w:line="29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option is immediately exercisable in full, but the shares subject thereto vest according to the following schedule: The shares subject to the option vest in 48 successive, equal monthly installments on each monthly anniversary of August 1, 2011, subject to the Reporting Person's continued employment or service relationship with the Issuer on each such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Elizabeth Grammer, Attorney-</w:t>
      </w:r>
      <w:r>
        <w:rPr>
          <w:sz w:val="20"/>
          <w:szCs w:val="20"/>
          <w:color w:val="auto"/>
        </w:rPr>
        <w:tab/>
      </w:r>
      <w:r>
        <w:rPr>
          <w:rFonts w:ascii="Arial" w:cs="Arial" w:eastAsia="Arial" w:hAnsi="Arial"/>
          <w:sz w:val="15"/>
          <w:szCs w:val="15"/>
          <w:color w:val="0000FF"/>
        </w:rPr>
        <w:t>06/18/2014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Jeffrey 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0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93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(i) the Chief Executive Officer of Ardelyx, Inc., a Delaware corporation (the "Company"), who is currently Michael Raab, (ii) the Company's Chief Financial Officer, who is currently Mark Kaufmann and (iii) the Company's Vice President, General Counsel, who is currently Elizabeth Grammer, and their respective successors, signing singly, with full power of substitution, as the undersigned's true and lawful attorney-in-fact to:</w:t>
      </w:r>
    </w:p>
    <w:p>
      <w:pPr>
        <w:spacing w:after="0" w:line="211" w:lineRule="exact"/>
        <w:rPr>
          <w:sz w:val="20"/>
          <w:szCs w:val="20"/>
          <w:color w:val="auto"/>
        </w:rPr>
      </w:pPr>
    </w:p>
    <w:p>
      <w:pPr>
        <w:ind w:left="1280" w:right="1999" w:hanging="640"/>
        <w:spacing w:after="0" w:line="268"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the Company, Forms 3, 4 and 5 (including amendments thereto) in accordance with Section 16</w:t>
      </w:r>
    </w:p>
    <w:p>
      <w:pPr>
        <w:ind w:left="1280" w:right="1779" w:hanging="8"/>
        <w:spacing w:after="0" w:line="236" w:lineRule="auto"/>
        <w:tabs>
          <w:tab w:leader="none" w:pos="170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 and the rules and regulations thereunder and a Form ID, Uniform Application for Access Codes to File on EDGAR;</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 -fact's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7"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June, 2014.</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Jeffrey Jacobs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Jeffrey Jacobs</w:t>
      </w:r>
    </w:p>
    <w:sectPr>
      <w:pgSz w:w="11900" w:h="16838" w:orient="portrait"/>
      <w:cols w:equalWidth="0" w:num="1">
        <w:col w:w="10219"/>
      </w:cols>
      <w:pgMar w:left="240" w:top="136"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11193"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2019-12-18T04:36:32Z</dcterms:created>
  <dcterms:modified xsi:type="dcterms:W3CDTF">2019-12-18T04:36:32Z</dcterms:modified>
</cp:coreProperties>
</file>