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Blanks Robert</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06/09/2020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ARDELYX,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ARDX</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ARDELYX, INC. 34175</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ARDENWOOD BLVD</w:t>
      </w:r>
    </w:p>
    <w:p>
      <w:pPr>
        <w:spacing w:after="0" w:line="38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FREMONT CA</w:t>
            </w:r>
          </w:p>
        </w:tc>
        <w:tc>
          <w:tcPr>
            <w:tcW w:w="880" w:type="dxa"/>
            <w:vAlign w:val="bottom"/>
          </w:tcPr>
          <w:p>
            <w:pPr>
              <w:jc w:val="right"/>
              <w:spacing w:after="0"/>
              <w:rPr>
                <w:sz w:val="20"/>
                <w:szCs w:val="20"/>
                <w:color w:val="auto"/>
              </w:rPr>
            </w:pPr>
            <w:r>
              <w:rPr>
                <w:rFonts w:ascii="Arial" w:cs="Arial" w:eastAsia="Arial" w:hAnsi="Arial"/>
                <w:sz w:val="20"/>
                <w:szCs w:val="20"/>
                <w:color w:val="0000FF"/>
              </w:rPr>
              <w:t>94555</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1043"/>
        <w:spacing w:after="0"/>
        <w:rPr>
          <w:sz w:val="20"/>
          <w:szCs w:val="20"/>
          <w:color w:val="auto"/>
        </w:rPr>
      </w:pPr>
      <w:r>
        <w:rPr>
          <w:rFonts w:ascii="Arial" w:cs="Arial" w:eastAsia="Arial" w:hAnsi="Arial"/>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580"/>
              <w:spacing w:after="0"/>
              <w:rPr>
                <w:sz w:val="20"/>
                <w:szCs w:val="20"/>
                <w:color w:val="auto"/>
              </w:rPr>
            </w:pPr>
            <w:r>
              <w:rPr>
                <w:rFonts w:ascii="Arial" w:cs="Arial" w:eastAsia="Arial" w:hAnsi="Arial"/>
                <w:sz w:val="20"/>
                <w:szCs w:val="20"/>
                <w:color w:val="0000FF"/>
              </w:rPr>
              <w:t>115,395</w:t>
            </w:r>
            <w:r>
              <w:rPr>
                <w:rFonts w:ascii="Arial" w:cs="Arial" w:eastAsia="Arial" w:hAnsi="Arial"/>
                <w:sz w:val="25"/>
                <w:szCs w:val="25"/>
                <w:color w:val="008000"/>
                <w:vertAlign w:val="superscript"/>
              </w:rPr>
              <w:t>(1)</w:t>
            </w:r>
          </w:p>
        </w:tc>
        <w:tc>
          <w:tcPr>
            <w:tcW w:w="960" w:type="dxa"/>
            <w:vAlign w:val="bottom"/>
            <w:tcBorders>
              <w:bottom w:val="single" w:sz="8" w:color="2C2C2C"/>
            </w:tcBorders>
            <w:gridSpan w:val="2"/>
          </w:tcPr>
          <w:p>
            <w:pPr>
              <w:ind w:left="780"/>
              <w:spacing w:after="0"/>
              <w:rPr>
                <w:sz w:val="20"/>
                <w:szCs w:val="20"/>
                <w:color w:val="auto"/>
              </w:rPr>
            </w:pPr>
            <w:r>
              <w:rPr>
                <w:rFonts w:ascii="Arial" w:cs="Arial" w:eastAsia="Arial" w:hAnsi="Arial"/>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2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07/18/2023</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0"/>
              <w:spacing w:after="0"/>
              <w:rPr>
                <w:sz w:val="20"/>
                <w:szCs w:val="20"/>
                <w:color w:val="auto"/>
              </w:rPr>
            </w:pPr>
            <w:r>
              <w:rPr>
                <w:rFonts w:ascii="Arial" w:cs="Arial" w:eastAsia="Arial" w:hAnsi="Arial"/>
                <w:sz w:val="20"/>
                <w:szCs w:val="20"/>
                <w:color w:val="0000FF"/>
                <w:w w:val="88"/>
              </w:rPr>
              <w:t>33,333</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3.42</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01/06/2025</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50"/>
              <w:spacing w:after="0"/>
              <w:rPr>
                <w:sz w:val="20"/>
                <w:szCs w:val="20"/>
                <w:color w:val="auto"/>
              </w:rPr>
            </w:pPr>
            <w:r>
              <w:rPr>
                <w:rFonts w:ascii="Arial" w:cs="Arial" w:eastAsia="Arial" w:hAnsi="Arial"/>
                <w:sz w:val="20"/>
                <w:szCs w:val="20"/>
                <w:color w:val="0000FF"/>
                <w:w w:val="87"/>
              </w:rPr>
              <w:t>7,657</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23.02</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01/15/2026</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0"/>
              <w:spacing w:after="0"/>
              <w:rPr>
                <w:sz w:val="20"/>
                <w:szCs w:val="20"/>
                <w:color w:val="auto"/>
              </w:rPr>
            </w:pPr>
            <w:r>
              <w:rPr>
                <w:rFonts w:ascii="Arial" w:cs="Arial" w:eastAsia="Arial" w:hAnsi="Arial"/>
                <w:sz w:val="20"/>
                <w:szCs w:val="20"/>
                <w:color w:val="0000FF"/>
                <w:w w:val="88"/>
              </w:rPr>
              <w:t>30,810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10.55</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(3)</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01/19/2027</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0"/>
              <w:spacing w:after="0"/>
              <w:rPr>
                <w:sz w:val="20"/>
                <w:szCs w:val="20"/>
                <w:color w:val="auto"/>
              </w:rPr>
            </w:pPr>
            <w:r>
              <w:rPr>
                <w:rFonts w:ascii="Arial" w:cs="Arial" w:eastAsia="Arial" w:hAnsi="Arial"/>
                <w:sz w:val="20"/>
                <w:szCs w:val="20"/>
                <w:color w:val="0000FF"/>
                <w:w w:val="88"/>
              </w:rPr>
              <w:t>63,628</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13.9</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08/09/2027</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0"/>
              <w:spacing w:after="0"/>
              <w:rPr>
                <w:sz w:val="20"/>
                <w:szCs w:val="20"/>
                <w:color w:val="auto"/>
              </w:rPr>
            </w:pPr>
            <w:r>
              <w:rPr>
                <w:rFonts w:ascii="Arial" w:cs="Arial" w:eastAsia="Arial" w:hAnsi="Arial"/>
                <w:sz w:val="20"/>
                <w:szCs w:val="20"/>
                <w:color w:val="0000FF"/>
                <w:w w:val="88"/>
              </w:rPr>
              <w:t>19,884</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6"/>
              </w:rPr>
              <w:t>4.7</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(4)</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01/16/2028</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0"/>
              <w:spacing w:after="0"/>
              <w:rPr>
                <w:sz w:val="20"/>
                <w:szCs w:val="20"/>
                <w:color w:val="auto"/>
              </w:rPr>
            </w:pPr>
            <w:r>
              <w:rPr>
                <w:rFonts w:ascii="Arial" w:cs="Arial" w:eastAsia="Arial" w:hAnsi="Arial"/>
                <w:sz w:val="20"/>
                <w:szCs w:val="20"/>
                <w:color w:val="0000FF"/>
                <w:w w:val="88"/>
              </w:rPr>
              <w:t>87,828</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6"/>
              </w:rPr>
              <w:t>7.1</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(5)</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07/26/2028</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0"/>
              <w:spacing w:after="0"/>
              <w:rPr>
                <w:sz w:val="20"/>
                <w:szCs w:val="20"/>
                <w:color w:val="auto"/>
              </w:rPr>
            </w:pPr>
            <w:r>
              <w:rPr>
                <w:rFonts w:ascii="Arial" w:cs="Arial" w:eastAsia="Arial" w:hAnsi="Arial"/>
                <w:sz w:val="20"/>
                <w:szCs w:val="20"/>
                <w:color w:val="0000FF"/>
                <w:w w:val="88"/>
              </w:rPr>
              <w:t>54,730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6"/>
              </w:rPr>
              <w:t>4.3</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(6)</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01/17/2029</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0"/>
              <w:spacing w:after="0"/>
              <w:rPr>
                <w:sz w:val="20"/>
                <w:szCs w:val="20"/>
                <w:color w:val="auto"/>
              </w:rPr>
            </w:pPr>
            <w:r>
              <w:rPr>
                <w:rFonts w:ascii="Arial" w:cs="Arial" w:eastAsia="Arial" w:hAnsi="Arial"/>
                <w:sz w:val="20"/>
                <w:szCs w:val="20"/>
                <w:color w:val="0000FF"/>
                <w:w w:val="88"/>
              </w:rPr>
              <w:t>80,000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2.32</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(7)</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01/09/2030</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0"/>
              <w:spacing w:after="0"/>
              <w:rPr>
                <w:sz w:val="20"/>
                <w:szCs w:val="20"/>
                <w:color w:val="auto"/>
              </w:rPr>
            </w:pPr>
            <w:r>
              <w:rPr>
                <w:rFonts w:ascii="Arial" w:cs="Arial" w:eastAsia="Arial" w:hAnsi="Arial"/>
                <w:sz w:val="20"/>
                <w:szCs w:val="20"/>
                <w:color w:val="0000FF"/>
                <w:w w:val="85"/>
              </w:rPr>
              <w:t>139,365</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6"/>
              </w:rPr>
              <w:t>7.6</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-3801110</wp:posOffset>
            </wp:positionV>
            <wp:extent cx="6946900" cy="36595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3659505"/>
                    </a:xfrm>
                    <a:prstGeom prst="rect">
                      <a:avLst/>
                    </a:prstGeom>
                    <a:noFill/>
                  </pic:spPr>
                </pic:pic>
              </a:graphicData>
            </a:graphic>
          </wp:anchor>
        </w:drawing>
      </w:r>
    </w:p>
    <w:p>
      <w:pPr>
        <w:spacing w:after="0" w:line="15" w:lineRule="exact"/>
        <w:rPr>
          <w:sz w:val="24"/>
          <w:szCs w:val="24"/>
          <w:color w:val="auto"/>
        </w:rPr>
      </w:pPr>
    </w:p>
    <w:p>
      <w:pPr>
        <w:ind w:left="200" w:hanging="155"/>
        <w:spacing w:after="0"/>
        <w:tabs>
          <w:tab w:leader="none" w:pos="20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Includes 100,000 restricted stock units ("RSUs"). The Reporting Person is entitled to receive one (1) shares of Common Stock for each one (1) RSU upon the vesting thereof.</w:t>
      </w:r>
    </w:p>
    <w:p>
      <w:pPr>
        <w:spacing w:after="0" w:line="64" w:lineRule="exact"/>
        <w:rPr>
          <w:rFonts w:ascii="Arial" w:cs="Arial" w:eastAsia="Arial" w:hAnsi="Arial"/>
          <w:sz w:val="14"/>
          <w:szCs w:val="14"/>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is fully vested and exercisable.</w:t>
      </w:r>
    </w:p>
    <w:p>
      <w:pPr>
        <w:spacing w:after="0" w:line="52" w:lineRule="exact"/>
        <w:rPr>
          <w:rFonts w:ascii="Arial" w:cs="Arial" w:eastAsia="Arial" w:hAnsi="Arial"/>
          <w:sz w:val="15"/>
          <w:szCs w:val="15"/>
          <w:color w:val="008000"/>
        </w:rPr>
      </w:pPr>
    </w:p>
    <w:p>
      <w:pPr>
        <w:ind w:left="40" w:right="3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becomes exercisable as it vests and the shares subject to the option vest in 48 successive, equal monthly installments on each monthly anniversary of January 19, 2017, subject to the Reporting Person's continued employment or service relationship with the Issuer on each such vesting date.</w:t>
      </w:r>
    </w:p>
    <w:p>
      <w:pPr>
        <w:spacing w:after="0" w:line="26" w:lineRule="exact"/>
        <w:rPr>
          <w:rFonts w:ascii="Arial" w:cs="Arial" w:eastAsia="Arial" w:hAnsi="Arial"/>
          <w:sz w:val="15"/>
          <w:szCs w:val="15"/>
          <w:color w:val="008000"/>
        </w:rPr>
      </w:pPr>
    </w:p>
    <w:p>
      <w:pPr>
        <w:ind w:left="40" w:right="3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becomes exercisable as it vests and the shares subject to the option vest in 48 successive, equal monthly installments on each monthly anniversary of January 16, 2018, subject to the Reporting Person's continued employment or service relationship with the Issuer on each such vesting date.</w:t>
      </w:r>
    </w:p>
    <w:p>
      <w:pPr>
        <w:spacing w:after="0" w:line="26" w:lineRule="exact"/>
        <w:rPr>
          <w:rFonts w:ascii="Arial" w:cs="Arial" w:eastAsia="Arial" w:hAnsi="Arial"/>
          <w:sz w:val="15"/>
          <w:szCs w:val="15"/>
          <w:color w:val="008000"/>
        </w:rPr>
      </w:pPr>
    </w:p>
    <w:p>
      <w:pPr>
        <w:ind w:left="40" w:right="22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becomes exercisable as it vests and the shares subject to the option vest in 48 successive, equal monthly installments on each monthly anniversary of July 26, 2018, subject to the Reporting Person's continued employment or service relationship with the Issuer on each such vesting date.</w:t>
      </w:r>
    </w:p>
    <w:p>
      <w:pPr>
        <w:spacing w:after="0" w:line="26" w:lineRule="exact"/>
        <w:rPr>
          <w:rFonts w:ascii="Arial" w:cs="Arial" w:eastAsia="Arial" w:hAnsi="Arial"/>
          <w:sz w:val="15"/>
          <w:szCs w:val="15"/>
          <w:color w:val="008000"/>
        </w:rPr>
      </w:pPr>
    </w:p>
    <w:p>
      <w:pPr>
        <w:ind w:left="40" w:right="3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becomes exercisable as it vests and the shares subject to the option vest in 48 successive, equal monthly installments on each monthly anniversary of January 17, 2019, subject to the Reporting Person's continued employment or service relationship with the Issuer on each such vesting date.</w:t>
      </w:r>
    </w:p>
    <w:p>
      <w:pPr>
        <w:spacing w:after="0" w:line="26" w:lineRule="exact"/>
        <w:rPr>
          <w:rFonts w:ascii="Arial" w:cs="Arial" w:eastAsia="Arial" w:hAnsi="Arial"/>
          <w:sz w:val="15"/>
          <w:szCs w:val="15"/>
          <w:color w:val="008000"/>
        </w:rPr>
      </w:pPr>
    </w:p>
    <w:p>
      <w:pPr>
        <w:ind w:left="40" w:right="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becomes exercisable as it vests and the shares subject to the option vest in 48 successive, equal monthly installments on each monthly anniversary of January 9, 2020, subject to the Reporting Person's continued employment or service relationship with the Issuer on each such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ectPr>
          <w:pgSz w:w="11900" w:h="16838" w:orient="portrait"/>
          <w:cols w:equalWidth="0" w:num="1">
            <w:col w:w="10940"/>
          </w:cols>
          <w:pgMar w:left="480" w:top="236" w:right="479" w:bottom="0" w:gutter="0" w:footer="0" w:header="0"/>
          <w:type w:val="continuous"/>
        </w:sectPr>
      </w:pPr>
    </w:p>
    <w:p>
      <w:pPr>
        <w:spacing w:after="0" w:line="65"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Chief Regulatory and Quality Affairs Officer</w:t>
      </w:r>
    </w:p>
    <w:p>
      <w:pPr>
        <w:sectPr>
          <w:pgSz w:w="11900" w:h="16838" w:orient="portrait"/>
          <w:cols w:equalWidth="0" w:num="1">
            <w:col w:w="10940"/>
          </w:cols>
          <w:pgMar w:left="480" w:top="236" w:right="4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0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87"/>
              </w:rPr>
              <w:t>/s/ Elizabeth Grammer,</w:t>
            </w:r>
          </w:p>
        </w:tc>
        <w:tc>
          <w:tcPr>
            <w:tcW w:w="38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7"/>
              </w:rPr>
              <w:t>06/22/2020</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Arial" w:cs="Arial" w:eastAsia="Arial" w:hAnsi="Arial"/>
                <w:sz w:val="20"/>
                <w:szCs w:val="20"/>
                <w:color w:val="0000FF"/>
              </w:rPr>
              <w:t>Attorney-in-Fact for</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12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0000FF"/>
                <w:w w:val="87"/>
              </w:rPr>
              <w:t>Robert Blanks</w:t>
            </w:r>
          </w:p>
        </w:tc>
        <w:tc>
          <w:tcPr>
            <w:tcW w:w="460" w:type="dxa"/>
            <w:vAlign w:val="bottom"/>
            <w:tcBorders>
              <w:top w:val="single" w:sz="8" w:color="auto"/>
            </w:tcBorders>
          </w:tcPr>
          <w:p>
            <w:pPr>
              <w:spacing w:after="0"/>
              <w:rPr>
                <w:sz w:val="19"/>
                <w:szCs w:val="19"/>
                <w:color w:val="auto"/>
              </w:rPr>
            </w:pPr>
          </w:p>
        </w:tc>
        <w:tc>
          <w:tcPr>
            <w:tcW w:w="60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05" w:right="5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4"/>
          <w:szCs w:val="24"/>
          <w:b w:val="1"/>
          <w:bCs w:val="1"/>
          <w:color w:val="auto"/>
        </w:rPr>
        <w:t>POWER OF ATTORNEY</w:t>
      </w:r>
    </w:p>
    <w:p>
      <w:pPr>
        <w:spacing w:after="0" w:line="240" w:lineRule="exact"/>
        <w:rPr>
          <w:sz w:val="20"/>
          <w:szCs w:val="20"/>
          <w:color w:val="auto"/>
        </w:rPr>
      </w:pPr>
    </w:p>
    <w:p>
      <w:pPr>
        <w:ind w:right="320" w:firstLine="720"/>
        <w:spacing w:after="0" w:line="278" w:lineRule="auto"/>
        <w:rPr>
          <w:sz w:val="20"/>
          <w:szCs w:val="20"/>
          <w:color w:val="auto"/>
        </w:rPr>
      </w:pPr>
      <w:r>
        <w:rPr>
          <w:rFonts w:ascii="Arial" w:cs="Arial" w:eastAsia="Arial" w:hAnsi="Arial"/>
          <w:sz w:val="21"/>
          <w:szCs w:val="21"/>
          <w:color w:val="auto"/>
        </w:rPr>
        <w:t>Know all by these presents, that the undersigned hereby constitutes and appoints each of (i) the Chief Executive Officer of Ardelyx, Inc., a Delaware corporation (the “</w:t>
      </w:r>
      <w:r>
        <w:rPr>
          <w:rFonts w:ascii="Arial" w:cs="Arial" w:eastAsia="Arial" w:hAnsi="Arial"/>
          <w:sz w:val="21"/>
          <w:szCs w:val="21"/>
          <w:b w:val="1"/>
          <w:bCs w:val="1"/>
          <w:color w:val="auto"/>
        </w:rPr>
        <w:t>Company</w:t>
      </w:r>
      <w:r>
        <w:rPr>
          <w:rFonts w:ascii="Arial" w:cs="Arial" w:eastAsia="Arial" w:hAnsi="Arial"/>
          <w:sz w:val="21"/>
          <w:szCs w:val="21"/>
          <w:color w:val="auto"/>
        </w:rPr>
        <w:t>”), who is currently Michael Raab,</w:t>
      </w:r>
    </w:p>
    <w:p>
      <w:pPr>
        <w:spacing w:after="0" w:line="1" w:lineRule="exact"/>
        <w:rPr>
          <w:sz w:val="20"/>
          <w:szCs w:val="20"/>
          <w:color w:val="auto"/>
        </w:rPr>
      </w:pPr>
    </w:p>
    <w:p>
      <w:pPr>
        <w:ind w:right="40"/>
        <w:spacing w:after="0" w:line="239" w:lineRule="auto"/>
        <w:tabs>
          <w:tab w:leader="none" w:pos="353" w:val="left"/>
        </w:tabs>
        <w:numPr>
          <w:ilvl w:val="0"/>
          <w:numId w:val="6"/>
        </w:numPr>
        <w:rPr>
          <w:rFonts w:ascii="Arial" w:cs="Arial" w:eastAsia="Arial" w:hAnsi="Arial"/>
          <w:sz w:val="24"/>
          <w:szCs w:val="24"/>
          <w:color w:val="auto"/>
        </w:rPr>
      </w:pPr>
      <w:r>
        <w:rPr>
          <w:rFonts w:ascii="Arial" w:cs="Arial" w:eastAsia="Arial" w:hAnsi="Arial"/>
          <w:sz w:val="24"/>
          <w:szCs w:val="24"/>
          <w:color w:val="auto"/>
        </w:rPr>
        <w:t>the Company's Chief Financial Officer or principal financial officer and (iii) the Chief Legal and Administrative Officer, who is currently Elizabeth Grammer, and their respective successors, signing singly, with full power of substitution, as the undersigned's true and lawful attorney-in-fact to:</w:t>
      </w:r>
    </w:p>
    <w:p>
      <w:pPr>
        <w:spacing w:after="0" w:line="213" w:lineRule="exact"/>
        <w:rPr>
          <w:rFonts w:ascii="Arial" w:cs="Arial" w:eastAsia="Arial" w:hAnsi="Arial"/>
          <w:sz w:val="24"/>
          <w:szCs w:val="24"/>
          <w:color w:val="auto"/>
        </w:rPr>
      </w:pPr>
    </w:p>
    <w:p>
      <w:pPr>
        <w:jc w:val="both"/>
        <w:ind w:left="1440" w:right="160" w:hanging="720"/>
        <w:spacing w:after="0" w:line="306" w:lineRule="auto"/>
        <w:tabs>
          <w:tab w:leader="none" w:pos="1440" w:val="left"/>
        </w:tabs>
        <w:numPr>
          <w:ilvl w:val="1"/>
          <w:numId w:val="6"/>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of the Company, Forms 3, 4 and 5 (including amendments thereto) in accordance with Section 16(a) of the Securities Exchange Act of 1934 and the rules and regulations thereunder and a Form ID, Uniform Application for Access Codes to File on EDGAR;</w:t>
      </w:r>
    </w:p>
    <w:p>
      <w:pPr>
        <w:spacing w:after="0" w:line="168" w:lineRule="exact"/>
        <w:rPr>
          <w:rFonts w:ascii="Arial" w:cs="Arial" w:eastAsia="Arial" w:hAnsi="Arial"/>
          <w:sz w:val="18"/>
          <w:szCs w:val="18"/>
          <w:color w:val="auto"/>
        </w:rPr>
      </w:pPr>
    </w:p>
    <w:p>
      <w:pPr>
        <w:ind w:left="1440" w:right="20" w:hanging="720"/>
        <w:spacing w:after="0" w:line="259" w:lineRule="auto"/>
        <w:tabs>
          <w:tab w:leader="none" w:pos="1440" w:val="left"/>
        </w:tabs>
        <w:numPr>
          <w:ilvl w:val="1"/>
          <w:numId w:val="6"/>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Forms 3, 4 or 5 or Form ID and timely file such forms (including amendments thereto) and application with the United States Securities and Exchange Commission and any stock exchange or similar authority; and</w:t>
      </w:r>
    </w:p>
    <w:p>
      <w:pPr>
        <w:spacing w:after="0" w:line="207" w:lineRule="exact"/>
        <w:rPr>
          <w:rFonts w:ascii="Arial" w:cs="Arial" w:eastAsia="Arial" w:hAnsi="Arial"/>
          <w:sz w:val="20"/>
          <w:szCs w:val="20"/>
          <w:color w:val="auto"/>
        </w:rPr>
      </w:pPr>
    </w:p>
    <w:p>
      <w:pPr>
        <w:ind w:left="1440" w:hanging="720"/>
        <w:spacing w:after="0" w:line="257" w:lineRule="auto"/>
        <w:tabs>
          <w:tab w:leader="none" w:pos="1440" w:val="left"/>
        </w:tabs>
        <w:numPr>
          <w:ilvl w:val="1"/>
          <w:numId w:val="6"/>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2" w:lineRule="exact"/>
        <w:rPr>
          <w:sz w:val="20"/>
          <w:szCs w:val="20"/>
          <w:color w:val="auto"/>
        </w:rPr>
      </w:pPr>
    </w:p>
    <w:p>
      <w:pPr>
        <w:ind w:right="40" w:firstLine="720"/>
        <w:spacing w:after="0" w:line="249" w:lineRule="auto"/>
        <w:rPr>
          <w:sz w:val="20"/>
          <w:szCs w:val="20"/>
          <w:color w:val="auto"/>
        </w:rPr>
      </w:pPr>
      <w:r>
        <w:rPr>
          <w:rFonts w:ascii="Arial" w:cs="Arial" w:eastAsia="Arial" w:hAnsi="Arial"/>
          <w:sz w:val="23"/>
          <w:szCs w:val="23"/>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32" w:lineRule="exact"/>
        <w:rPr>
          <w:sz w:val="20"/>
          <w:szCs w:val="20"/>
          <w:color w:val="auto"/>
        </w:rPr>
      </w:pPr>
    </w:p>
    <w:p>
      <w:pPr>
        <w:ind w:right="100" w:firstLine="720"/>
        <w:spacing w:after="0" w:line="277" w:lineRule="auto"/>
        <w:rPr>
          <w:sz w:val="20"/>
          <w:szCs w:val="20"/>
          <w:color w:val="auto"/>
        </w:rPr>
      </w:pPr>
      <w:r>
        <w:rPr>
          <w:rFonts w:ascii="Arial" w:cs="Arial" w:eastAsia="Arial" w:hAnsi="Arial"/>
          <w:sz w:val="21"/>
          <w:szCs w:val="21"/>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or 5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201" w:lineRule="exact"/>
        <w:rPr>
          <w:sz w:val="20"/>
          <w:szCs w:val="20"/>
          <w:color w:val="auto"/>
        </w:rPr>
      </w:pPr>
    </w:p>
    <w:p>
      <w:pPr>
        <w:ind w:right="240" w:firstLine="720"/>
        <w:spacing w:after="0" w:line="263" w:lineRule="auto"/>
        <w:rPr>
          <w:sz w:val="20"/>
          <w:szCs w:val="20"/>
          <w:color w:val="auto"/>
        </w:rPr>
      </w:pPr>
      <w:r>
        <w:rPr>
          <w:rFonts w:ascii="Arial" w:cs="Arial" w:eastAsia="Arial" w:hAnsi="Arial"/>
          <w:sz w:val="23"/>
          <w:szCs w:val="23"/>
          <w:color w:val="auto"/>
        </w:rPr>
        <w:t>This Power of Attorney supersedes any power of attorney previously executed by the undersigned regarding the purposes outlined in the first paragraph hereof (“</w:t>
      </w:r>
      <w:r>
        <w:rPr>
          <w:rFonts w:ascii="Arial" w:cs="Arial" w:eastAsia="Arial" w:hAnsi="Arial"/>
          <w:sz w:val="23"/>
          <w:szCs w:val="23"/>
          <w:b w:val="1"/>
          <w:bCs w:val="1"/>
          <w:i w:val="1"/>
          <w:iCs w:val="1"/>
          <w:color w:val="auto"/>
        </w:rPr>
        <w:t>Prior Powers of Attorney</w:t>
      </w:r>
      <w:r>
        <w:rPr>
          <w:rFonts w:ascii="Arial" w:cs="Arial" w:eastAsia="Arial" w:hAnsi="Arial"/>
          <w:sz w:val="23"/>
          <w:szCs w:val="23"/>
          <w:color w:val="auto"/>
        </w:rPr>
        <w:t>”), and the authority of the attorneys-in-fact named in any Prior Powers of Attorney is hereby revoked.</w:t>
      </w:r>
    </w:p>
    <w:p>
      <w:pPr>
        <w:spacing w:after="0" w:line="211" w:lineRule="exact"/>
        <w:rPr>
          <w:sz w:val="20"/>
          <w:szCs w:val="20"/>
          <w:color w:val="auto"/>
        </w:rPr>
      </w:pPr>
    </w:p>
    <w:p>
      <w:pPr>
        <w:ind w:right="40" w:firstLine="720"/>
        <w:spacing w:after="0" w:line="241" w:lineRule="auto"/>
        <w:rPr>
          <w:sz w:val="20"/>
          <w:szCs w:val="20"/>
          <w:color w:val="auto"/>
        </w:rPr>
      </w:pPr>
      <w:r>
        <w:rPr>
          <w:rFonts w:ascii="Arial" w:cs="Arial" w:eastAsia="Arial" w:hAnsi="Arial"/>
          <w:sz w:val="24"/>
          <w:szCs w:val="24"/>
          <w:color w:val="auto"/>
        </w:rPr>
        <w:t>This Power of Attorney shall remain in full force and effect until the undersigned is no longer required to file Forms 3, 4 or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w:t>
      </w:r>
    </w:p>
    <w:p>
      <w:pPr>
        <w:spacing w:after="0" w:line="235" w:lineRule="exact"/>
        <w:rPr>
          <w:sz w:val="20"/>
          <w:szCs w:val="20"/>
          <w:color w:val="auto"/>
        </w:rPr>
      </w:pPr>
    </w:p>
    <w:p>
      <w:pPr>
        <w:ind w:right="280" w:firstLine="720"/>
        <w:spacing w:after="0" w:line="266" w:lineRule="auto"/>
        <w:rPr>
          <w:sz w:val="20"/>
          <w:szCs w:val="20"/>
          <w:color w:val="auto"/>
        </w:rPr>
      </w:pPr>
      <w:r>
        <w:rPr>
          <w:rFonts w:ascii="Arial" w:cs="Arial" w:eastAsia="Arial" w:hAnsi="Arial"/>
          <w:sz w:val="24"/>
          <w:szCs w:val="24"/>
          <w:color w:val="auto"/>
        </w:rPr>
        <w:t>IN WITNESS WHEREOF, the undersigned has caused this Power of Attorney to be executed as of this 11</w:t>
      </w:r>
      <w:r>
        <w:rPr>
          <w:rFonts w:ascii="Arial" w:cs="Arial" w:eastAsia="Arial" w:hAnsi="Arial"/>
          <w:sz w:val="40"/>
          <w:szCs w:val="40"/>
          <w:color w:val="auto"/>
          <w:vertAlign w:val="superscript"/>
        </w:rPr>
        <w:t>th</w:t>
      </w:r>
      <w:r>
        <w:rPr>
          <w:rFonts w:ascii="Arial" w:cs="Arial" w:eastAsia="Arial" w:hAnsi="Arial"/>
          <w:sz w:val="24"/>
          <w:szCs w:val="24"/>
          <w:color w:val="auto"/>
        </w:rPr>
        <w:t xml:space="preserve"> day of June, 2020.</w:t>
      </w:r>
    </w:p>
    <w:p>
      <w:pPr>
        <w:spacing w:after="0" w:line="235" w:lineRule="exact"/>
        <w:rPr>
          <w:sz w:val="20"/>
          <w:szCs w:val="20"/>
          <w:color w:val="auto"/>
        </w:rPr>
      </w:pPr>
    </w:p>
    <w:p>
      <w:pPr>
        <w:ind w:left="5580"/>
        <w:spacing w:after="0"/>
        <w:rPr>
          <w:sz w:val="20"/>
          <w:szCs w:val="20"/>
          <w:color w:val="auto"/>
        </w:rPr>
      </w:pPr>
      <w:r>
        <w:rPr>
          <w:rFonts w:ascii="Arial" w:cs="Arial" w:eastAsia="Arial" w:hAnsi="Arial"/>
          <w:sz w:val="24"/>
          <w:szCs w:val="24"/>
          <w:u w:val="single" w:color="auto"/>
          <w:color w:val="auto"/>
        </w:rPr>
        <w:t>/s/ Robert Blanks</w:t>
      </w:r>
    </w:p>
    <w:p>
      <w:pPr>
        <w:spacing w:after="0" w:line="29" w:lineRule="exact"/>
        <w:rPr>
          <w:sz w:val="20"/>
          <w:szCs w:val="20"/>
          <w:color w:val="auto"/>
        </w:rPr>
      </w:pPr>
    </w:p>
    <w:p>
      <w:pPr>
        <w:ind w:left="5580"/>
        <w:spacing w:after="0"/>
        <w:rPr>
          <w:sz w:val="20"/>
          <w:szCs w:val="20"/>
          <w:color w:val="auto"/>
        </w:rPr>
      </w:pPr>
      <w:r>
        <w:rPr>
          <w:rFonts w:ascii="Arial" w:cs="Arial" w:eastAsia="Arial" w:hAnsi="Arial"/>
          <w:sz w:val="24"/>
          <w:szCs w:val="24"/>
          <w:b w:val="1"/>
          <w:bCs w:val="1"/>
          <w:color w:val="auto"/>
        </w:rPr>
        <w:t>Robert Blanks</w:t>
      </w:r>
    </w:p>
    <w:sectPr>
      <w:pgSz w:w="11900" w:h="16838" w:orient="portrait"/>
      <w:cols w:equalWidth="0" w:num="1">
        <w:col w:w="10920"/>
      </w:cols>
      <w:pgMar w:left="480" w:top="110" w:right="499" w:bottom="96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Roman"/>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15433" TargetMode="External"/><Relationship Id="rId11"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2020-06-22T17:26:09Z</dcterms:created>
  <dcterms:modified xsi:type="dcterms:W3CDTF">2020-06-22T17:26:09Z</dcterms:modified>
</cp:coreProperties>
</file>