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663765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3765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297815</wp:posOffset>
            </wp:positionV>
            <wp:extent cx="6637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7655" cy="698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08"/>
        <w:spacing w:after="0"/>
        <w:rPr>
          <w:sz w:val="20"/>
          <w:szCs w:val="20"/>
          <w:color w:val="auto"/>
        </w:rPr>
      </w:pPr>
      <w:r>
        <w:rPr>
          <w:rFonts w:ascii="Arial" w:cs="Arial" w:eastAsia="Arial" w:hAnsi="Arial"/>
          <w:sz w:val="26"/>
          <w:szCs w:val="26"/>
          <w:b w:val="1"/>
          <w:bCs w:val="1"/>
          <w:color w:val="auto"/>
        </w:rPr>
        <w:t>UNITED STATES</w:t>
      </w:r>
    </w:p>
    <w:p>
      <w:pPr>
        <w:jc w:val="center"/>
        <w:ind w:right="-108"/>
        <w:spacing w:after="0" w:line="206" w:lineRule="auto"/>
        <w:rPr>
          <w:sz w:val="20"/>
          <w:szCs w:val="20"/>
          <w:color w:val="auto"/>
        </w:rPr>
      </w:pPr>
      <w:r>
        <w:rPr>
          <w:rFonts w:ascii="Arial" w:cs="Arial" w:eastAsia="Arial" w:hAnsi="Arial"/>
          <w:sz w:val="26"/>
          <w:szCs w:val="26"/>
          <w:b w:val="1"/>
          <w:bCs w:val="1"/>
          <w:color w:val="auto"/>
        </w:rPr>
        <w:t>SECURITIES AND EXCHANGE COMMISSION</w:t>
      </w:r>
    </w:p>
    <w:p>
      <w:pPr>
        <w:spacing w:after="0" w:line="1" w:lineRule="exact"/>
        <w:rPr>
          <w:sz w:val="24"/>
          <w:szCs w:val="24"/>
          <w:color w:val="auto"/>
        </w:rPr>
      </w:pPr>
    </w:p>
    <w:p>
      <w:pPr>
        <w:jc w:val="center"/>
        <w:ind w:right="-108"/>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46990</wp:posOffset>
            </wp:positionV>
            <wp:extent cx="166116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1160" cy="13335"/>
                    </a:xfrm>
                    <a:prstGeom prst="rect">
                      <a:avLst/>
                    </a:prstGeom>
                    <a:noFill/>
                  </pic:spPr>
                </pic:pic>
              </a:graphicData>
            </a:graphic>
          </wp:anchor>
        </w:drawing>
      </w:r>
    </w:p>
    <w:p>
      <w:pPr>
        <w:spacing w:after="0" w:line="118" w:lineRule="exact"/>
        <w:rPr>
          <w:sz w:val="24"/>
          <w:szCs w:val="24"/>
          <w:color w:val="auto"/>
        </w:rPr>
      </w:pPr>
    </w:p>
    <w:p>
      <w:pPr>
        <w:jc w:val="center"/>
        <w:ind w:right="-108"/>
        <w:spacing w:after="0" w:line="299" w:lineRule="exact"/>
        <w:rPr>
          <w:sz w:val="20"/>
          <w:szCs w:val="20"/>
          <w:color w:val="auto"/>
        </w:rPr>
      </w:pPr>
      <w:r>
        <w:rPr>
          <w:rFonts w:ascii="Arial" w:cs="Arial" w:eastAsia="Arial" w:hAnsi="Arial"/>
          <w:sz w:val="26"/>
          <w:szCs w:val="26"/>
          <w:b w:val="1"/>
          <w:bCs w:val="1"/>
          <w:color w:val="auto"/>
        </w:rPr>
        <w:t>FORM 10</w:t>
      </w:r>
      <w:r>
        <w:rPr>
          <w:rFonts w:ascii="MS PGothic" w:cs="MS PGothic" w:eastAsia="MS PGothic" w:hAnsi="MS PGothic"/>
          <w:sz w:val="26"/>
          <w:szCs w:val="26"/>
          <w:b w:val="1"/>
          <w:bCs w:val="1"/>
          <w:color w:val="auto"/>
        </w:rPr>
        <w:t>‑</w:t>
      </w:r>
      <w:r>
        <w:rPr>
          <w:rFonts w:ascii="Arial" w:cs="Arial" w:eastAsia="Arial" w:hAnsi="Arial"/>
          <w:sz w:val="26"/>
          <w:szCs w:val="26"/>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53975</wp:posOffset>
            </wp:positionV>
            <wp:extent cx="16611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1160" cy="6985"/>
                    </a:xfrm>
                    <a:prstGeom prst="rect">
                      <a:avLst/>
                    </a:prstGeom>
                    <a:noFill/>
                  </pic:spPr>
                </pic:pic>
              </a:graphicData>
            </a:graphic>
          </wp:anchor>
        </w:drawing>
      </w:r>
    </w:p>
    <w:p>
      <w:pPr>
        <w:spacing w:after="0" w:line="204" w:lineRule="exact"/>
        <w:rPr>
          <w:sz w:val="24"/>
          <w:szCs w:val="24"/>
          <w:color w:val="auto"/>
        </w:rPr>
      </w:pPr>
    </w:p>
    <w:p>
      <w:pPr>
        <w:ind w:left="9"/>
        <w:spacing w:after="0"/>
        <w:rPr>
          <w:sz w:val="20"/>
          <w:szCs w:val="20"/>
          <w:color w:val="auto"/>
        </w:rPr>
      </w:pPr>
      <w:r>
        <w:rPr>
          <w:rFonts w:ascii="Arial" w:cs="Arial" w:eastAsia="Arial" w:hAnsi="Arial"/>
          <w:sz w:val="14"/>
          <w:szCs w:val="14"/>
          <w:color w:val="auto"/>
        </w:rPr>
        <w:t>(Mark One)</w:t>
      </w:r>
    </w:p>
    <w:p>
      <w:pPr>
        <w:spacing w:after="0" w:line="1" w:lineRule="exact"/>
        <w:rPr>
          <w:sz w:val="24"/>
          <w:szCs w:val="24"/>
          <w:color w:val="auto"/>
        </w:rPr>
      </w:pPr>
    </w:p>
    <w:p>
      <w:pPr>
        <w:ind w:left="489" w:hanging="489"/>
        <w:spacing w:after="0"/>
        <w:tabs>
          <w:tab w:leader="none" w:pos="48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4"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FOR THE QUARTERLY PERIOD ENDED JUNE 30, 2018</w:t>
      </w:r>
    </w:p>
    <w:p>
      <w:pPr>
        <w:spacing w:after="0" w:line="42"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OR</w:t>
      </w:r>
    </w:p>
    <w:p>
      <w:pPr>
        <w:spacing w:after="0" w:line="36" w:lineRule="exact"/>
        <w:rPr>
          <w:sz w:val="24"/>
          <w:szCs w:val="24"/>
          <w:color w:val="auto"/>
        </w:rPr>
      </w:pPr>
    </w:p>
    <w:p>
      <w:pPr>
        <w:ind w:left="489" w:hanging="489"/>
        <w:spacing w:after="0"/>
        <w:tabs>
          <w:tab w:leader="none" w:pos="489"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289" w:type="dxa"/>
        <w:tblCellMar>
          <w:top w:w="0" w:type="dxa"/>
          <w:left w:w="0" w:type="dxa"/>
          <w:bottom w:w="0" w:type="dxa"/>
          <w:right w:w="0" w:type="dxa"/>
        </w:tblCellMar>
      </w:tblPr>
      <w:tr>
        <w:trPr>
          <w:trHeight w:val="185"/>
        </w:trPr>
        <w:tc>
          <w:tcPr>
            <w:tcW w:w="5340" w:type="dxa"/>
            <w:vAlign w:val="bottom"/>
            <w:gridSpan w:val="3"/>
          </w:tcPr>
          <w:p>
            <w:pPr>
              <w:ind w:left="2260"/>
              <w:spacing w:after="0"/>
              <w:rPr>
                <w:sz w:val="20"/>
                <w:szCs w:val="20"/>
                <w:color w:val="auto"/>
              </w:rPr>
            </w:pPr>
            <w:r>
              <w:rPr>
                <w:rFonts w:ascii="Arial" w:cs="Arial" w:eastAsia="Arial" w:hAnsi="Arial"/>
                <w:sz w:val="14"/>
                <w:szCs w:val="14"/>
                <w:b w:val="1"/>
                <w:bCs w:val="1"/>
                <w:color w:val="auto"/>
              </w:rPr>
              <w:t>FOR THE TRANSITION PERIOD FROM</w:t>
            </w:r>
          </w:p>
        </w:tc>
        <w:tc>
          <w:tcPr>
            <w:tcW w:w="2160" w:type="dxa"/>
            <w:vAlign w:val="bottom"/>
          </w:tcPr>
          <w:p>
            <w:pPr>
              <w:ind w:left="80"/>
              <w:spacing w:after="0"/>
              <w:rPr>
                <w:sz w:val="20"/>
                <w:szCs w:val="20"/>
                <w:color w:val="auto"/>
              </w:rPr>
            </w:pPr>
            <w:r>
              <w:rPr>
                <w:rFonts w:ascii="Arial" w:cs="Arial" w:eastAsia="Arial" w:hAnsi="Arial"/>
                <w:sz w:val="14"/>
                <w:szCs w:val="14"/>
                <w:b w:val="1"/>
                <w:bCs w:val="1"/>
                <w:color w:val="auto"/>
              </w:rPr>
              <w:t>TO</w:t>
            </w:r>
          </w:p>
        </w:tc>
      </w:tr>
      <w:tr>
        <w:trPr>
          <w:trHeight w:val="203"/>
        </w:trPr>
        <w:tc>
          <w:tcPr>
            <w:tcW w:w="5340" w:type="dxa"/>
            <w:vAlign w:val="bottom"/>
            <w:gridSpan w:val="3"/>
          </w:tcPr>
          <w:p>
            <w:pPr>
              <w:jc w:val="center"/>
              <w:ind w:left="2449"/>
              <w:spacing w:after="0" w:line="161" w:lineRule="exact"/>
              <w:rPr>
                <w:sz w:val="20"/>
                <w:szCs w:val="20"/>
                <w:color w:val="auto"/>
              </w:rPr>
            </w:pPr>
            <w:r>
              <w:rPr>
                <w:rFonts w:ascii="Arial" w:cs="Arial" w:eastAsia="Arial" w:hAnsi="Arial"/>
                <w:sz w:val="14"/>
                <w:szCs w:val="14"/>
                <w:b w:val="1"/>
                <w:bCs w:val="1"/>
                <w:color w:val="auto"/>
              </w:rPr>
              <w:t>COMMISSION FILE NUMBER: 001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36485</w:t>
            </w:r>
          </w:p>
        </w:tc>
        <w:tc>
          <w:tcPr>
            <w:tcW w:w="2160" w:type="dxa"/>
            <w:vAlign w:val="bottom"/>
          </w:tcPr>
          <w:p>
            <w:pPr>
              <w:spacing w:after="0"/>
              <w:rPr>
                <w:sz w:val="17"/>
                <w:szCs w:val="17"/>
                <w:color w:val="auto"/>
              </w:rPr>
            </w:pPr>
          </w:p>
        </w:tc>
      </w:tr>
      <w:tr>
        <w:trPr>
          <w:trHeight w:val="65"/>
        </w:trPr>
        <w:tc>
          <w:tcPr>
            <w:tcW w:w="262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279"/>
        </w:trPr>
        <w:tc>
          <w:tcPr>
            <w:tcW w:w="2620" w:type="dxa"/>
            <w:vAlign w:val="bottom"/>
          </w:tcPr>
          <w:p>
            <w:pPr>
              <w:spacing w:after="0"/>
              <w:rPr>
                <w:sz w:val="24"/>
                <w:szCs w:val="2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23"/>
                <w:szCs w:val="23"/>
                <w:b w:val="1"/>
                <w:bCs w:val="1"/>
                <w:color w:val="auto"/>
              </w:rPr>
              <w:t>ARDELYX, INC.</w:t>
            </w:r>
          </w:p>
        </w:tc>
        <w:tc>
          <w:tcPr>
            <w:tcW w:w="2160" w:type="dxa"/>
            <w:vAlign w:val="bottom"/>
          </w:tcPr>
          <w:p>
            <w:pPr>
              <w:spacing w:after="0"/>
              <w:rPr>
                <w:sz w:val="24"/>
                <w:szCs w:val="24"/>
                <w:color w:val="auto"/>
              </w:rPr>
            </w:pPr>
          </w:p>
        </w:tc>
      </w:tr>
      <w:tr>
        <w:trPr>
          <w:trHeight w:val="181"/>
        </w:trPr>
        <w:tc>
          <w:tcPr>
            <w:tcW w:w="7500" w:type="dxa"/>
            <w:vAlign w:val="bottom"/>
            <w:gridSpan w:val="4"/>
          </w:tcPr>
          <w:p>
            <w:pPr>
              <w:jc w:val="center"/>
              <w:ind w:left="309"/>
              <w:spacing w:after="0"/>
              <w:rPr>
                <w:sz w:val="20"/>
                <w:szCs w:val="20"/>
                <w:color w:val="auto"/>
              </w:rPr>
            </w:pPr>
            <w:r>
              <w:rPr>
                <w:rFonts w:ascii="Arial" w:cs="Arial" w:eastAsia="Arial" w:hAnsi="Arial"/>
                <w:sz w:val="14"/>
                <w:szCs w:val="14"/>
                <w:color w:val="auto"/>
                <w:w w:val="97"/>
              </w:rPr>
              <w:t>(EXACT NAME OF REGISTRANT AS SPECIFIED IN ITS CHARTER)</w:t>
            </w:r>
          </w:p>
        </w:tc>
      </w:tr>
      <w:tr>
        <w:trPr>
          <w:trHeight w:val="66"/>
        </w:trPr>
        <w:tc>
          <w:tcPr>
            <w:tcW w:w="262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267"/>
        </w:trPr>
        <w:tc>
          <w:tcPr>
            <w:tcW w:w="534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98"/>
              </w:rPr>
              <w:t>DELAWARE</w:t>
            </w:r>
          </w:p>
        </w:tc>
        <w:tc>
          <w:tcPr>
            <w:tcW w:w="2160" w:type="dxa"/>
            <w:vAlign w:val="bottom"/>
          </w:tcPr>
          <w:p>
            <w:pPr>
              <w:jc w:val="center"/>
              <w:ind w:left="289"/>
              <w:spacing w:after="0" w:line="161" w:lineRule="exact"/>
              <w:rPr>
                <w:sz w:val="20"/>
                <w:szCs w:val="20"/>
                <w:color w:val="auto"/>
              </w:rPr>
            </w:pPr>
            <w:r>
              <w:rPr>
                <w:rFonts w:ascii="Arial" w:cs="Arial" w:eastAsia="Arial" w:hAnsi="Arial"/>
                <w:sz w:val="14"/>
                <w:szCs w:val="14"/>
                <w:b w:val="1"/>
                <w:bCs w:val="1"/>
                <w:color w:val="auto"/>
                <w:w w:val="91"/>
              </w:rPr>
              <w:t>26</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1303944</w:t>
            </w:r>
          </w:p>
        </w:tc>
      </w:tr>
      <w:tr>
        <w:trPr>
          <w:trHeight w:val="139"/>
        </w:trPr>
        <w:tc>
          <w:tcPr>
            <w:tcW w:w="5340" w:type="dxa"/>
            <w:vAlign w:val="bottom"/>
            <w:gridSpan w:val="3"/>
          </w:tcPr>
          <w:p>
            <w:pPr>
              <w:jc w:val="center"/>
              <w:ind w:right="2580"/>
              <w:spacing w:after="0" w:line="139" w:lineRule="exact"/>
              <w:rPr>
                <w:sz w:val="20"/>
                <w:szCs w:val="20"/>
                <w:color w:val="auto"/>
              </w:rPr>
            </w:pPr>
            <w:r>
              <w:rPr>
                <w:rFonts w:ascii="Arial" w:cs="Arial" w:eastAsia="Arial" w:hAnsi="Arial"/>
                <w:sz w:val="14"/>
                <w:szCs w:val="14"/>
                <w:color w:val="auto"/>
                <w:w w:val="95"/>
              </w:rPr>
              <w:t>(STATE OR OTHER JURISDICTION</w:t>
            </w:r>
          </w:p>
        </w:tc>
        <w:tc>
          <w:tcPr>
            <w:tcW w:w="2160" w:type="dxa"/>
            <w:vAlign w:val="bottom"/>
          </w:tcPr>
          <w:p>
            <w:pPr>
              <w:jc w:val="center"/>
              <w:ind w:left="269"/>
              <w:spacing w:after="0" w:line="139" w:lineRule="exact"/>
              <w:rPr>
                <w:sz w:val="20"/>
                <w:szCs w:val="20"/>
                <w:color w:val="auto"/>
              </w:rPr>
            </w:pPr>
            <w:r>
              <w:rPr>
                <w:rFonts w:ascii="Arial" w:cs="Arial" w:eastAsia="Arial" w:hAnsi="Arial"/>
                <w:sz w:val="14"/>
                <w:szCs w:val="14"/>
                <w:color w:val="auto"/>
                <w:w w:val="97"/>
              </w:rPr>
              <w:t>(I.R.S. EMPLOYER</w:t>
            </w:r>
          </w:p>
        </w:tc>
      </w:tr>
      <w:tr>
        <w:trPr>
          <w:trHeight w:val="181"/>
        </w:trPr>
        <w:tc>
          <w:tcPr>
            <w:tcW w:w="5340" w:type="dxa"/>
            <w:vAlign w:val="bottom"/>
            <w:gridSpan w:val="3"/>
          </w:tcPr>
          <w:p>
            <w:pPr>
              <w:jc w:val="center"/>
              <w:ind w:right="2580"/>
              <w:spacing w:after="0"/>
              <w:rPr>
                <w:sz w:val="20"/>
                <w:szCs w:val="20"/>
                <w:color w:val="auto"/>
              </w:rPr>
            </w:pPr>
            <w:r>
              <w:rPr>
                <w:rFonts w:ascii="Arial" w:cs="Arial" w:eastAsia="Arial" w:hAnsi="Arial"/>
                <w:sz w:val="14"/>
                <w:szCs w:val="14"/>
                <w:color w:val="auto"/>
                <w:w w:val="98"/>
              </w:rPr>
              <w:t>OF INCORPORATION OR ORGANIZATION)</w:t>
            </w:r>
          </w:p>
        </w:tc>
        <w:tc>
          <w:tcPr>
            <w:tcW w:w="2160" w:type="dxa"/>
            <w:vAlign w:val="bottom"/>
          </w:tcPr>
          <w:p>
            <w:pPr>
              <w:jc w:val="center"/>
              <w:ind w:left="289"/>
              <w:spacing w:after="0"/>
              <w:rPr>
                <w:sz w:val="20"/>
                <w:szCs w:val="20"/>
                <w:color w:val="auto"/>
              </w:rPr>
            </w:pPr>
            <w:r>
              <w:rPr>
                <w:rFonts w:ascii="Arial" w:cs="Arial" w:eastAsia="Arial" w:hAnsi="Arial"/>
                <w:sz w:val="14"/>
                <w:szCs w:val="14"/>
                <w:color w:val="auto"/>
                <w:w w:val="99"/>
              </w:rPr>
              <w:t>IDENTIFICATION NUMBER)</w:t>
            </w:r>
          </w:p>
        </w:tc>
      </w:tr>
    </w:tbl>
    <w:p>
      <w:pPr>
        <w:spacing w:after="0" w:line="12"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34175 Ardenwood Boulevard, Suite 200</w:t>
      </w:r>
    </w:p>
    <w:p>
      <w:pPr>
        <w:jc w:val="center"/>
        <w:ind w:right="-108"/>
        <w:spacing w:after="0" w:line="206" w:lineRule="auto"/>
        <w:rPr>
          <w:sz w:val="20"/>
          <w:szCs w:val="20"/>
          <w:color w:val="auto"/>
        </w:rPr>
      </w:pPr>
      <w:r>
        <w:rPr>
          <w:rFonts w:ascii="Arial" w:cs="Arial" w:eastAsia="Arial" w:hAnsi="Arial"/>
          <w:sz w:val="14"/>
          <w:szCs w:val="14"/>
          <w:b w:val="1"/>
          <w:bCs w:val="1"/>
          <w:color w:val="auto"/>
        </w:rPr>
        <w:t>Fremont, California 94555</w:t>
      </w:r>
    </w:p>
    <w:p>
      <w:pPr>
        <w:spacing w:after="0" w:line="1" w:lineRule="exact"/>
        <w:rPr>
          <w:sz w:val="24"/>
          <w:szCs w:val="24"/>
          <w:color w:val="auto"/>
        </w:rPr>
      </w:pPr>
    </w:p>
    <w:p>
      <w:pPr>
        <w:jc w:val="center"/>
        <w:ind w:right="-108"/>
        <w:spacing w:after="0"/>
        <w:rPr>
          <w:sz w:val="20"/>
          <w:szCs w:val="20"/>
          <w:color w:val="auto"/>
        </w:rPr>
      </w:pPr>
      <w:r>
        <w:rPr>
          <w:rFonts w:ascii="Arial" w:cs="Arial" w:eastAsia="Arial" w:hAnsi="Arial"/>
          <w:sz w:val="14"/>
          <w:szCs w:val="14"/>
          <w:color w:val="auto"/>
        </w:rPr>
        <w:t>(ADDRESS OF PRINCIPAL EXECUTIVE OFFICES, INCLUDING ZIPCODE)</w:t>
      </w:r>
    </w:p>
    <w:p>
      <w:pPr>
        <w:spacing w:after="0" w:line="20" w:lineRule="exact"/>
        <w:rPr>
          <w:sz w:val="24"/>
          <w:szCs w:val="24"/>
          <w:color w:val="auto"/>
        </w:rPr>
      </w:pPr>
    </w:p>
    <w:p>
      <w:pPr>
        <w:jc w:val="center"/>
        <w:ind w:right="-108"/>
        <w:spacing w:after="0" w:line="161" w:lineRule="exact"/>
        <w:rPr>
          <w:sz w:val="20"/>
          <w:szCs w:val="20"/>
          <w:color w:val="auto"/>
        </w:rPr>
      </w:pPr>
      <w:r>
        <w:rPr>
          <w:rFonts w:ascii="Arial" w:cs="Arial" w:eastAsia="Arial" w:hAnsi="Arial"/>
          <w:sz w:val="14"/>
          <w:szCs w:val="14"/>
          <w:b w:val="1"/>
          <w:bCs w:val="1"/>
          <w:color w:val="auto"/>
        </w:rPr>
        <w:t>(510) 745</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1700</w:t>
      </w:r>
    </w:p>
    <w:p>
      <w:pPr>
        <w:jc w:val="center"/>
        <w:ind w:right="-108"/>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46355</wp:posOffset>
            </wp:positionV>
            <wp:extent cx="16611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1160" cy="6985"/>
                    </a:xfrm>
                    <a:prstGeom prst="rect">
                      <a:avLst/>
                    </a:prstGeom>
                    <a:noFill/>
                  </pic:spPr>
                </pic:pic>
              </a:graphicData>
            </a:graphic>
          </wp:anchor>
        </w:drawing>
      </w:r>
    </w:p>
    <w:p>
      <w:pPr>
        <w:spacing w:after="0" w:line="191" w:lineRule="exact"/>
        <w:rPr>
          <w:sz w:val="24"/>
          <w:szCs w:val="24"/>
          <w:color w:val="auto"/>
        </w:rPr>
      </w:pPr>
    </w:p>
    <w:p>
      <w:pPr>
        <w:ind w:left="9" w:right="80" w:firstLine="349"/>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left="9" w:firstLine="349"/>
        <w:spacing w:after="0" w:line="15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 w:lineRule="exact"/>
        <w:rPr>
          <w:sz w:val="24"/>
          <w:szCs w:val="24"/>
          <w:color w:val="auto"/>
        </w:rPr>
      </w:pPr>
    </w:p>
    <w:p>
      <w:pPr>
        <w:ind w:left="9" w:right="180" w:firstLine="349"/>
        <w:spacing w:after="0" w:line="160" w:lineRule="exact"/>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2"/>
          <w:szCs w:val="12"/>
          <w:color w:val="auto"/>
        </w:rPr>
        <w:t>‑</w:t>
      </w:r>
      <w:r>
        <w:rPr>
          <w:rFonts w:ascii="Arial" w:cs="Arial" w:eastAsia="Arial" w:hAnsi="Arial"/>
          <w:sz w:val="12"/>
          <w:szCs w:val="12"/>
          <w:color w:val="auto"/>
        </w:rPr>
        <w:t>2 of the Exchange Act.</w:t>
      </w:r>
    </w:p>
    <w:p>
      <w:pPr>
        <w:spacing w:after="0" w:line="1" w:lineRule="exact"/>
        <w:rPr>
          <w:sz w:val="24"/>
          <w:szCs w:val="24"/>
          <w:color w:val="auto"/>
        </w:rPr>
      </w:pPr>
    </w:p>
    <w:tbl>
      <w:tblPr>
        <w:tblLayout w:type="fixed"/>
        <w:tblInd w:w="9" w:type="dxa"/>
        <w:tblCellMar>
          <w:top w:w="0" w:type="dxa"/>
          <w:left w:w="0" w:type="dxa"/>
          <w:bottom w:w="0" w:type="dxa"/>
          <w:right w:w="0" w:type="dxa"/>
        </w:tblCellMar>
      </w:tblPr>
      <w:tr>
        <w:trPr>
          <w:trHeight w:val="198"/>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3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02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4360" w:type="dxa"/>
            <w:vAlign w:val="bottom"/>
          </w:tcPr>
          <w:p>
            <w:pPr>
              <w:ind w:left="5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20" w:type="dxa"/>
            <w:vAlign w:val="bottom"/>
          </w:tcPr>
          <w:p>
            <w:pPr>
              <w:ind w:left="102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3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jc w:val="both"/>
        <w:ind w:left="9" w:right="100" w:firstLine="349"/>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9"/>
        <w:spacing w:after="0" w:line="161" w:lineRule="exact"/>
        <w:tabs>
          <w:tab w:leader="none" w:pos="6929" w:val="left"/>
          <w:tab w:leader="none" w:pos="7449" w:val="left"/>
        </w:tabs>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ind w:left="249"/>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August 2, 2018, was 62,053,751.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66376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7655"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50800</wp:posOffset>
            </wp:positionV>
            <wp:extent cx="663765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765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663765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7655" cy="20320"/>
                    </a:xfrm>
                    <a:prstGeom prst="rect">
                      <a:avLst/>
                    </a:prstGeom>
                    <a:noFill/>
                  </pic:spPr>
                </pic:pic>
              </a:graphicData>
            </a:graphic>
          </wp:anchor>
        </w:drawing>
      </w:r>
    </w:p>
    <w:p>
      <w:pPr>
        <w:sectPr>
          <w:pgSz w:w="11900" w:h="16838" w:orient="portrait"/>
          <w:cols w:equalWidth="0" w:num="1">
            <w:col w:w="10329"/>
          </w:cols>
          <w:pgMar w:left="731" w:top="204" w:right="839" w:bottom="1440" w:gutter="0" w:footer="0" w:header="0"/>
        </w:sectPr>
      </w:pPr>
    </w:p>
    <w:bookmarkStart w:id="1" w:name="page2"/>
    <w:bookmarkEnd w:id="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ARDELYX, INC.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gridSpan w:val="7"/>
            <w:vMerge w:val="restart"/>
          </w:tcPr>
          <w:p>
            <w:pPr>
              <w:jc w:val="cente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3120" w:type="dxa"/>
            <w:vAlign w:val="bottom"/>
            <w:gridSpan w:val="5"/>
            <w:vMerge w:val="restart"/>
          </w:tcPr>
          <w:p>
            <w:pPr>
              <w:spacing w:after="0"/>
              <w:rPr>
                <w:sz w:val="11"/>
                <w:szCs w:val="11"/>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4"/>
        </w:trPr>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20" w:type="dxa"/>
            <w:vAlign w:val="bottom"/>
            <w:tcBorders>
              <w:bottom w:val="single" w:sz="8" w:color="0000EE"/>
            </w:tcBorders>
            <w:gridSpan w:val="7"/>
            <w:vMerge w:val="continue"/>
          </w:tcPr>
          <w:p>
            <w:pPr>
              <w:spacing w:after="0"/>
              <w:rPr>
                <w:sz w:val="10"/>
                <w:szCs w:val="10"/>
                <w:color w:val="auto"/>
              </w:rPr>
            </w:pPr>
          </w:p>
        </w:tc>
        <w:tc>
          <w:tcPr>
            <w:tcW w:w="312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640" w:type="dxa"/>
            <w:vAlign w:val="bottom"/>
            <w:gridSpan w:val="2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Item 1.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9"/>
        </w:trPr>
        <w:tc>
          <w:tcPr>
            <w:tcW w:w="460" w:type="dxa"/>
            <w:vAlign w:val="bottom"/>
            <w:tcBorders>
              <w:top w:val="single" w:sz="8" w:color="0000EE"/>
            </w:tcBorders>
          </w:tcPr>
          <w:p>
            <w:pPr>
              <w:spacing w:after="0"/>
              <w:rPr>
                <w:sz w:val="10"/>
                <w:szCs w:val="10"/>
                <w:color w:val="auto"/>
              </w:rPr>
            </w:pPr>
          </w:p>
        </w:tc>
        <w:tc>
          <w:tcPr>
            <w:tcW w:w="2720" w:type="dxa"/>
            <w:vAlign w:val="bottom"/>
            <w:tcBorders>
              <w:top w:val="single" w:sz="8" w:color="0000EE"/>
            </w:tcBorders>
            <w:gridSpan w:val="11"/>
          </w:tcPr>
          <w:p>
            <w:pPr>
              <w:spacing w:after="0" w:line="119" w:lineRule="exact"/>
              <w:rPr>
                <w:rFonts w:ascii="Arial" w:cs="Arial" w:eastAsia="Arial" w:hAnsi="Arial"/>
                <w:sz w:val="13"/>
                <w:szCs w:val="13"/>
                <w:color w:val="0000EE"/>
                <w:w w:val="99"/>
              </w:rPr>
            </w:pPr>
            <w:hyperlink w:anchor="page3">
              <w:r>
                <w:rPr>
                  <w:rFonts w:ascii="Arial" w:cs="Arial" w:eastAsia="Arial" w:hAnsi="Arial"/>
                  <w:sz w:val="13"/>
                  <w:szCs w:val="13"/>
                  <w:color w:val="0000EE"/>
                  <w:w w:val="99"/>
                </w:rPr>
                <w:t>Condensed Consolidated Balance Sheets as of</w:t>
              </w:r>
            </w:hyperlink>
          </w:p>
        </w:tc>
        <w:tc>
          <w:tcPr>
            <w:tcW w:w="5460" w:type="dxa"/>
            <w:vAlign w:val="bottom"/>
            <w:gridSpan w:val="11"/>
          </w:tcPr>
          <w:p>
            <w:pPr>
              <w:spacing w:after="0" w:line="119" w:lineRule="exact"/>
              <w:rPr>
                <w:rFonts w:ascii="Arial" w:cs="Arial" w:eastAsia="Arial" w:hAnsi="Arial"/>
                <w:sz w:val="13"/>
                <w:szCs w:val="13"/>
                <w:color w:val="0000EE"/>
              </w:rPr>
            </w:pPr>
            <w:hyperlink w:anchor="page3">
              <w:r>
                <w:rPr>
                  <w:rFonts w:ascii="Arial" w:cs="Arial" w:eastAsia="Arial" w:hAnsi="Arial"/>
                  <w:sz w:val="13"/>
                  <w:szCs w:val="13"/>
                  <w:color w:val="0000EE"/>
                </w:rPr>
                <w:t>June 30, 2018 (unaudited) and December 31, 2017</w:t>
              </w:r>
            </w:hyperlink>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5560" w:type="dxa"/>
            <w:vAlign w:val="bottom"/>
            <w:tcBorders>
              <w:top w:val="single" w:sz="8" w:color="0000EE"/>
            </w:tcBorders>
            <w:gridSpan w:val="19"/>
          </w:tcPr>
          <w:p>
            <w:pPr>
              <w:spacing w:after="0" w:line="119" w:lineRule="exact"/>
              <w:rPr>
                <w:rFonts w:ascii="Arial" w:cs="Arial" w:eastAsia="Arial" w:hAnsi="Arial"/>
                <w:sz w:val="13"/>
                <w:szCs w:val="13"/>
                <w:color w:val="0000EE"/>
                <w:w w:val="97"/>
              </w:rPr>
            </w:pPr>
            <w:hyperlink w:anchor="page4">
              <w:r>
                <w:rPr>
                  <w:rFonts w:ascii="Arial" w:cs="Arial" w:eastAsia="Arial" w:hAnsi="Arial"/>
                  <w:sz w:val="13"/>
                  <w:szCs w:val="13"/>
                  <w:color w:val="0000EE"/>
                  <w:w w:val="97"/>
                </w:rPr>
                <w:t>Condensed Consolidated Statements of Operations and Comprehensive Loss for the three and six</w:t>
              </w:r>
            </w:hyperlink>
          </w:p>
        </w:tc>
        <w:tc>
          <w:tcPr>
            <w:tcW w:w="2620" w:type="dxa"/>
            <w:vAlign w:val="bottom"/>
            <w:gridSpan w:val="3"/>
          </w:tcPr>
          <w:p>
            <w:pPr>
              <w:ind w:left="20"/>
              <w:spacing w:after="0" w:line="119" w:lineRule="exact"/>
              <w:rPr>
                <w:rFonts w:ascii="Arial" w:cs="Arial" w:eastAsia="Arial" w:hAnsi="Arial"/>
                <w:sz w:val="13"/>
                <w:szCs w:val="13"/>
                <w:color w:val="0000EE"/>
              </w:rPr>
            </w:pPr>
            <w:hyperlink w:anchor="page4">
              <w:r>
                <w:rPr>
                  <w:rFonts w:ascii="Arial" w:cs="Arial" w:eastAsia="Arial" w:hAnsi="Arial"/>
                  <w:sz w:val="13"/>
                  <w:szCs w:val="13"/>
                  <w:color w:val="0000EE"/>
                </w:rPr>
                <w:t>months ended June 30, 2018 and 2017</w:t>
              </w:r>
            </w:hyperlink>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0" w:type="dxa"/>
            <w:vAlign w:val="bottom"/>
            <w:tcBorders>
              <w:top w:val="single" w:sz="8" w:color="0000EE"/>
            </w:tcBorders>
            <w:gridSpan w:val="19"/>
          </w:tcPr>
          <w:p>
            <w:pPr>
              <w:spacing w:after="0" w:line="119" w:lineRule="exact"/>
              <w:rPr>
                <w:rFonts w:ascii="Arial" w:cs="Arial" w:eastAsia="Arial" w:hAnsi="Arial"/>
                <w:sz w:val="13"/>
                <w:szCs w:val="13"/>
                <w:color w:val="0000EE"/>
              </w:rPr>
            </w:pPr>
            <w:hyperlink w:anchor="page4">
              <w:r>
                <w:rPr>
                  <w:rFonts w:ascii="Arial" w:cs="Arial" w:eastAsia="Arial" w:hAnsi="Arial"/>
                  <w:sz w:val="13"/>
                  <w:szCs w:val="13"/>
                  <w:color w:val="0000EE"/>
                </w:rPr>
                <w:t>(unaudited)</w:t>
              </w:r>
            </w:hyperlink>
          </w:p>
        </w:tc>
        <w:tc>
          <w:tcPr>
            <w:tcW w:w="4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0000EE"/>
            </w:tcBorders>
            <w:gridSpan w:val="3"/>
          </w:tcPr>
          <w:p>
            <w:pPr>
              <w:spacing w:after="0" w:line="119" w:lineRule="exact"/>
              <w:rPr>
                <w:rFonts w:ascii="Arial" w:cs="Arial" w:eastAsia="Arial" w:hAnsi="Arial"/>
                <w:sz w:val="13"/>
                <w:szCs w:val="13"/>
                <w:color w:val="0000EE"/>
                <w:w w:val="96"/>
              </w:rPr>
            </w:pPr>
            <w:hyperlink w:anchor="page5">
              <w:r>
                <w:rPr>
                  <w:rFonts w:ascii="Arial" w:cs="Arial" w:eastAsia="Arial" w:hAnsi="Arial"/>
                  <w:sz w:val="13"/>
                  <w:szCs w:val="13"/>
                  <w:color w:val="0000EE"/>
                  <w:w w:val="96"/>
                </w:rPr>
                <w:t>Condensed</w:t>
              </w:r>
            </w:hyperlink>
          </w:p>
        </w:tc>
        <w:tc>
          <w:tcPr>
            <w:tcW w:w="7360" w:type="dxa"/>
            <w:vAlign w:val="bottom"/>
            <w:gridSpan w:val="17"/>
          </w:tcPr>
          <w:p>
            <w:pPr>
              <w:spacing w:after="0" w:line="119" w:lineRule="exact"/>
              <w:rPr>
                <w:rFonts w:ascii="Arial" w:cs="Arial" w:eastAsia="Arial" w:hAnsi="Arial"/>
                <w:sz w:val="13"/>
                <w:szCs w:val="13"/>
                <w:color w:val="0000EE"/>
              </w:rPr>
            </w:pPr>
            <w:hyperlink w:anchor="page5">
              <w:r>
                <w:rPr>
                  <w:rFonts w:ascii="Arial" w:cs="Arial" w:eastAsia="Arial" w:hAnsi="Arial"/>
                  <w:sz w:val="13"/>
                  <w:szCs w:val="13"/>
                  <w:color w:val="0000EE"/>
                </w:rPr>
                <w:t>Consolidated Statements of Cash Flows for the six months ended June 30, 2018 and 2017 (unaudited)</w:t>
              </w:r>
            </w:hyperlink>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460" w:type="dxa"/>
            <w:vAlign w:val="bottom"/>
            <w:tcBorders>
              <w:top w:val="single" w:sz="8" w:color="0000EE"/>
            </w:tcBorders>
            <w:gridSpan w:val="20"/>
          </w:tcPr>
          <w:p>
            <w:pPr>
              <w:spacing w:after="0" w:line="119" w:lineRule="exact"/>
              <w:rPr>
                <w:rFonts w:ascii="Arial" w:cs="Arial" w:eastAsia="Arial" w:hAnsi="Arial"/>
                <w:sz w:val="13"/>
                <w:szCs w:val="13"/>
                <w:color w:val="0000EE"/>
              </w:rPr>
            </w:pPr>
            <w:hyperlink w:anchor="page6">
              <w:r>
                <w:rPr>
                  <w:rFonts w:ascii="Arial" w:cs="Arial" w:eastAsia="Arial" w:hAnsi="Arial"/>
                  <w:sz w:val="13"/>
                  <w:szCs w:val="13"/>
                  <w:color w:val="0000EE"/>
                </w:rPr>
                <w:t>Notes to Condensed Consolidated Financial Statements (unaudited)</w:t>
              </w:r>
            </w:hyperlink>
          </w:p>
        </w:tc>
        <w:tc>
          <w:tcPr>
            <w:tcW w:w="1720" w:type="dxa"/>
            <w:vAlign w:val="bottom"/>
            <w:gridSpan w:val="2"/>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19"/>
        </w:trPr>
        <w:tc>
          <w:tcPr>
            <w:tcW w:w="460" w:type="dxa"/>
            <w:vAlign w:val="bottom"/>
          </w:tcPr>
          <w:p>
            <w:pPr>
              <w:spacing w:after="0" w:line="119" w:lineRule="exact"/>
              <w:rPr>
                <w:rFonts w:ascii="Arial" w:cs="Arial" w:eastAsia="Arial" w:hAnsi="Arial"/>
                <w:sz w:val="13"/>
                <w:szCs w:val="13"/>
                <w:color w:val="0000EE"/>
              </w:rPr>
            </w:pPr>
            <w:hyperlink w:anchor="page19">
              <w:r>
                <w:rPr>
                  <w:rFonts w:ascii="Arial" w:cs="Arial" w:eastAsia="Arial" w:hAnsi="Arial"/>
                  <w:sz w:val="13"/>
                  <w:szCs w:val="13"/>
                  <w:color w:val="0000EE"/>
                </w:rPr>
                <w:t>Item 2.</w:t>
              </w:r>
            </w:hyperlink>
          </w:p>
        </w:tc>
        <w:tc>
          <w:tcPr>
            <w:tcW w:w="3860" w:type="dxa"/>
            <w:vAlign w:val="bottom"/>
            <w:tcBorders>
              <w:top w:val="single" w:sz="8" w:color="0000EE"/>
            </w:tcBorders>
            <w:gridSpan w:val="15"/>
          </w:tcPr>
          <w:p>
            <w:pPr>
              <w:spacing w:after="0" w:line="119" w:lineRule="exact"/>
              <w:rPr>
                <w:rFonts w:ascii="Arial" w:cs="Arial" w:eastAsia="Arial" w:hAnsi="Arial"/>
                <w:sz w:val="13"/>
                <w:szCs w:val="13"/>
                <w:color w:val="0000EE"/>
              </w:rPr>
            </w:pPr>
            <w:hyperlink w:anchor="page19">
              <w:r>
                <w:rPr>
                  <w:rFonts w:ascii="Arial" w:cs="Arial" w:eastAsia="Arial" w:hAnsi="Arial"/>
                  <w:sz w:val="13"/>
                  <w:szCs w:val="13"/>
                  <w:color w:val="0000EE"/>
                </w:rPr>
                <w:t>Management’s Discussion and Analysis of Financial Condition and</w:t>
              </w:r>
            </w:hyperlink>
          </w:p>
        </w:tc>
        <w:tc>
          <w:tcPr>
            <w:tcW w:w="4320" w:type="dxa"/>
            <w:vAlign w:val="bottom"/>
            <w:gridSpan w:val="7"/>
          </w:tcPr>
          <w:p>
            <w:pPr>
              <w:spacing w:after="0" w:line="119" w:lineRule="exact"/>
              <w:rPr>
                <w:rFonts w:ascii="Arial" w:cs="Arial" w:eastAsia="Arial" w:hAnsi="Arial"/>
                <w:sz w:val="13"/>
                <w:szCs w:val="13"/>
                <w:color w:val="0000EE"/>
              </w:rPr>
            </w:pPr>
            <w:hyperlink w:anchor="page19">
              <w:r>
                <w:rPr>
                  <w:rFonts w:ascii="Arial" w:cs="Arial" w:eastAsia="Arial" w:hAnsi="Arial"/>
                  <w:sz w:val="13"/>
                  <w:szCs w:val="13"/>
                  <w:color w:val="0000EE"/>
                </w:rPr>
                <w:t>Results of Operations</w:t>
              </w:r>
            </w:hyperlink>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19"/>
        </w:trPr>
        <w:tc>
          <w:tcPr>
            <w:tcW w:w="5560" w:type="dxa"/>
            <w:vAlign w:val="bottom"/>
            <w:tcBorders>
              <w:top w:val="single" w:sz="8" w:color="0000EE"/>
            </w:tcBorders>
            <w:gridSpan w:val="19"/>
          </w:tcPr>
          <w:p>
            <w:pPr>
              <w:spacing w:after="0" w:line="119" w:lineRule="exact"/>
              <w:rPr>
                <w:rFonts w:ascii="Arial" w:cs="Arial" w:eastAsia="Arial" w:hAnsi="Arial"/>
                <w:sz w:val="13"/>
                <w:szCs w:val="13"/>
                <w:color w:val="0000EE"/>
              </w:rPr>
            </w:pPr>
            <w:hyperlink w:anchor="page27">
              <w:r>
                <w:rPr>
                  <w:rFonts w:ascii="Arial" w:cs="Arial" w:eastAsia="Arial" w:hAnsi="Arial"/>
                  <w:sz w:val="13"/>
                  <w:szCs w:val="13"/>
                  <w:color w:val="0000EE"/>
                </w:rPr>
                <w:t>Item 3. Quantitative and Qualitative Disclosures About Market Risk</w:t>
              </w:r>
            </w:hyperlink>
          </w:p>
        </w:tc>
        <w:tc>
          <w:tcPr>
            <w:tcW w:w="3080" w:type="dxa"/>
            <w:vAlign w:val="bottom"/>
            <w:gridSpan w:val="4"/>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19"/>
        </w:trPr>
        <w:tc>
          <w:tcPr>
            <w:tcW w:w="3900" w:type="dxa"/>
            <w:vAlign w:val="bottom"/>
            <w:tcBorders>
              <w:top w:val="single" w:sz="8" w:color="0000EE"/>
            </w:tcBorders>
            <w:gridSpan w:val="15"/>
          </w:tcPr>
          <w:p>
            <w:pPr>
              <w:spacing w:after="0" w:line="119" w:lineRule="exact"/>
              <w:rPr>
                <w:rFonts w:ascii="Arial" w:cs="Arial" w:eastAsia="Arial" w:hAnsi="Arial"/>
                <w:sz w:val="13"/>
                <w:szCs w:val="13"/>
                <w:color w:val="0000EE"/>
              </w:rPr>
            </w:pPr>
            <w:hyperlink w:anchor="page27">
              <w:r>
                <w:rPr>
                  <w:rFonts w:ascii="Arial" w:cs="Arial" w:eastAsia="Arial" w:hAnsi="Arial"/>
                  <w:sz w:val="13"/>
                  <w:szCs w:val="13"/>
                  <w:color w:val="0000EE"/>
                </w:rPr>
                <w:t>Item 4. Controls and Procedures</w:t>
              </w:r>
            </w:hyperlink>
          </w:p>
        </w:tc>
        <w:tc>
          <w:tcPr>
            <w:tcW w:w="1500" w:type="dxa"/>
            <w:vAlign w:val="bottom"/>
            <w:gridSpan w:val="2"/>
          </w:tcPr>
          <w:p>
            <w:pPr>
              <w:spacing w:after="0"/>
              <w:rPr>
                <w:sz w:val="10"/>
                <w:szCs w:val="10"/>
                <w:color w:val="auto"/>
              </w:rPr>
            </w:pPr>
          </w:p>
        </w:tc>
        <w:tc>
          <w:tcPr>
            <w:tcW w:w="3240" w:type="dxa"/>
            <w:vAlign w:val="bottom"/>
            <w:gridSpan w:val="6"/>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58"/>
        </w:trPr>
        <w:tc>
          <w:tcPr>
            <w:tcW w:w="4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bottom w:val="single" w:sz="8" w:color="0000EE"/>
            </w:tcBorders>
            <w:gridSpan w:val="4"/>
          </w:tcPr>
          <w:p>
            <w:pPr>
              <w:jc w:val="center"/>
              <w:spacing w:after="0"/>
              <w:rPr>
                <w:rFonts w:ascii="Arial" w:cs="Arial" w:eastAsia="Arial" w:hAnsi="Arial"/>
                <w:sz w:val="14"/>
                <w:szCs w:val="14"/>
                <w:b w:val="1"/>
                <w:bCs w:val="1"/>
                <w:color w:val="0000EE"/>
              </w:rPr>
            </w:pPr>
            <w:hyperlink w:anchor="page28">
              <w:r>
                <w:rPr>
                  <w:rFonts w:ascii="Arial" w:cs="Arial" w:eastAsia="Arial" w:hAnsi="Arial"/>
                  <w:sz w:val="14"/>
                  <w:szCs w:val="14"/>
                  <w:b w:val="1"/>
                  <w:bCs w:val="1"/>
                  <w:color w:val="0000EE"/>
                </w:rPr>
                <w:t>PART II. OTHER INFORMATION</w:t>
              </w:r>
            </w:hyperlink>
          </w:p>
        </w:tc>
        <w:tc>
          <w:tcPr>
            <w:tcW w:w="3240" w:type="dxa"/>
            <w:vAlign w:val="bottom"/>
            <w:gridSpan w:val="6"/>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640" w:type="dxa"/>
            <w:vAlign w:val="bottom"/>
            <w:gridSpan w:val="23"/>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19"/>
        </w:trPr>
        <w:tc>
          <w:tcPr>
            <w:tcW w:w="1500" w:type="dxa"/>
            <w:vAlign w:val="bottom"/>
            <w:tcBorders>
              <w:top w:val="single" w:sz="8" w:color="0000EE"/>
            </w:tcBorders>
            <w:gridSpan w:val="8"/>
          </w:tcPr>
          <w:p>
            <w:pPr>
              <w:spacing w:after="0" w:line="119" w:lineRule="exact"/>
              <w:rPr>
                <w:rFonts w:ascii="Arial" w:cs="Arial" w:eastAsia="Arial" w:hAnsi="Arial"/>
                <w:sz w:val="13"/>
                <w:szCs w:val="13"/>
                <w:color w:val="0000EE"/>
              </w:rPr>
            </w:pPr>
            <w:hyperlink w:anchor="page28">
              <w:r>
                <w:rPr>
                  <w:rFonts w:ascii="Arial" w:cs="Arial" w:eastAsia="Arial" w:hAnsi="Arial"/>
                  <w:sz w:val="13"/>
                  <w:szCs w:val="13"/>
                  <w:color w:val="0000EE"/>
                </w:rPr>
                <w:t>Item 1A. Risk Factors</w:t>
              </w:r>
            </w:hyperlink>
          </w:p>
        </w:tc>
        <w:tc>
          <w:tcPr>
            <w:tcW w:w="780" w:type="dxa"/>
            <w:vAlign w:val="bottom"/>
            <w:gridSpan w:val="2"/>
          </w:tcPr>
          <w:p>
            <w:pPr>
              <w:spacing w:after="0"/>
              <w:rPr>
                <w:sz w:val="10"/>
                <w:szCs w:val="10"/>
                <w:color w:val="auto"/>
              </w:rPr>
            </w:pPr>
          </w:p>
        </w:tc>
        <w:tc>
          <w:tcPr>
            <w:tcW w:w="1600" w:type="dxa"/>
            <w:vAlign w:val="bottom"/>
            <w:gridSpan w:val="4"/>
          </w:tcPr>
          <w:p>
            <w:pPr>
              <w:spacing w:after="0"/>
              <w:rPr>
                <w:sz w:val="10"/>
                <w:szCs w:val="10"/>
                <w:color w:val="auto"/>
              </w:rPr>
            </w:pPr>
          </w:p>
        </w:tc>
        <w:tc>
          <w:tcPr>
            <w:tcW w:w="4760" w:type="dxa"/>
            <w:vAlign w:val="bottom"/>
            <w:gridSpan w:val="9"/>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19"/>
        </w:trPr>
        <w:tc>
          <w:tcPr>
            <w:tcW w:w="1260" w:type="dxa"/>
            <w:vAlign w:val="bottom"/>
            <w:tcBorders>
              <w:top w:val="single" w:sz="8" w:color="0000EE"/>
            </w:tcBorders>
            <w:gridSpan w:val="5"/>
          </w:tcPr>
          <w:p>
            <w:pPr>
              <w:spacing w:after="0" w:line="119" w:lineRule="exact"/>
              <w:rPr>
                <w:rFonts w:ascii="Arial" w:cs="Arial" w:eastAsia="Arial" w:hAnsi="Arial"/>
                <w:sz w:val="13"/>
                <w:szCs w:val="13"/>
                <w:color w:val="0000EE"/>
              </w:rPr>
            </w:pPr>
            <w:hyperlink w:anchor="page62">
              <w:r>
                <w:rPr>
                  <w:rFonts w:ascii="Arial" w:cs="Arial" w:eastAsia="Arial" w:hAnsi="Arial"/>
                  <w:sz w:val="13"/>
                  <w:szCs w:val="13"/>
                  <w:color w:val="0000EE"/>
                </w:rPr>
                <w:t>Item 2. Unregistered</w:t>
              </w:r>
            </w:hyperlink>
          </w:p>
        </w:tc>
        <w:tc>
          <w:tcPr>
            <w:tcW w:w="7380" w:type="dxa"/>
            <w:vAlign w:val="bottom"/>
            <w:gridSpan w:val="18"/>
          </w:tcPr>
          <w:p>
            <w:pPr>
              <w:spacing w:after="0" w:line="119" w:lineRule="exact"/>
              <w:rPr>
                <w:rFonts w:ascii="Arial" w:cs="Arial" w:eastAsia="Arial" w:hAnsi="Arial"/>
                <w:sz w:val="13"/>
                <w:szCs w:val="13"/>
                <w:color w:val="0000EE"/>
              </w:rPr>
            </w:pPr>
            <w:hyperlink w:anchor="page62">
              <w:r>
                <w:rPr>
                  <w:rFonts w:ascii="Arial" w:cs="Arial" w:eastAsia="Arial" w:hAnsi="Arial"/>
                  <w:sz w:val="13"/>
                  <w:szCs w:val="13"/>
                  <w:color w:val="0000EE"/>
                </w:rPr>
                <w:t>Sales of Equity Securities and Use of Proceeds</w:t>
              </w:r>
            </w:hyperlink>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19"/>
        </w:trPr>
        <w:tc>
          <w:tcPr>
            <w:tcW w:w="3880" w:type="dxa"/>
            <w:vAlign w:val="bottom"/>
            <w:tcBorders>
              <w:top w:val="single" w:sz="8" w:color="0000EE"/>
            </w:tcBorders>
            <w:gridSpan w:val="14"/>
          </w:tcPr>
          <w:p>
            <w:pPr>
              <w:spacing w:after="0" w:line="119" w:lineRule="exact"/>
              <w:rPr>
                <w:rFonts w:ascii="Arial" w:cs="Arial" w:eastAsia="Arial" w:hAnsi="Arial"/>
                <w:sz w:val="13"/>
                <w:szCs w:val="13"/>
                <w:color w:val="0000EE"/>
              </w:rPr>
            </w:pPr>
            <w:hyperlink w:anchor="page63">
              <w:r>
                <w:rPr>
                  <w:rFonts w:ascii="Arial" w:cs="Arial" w:eastAsia="Arial" w:hAnsi="Arial"/>
                  <w:sz w:val="13"/>
                  <w:szCs w:val="13"/>
                  <w:color w:val="0000EE"/>
                </w:rPr>
                <w:t>Item 3. Defaults Upon Senior Securities</w:t>
              </w:r>
            </w:hyperlink>
          </w:p>
        </w:tc>
        <w:tc>
          <w:tcPr>
            <w:tcW w:w="4760" w:type="dxa"/>
            <w:vAlign w:val="bottom"/>
            <w:gridSpan w:val="9"/>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1"/>
        </w:trPr>
        <w:tc>
          <w:tcPr>
            <w:tcW w:w="2280" w:type="dxa"/>
            <w:vAlign w:val="bottom"/>
            <w:tcBorders>
              <w:top w:val="single" w:sz="8" w:color="0000EE"/>
            </w:tcBorders>
            <w:gridSpan w:val="10"/>
          </w:tcPr>
          <w:p>
            <w:pPr>
              <w:spacing w:after="0" w:line="151" w:lineRule="exact"/>
              <w:rPr>
                <w:rFonts w:ascii="Arial" w:cs="Arial" w:eastAsia="Arial" w:hAnsi="Arial"/>
                <w:sz w:val="14"/>
                <w:szCs w:val="14"/>
                <w:color w:val="0000EE"/>
              </w:rPr>
            </w:pPr>
            <w:hyperlink w:anchor="page63">
              <w:r>
                <w:rPr>
                  <w:rFonts w:ascii="Arial" w:cs="Arial" w:eastAsia="Arial" w:hAnsi="Arial"/>
                  <w:sz w:val="14"/>
                  <w:szCs w:val="14"/>
                  <w:color w:val="0000EE"/>
                </w:rPr>
                <w:t>Item 4. Mine Safety Disclosures</w:t>
              </w:r>
            </w:hyperlink>
          </w:p>
        </w:tc>
        <w:tc>
          <w:tcPr>
            <w:tcW w:w="6360" w:type="dxa"/>
            <w:vAlign w:val="bottom"/>
            <w:gridSpan w:val="13"/>
          </w:tcPr>
          <w:p>
            <w:pPr>
              <w:spacing w:after="0"/>
              <w:rPr>
                <w:sz w:val="13"/>
                <w:szCs w:val="13"/>
                <w:color w:val="auto"/>
              </w:rPr>
            </w:pPr>
          </w:p>
        </w:tc>
        <w:tc>
          <w:tcPr>
            <w:tcW w:w="460" w:type="dxa"/>
            <w:vAlign w:val="bottom"/>
          </w:tcPr>
          <w:p>
            <w:pPr>
              <w:jc w:val="right"/>
              <w:spacing w:after="0" w:line="151"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19"/>
        </w:trPr>
        <w:tc>
          <w:tcPr>
            <w:tcW w:w="1840" w:type="dxa"/>
            <w:vAlign w:val="bottom"/>
            <w:tcBorders>
              <w:top w:val="single" w:sz="8" w:color="0000EE"/>
            </w:tcBorders>
            <w:gridSpan w:val="9"/>
          </w:tcPr>
          <w:p>
            <w:pPr>
              <w:spacing w:after="0" w:line="119" w:lineRule="exact"/>
              <w:rPr>
                <w:rFonts w:ascii="Arial" w:cs="Arial" w:eastAsia="Arial" w:hAnsi="Arial"/>
                <w:sz w:val="13"/>
                <w:szCs w:val="13"/>
                <w:color w:val="0000EE"/>
              </w:rPr>
            </w:pPr>
            <w:hyperlink w:anchor="page63">
              <w:r>
                <w:rPr>
                  <w:rFonts w:ascii="Arial" w:cs="Arial" w:eastAsia="Arial" w:hAnsi="Arial"/>
                  <w:sz w:val="13"/>
                  <w:szCs w:val="13"/>
                  <w:color w:val="0000EE"/>
                </w:rPr>
                <w:t>Item 5. Other Information</w:t>
              </w:r>
            </w:hyperlink>
          </w:p>
        </w:tc>
        <w:tc>
          <w:tcPr>
            <w:tcW w:w="6800" w:type="dxa"/>
            <w:vAlign w:val="bottom"/>
            <w:gridSpan w:val="14"/>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19"/>
        </w:trPr>
        <w:tc>
          <w:tcPr>
            <w:tcW w:w="1480" w:type="dxa"/>
            <w:vAlign w:val="bottom"/>
            <w:tcBorders>
              <w:top w:val="single" w:sz="8" w:color="0000EE"/>
            </w:tcBorders>
            <w:gridSpan w:val="7"/>
          </w:tcPr>
          <w:p>
            <w:pPr>
              <w:spacing w:after="0" w:line="119" w:lineRule="exact"/>
              <w:rPr>
                <w:rFonts w:ascii="Arial" w:cs="Arial" w:eastAsia="Arial" w:hAnsi="Arial"/>
                <w:sz w:val="13"/>
                <w:szCs w:val="13"/>
                <w:color w:val="0000EE"/>
              </w:rPr>
            </w:pPr>
            <w:hyperlink w:anchor="page64">
              <w:r>
                <w:rPr>
                  <w:rFonts w:ascii="Arial" w:cs="Arial" w:eastAsia="Arial" w:hAnsi="Arial"/>
                  <w:sz w:val="13"/>
                  <w:szCs w:val="13"/>
                  <w:color w:val="0000EE"/>
                </w:rPr>
                <w:t>Item 6. Exhibits</w:t>
              </w:r>
            </w:hyperlink>
          </w:p>
        </w:tc>
        <w:tc>
          <w:tcPr>
            <w:tcW w:w="7160" w:type="dxa"/>
            <w:vAlign w:val="bottom"/>
            <w:gridSpan w:val="16"/>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19"/>
        </w:trPr>
        <w:tc>
          <w:tcPr>
            <w:tcW w:w="920" w:type="dxa"/>
            <w:vAlign w:val="bottom"/>
            <w:tcBorders>
              <w:top w:val="single" w:sz="8" w:color="0000EE"/>
            </w:tcBorders>
            <w:gridSpan w:val="4"/>
          </w:tcPr>
          <w:p>
            <w:pPr>
              <w:spacing w:after="0" w:line="119" w:lineRule="exact"/>
              <w:rPr>
                <w:rFonts w:ascii="Arial" w:cs="Arial" w:eastAsia="Arial" w:hAnsi="Arial"/>
                <w:sz w:val="13"/>
                <w:szCs w:val="13"/>
                <w:color w:val="0000EE"/>
              </w:rPr>
            </w:pPr>
            <w:hyperlink w:anchor="page65">
              <w:r>
                <w:rPr>
                  <w:rFonts w:ascii="Arial" w:cs="Arial" w:eastAsia="Arial" w:hAnsi="Arial"/>
                  <w:sz w:val="13"/>
                  <w:szCs w:val="13"/>
                  <w:color w:val="0000EE"/>
                </w:rPr>
                <w:t>Signatures</w:t>
              </w:r>
            </w:hyperlink>
          </w:p>
        </w:tc>
        <w:tc>
          <w:tcPr>
            <w:tcW w:w="7720" w:type="dxa"/>
            <w:vAlign w:val="bottom"/>
            <w:gridSpan w:val="19"/>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502"/>
        </w:trPr>
        <w:tc>
          <w:tcPr>
            <w:tcW w:w="600" w:type="dxa"/>
            <w:vAlign w:val="bottom"/>
            <w:tcBorders>
              <w:top w:val="single" w:sz="8" w:color="0000EE"/>
            </w:tcBorders>
            <w:gridSpan w:val="2"/>
          </w:tcPr>
          <w:p>
            <w:pPr>
              <w:spacing w:after="0"/>
              <w:rPr>
                <w:sz w:val="24"/>
                <w:szCs w:val="24"/>
                <w:color w:val="auto"/>
              </w:rPr>
            </w:pPr>
          </w:p>
        </w:tc>
        <w:tc>
          <w:tcPr>
            <w:tcW w:w="4800" w:type="dxa"/>
            <w:vAlign w:val="bottom"/>
            <w:gridSpan w:val="15"/>
          </w:tcPr>
          <w:p>
            <w:pPr>
              <w:jc w:val="right"/>
              <w:ind w:right="754"/>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18" w:right="13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563C1"/>
            </w:tcBorders>
            <w:gridSpan w:val="3"/>
          </w:tcPr>
          <w:p>
            <w:pPr>
              <w:spacing w:after="0"/>
              <w:rPr>
                <w:rFonts w:ascii="Arial" w:cs="Arial" w:eastAsia="Arial" w:hAnsi="Arial"/>
                <w:sz w:val="14"/>
                <w:szCs w:val="14"/>
                <w:color w:val="0563C1"/>
                <w:w w:val="90"/>
              </w:rPr>
            </w:pPr>
            <w:hyperlink w:anchor="page2">
              <w:r>
                <w:rPr>
                  <w:rFonts w:ascii="Arial" w:cs="Arial" w:eastAsia="Arial" w:hAnsi="Arial"/>
                  <w:sz w:val="14"/>
                  <w:szCs w:val="14"/>
                  <w:color w:val="0563C1"/>
                  <w:w w:val="90"/>
                </w:rPr>
                <w:t>Table of Contents</w:t>
              </w:r>
            </w:hyperlink>
          </w:p>
        </w:tc>
        <w:tc>
          <w:tcPr>
            <w:tcW w:w="6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7"/>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PART I.</w:t>
            </w:r>
          </w:p>
        </w:tc>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ITEM 1.</w:t>
            </w:r>
          </w:p>
        </w:tc>
        <w:tc>
          <w:tcPr>
            <w:tcW w:w="62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40" w:type="dxa"/>
            <w:vAlign w:val="bottom"/>
          </w:tcPr>
          <w:p>
            <w:pPr>
              <w:jc w:val="center"/>
              <w:ind w:right="229"/>
              <w:spacing w:after="0"/>
              <w:rPr>
                <w:sz w:val="20"/>
                <w:szCs w:val="20"/>
                <w:color w:val="auto"/>
              </w:rPr>
            </w:pPr>
            <w:r>
              <w:rPr>
                <w:rFonts w:ascii="Arial" w:cs="Arial" w:eastAsia="Arial" w:hAnsi="Arial"/>
                <w:sz w:val="14"/>
                <w:szCs w:val="14"/>
                <w:b w:val="1"/>
                <w:bCs w:val="1"/>
                <w:color w:val="auto"/>
              </w:rPr>
              <w:t>ARDELYX, INC.</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40" w:type="dxa"/>
            <w:vAlign w:val="bottom"/>
          </w:tcPr>
          <w:p>
            <w:pPr>
              <w:jc w:val="center"/>
              <w:ind w:right="209"/>
              <w:spacing w:after="0" w:line="139" w:lineRule="exact"/>
              <w:rPr>
                <w:sz w:val="20"/>
                <w:szCs w:val="20"/>
                <w:color w:val="auto"/>
              </w:rPr>
            </w:pPr>
            <w:r>
              <w:rPr>
                <w:rFonts w:ascii="Arial" w:cs="Arial" w:eastAsia="Arial" w:hAnsi="Arial"/>
                <w:sz w:val="14"/>
                <w:szCs w:val="14"/>
                <w:b w:val="1"/>
                <w:bCs w:val="1"/>
                <w:color w:val="auto"/>
              </w:rPr>
              <w:t>CONDENSED CONSOLIDATED BALANCE SHEETS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40" w:type="dxa"/>
            <w:vAlign w:val="bottom"/>
          </w:tcPr>
          <w:p>
            <w:pPr>
              <w:jc w:val="center"/>
              <w:ind w:right="209"/>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June 30,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2017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line="97" w:lineRule="exact"/>
              <w:rPr>
                <w:sz w:val="20"/>
                <w:szCs w:val="20"/>
                <w:color w:val="auto"/>
              </w:rPr>
            </w:pPr>
            <w:r>
              <w:rPr>
                <w:rFonts w:ascii="Arial" w:cs="Arial" w:eastAsia="Arial" w:hAnsi="Arial"/>
                <w:sz w:val="11"/>
                <w:szCs w:val="11"/>
                <w:b w:val="1"/>
                <w:bCs w:val="1"/>
                <w:color w:val="auto"/>
                <w:w w:val="98"/>
              </w:rPr>
              <w:t>(Unaudited)</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jc w:val="right"/>
              <w:ind w:right="310"/>
              <w:spacing w:after="0" w:line="97" w:lineRule="exact"/>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0" w:type="dxa"/>
            <w:vAlign w:val="bottom"/>
          </w:tcPr>
          <w:p>
            <w:pPr>
              <w:spacing w:after="0" w:line="139" w:lineRule="exact"/>
              <w:rPr>
                <w:sz w:val="20"/>
                <w:szCs w:val="20"/>
                <w:color w:val="auto"/>
              </w:rPr>
            </w:pPr>
            <w:r>
              <w:rPr>
                <w:rFonts w:ascii="Arial" w:cs="Arial" w:eastAsia="Arial" w:hAnsi="Arial"/>
                <w:sz w:val="14"/>
                <w:szCs w:val="14"/>
                <w:color w:val="auto"/>
                <w:w w:val="92"/>
              </w:rPr>
              <w:t>Current assets:</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ind w:left="80"/>
              <w:spacing w:after="0" w:line="13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91,751</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75,383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tcPr>
          <w:p>
            <w:pPr>
              <w:ind w:left="80"/>
              <w:spacing w:after="0" w:line="13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120,980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58,593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ind w:left="80"/>
              <w:spacing w:after="0" w:line="13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10,796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tcPr>
          <w:p>
            <w:pPr>
              <w:ind w:left="80"/>
              <w:spacing w:after="0" w:line="139" w:lineRule="exact"/>
              <w:rPr>
                <w:sz w:val="20"/>
                <w:szCs w:val="20"/>
                <w:color w:val="auto"/>
              </w:rPr>
            </w:pPr>
            <w:r>
              <w:rPr>
                <w:rFonts w:ascii="Arial" w:cs="Arial" w:eastAsia="Arial" w:hAnsi="Arial"/>
                <w:sz w:val="14"/>
                <w:szCs w:val="14"/>
                <w:color w:val="auto"/>
              </w:rPr>
              <w:t>Unbilled license revenue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ind w:left="80"/>
              <w:spacing w:after="0" w:line="13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3,927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4,940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gridSpan w:val="4"/>
          </w:tcPr>
          <w:p>
            <w:pPr>
              <w:ind w:left="240"/>
              <w:spacing w:after="0" w:line="130"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221,688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149,712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6,689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8,032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159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bottom w:val="single" w:sz="8" w:color="CCEEFF"/>
            </w:tcBorders>
            <w:shd w:val="clear" w:color="auto" w:fill="CCEEFF"/>
          </w:tcPr>
          <w:p>
            <w:pPr>
              <w:ind w:left="240"/>
              <w:spacing w:after="0" w:line="130" w:lineRule="exact"/>
              <w:rPr>
                <w:sz w:val="20"/>
                <w:szCs w:val="20"/>
                <w:color w:val="auto"/>
              </w:rPr>
            </w:pPr>
            <w:r>
              <w:rPr>
                <w:rFonts w:ascii="Arial" w:cs="Arial" w:eastAsia="Arial" w:hAnsi="Arial"/>
                <w:sz w:val="14"/>
                <w:szCs w:val="14"/>
                <w:color w:val="auto"/>
                <w:w w:val="84"/>
              </w:rPr>
              <w:t>Total assets</w:t>
            </w:r>
          </w:p>
        </w:tc>
        <w:tc>
          <w:tcPr>
            <w:tcW w:w="1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4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228,536</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157,903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00" w:type="dxa"/>
            <w:vAlign w:val="bottom"/>
            <w:gridSpan w:val="4"/>
          </w:tcPr>
          <w:p>
            <w:pPr>
              <w:spacing w:after="0" w:line="120" w:lineRule="exact"/>
              <w:rPr>
                <w:sz w:val="20"/>
                <w:szCs w:val="20"/>
                <w:color w:val="auto"/>
              </w:rPr>
            </w:pPr>
            <w:r>
              <w:rPr>
                <w:rFonts w:ascii="Arial" w:cs="Arial" w:eastAsia="Arial" w:hAnsi="Arial"/>
                <w:sz w:val="13"/>
                <w:szCs w:val="13"/>
                <w:b w:val="1"/>
                <w:bCs w:val="1"/>
                <w:color w:val="auto"/>
              </w:rPr>
              <w:t>Liabilities and stockholders’ equity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tcPr>
          <w:p>
            <w:pPr>
              <w:ind w:left="80"/>
              <w:spacing w:after="0" w:line="139" w:lineRule="exact"/>
              <w:rPr>
                <w:sz w:val="20"/>
                <w:szCs w:val="20"/>
                <w:color w:val="auto"/>
              </w:rPr>
            </w:pPr>
            <w:r>
              <w:rPr>
                <w:rFonts w:ascii="Arial" w:cs="Arial" w:eastAsia="Arial" w:hAnsi="Arial"/>
                <w:sz w:val="14"/>
                <w:szCs w:val="14"/>
                <w:color w:val="auto"/>
              </w:rPr>
              <w:t>Accounts payable</w:t>
            </w:r>
          </w:p>
        </w:tc>
        <w:tc>
          <w:tcPr>
            <w:tcW w:w="18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3,172</w:t>
            </w:r>
          </w:p>
        </w:tc>
        <w:tc>
          <w:tcPr>
            <w:tcW w:w="1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ind w:left="80"/>
              <w:spacing w:after="0" w:line="139" w:lineRule="exact"/>
              <w:rPr>
                <w:sz w:val="20"/>
                <w:szCs w:val="20"/>
                <w:color w:val="auto"/>
              </w:rPr>
            </w:pPr>
            <w:r>
              <w:rPr>
                <w:rFonts w:ascii="Arial" w:cs="Arial" w:eastAsia="Arial" w:hAnsi="Arial"/>
                <w:sz w:val="14"/>
                <w:szCs w:val="14"/>
                <w:color w:val="auto"/>
              </w:rPr>
              <w:t>Accrued compensation and benefits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3,229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tcPr>
          <w:p>
            <w:pPr>
              <w:ind w:left="80"/>
              <w:spacing w:after="0" w:line="139" w:lineRule="exact"/>
              <w:rPr>
                <w:sz w:val="20"/>
                <w:szCs w:val="20"/>
                <w:color w:val="auto"/>
              </w:rPr>
            </w:pPr>
            <w:r>
              <w:rPr>
                <w:rFonts w:ascii="Arial" w:cs="Arial" w:eastAsia="Arial" w:hAnsi="Arial"/>
                <w:sz w:val="14"/>
                <w:szCs w:val="14"/>
                <w:color w:val="auto"/>
              </w:rPr>
              <w:t>Uncharged license fees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ind w:left="80"/>
              <w:spacing w:after="0" w:line="139" w:lineRule="exact"/>
              <w:rPr>
                <w:sz w:val="20"/>
                <w:szCs w:val="20"/>
                <w:color w:val="auto"/>
              </w:rPr>
            </w:pPr>
            <w:r>
              <w:rPr>
                <w:rFonts w:ascii="Arial" w:cs="Arial" w:eastAsia="Arial" w:hAnsi="Arial"/>
                <w:sz w:val="14"/>
                <w:szCs w:val="14"/>
                <w:color w:val="auto"/>
              </w:rPr>
              <w:t>Accrued and other liabilities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9,234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10,709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gridSpan w:val="4"/>
          </w:tcPr>
          <w:p>
            <w:pPr>
              <w:ind w:left="240"/>
              <w:spacing w:after="0" w:line="130"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15,609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17,871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Loan payable, long term</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48,836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tcBorders>
              <w:bottom w:val="single" w:sz="8" w:color="CCEEFF"/>
            </w:tcBorders>
            <w:gridSpan w:val="4"/>
          </w:tcPr>
          <w:p>
            <w:pPr>
              <w:spacing w:after="0" w:line="139" w:lineRule="exact"/>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677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gridSpan w:val="4"/>
            <w:shd w:val="clear" w:color="auto" w:fill="CCEEFF"/>
          </w:tcPr>
          <w:p>
            <w:pPr>
              <w:ind w:left="240"/>
              <w:spacing w:after="0" w:line="130"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65,122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18,591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gridSpan w:val="4"/>
          </w:tcPr>
          <w:p>
            <w:pPr>
              <w:spacing w:after="0" w:line="130"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Stockholders’ equity: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00" w:type="dxa"/>
            <w:vAlign w:val="bottom"/>
            <w:gridSpan w:val="4"/>
          </w:tcPr>
          <w:p>
            <w:pPr>
              <w:ind w:left="80"/>
              <w:spacing w:after="0" w:line="118" w:lineRule="exact"/>
              <w:rPr>
                <w:sz w:val="20"/>
                <w:szCs w:val="20"/>
                <w:color w:val="auto"/>
              </w:rPr>
            </w:pPr>
            <w:r>
              <w:rPr>
                <w:rFonts w:ascii="Arial" w:cs="Arial" w:eastAsia="Arial" w:hAnsi="Arial"/>
                <w:sz w:val="13"/>
                <w:szCs w:val="13"/>
                <w:color w:val="auto"/>
                <w:w w:val="97"/>
              </w:rPr>
              <w:t>Preferred stock, $0.0001 par value; 5,000,000 shares authorized; no shares issued and outstanding as of June 30, 2018 and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00" w:type="dxa"/>
            <w:vAlign w:val="bottom"/>
            <w:gridSpan w:val="4"/>
          </w:tcPr>
          <w:p>
            <w:pPr>
              <w:ind w:left="180"/>
              <w:spacing w:after="0"/>
              <w:rPr>
                <w:sz w:val="20"/>
                <w:szCs w:val="20"/>
                <w:color w:val="auto"/>
              </w:rPr>
            </w:pPr>
            <w:r>
              <w:rPr>
                <w:rFonts w:ascii="Arial" w:cs="Arial" w:eastAsia="Arial" w:hAnsi="Arial"/>
                <w:sz w:val="14"/>
                <w:szCs w:val="14"/>
                <w:color w:val="auto"/>
              </w:rPr>
              <w:t>December 31, 2017, respectively.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100" w:type="dxa"/>
            <w:vAlign w:val="bottom"/>
            <w:gridSpan w:val="4"/>
            <w:shd w:val="clear" w:color="auto" w:fill="CCEEFF"/>
          </w:tcPr>
          <w:p>
            <w:pPr>
              <w:ind w:left="80"/>
              <w:spacing w:after="0" w:line="118" w:lineRule="exact"/>
              <w:rPr>
                <w:sz w:val="20"/>
                <w:szCs w:val="20"/>
                <w:color w:val="auto"/>
              </w:rPr>
            </w:pPr>
            <w:r>
              <w:rPr>
                <w:rFonts w:ascii="Arial" w:cs="Arial" w:eastAsia="Arial" w:hAnsi="Arial"/>
                <w:sz w:val="13"/>
                <w:szCs w:val="13"/>
                <w:color w:val="auto"/>
              </w:rPr>
              <w:t>Common stock, $0.0001 par value; 300,000,000 shares authorized; 62,053,751 and 47,534,979 shares issued and</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0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outstanding as of June 30, 2018 and December 31, 2017, respectively.</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tcPr>
          <w:p>
            <w:pPr>
              <w:ind w:left="80"/>
              <w:spacing w:after="0" w:line="13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476,968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417,568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gridSpan w:val="4"/>
            <w:shd w:val="clear" w:color="auto" w:fill="CCEEFF"/>
          </w:tcPr>
          <w:p>
            <w:pPr>
              <w:ind w:left="80"/>
              <w:spacing w:after="0" w:line="13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(313,524)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(278,214)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00" w:type="dxa"/>
            <w:vAlign w:val="bottom"/>
            <w:tcBorders>
              <w:bottom w:val="single" w:sz="8" w:color="CCEEFF"/>
            </w:tcBorders>
            <w:gridSpan w:val="4"/>
          </w:tcPr>
          <w:p>
            <w:pPr>
              <w:ind w:left="80"/>
              <w:spacing w:after="0" w:line="13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163,414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139,312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100" w:type="dxa"/>
            <w:vAlign w:val="bottom"/>
            <w:gridSpan w:val="4"/>
          </w:tcPr>
          <w:p>
            <w:pPr>
              <w:spacing w:after="0" w:line="130"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228,536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157,903</w:t>
            </w:r>
          </w:p>
        </w:tc>
        <w:tc>
          <w:tcPr>
            <w:tcW w:w="0" w:type="dxa"/>
            <w:vAlign w:val="bottom"/>
          </w:tcPr>
          <w:p>
            <w:pPr>
              <w:spacing w:after="0"/>
              <w:rPr>
                <w:sz w:val="1"/>
                <w:szCs w:val="1"/>
                <w:color w:val="auto"/>
              </w:rPr>
            </w:pPr>
          </w:p>
        </w:tc>
      </w:tr>
      <w:tr>
        <w:trPr>
          <w:trHeight w:val="85"/>
        </w:trPr>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5"/>
        <w:spacing w:after="0" w:line="160" w:lineRule="exact"/>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Derived from the audited consolidated financial statements included in the Company’s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2017.</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07" w:right="1399" w:bottom="1440" w:gutter="0" w:footer="0" w:header="0"/>
        </w:sectPr>
      </w:pPr>
    </w:p>
    <w:bookmarkStart w:id="3" w:name="page4"/>
    <w:bookmarkEnd w:id="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ARDELYX, INC.</w:t>
      </w:r>
    </w:p>
    <w:p>
      <w:pPr>
        <w:jc w:val="center"/>
        <w:spacing w:after="0" w:line="206" w:lineRule="auto"/>
        <w:rPr>
          <w:sz w:val="20"/>
          <w:szCs w:val="20"/>
          <w:color w:val="auto"/>
        </w:rPr>
      </w:pPr>
      <w:r>
        <w:rPr>
          <w:rFonts w:ascii="Arial" w:cs="Arial" w:eastAsia="Arial" w:hAnsi="Arial"/>
          <w:sz w:val="14"/>
          <w:szCs w:val="14"/>
          <w:b w:val="1"/>
          <w:bCs w:val="1"/>
          <w:color w:val="auto"/>
        </w:rPr>
        <w:t>CONDENSED CONSOLIDATED STATEMENTS OF OPERATIONS AND COMPREHENSIVE LOSS</w:t>
      </w:r>
    </w:p>
    <w:p>
      <w:pPr>
        <w:jc w:val="center"/>
        <w:spacing w:after="0" w:line="207" w:lineRule="auto"/>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1"/>
                <w:szCs w:val="11"/>
                <w:b w:val="1"/>
                <w:bCs w:val="1"/>
                <w:color w:val="auto"/>
              </w:rPr>
              <w:t>Three Months Ended June 30,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5"/>
          </w:tcPr>
          <w:p>
            <w:pPr>
              <w:ind w:left="220"/>
              <w:spacing w:after="0"/>
              <w:rPr>
                <w:sz w:val="20"/>
                <w:szCs w:val="20"/>
                <w:color w:val="auto"/>
              </w:rPr>
            </w:pPr>
            <w:r>
              <w:rPr>
                <w:rFonts w:ascii="Arial" w:cs="Arial" w:eastAsia="Arial" w:hAnsi="Arial"/>
                <w:sz w:val="11"/>
                <w:szCs w:val="11"/>
                <w:b w:val="1"/>
                <w:bCs w:val="1"/>
                <w:color w:val="auto"/>
              </w:rPr>
              <w:t>Six Months Ended June 30,</w:t>
            </w:r>
          </w:p>
        </w:tc>
      </w:tr>
      <w:tr>
        <w:trPr>
          <w:trHeight w:val="97"/>
        </w:trPr>
        <w:tc>
          <w:tcPr>
            <w:tcW w:w="20" w:type="dxa"/>
            <w:vAlign w:val="bottom"/>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351"/>
              <w:spacing w:after="0" w:line="97" w:lineRule="exact"/>
              <w:rPr>
                <w:sz w:val="20"/>
                <w:szCs w:val="20"/>
                <w:color w:val="auto"/>
              </w:rPr>
            </w:pPr>
            <w:r>
              <w:rPr>
                <w:rFonts w:ascii="Arial" w:cs="Arial" w:eastAsia="Arial" w:hAnsi="Arial"/>
                <w:sz w:val="11"/>
                <w:szCs w:val="11"/>
                <w:b w:val="1"/>
                <w:bCs w:val="1"/>
                <w:color w:val="auto"/>
              </w:rPr>
              <w:t>2018</w:t>
            </w:r>
          </w:p>
        </w:tc>
        <w:tc>
          <w:tcPr>
            <w:tcW w:w="16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350"/>
              <w:spacing w:after="0" w:line="9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351"/>
              <w:spacing w:after="0" w:line="9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30"/>
              <w:spacing w:after="0" w:line="97"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CCEEFF"/>
            </w:tcBorders>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Revenues: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000" w:type="dxa"/>
            <w:vAlign w:val="bottom"/>
          </w:tcPr>
          <w:p>
            <w:pPr>
              <w:ind w:left="160"/>
              <w:spacing w:after="0" w:line="139" w:lineRule="exact"/>
              <w:rPr>
                <w:sz w:val="20"/>
                <w:szCs w:val="20"/>
                <w:color w:val="auto"/>
              </w:rPr>
            </w:pPr>
            <w:r>
              <w:rPr>
                <w:rFonts w:ascii="Arial" w:cs="Arial" w:eastAsia="Arial" w:hAnsi="Arial"/>
                <w:sz w:val="14"/>
                <w:szCs w:val="14"/>
                <w:color w:val="auto"/>
              </w:rPr>
              <w:t>Licensing revenue</w:t>
            </w:r>
          </w:p>
        </w:tc>
        <w:tc>
          <w:tcPr>
            <w:tcW w:w="600" w:type="dxa"/>
            <w:vAlign w:val="bottom"/>
            <w:gridSpan w:val="2"/>
          </w:tcPr>
          <w:p>
            <w:pPr>
              <w:jc w:val="right"/>
              <w:ind w:right="71"/>
              <w:spacing w:after="0" w:line="13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9"/>
              <w:spacing w:after="0" w:line="13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2,320</w:t>
            </w:r>
          </w:p>
        </w:tc>
        <w:tc>
          <w:tcPr>
            <w:tcW w:w="360" w:type="dxa"/>
            <w:vAlign w:val="bottom"/>
            <w:gridSpan w:val="2"/>
          </w:tcPr>
          <w:p>
            <w:pPr>
              <w:jc w:val="right"/>
              <w:ind w:right="71"/>
              <w:spacing w:after="0" w:line="13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39" w:lineRule="exact"/>
              <w:rPr>
                <w:sz w:val="20"/>
                <w:szCs w:val="20"/>
                <w:color w:val="auto"/>
              </w:rPr>
            </w:pPr>
            <w:r>
              <w:rPr>
                <w:rFonts w:ascii="Arial" w:cs="Arial" w:eastAsia="Arial" w:hAnsi="Arial"/>
                <w:sz w:val="14"/>
                <w:szCs w:val="14"/>
                <w:color w:val="auto"/>
              </w:rPr>
              <w:t>—</w:t>
            </w:r>
          </w:p>
        </w:tc>
      </w:tr>
      <w:tr>
        <w:trPr>
          <w:trHeight w:val="139"/>
        </w:trPr>
        <w:tc>
          <w:tcPr>
            <w:tcW w:w="20" w:type="dxa"/>
            <w:vAlign w:val="bottom"/>
          </w:tcPr>
          <w:p>
            <w:pPr>
              <w:spacing w:after="0"/>
              <w:rPr>
                <w:sz w:val="12"/>
                <w:szCs w:val="12"/>
                <w:color w:val="auto"/>
              </w:rPr>
            </w:pPr>
          </w:p>
        </w:tc>
        <w:tc>
          <w:tcPr>
            <w:tcW w:w="40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Other revenue</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w:t>
            </w:r>
          </w:p>
        </w:tc>
      </w:tr>
      <w:tr>
        <w:trPr>
          <w:trHeight w:val="129"/>
        </w:trPr>
        <w:tc>
          <w:tcPr>
            <w:tcW w:w="20" w:type="dxa"/>
            <w:vAlign w:val="bottom"/>
          </w:tcPr>
          <w:p>
            <w:pPr>
              <w:spacing w:after="0"/>
              <w:rPr>
                <w:sz w:val="11"/>
                <w:szCs w:val="11"/>
                <w:color w:val="auto"/>
              </w:rPr>
            </w:pPr>
          </w:p>
        </w:tc>
        <w:tc>
          <w:tcPr>
            <w:tcW w:w="4000" w:type="dxa"/>
            <w:vAlign w:val="bottom"/>
          </w:tcPr>
          <w:p>
            <w:pPr>
              <w:ind w:left="320"/>
              <w:spacing w:after="0" w:line="130" w:lineRule="exact"/>
              <w:rPr>
                <w:sz w:val="20"/>
                <w:szCs w:val="20"/>
                <w:color w:val="auto"/>
              </w:rPr>
            </w:pPr>
            <w:r>
              <w:rPr>
                <w:rFonts w:ascii="Arial" w:cs="Arial" w:eastAsia="Arial" w:hAnsi="Arial"/>
                <w:sz w:val="14"/>
                <w:szCs w:val="14"/>
                <w:color w:val="auto"/>
              </w:rPr>
              <w:t>Total revenues</w:t>
            </w: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2,350</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0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Cost of revenue</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w:t>
            </w:r>
          </w:p>
        </w:tc>
      </w:tr>
      <w:tr>
        <w:trPr>
          <w:trHeight w:val="129"/>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320"/>
              <w:spacing w:after="0" w:line="130" w:lineRule="exact"/>
              <w:rPr>
                <w:sz w:val="20"/>
                <w:szCs w:val="20"/>
                <w:color w:val="auto"/>
              </w:rPr>
            </w:pPr>
            <w:r>
              <w:rPr>
                <w:rFonts w:ascii="Arial" w:cs="Arial" w:eastAsia="Arial" w:hAnsi="Arial"/>
                <w:sz w:val="14"/>
                <w:szCs w:val="14"/>
                <w:color w:val="auto"/>
              </w:rPr>
              <w:t>Gross profit</w:t>
            </w:r>
          </w:p>
        </w:tc>
        <w:tc>
          <w:tcPr>
            <w:tcW w:w="3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1,886</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000" w:type="dxa"/>
            <w:vAlign w:val="bottom"/>
          </w:tcPr>
          <w:p>
            <w:pPr>
              <w:ind w:left="160"/>
              <w:spacing w:after="0" w:line="139" w:lineRule="exact"/>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16,046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4"/>
                <w:szCs w:val="14"/>
                <w:color w:val="auto"/>
              </w:rPr>
              <w:t>20,572</w:t>
            </w:r>
          </w:p>
        </w:tc>
        <w:tc>
          <w:tcPr>
            <w:tcW w:w="36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29,396</w:t>
            </w:r>
          </w:p>
        </w:tc>
        <w:tc>
          <w:tcPr>
            <w:tcW w:w="360" w:type="dxa"/>
            <w:vAlign w:val="bottom"/>
            <w:gridSpan w:val="2"/>
          </w:tcPr>
          <w:p>
            <w:pPr>
              <w:jc w:val="right"/>
              <w:ind w:right="71"/>
              <w:spacing w:after="0" w:line="13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42,960</w:t>
            </w:r>
          </w:p>
        </w:tc>
        <w:tc>
          <w:tcPr>
            <w:tcW w:w="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40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6,138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5,846</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12,329</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11,892</w:t>
            </w:r>
          </w:p>
        </w:tc>
        <w:tc>
          <w:tcPr>
            <w:tcW w:w="40" w:type="dxa"/>
            <w:vAlign w:val="bottom"/>
            <w:shd w:val="clear" w:color="auto" w:fill="CCEEFF"/>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320"/>
              <w:spacing w:after="0" w:line="130" w:lineRule="exact"/>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22,184</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26,418</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41,725</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54,852</w:t>
            </w:r>
          </w:p>
        </w:tc>
        <w:tc>
          <w:tcPr>
            <w:tcW w:w="40" w:type="dxa"/>
            <w:vAlign w:val="bottom"/>
            <w:tcBorders>
              <w:bottom w:val="single" w:sz="8" w:color="CCEEFF"/>
            </w:tcBorders>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Loss from operations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(22,154)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(26,418)</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(39,839)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(54,852)</w:t>
            </w:r>
          </w:p>
        </w:tc>
        <w:tc>
          <w:tcPr>
            <w:tcW w:w="4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tcPr>
          <w:p>
            <w:pPr>
              <w:ind w:left="160"/>
              <w:spacing w:after="0" w:line="139" w:lineRule="exact"/>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(135)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697</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535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1,123</w:t>
            </w:r>
          </w:p>
        </w:tc>
        <w:tc>
          <w:tcPr>
            <w:tcW w:w="40" w:type="dxa"/>
            <w:vAlign w:val="bottom"/>
            <w:tcBorders>
              <w:bottom w:val="single" w:sz="8" w:color="CCEEFF"/>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before provision for income taxes</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(22,289)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(25,721)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(39,304)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(53,729)</w:t>
            </w:r>
          </w:p>
        </w:tc>
        <w:tc>
          <w:tcPr>
            <w:tcW w:w="4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000" w:type="dxa"/>
            <w:vAlign w:val="bottom"/>
          </w:tcPr>
          <w:p>
            <w:pPr>
              <w:spacing w:after="0" w:line="139" w:lineRule="exact"/>
              <w:rPr>
                <w:sz w:val="20"/>
                <w:szCs w:val="20"/>
                <w:color w:val="auto"/>
              </w:rPr>
            </w:pPr>
            <w:r>
              <w:rPr>
                <w:rFonts w:ascii="Arial" w:cs="Arial" w:eastAsia="Arial" w:hAnsi="Arial"/>
                <w:sz w:val="14"/>
                <w:szCs w:val="14"/>
                <w:color w:val="auto"/>
              </w:rPr>
              <w:t>Provision for income taxes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3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00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Net loss</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1"/>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(22,291)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(25,721)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(39,310)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1"/>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(53,729)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4000" w:type="dxa"/>
            <w:vAlign w:val="bottom"/>
            <w:tcBorders>
              <w:bottom w:val="single" w:sz="8" w:color="CCEEFF"/>
            </w:tcBorders>
          </w:tcPr>
          <w:p>
            <w:pPr>
              <w:spacing w:after="0" w:line="120" w:lineRule="exact"/>
              <w:rPr>
                <w:sz w:val="20"/>
                <w:szCs w:val="20"/>
                <w:color w:val="auto"/>
              </w:rPr>
            </w:pPr>
            <w:r>
              <w:rPr>
                <w:rFonts w:ascii="Arial" w:cs="Arial" w:eastAsia="Arial" w:hAnsi="Arial"/>
                <w:sz w:val="13"/>
                <w:szCs w:val="13"/>
                <w:color w:val="auto"/>
              </w:rPr>
              <w:t>Net loss per common share, basic and diluted</w:t>
            </w:r>
          </w:p>
        </w:tc>
        <w:tc>
          <w:tcPr>
            <w:tcW w:w="3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jc w:val="right"/>
              <w:ind w:right="71"/>
              <w:spacing w:after="0" w:line="120"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3"/>
                <w:szCs w:val="13"/>
                <w:color w:val="auto"/>
              </w:rPr>
              <w:t>(0.42)</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3"/>
                <w:szCs w:val="13"/>
                <w:color w:val="auto"/>
              </w:rPr>
              <w:t>(0.54)</w:t>
            </w: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3"/>
                <w:szCs w:val="13"/>
                <w:color w:val="auto"/>
              </w:rPr>
              <w:t>(0.78)</w:t>
            </w: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jc w:val="right"/>
              <w:ind w:right="71"/>
              <w:spacing w:after="0" w:line="120"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3"/>
                <w:szCs w:val="13"/>
                <w:color w:val="auto"/>
              </w:rPr>
              <w:t>(1.13)</w:t>
            </w:r>
          </w:p>
        </w:tc>
        <w:tc>
          <w:tcPr>
            <w:tcW w:w="40" w:type="dxa"/>
            <w:vAlign w:val="bottom"/>
            <w:tcBorders>
              <w:bottom w:val="single" w:sz="8" w:color="CCEEFF"/>
            </w:tcBorders>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400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Shares used in computing net loss per share - basic and diluted</w:t>
            </w:r>
          </w:p>
        </w:tc>
        <w:tc>
          <w:tcPr>
            <w:tcW w:w="3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52,824,483</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47,403,243</w:t>
            </w: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50,206,470</w:t>
            </w: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47,373,404</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line="120" w:lineRule="exact"/>
              <w:rPr>
                <w:sz w:val="20"/>
                <w:szCs w:val="20"/>
                <w:color w:val="auto"/>
              </w:rPr>
            </w:pPr>
            <w:r>
              <w:rPr>
                <w:rFonts w:ascii="Arial" w:cs="Arial" w:eastAsia="Arial" w:hAnsi="Arial"/>
                <w:sz w:val="13"/>
                <w:szCs w:val="13"/>
                <w:b w:val="1"/>
                <w:bCs w:val="1"/>
                <w:color w:val="auto"/>
              </w:rPr>
              <w:t>Comprehensive loss:</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40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(22,291)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(25,721)</w:t>
            </w:r>
          </w:p>
        </w:tc>
        <w:tc>
          <w:tcPr>
            <w:tcW w:w="360" w:type="dxa"/>
            <w:vAlign w:val="bottom"/>
            <w:gridSpan w:val="2"/>
            <w:shd w:val="clear" w:color="auto" w:fill="CCEEFF"/>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(39,310)</w:t>
            </w:r>
          </w:p>
        </w:tc>
        <w:tc>
          <w:tcPr>
            <w:tcW w:w="360" w:type="dxa"/>
            <w:vAlign w:val="bottom"/>
            <w:gridSpan w:val="2"/>
            <w:shd w:val="clear" w:color="auto" w:fill="CCEEFF"/>
          </w:tcPr>
          <w:p>
            <w:pPr>
              <w:jc w:val="right"/>
              <w:ind w:right="71"/>
              <w:spacing w:after="0" w:line="13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(53,729)</w:t>
            </w:r>
          </w:p>
        </w:tc>
        <w:tc>
          <w:tcPr>
            <w:tcW w:w="40" w:type="dxa"/>
            <w:vAlign w:val="bottom"/>
            <w:shd w:val="clear" w:color="auto" w:fill="CCEEFF"/>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rPr>
              <w:t>Unrealized (loss) gain on available-for-sale securities, net of tax</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31</w:t>
            </w:r>
          </w:p>
        </w:tc>
        <w:tc>
          <w:tcPr>
            <w:tcW w:w="40" w:type="dxa"/>
            <w:vAlign w:val="bottom"/>
            <w:tcBorders>
              <w:bottom w:val="single" w:sz="8" w:color="CCEEFF"/>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4000" w:type="dxa"/>
            <w:vAlign w:val="bottom"/>
            <w:tcBorders>
              <w:bottom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Comprehensive loss</w:t>
            </w:r>
          </w:p>
        </w:tc>
        <w:tc>
          <w:tcPr>
            <w:tcW w:w="3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1"/>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(22,236)</w:t>
            </w: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(25,712)</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(39,299)</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1"/>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(53,698)</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 w:name="page5"/>
    <w:bookmarkEnd w:id="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ARDELYX, INC.</w:t>
      </w:r>
    </w:p>
    <w:p>
      <w:pPr>
        <w:jc w:val="center"/>
        <w:spacing w:after="0" w:line="20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07" w:lineRule="auto"/>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4"/>
          </w:tcPr>
          <w:p>
            <w:pPr>
              <w:jc w:val="center"/>
              <w:ind w:left="170"/>
              <w:spacing w:after="0"/>
              <w:rPr>
                <w:sz w:val="20"/>
                <w:szCs w:val="20"/>
                <w:color w:val="auto"/>
              </w:rPr>
            </w:pPr>
            <w:r>
              <w:rPr>
                <w:rFonts w:ascii="Arial" w:cs="Arial" w:eastAsia="Arial" w:hAnsi="Arial"/>
                <w:sz w:val="11"/>
                <w:szCs w:val="11"/>
                <w:b w:val="1"/>
                <w:bCs w:val="1"/>
                <w:color w:val="auto"/>
                <w:w w:val="94"/>
              </w:rPr>
              <w:t>Six Months Ended</w:t>
            </w:r>
          </w:p>
        </w:tc>
        <w:tc>
          <w:tcPr>
            <w:tcW w:w="600" w:type="dxa"/>
            <w:vAlign w:val="bottom"/>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1"/>
                <w:szCs w:val="11"/>
                <w:b w:val="1"/>
                <w:bCs w:val="1"/>
                <w:color w:val="auto"/>
                <w:w w:val="90"/>
              </w:rPr>
              <w:t>June 30,</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550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550"/>
              <w:spacing w:after="0" w:line="9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89"/>
              <w:spacing w:after="0" w:line="97" w:lineRule="exact"/>
              <w:rPr>
                <w:sz w:val="20"/>
                <w:szCs w:val="20"/>
                <w:color w:val="auto"/>
              </w:rPr>
            </w:pPr>
            <w:r>
              <w:rPr>
                <w:rFonts w:ascii="Arial" w:cs="Arial" w:eastAsia="Arial" w:hAnsi="Arial"/>
                <w:sz w:val="11"/>
                <w:szCs w:val="11"/>
                <w:b w:val="1"/>
                <w:bCs w:val="1"/>
                <w:color w:val="auto"/>
              </w:rPr>
              <w:t>2017</w:t>
            </w:r>
          </w:p>
        </w:tc>
      </w:tr>
      <w:tr>
        <w:trPr>
          <w:trHeight w:val="129"/>
        </w:trPr>
        <w:tc>
          <w:tcPr>
            <w:tcW w:w="20" w:type="dxa"/>
            <w:vAlign w:val="bottom"/>
          </w:tcPr>
          <w:p>
            <w:pPr>
              <w:spacing w:after="0"/>
              <w:rPr>
                <w:sz w:val="11"/>
                <w:szCs w:val="11"/>
                <w:color w:val="auto"/>
              </w:rPr>
            </w:pPr>
          </w:p>
        </w:tc>
        <w:tc>
          <w:tcPr>
            <w:tcW w:w="550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Operating activities</w:t>
            </w: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5500" w:type="dxa"/>
            <w:vAlign w:val="bottom"/>
          </w:tcPr>
          <w:p>
            <w:pPr>
              <w:ind w:left="160"/>
              <w:spacing w:after="0" w:line="139" w:lineRule="exact"/>
              <w:rPr>
                <w:sz w:val="20"/>
                <w:szCs w:val="20"/>
                <w:color w:val="auto"/>
              </w:rPr>
            </w:pPr>
            <w:r>
              <w:rPr>
                <w:rFonts w:ascii="Arial" w:cs="Arial" w:eastAsia="Arial" w:hAnsi="Arial"/>
                <w:sz w:val="14"/>
                <w:szCs w:val="14"/>
                <w:color w:val="auto"/>
              </w:rPr>
              <w:t>Net loss</w:t>
            </w:r>
          </w:p>
        </w:tc>
        <w:tc>
          <w:tcPr>
            <w:tcW w:w="1560" w:type="dxa"/>
            <w:vAlign w:val="bottom"/>
            <w:gridSpan w:val="2"/>
          </w:tcPr>
          <w:p>
            <w:pPr>
              <w:jc w:val="right"/>
              <w:ind w:right="229"/>
              <w:spacing w:after="0" w:line="13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(39,310)</w:t>
            </w:r>
          </w:p>
        </w:tc>
        <w:tc>
          <w:tcPr>
            <w:tcW w:w="140" w:type="dxa"/>
            <w:vAlign w:val="bottom"/>
          </w:tcPr>
          <w:p>
            <w:pPr>
              <w:spacing w:after="0"/>
              <w:rPr>
                <w:sz w:val="12"/>
                <w:szCs w:val="12"/>
                <w:color w:val="auto"/>
              </w:rPr>
            </w:pP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(53,729)</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5500" w:type="dxa"/>
            <w:vAlign w:val="bottom"/>
          </w:tcPr>
          <w:p>
            <w:pPr>
              <w:ind w:left="240"/>
              <w:spacing w:after="0" w:line="139" w:lineRule="exact"/>
              <w:rPr>
                <w:sz w:val="20"/>
                <w:szCs w:val="20"/>
                <w:color w:val="auto"/>
              </w:rPr>
            </w:pPr>
            <w:r>
              <w:rPr>
                <w:rFonts w:ascii="Arial" w:cs="Arial" w:eastAsia="Arial" w:hAnsi="Arial"/>
                <w:sz w:val="14"/>
                <w:szCs w:val="14"/>
                <w:color w:val="auto"/>
              </w:rPr>
              <w:t>Depreciation expense</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1,343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1,242</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Amortization of deferred financing costs</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325</w:t>
            </w:r>
          </w:p>
        </w:tc>
      </w:tr>
      <w:tr>
        <w:trPr>
          <w:trHeight w:val="139"/>
        </w:trPr>
        <w:tc>
          <w:tcPr>
            <w:tcW w:w="20" w:type="dxa"/>
            <w:vAlign w:val="bottom"/>
          </w:tcPr>
          <w:p>
            <w:pPr>
              <w:spacing w:after="0"/>
              <w:rPr>
                <w:sz w:val="12"/>
                <w:szCs w:val="12"/>
                <w:color w:val="auto"/>
              </w:rPr>
            </w:pPr>
          </w:p>
        </w:tc>
        <w:tc>
          <w:tcPr>
            <w:tcW w:w="5500" w:type="dxa"/>
            <w:vAlign w:val="bottom"/>
          </w:tcPr>
          <w:p>
            <w:pPr>
              <w:ind w:left="240"/>
              <w:spacing w:after="0" w:line="139" w:lineRule="exact"/>
              <w:rPr>
                <w:sz w:val="20"/>
                <w:szCs w:val="20"/>
                <w:color w:val="auto"/>
              </w:rPr>
            </w:pPr>
            <w:r>
              <w:rPr>
                <w:rFonts w:ascii="Arial" w:cs="Arial" w:eastAsia="Arial" w:hAnsi="Arial"/>
                <w:sz w:val="14"/>
                <w:szCs w:val="14"/>
                <w:color w:val="auto"/>
              </w:rPr>
              <w:t>Amortization of deferred compensation for services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91</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Amortization of premium on investment securities</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(256)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r>
      <w:tr>
        <w:trPr>
          <w:trHeight w:val="139"/>
        </w:trPr>
        <w:tc>
          <w:tcPr>
            <w:tcW w:w="20" w:type="dxa"/>
            <w:vAlign w:val="bottom"/>
          </w:tcPr>
          <w:p>
            <w:pPr>
              <w:spacing w:after="0"/>
              <w:rPr>
                <w:sz w:val="12"/>
                <w:szCs w:val="12"/>
                <w:color w:val="auto"/>
              </w:rPr>
            </w:pPr>
          </w:p>
        </w:tc>
        <w:tc>
          <w:tcPr>
            <w:tcW w:w="5500" w:type="dxa"/>
            <w:vAlign w:val="bottom"/>
          </w:tcPr>
          <w:p>
            <w:pPr>
              <w:ind w:left="240"/>
              <w:spacing w:after="0" w:line="139" w:lineRule="exact"/>
              <w:rPr>
                <w:sz w:val="20"/>
                <w:szCs w:val="20"/>
                <w:color w:val="auto"/>
              </w:rPr>
            </w:pPr>
            <w:r>
              <w:rPr>
                <w:rFonts w:ascii="Arial" w:cs="Arial" w:eastAsia="Arial" w:hAnsi="Arial"/>
                <w:sz w:val="14"/>
                <w:szCs w:val="14"/>
                <w:color w:val="auto"/>
              </w:rPr>
              <w:t>Stock-based compensation</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5,028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4,899</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Non-cash interest expense relating to loan payable</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20" w:type="dxa"/>
            <w:vAlign w:val="bottom"/>
          </w:tcPr>
          <w:p>
            <w:pPr>
              <w:spacing w:after="0"/>
              <w:rPr>
                <w:sz w:val="12"/>
                <w:szCs w:val="12"/>
                <w:color w:val="auto"/>
              </w:rPr>
            </w:pPr>
          </w:p>
        </w:tc>
        <w:tc>
          <w:tcPr>
            <w:tcW w:w="5500" w:type="dxa"/>
            <w:vAlign w:val="bottom"/>
          </w:tcPr>
          <w:p>
            <w:pPr>
              <w:ind w:left="240"/>
              <w:spacing w:after="0" w:line="139" w:lineRule="exact"/>
              <w:rPr>
                <w:sz w:val="20"/>
                <w:szCs w:val="20"/>
                <w:color w:val="auto"/>
              </w:rPr>
            </w:pPr>
            <w:r>
              <w:rPr>
                <w:rFonts w:ascii="Arial" w:cs="Arial" w:eastAsia="Arial" w:hAnsi="Arial"/>
                <w:sz w:val="14"/>
                <w:szCs w:val="14"/>
                <w:color w:val="auto"/>
              </w:rPr>
              <w:t>Changes in operating assets and liabilities: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420"/>
              <w:spacing w:after="0" w:line="139" w:lineRule="exact"/>
              <w:rPr>
                <w:sz w:val="20"/>
                <w:szCs w:val="20"/>
                <w:color w:val="auto"/>
              </w:rPr>
            </w:pPr>
            <w:r>
              <w:rPr>
                <w:rFonts w:ascii="Arial" w:cs="Arial" w:eastAsia="Arial" w:hAnsi="Arial"/>
                <w:sz w:val="14"/>
                <w:szCs w:val="14"/>
                <w:color w:val="auto"/>
              </w:rPr>
              <w:t>Accounts receivable</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10,766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20" w:type="dxa"/>
            <w:vAlign w:val="bottom"/>
          </w:tcPr>
          <w:p>
            <w:pPr>
              <w:spacing w:after="0"/>
              <w:rPr>
                <w:sz w:val="12"/>
                <w:szCs w:val="12"/>
                <w:color w:val="auto"/>
              </w:rPr>
            </w:pPr>
          </w:p>
        </w:tc>
        <w:tc>
          <w:tcPr>
            <w:tcW w:w="5500" w:type="dxa"/>
            <w:vAlign w:val="bottom"/>
          </w:tcPr>
          <w:p>
            <w:pPr>
              <w:ind w:left="420"/>
              <w:spacing w:after="0" w:line="139" w:lineRule="exact"/>
              <w:rPr>
                <w:sz w:val="20"/>
                <w:szCs w:val="20"/>
                <w:color w:val="auto"/>
              </w:rPr>
            </w:pPr>
            <w:r>
              <w:rPr>
                <w:rFonts w:ascii="Arial" w:cs="Arial" w:eastAsia="Arial" w:hAnsi="Arial"/>
                <w:sz w:val="14"/>
                <w:szCs w:val="14"/>
                <w:color w:val="auto"/>
              </w:rPr>
              <w:t>Prepaid expenses and other assets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1,192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(2,961)</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420"/>
              <w:spacing w:after="0" w:line="139" w:lineRule="exact"/>
              <w:rPr>
                <w:sz w:val="20"/>
                <w:szCs w:val="20"/>
                <w:color w:val="auto"/>
              </w:rPr>
            </w:pPr>
            <w:r>
              <w:rPr>
                <w:rFonts w:ascii="Arial" w:cs="Arial" w:eastAsia="Arial" w:hAnsi="Arial"/>
                <w:sz w:val="14"/>
                <w:szCs w:val="14"/>
                <w:color w:val="auto"/>
              </w:rPr>
              <w:t>Accounts payable</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(451)</w:t>
            </w:r>
          </w:p>
        </w:tc>
      </w:tr>
      <w:tr>
        <w:trPr>
          <w:trHeight w:val="139"/>
        </w:trPr>
        <w:tc>
          <w:tcPr>
            <w:tcW w:w="20" w:type="dxa"/>
            <w:vAlign w:val="bottom"/>
          </w:tcPr>
          <w:p>
            <w:pPr>
              <w:spacing w:after="0"/>
              <w:rPr>
                <w:sz w:val="12"/>
                <w:szCs w:val="12"/>
                <w:color w:val="auto"/>
              </w:rPr>
            </w:pPr>
          </w:p>
        </w:tc>
        <w:tc>
          <w:tcPr>
            <w:tcW w:w="5500" w:type="dxa"/>
            <w:vAlign w:val="bottom"/>
          </w:tcPr>
          <w:p>
            <w:pPr>
              <w:ind w:left="420"/>
              <w:spacing w:after="0" w:line="139" w:lineRule="exact"/>
              <w:rPr>
                <w:sz w:val="20"/>
                <w:szCs w:val="20"/>
                <w:color w:val="auto"/>
              </w:rPr>
            </w:pPr>
            <w:r>
              <w:rPr>
                <w:rFonts w:ascii="Arial" w:cs="Arial" w:eastAsia="Arial" w:hAnsi="Arial"/>
                <w:sz w:val="14"/>
                <w:szCs w:val="14"/>
                <w:color w:val="auto"/>
              </w:rPr>
              <w:t>Accrued compensation and benefits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(1,026)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(562)</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420"/>
              <w:spacing w:after="0" w:line="139" w:lineRule="exact"/>
              <w:rPr>
                <w:sz w:val="20"/>
                <w:szCs w:val="20"/>
                <w:color w:val="auto"/>
              </w:rPr>
            </w:pPr>
            <w:r>
              <w:rPr>
                <w:rFonts w:ascii="Arial" w:cs="Arial" w:eastAsia="Arial" w:hAnsi="Arial"/>
                <w:sz w:val="14"/>
                <w:szCs w:val="14"/>
                <w:color w:val="auto"/>
              </w:rPr>
              <w:t>Accrued and other liabilities</w:t>
            </w:r>
          </w:p>
        </w:tc>
        <w:tc>
          <w:tcPr>
            <w:tcW w:w="1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(2,064)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498</w:t>
            </w:r>
          </w:p>
        </w:tc>
      </w:tr>
      <w:tr>
        <w:trPr>
          <w:trHeight w:val="129"/>
        </w:trPr>
        <w:tc>
          <w:tcPr>
            <w:tcW w:w="20" w:type="dxa"/>
            <w:vAlign w:val="bottom"/>
          </w:tcPr>
          <w:p>
            <w:pPr>
              <w:spacing w:after="0"/>
              <w:rPr>
                <w:sz w:val="11"/>
                <w:szCs w:val="11"/>
                <w:color w:val="auto"/>
              </w:rPr>
            </w:pPr>
          </w:p>
        </w:tc>
        <w:tc>
          <w:tcPr>
            <w:tcW w:w="5500" w:type="dxa"/>
            <w:vAlign w:val="bottom"/>
            <w:tcBorders>
              <w:bottom w:val="single" w:sz="8" w:color="CCEEFF"/>
            </w:tcBorders>
          </w:tcPr>
          <w:p>
            <w:pPr>
              <w:spacing w:after="0" w:line="130" w:lineRule="exact"/>
              <w:rPr>
                <w:sz w:val="20"/>
                <w:szCs w:val="20"/>
                <w:color w:val="auto"/>
              </w:rPr>
            </w:pPr>
            <w:r>
              <w:rPr>
                <w:rFonts w:ascii="Arial" w:cs="Arial" w:eastAsia="Arial" w:hAnsi="Arial"/>
                <w:sz w:val="14"/>
                <w:szCs w:val="14"/>
                <w:color w:val="auto"/>
              </w:rPr>
              <w:t>Net cash used in operating activities</w:t>
            </w:r>
          </w:p>
        </w:tc>
        <w:tc>
          <w:tcPr>
            <w:tcW w:w="1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(24,819)</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(50,647)</w:t>
            </w:r>
          </w:p>
        </w:tc>
      </w:tr>
      <w:tr>
        <w:trPr>
          <w:trHeight w:val="129"/>
        </w:trPr>
        <w:tc>
          <w:tcPr>
            <w:tcW w:w="20" w:type="dxa"/>
            <w:vAlign w:val="bottom"/>
          </w:tcPr>
          <w:p>
            <w:pPr>
              <w:spacing w:after="0"/>
              <w:rPr>
                <w:sz w:val="11"/>
                <w:szCs w:val="11"/>
                <w:color w:val="auto"/>
              </w:rPr>
            </w:pPr>
          </w:p>
        </w:tc>
        <w:tc>
          <w:tcPr>
            <w:tcW w:w="550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Investing activities</w:t>
            </w: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5500" w:type="dxa"/>
            <w:vAlign w:val="bottom"/>
          </w:tcPr>
          <w:p>
            <w:pPr>
              <w:ind w:left="160"/>
              <w:spacing w:after="0" w:line="139" w:lineRule="exact"/>
              <w:rPr>
                <w:sz w:val="20"/>
                <w:szCs w:val="20"/>
                <w:color w:val="auto"/>
              </w:rPr>
            </w:pPr>
            <w:r>
              <w:rPr>
                <w:rFonts w:ascii="Arial" w:cs="Arial" w:eastAsia="Arial" w:hAnsi="Arial"/>
                <w:sz w:val="14"/>
                <w:szCs w:val="14"/>
                <w:color w:val="auto"/>
              </w:rPr>
              <w:t>Proceeds from maturities of investments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56,050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75,434</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Sales and redemptions of investments</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850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10,482</w:t>
            </w:r>
          </w:p>
        </w:tc>
      </w:tr>
      <w:tr>
        <w:trPr>
          <w:trHeight w:val="139"/>
        </w:trPr>
        <w:tc>
          <w:tcPr>
            <w:tcW w:w="20" w:type="dxa"/>
            <w:vAlign w:val="bottom"/>
          </w:tcPr>
          <w:p>
            <w:pPr>
              <w:spacing w:after="0"/>
              <w:rPr>
                <w:sz w:val="12"/>
                <w:szCs w:val="12"/>
                <w:color w:val="auto"/>
              </w:rPr>
            </w:pPr>
          </w:p>
        </w:tc>
        <w:tc>
          <w:tcPr>
            <w:tcW w:w="5500" w:type="dxa"/>
            <w:vAlign w:val="bottom"/>
          </w:tcPr>
          <w:p>
            <w:pPr>
              <w:ind w:left="160"/>
              <w:spacing w:after="0" w:line="139" w:lineRule="exact"/>
              <w:rPr>
                <w:sz w:val="20"/>
                <w:szCs w:val="20"/>
                <w:color w:val="auto"/>
              </w:rPr>
            </w:pPr>
            <w:r>
              <w:rPr>
                <w:rFonts w:ascii="Arial" w:cs="Arial" w:eastAsia="Arial" w:hAnsi="Arial"/>
                <w:sz w:val="14"/>
                <w:szCs w:val="14"/>
                <w:color w:val="auto"/>
              </w:rPr>
              <w:t>Purchases of investments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(119,021)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(44,748)</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Purchases of property and equipment</w:t>
            </w:r>
          </w:p>
        </w:tc>
        <w:tc>
          <w:tcPr>
            <w:tcW w:w="1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(1,907)</w:t>
            </w:r>
          </w:p>
        </w:tc>
      </w:tr>
      <w:tr>
        <w:trPr>
          <w:trHeight w:val="129"/>
        </w:trPr>
        <w:tc>
          <w:tcPr>
            <w:tcW w:w="20" w:type="dxa"/>
            <w:vAlign w:val="bottom"/>
          </w:tcPr>
          <w:p>
            <w:pPr>
              <w:spacing w:after="0"/>
              <w:rPr>
                <w:sz w:val="11"/>
                <w:szCs w:val="11"/>
                <w:color w:val="auto"/>
              </w:rPr>
            </w:pPr>
          </w:p>
        </w:tc>
        <w:tc>
          <w:tcPr>
            <w:tcW w:w="5500" w:type="dxa"/>
            <w:vAlign w:val="bottom"/>
            <w:tcBorders>
              <w:bottom w:val="single" w:sz="8" w:color="CCEEFF"/>
            </w:tcBorders>
          </w:tcPr>
          <w:p>
            <w:pPr>
              <w:spacing w:after="0" w:line="130" w:lineRule="exact"/>
              <w:rPr>
                <w:sz w:val="20"/>
                <w:szCs w:val="20"/>
                <w:color w:val="auto"/>
              </w:rPr>
            </w:pPr>
            <w:r>
              <w:rPr>
                <w:rFonts w:ascii="Arial" w:cs="Arial" w:eastAsia="Arial" w:hAnsi="Arial"/>
                <w:sz w:val="14"/>
                <w:szCs w:val="14"/>
                <w:color w:val="auto"/>
              </w:rPr>
              <w:t>Net cash (used in) provided by investing activities</w:t>
            </w:r>
          </w:p>
        </w:tc>
        <w:tc>
          <w:tcPr>
            <w:tcW w:w="1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(62,176)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39,261</w:t>
            </w:r>
          </w:p>
        </w:tc>
      </w:tr>
      <w:tr>
        <w:trPr>
          <w:trHeight w:val="129"/>
        </w:trPr>
        <w:tc>
          <w:tcPr>
            <w:tcW w:w="20" w:type="dxa"/>
            <w:vAlign w:val="bottom"/>
          </w:tcPr>
          <w:p>
            <w:pPr>
              <w:spacing w:after="0"/>
              <w:rPr>
                <w:sz w:val="11"/>
                <w:szCs w:val="11"/>
                <w:color w:val="auto"/>
              </w:rPr>
            </w:pPr>
          </w:p>
        </w:tc>
        <w:tc>
          <w:tcPr>
            <w:tcW w:w="550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Financing activities</w:t>
            </w: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5500" w:type="dxa"/>
            <w:vAlign w:val="bottom"/>
          </w:tcPr>
          <w:p>
            <w:pPr>
              <w:ind w:left="160"/>
              <w:spacing w:after="0" w:line="139" w:lineRule="exact"/>
              <w:rPr>
                <w:sz w:val="20"/>
                <w:szCs w:val="20"/>
                <w:color w:val="auto"/>
              </w:rPr>
            </w:pPr>
            <w:r>
              <w:rPr>
                <w:rFonts w:ascii="Arial" w:cs="Arial" w:eastAsia="Arial" w:hAnsi="Arial"/>
                <w:sz w:val="14"/>
                <w:szCs w:val="14"/>
                <w:color w:val="auto"/>
              </w:rPr>
              <w:t>Proceeds from loan payable, net of issuance costs</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rPr>
              <w:t>49,292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Proceeds from underwritten public offering, net of issuance costs</w:t>
            </w: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53,770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20" w:type="dxa"/>
            <w:vAlign w:val="bottom"/>
          </w:tcPr>
          <w:p>
            <w:pPr>
              <w:spacing w:after="0"/>
              <w:rPr>
                <w:sz w:val="12"/>
                <w:szCs w:val="12"/>
                <w:color w:val="auto"/>
              </w:rPr>
            </w:pPr>
          </w:p>
        </w:tc>
        <w:tc>
          <w:tcPr>
            <w:tcW w:w="5500" w:type="dxa"/>
            <w:vAlign w:val="bottom"/>
            <w:tcBorders>
              <w:bottom w:val="single" w:sz="8" w:color="CCEEFF"/>
            </w:tcBorders>
          </w:tcPr>
          <w:p>
            <w:pPr>
              <w:ind w:left="160"/>
              <w:spacing w:after="0" w:line="139" w:lineRule="exact"/>
              <w:rPr>
                <w:sz w:val="20"/>
                <w:szCs w:val="20"/>
                <w:color w:val="auto"/>
              </w:rPr>
            </w:pPr>
            <w:r>
              <w:rPr>
                <w:rFonts w:ascii="Arial" w:cs="Arial" w:eastAsia="Arial" w:hAnsi="Arial"/>
                <w:sz w:val="14"/>
                <w:szCs w:val="14"/>
                <w:color w:val="auto"/>
              </w:rPr>
              <w:t>Proceeds from issuance of common stock under stock plans</w:t>
            </w:r>
          </w:p>
        </w:tc>
        <w:tc>
          <w:tcPr>
            <w:tcW w:w="1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301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424</w:t>
            </w:r>
          </w:p>
        </w:tc>
      </w:tr>
      <w:tr>
        <w:trPr>
          <w:trHeight w:val="129"/>
        </w:trPr>
        <w:tc>
          <w:tcPr>
            <w:tcW w:w="20" w:type="dxa"/>
            <w:vAlign w:val="bottom"/>
          </w:tcPr>
          <w:p>
            <w:pPr>
              <w:spacing w:after="0"/>
              <w:rPr>
                <w:sz w:val="11"/>
                <w:szCs w:val="11"/>
                <w:color w:val="auto"/>
              </w:rPr>
            </w:pPr>
          </w:p>
        </w:tc>
        <w:tc>
          <w:tcPr>
            <w:tcW w:w="5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cash provided by financing activities</w:t>
            </w:r>
          </w:p>
        </w:tc>
        <w:tc>
          <w:tcPr>
            <w:tcW w:w="12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103,363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424</w:t>
            </w:r>
          </w:p>
        </w:tc>
      </w:tr>
      <w:tr>
        <w:trPr>
          <w:trHeight w:val="129"/>
        </w:trPr>
        <w:tc>
          <w:tcPr>
            <w:tcW w:w="20" w:type="dxa"/>
            <w:vAlign w:val="bottom"/>
          </w:tcPr>
          <w:p>
            <w:pPr>
              <w:spacing w:after="0"/>
              <w:rPr>
                <w:sz w:val="11"/>
                <w:szCs w:val="11"/>
                <w:color w:val="auto"/>
              </w:rPr>
            </w:pPr>
          </w:p>
        </w:tc>
        <w:tc>
          <w:tcPr>
            <w:tcW w:w="5500" w:type="dxa"/>
            <w:vAlign w:val="bottom"/>
          </w:tcPr>
          <w:p>
            <w:pPr>
              <w:spacing w:after="0" w:line="130" w:lineRule="exact"/>
              <w:rPr>
                <w:sz w:val="20"/>
                <w:szCs w:val="20"/>
                <w:color w:val="auto"/>
              </w:rPr>
            </w:pPr>
            <w:r>
              <w:rPr>
                <w:rFonts w:ascii="Arial" w:cs="Arial" w:eastAsia="Arial" w:hAnsi="Arial"/>
                <w:sz w:val="14"/>
                <w:szCs w:val="14"/>
                <w:b w:val="1"/>
                <w:bCs w:val="1"/>
                <w:color w:val="auto"/>
              </w:rPr>
              <w:t>Net decrease in cash and cash equivalents</w:t>
            </w: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30" w:lineRule="exact"/>
              <w:rPr>
                <w:sz w:val="20"/>
                <w:szCs w:val="20"/>
                <w:color w:val="auto"/>
              </w:rPr>
            </w:pPr>
            <w:r>
              <w:rPr>
                <w:rFonts w:ascii="Arial" w:cs="Arial" w:eastAsia="Arial" w:hAnsi="Arial"/>
                <w:sz w:val="14"/>
                <w:szCs w:val="14"/>
                <w:color w:val="auto"/>
              </w:rPr>
              <w:t>16,368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4"/>
                <w:szCs w:val="14"/>
                <w:color w:val="auto"/>
              </w:rPr>
              <w:t>(10,962)</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Cash and cash equivalents at beginning of period</w:t>
            </w:r>
          </w:p>
        </w:tc>
        <w:tc>
          <w:tcPr>
            <w:tcW w:w="1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75,383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74,598</w:t>
            </w:r>
          </w:p>
        </w:tc>
      </w:tr>
      <w:tr>
        <w:trPr>
          <w:trHeight w:val="131"/>
        </w:trPr>
        <w:tc>
          <w:tcPr>
            <w:tcW w:w="20" w:type="dxa"/>
            <w:vAlign w:val="bottom"/>
          </w:tcPr>
          <w:p>
            <w:pPr>
              <w:spacing w:after="0"/>
              <w:rPr>
                <w:sz w:val="11"/>
                <w:szCs w:val="11"/>
                <w:color w:val="auto"/>
              </w:rPr>
            </w:pPr>
          </w:p>
        </w:tc>
        <w:tc>
          <w:tcPr>
            <w:tcW w:w="5500" w:type="dxa"/>
            <w:vAlign w:val="bottom"/>
            <w:tcBorders>
              <w:bottom w:val="single" w:sz="8" w:color="CCEEFF"/>
            </w:tcBorders>
          </w:tcPr>
          <w:p>
            <w:pPr>
              <w:spacing w:after="0" w:line="130" w:lineRule="exact"/>
              <w:rPr>
                <w:sz w:val="20"/>
                <w:szCs w:val="20"/>
                <w:color w:val="auto"/>
              </w:rPr>
            </w:pPr>
            <w:r>
              <w:rPr>
                <w:rFonts w:ascii="Arial" w:cs="Arial" w:eastAsia="Arial" w:hAnsi="Arial"/>
                <w:sz w:val="14"/>
                <w:szCs w:val="14"/>
                <w:b w:val="1"/>
                <w:bCs w:val="1"/>
                <w:color w:val="auto"/>
              </w:rPr>
              <w:t>Cash and cash equivalents at end of period</w:t>
            </w:r>
          </w:p>
        </w:tc>
        <w:tc>
          <w:tcPr>
            <w:tcW w:w="1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91,751</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63,636</w:t>
            </w:r>
          </w:p>
        </w:tc>
      </w:tr>
      <w:tr>
        <w:trPr>
          <w:trHeight w:val="139"/>
        </w:trPr>
        <w:tc>
          <w:tcPr>
            <w:tcW w:w="20" w:type="dxa"/>
            <w:vAlign w:val="bottom"/>
          </w:tcPr>
          <w:p>
            <w:pPr>
              <w:spacing w:after="0"/>
              <w:rPr>
                <w:sz w:val="12"/>
                <w:szCs w:val="12"/>
                <w:color w:val="auto"/>
              </w:rPr>
            </w:pPr>
          </w:p>
        </w:tc>
        <w:tc>
          <w:tcPr>
            <w:tcW w:w="550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Supplementary disclosure of non-cash financing information:</w:t>
            </w:r>
          </w:p>
        </w:tc>
        <w:tc>
          <w:tcPr>
            <w:tcW w:w="1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500" w:type="dxa"/>
            <w:vAlign w:val="bottom"/>
          </w:tcPr>
          <w:p>
            <w:pPr>
              <w:ind w:left="80"/>
              <w:spacing w:after="0" w:line="130" w:lineRule="exact"/>
              <w:rPr>
                <w:sz w:val="20"/>
                <w:szCs w:val="20"/>
                <w:color w:val="auto"/>
              </w:rPr>
            </w:pPr>
            <w:r>
              <w:rPr>
                <w:rFonts w:ascii="Arial" w:cs="Arial" w:eastAsia="Arial" w:hAnsi="Arial"/>
                <w:sz w:val="14"/>
                <w:szCs w:val="14"/>
                <w:color w:val="auto"/>
              </w:rPr>
              <w:t>Issuance of derivative in connection with issuance of loan payable</w:t>
            </w:r>
          </w:p>
        </w:tc>
        <w:tc>
          <w:tcPr>
            <w:tcW w:w="1220" w:type="dxa"/>
            <w:vAlign w:val="bottom"/>
          </w:tcPr>
          <w:p>
            <w:pPr>
              <w:spacing w:after="0"/>
              <w:rPr>
                <w:sz w:val="11"/>
                <w:szCs w:val="11"/>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546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r>
    </w:tbl>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 w:name="page6"/>
    <w:bookmarkEnd w:id="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ARDELYX, INC.</w:t>
      </w:r>
    </w:p>
    <w:p>
      <w:pPr>
        <w:jc w:val="center"/>
        <w:spacing w:after="0" w:line="206" w:lineRule="auto"/>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 AND BASIS OF PRESENTATION</w:t>
      </w:r>
    </w:p>
    <w:p>
      <w:pPr>
        <w:spacing w:after="0" w:line="153"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Ardelyx, Inc., or “the Company,” is a specialized biopharmaceutical company focused on developing disruptive medicines for the treatment of renal diseases, which affect both the heart and the kidneys. Tenapanor, a first-in-class inhibitor of NHE3, is being evaluated in a second Phase 3 trial for the treatment of hyperphosphatemia in patients with end-stage renal disease, or ESRD, who are on dialysis. The Company is also advancing a small molecule potassium secretagogue program, RDX013, for the potential treatment of hyperkalemia as well as tenapanor for the treatment of people with irritable bowel syndrome with constipation, or IBS-C, for which the Company is preparing to submit a New Drug Application, or NDA, to the United States Food and Drug Administration, or FDA, in the second half of 2018.</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operates in only one business segment, which is the development of biopharmaceutical products.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49"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and six months ended June 30, 2018, are not necessarily indicative of results to be expected for the entire year ending December 31, 2018, or future operating periods.</w:t>
      </w:r>
    </w:p>
    <w:p>
      <w:pPr>
        <w:spacing w:after="0" w:line="133" w:lineRule="exact"/>
        <w:rPr>
          <w:sz w:val="20"/>
          <w:szCs w:val="20"/>
          <w:color w:val="auto"/>
        </w:rPr>
      </w:pPr>
    </w:p>
    <w:p>
      <w:pPr>
        <w:jc w:val="both"/>
        <w:ind w:firstLine="256"/>
        <w:spacing w:after="0" w:line="149" w:lineRule="exact"/>
        <w:rPr>
          <w:sz w:val="20"/>
          <w:szCs w:val="20"/>
          <w:color w:val="auto"/>
        </w:rPr>
      </w:pPr>
      <w:r>
        <w:rPr>
          <w:rFonts w:ascii="Arial" w:cs="Arial" w:eastAsia="Arial" w:hAnsi="Arial"/>
          <w:sz w:val="14"/>
          <w:szCs w:val="14"/>
          <w:color w:val="auto"/>
        </w:rPr>
        <w:t>The accompanying condensed consolidated financial statements and related financial information should be read in conjunction with the audited consolidated financial statements and the related notes thereto for the year ended December 31, 2017, included in the Company’s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filed with the SEC (the “2017 Form 10</w:t>
      </w:r>
      <w:r>
        <w:rPr>
          <w:rFonts w:ascii="MS PGothic" w:cs="MS PGothic" w:eastAsia="MS PGothic" w:hAnsi="MS PGothic"/>
          <w:sz w:val="14"/>
          <w:szCs w:val="14"/>
          <w:color w:val="auto"/>
        </w:rPr>
        <w:t>‑</w:t>
      </w:r>
      <w:r>
        <w:rPr>
          <w:rFonts w:ascii="Arial" w:cs="Arial" w:eastAsia="Arial" w:hAnsi="Arial"/>
          <w:sz w:val="14"/>
          <w:szCs w:val="14"/>
          <w:color w:val="auto"/>
        </w:rPr>
        <w:t>K”). The balance sheet at December 31, 2017, has been derived from the audited consolidated financial statements at that date, as filed with the 2017 Form 10</w:t>
      </w:r>
      <w:r>
        <w:rPr>
          <w:rFonts w:ascii="MS PGothic" w:cs="MS PGothic" w:eastAsia="MS PGothic" w:hAnsi="MS PGothic"/>
          <w:sz w:val="14"/>
          <w:szCs w:val="14"/>
          <w:color w:val="auto"/>
        </w:rPr>
        <w:t>‑</w:t>
      </w:r>
      <w:r>
        <w:rPr>
          <w:rFonts w:ascii="Arial" w:cs="Arial" w:eastAsia="Arial" w:hAnsi="Arial"/>
          <w:sz w:val="14"/>
          <w:szCs w:val="14"/>
          <w:color w:val="auto"/>
        </w:rPr>
        <w:t>K.</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The accompanying condensed consolidated financial statements include the accounts of Ardelyx, Inc. and its wholly-owned subsidiary, Ardelyx Cayman Islands, which was placed into voluntary liquidation in December 2017, and have been prepared in accordance with U.S. GAAP. Intercompany transactions and balances have been eliminated in consolidation.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49"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6" w:name="page7"/>
    <w:bookmarkEnd w:id="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Research and Development Expenses</w:t>
      </w:r>
    </w:p>
    <w:p>
      <w:pPr>
        <w:spacing w:after="0" w:line="149"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31" w:lineRule="exact"/>
        <w:rPr>
          <w:sz w:val="20"/>
          <w:szCs w:val="20"/>
          <w:color w:val="auto"/>
        </w:rPr>
      </w:pPr>
    </w:p>
    <w:p>
      <w:pPr>
        <w:ind w:left="520" w:hanging="259"/>
        <w:spacing w:after="0"/>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auto"/>
        </w:rPr>
        <w:t>contract research organizations, or CROs, in connection with clinical studies;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auto"/>
        </w:rPr>
        <w:t>investigative sites in connection with clinical studies;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auto"/>
        </w:rPr>
        <w:t>vendors related to product manufacturing, development and distribution of clinical supplies;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auto"/>
        </w:rPr>
        <w:t>vendors in connection with preclinical development activities.</w:t>
      </w:r>
    </w:p>
    <w:p>
      <w:pPr>
        <w:spacing w:after="0" w:line="149" w:lineRule="exact"/>
        <w:rPr>
          <w:sz w:val="20"/>
          <w:szCs w:val="20"/>
          <w:color w:val="auto"/>
        </w:rPr>
      </w:pPr>
    </w:p>
    <w:p>
      <w:pPr>
        <w:jc w:val="both"/>
        <w:ind w:firstLine="256"/>
        <w:spacing w:after="0" w:line="252" w:lineRule="auto"/>
        <w:rPr>
          <w:sz w:val="20"/>
          <w:szCs w:val="20"/>
          <w:color w:val="auto"/>
        </w:rPr>
      </w:pPr>
      <w:r>
        <w:rPr>
          <w:rFonts w:ascii="Arial" w:cs="Arial" w:eastAsia="Arial" w:hAnsi="Arial"/>
          <w:sz w:val="12"/>
          <w:szCs w:val="12"/>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49"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 xml:space="preserve">On January 1, 2018 the Company adopted the new standard for Revenue from Contracts with </w:t>
      </w:r>
      <w:r>
        <w:rPr>
          <w:rFonts w:ascii="Arial" w:cs="Arial" w:eastAsia="Arial" w:hAnsi="Arial"/>
          <w:sz w:val="13"/>
          <w:szCs w:val="13"/>
          <w:i w:val="1"/>
          <w:iCs w:val="1"/>
          <w:color w:val="auto"/>
        </w:rPr>
        <w:t>Customers,</w:t>
      </w:r>
      <w:r>
        <w:rPr>
          <w:rFonts w:ascii="Arial" w:cs="Arial" w:eastAsia="Arial" w:hAnsi="Arial"/>
          <w:sz w:val="13"/>
          <w:szCs w:val="13"/>
          <w:color w:val="auto"/>
        </w:rPr>
        <w:t xml:space="preserve"> Topic 606, on a modified retrospective method as an adjustment to the opening balance of retained earnings of the annual reporting period. On January 1, 2018, the Company recorded an increase in current assets of $5.0 million representing a future receivable related to the first milestone under the Company’s license agreement with Kyowa Hakko Kirin Co., Ltd., or KHK,, which the Company believes is not materially at risk, an increase in current liabilities of $1.0 million representing a future payable related to the corresponding payment to AstraZeneca AB, or AstraZeneca,, in accordance with the Company’s termination agreement with AstraZeneca and a related decrease in its accumulated deficit of approximately $4.0 million as the new standard permits revenue from milestones that possess certain criteria to be recognized earlier of approximately $4.0 million as the new standard contains different recognition criteria related to milestones than under the previous standard, Revenue Recognition, Multiple-Element </w:t>
      </w:r>
      <w:r>
        <w:rPr>
          <w:rFonts w:ascii="Arial" w:cs="Arial" w:eastAsia="Arial" w:hAnsi="Arial"/>
          <w:sz w:val="13"/>
          <w:szCs w:val="13"/>
          <w:i w:val="1"/>
          <w:iCs w:val="1"/>
          <w:color w:val="auto"/>
        </w:rPr>
        <w:t>Arrangements,</w:t>
      </w:r>
      <w:r>
        <w:rPr>
          <w:rFonts w:ascii="Arial" w:cs="Arial" w:eastAsia="Arial" w:hAnsi="Arial"/>
          <w:sz w:val="13"/>
          <w:szCs w:val="13"/>
          <w:color w:val="auto"/>
        </w:rPr>
        <w:t xml:space="preserve"> ASC 605, Licensing revenues.</w:t>
      </w:r>
    </w:p>
    <w:p>
      <w:pPr>
        <w:spacing w:after="0" w:line="130"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The Company enters into licensing agreements which are within the scope of Topic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131"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In determining the appropriate amount of revenue to be recognized as it fulfills its obligations under each of its agreements, the Company performs the following steps: (i) identification of the promised goods or services in the contract;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7" w:name="page8"/>
    <w:bookmarkEnd w:id="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5"/>
        <w:spacing w:after="0" w:line="234" w:lineRule="auto"/>
        <w:tabs>
          <w:tab w:leader="none" w:pos="211" w:val="left"/>
        </w:tabs>
        <w:numPr>
          <w:ilvl w:val="0"/>
          <w:numId w:val="5"/>
        </w:numPr>
        <w:rPr>
          <w:rFonts w:ascii="Arial" w:cs="Arial" w:eastAsia="Arial" w:hAnsi="Arial"/>
          <w:sz w:val="13"/>
          <w:szCs w:val="13"/>
          <w:color w:val="auto"/>
        </w:rPr>
      </w:pPr>
      <w:r>
        <w:rPr>
          <w:rFonts w:ascii="Arial" w:cs="Arial" w:eastAsia="Arial" w:hAnsi="Arial"/>
          <w:sz w:val="13"/>
          <w:szCs w:val="13"/>
          <w:color w:val="auto"/>
        </w:rPr>
        <w:t>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29" w:lineRule="exact"/>
        <w:rPr>
          <w:sz w:val="20"/>
          <w:szCs w:val="20"/>
          <w:color w:val="auto"/>
        </w:rPr>
      </w:pPr>
    </w:p>
    <w:p>
      <w:pPr>
        <w:jc w:val="both"/>
        <w:ind w:firstLine="256"/>
        <w:spacing w:after="0" w:line="213"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At the inception of each arrangement that includes development milestone payments, the Company evaluates whether the milestones</w:t>
      </w:r>
      <w:r>
        <w:rPr>
          <w:rFonts w:ascii="Arial" w:cs="Arial" w:eastAsia="Arial" w:hAnsi="Arial"/>
          <w:sz w:val="14"/>
          <w:szCs w:val="14"/>
          <w:i w:val="1"/>
          <w:iCs w:val="1"/>
          <w:color w:val="auto"/>
        </w:rPr>
        <w:t xml:space="preserve"> </w:t>
      </w:r>
      <w:r>
        <w:rPr>
          <w:rFonts w:ascii="Arial" w:cs="Arial" w:eastAsia="Arial" w:hAnsi="Arial"/>
          <w:sz w:val="14"/>
          <w:szCs w:val="14"/>
          <w:color w:val="auto"/>
        </w:rPr>
        <w:t>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30" w:lineRule="exact"/>
        <w:rPr>
          <w:sz w:val="20"/>
          <w:szCs w:val="20"/>
          <w:color w:val="auto"/>
        </w:rPr>
      </w:pPr>
    </w:p>
    <w:p>
      <w:pPr>
        <w:jc w:val="both"/>
        <w:ind w:firstLine="256"/>
        <w:spacing w:after="0" w:line="266" w:lineRule="auto"/>
        <w:rPr>
          <w:sz w:val="20"/>
          <w:szCs w:val="20"/>
          <w:color w:val="auto"/>
        </w:rPr>
      </w:pPr>
      <w:r>
        <w:rPr>
          <w:rFonts w:ascii="Arial" w:cs="Arial" w:eastAsia="Arial" w:hAnsi="Arial"/>
          <w:sz w:val="12"/>
          <w:szCs w:val="12"/>
          <w:i w:val="1"/>
          <w:iCs w:val="1"/>
          <w:color w:val="auto"/>
        </w:rPr>
        <w:t xml:space="preserve">Manufacturing Supply Services: </w:t>
      </w:r>
      <w:r>
        <w:rPr>
          <w:rFonts w:ascii="Arial" w:cs="Arial" w:eastAsia="Arial" w:hAnsi="Arial"/>
          <w:sz w:val="12"/>
          <w:szCs w:val="12"/>
          <w:color w:val="auto"/>
        </w:rPr>
        <w:t>Arrangements that include a promise for future supply of drug substance or drug product for either clinical development</w:t>
      </w:r>
      <w:r>
        <w:rPr>
          <w:rFonts w:ascii="Arial" w:cs="Arial" w:eastAsia="Arial" w:hAnsi="Arial"/>
          <w:sz w:val="12"/>
          <w:szCs w:val="12"/>
          <w:i w:val="1"/>
          <w:iCs w:val="1"/>
          <w:color w:val="auto"/>
        </w:rPr>
        <w:t xml:space="preserve"> </w:t>
      </w:r>
      <w:r>
        <w:rPr>
          <w:rFonts w:ascii="Arial" w:cs="Arial" w:eastAsia="Arial" w:hAnsi="Arial"/>
          <w:sz w:val="12"/>
          <w:szCs w:val="12"/>
          <w:color w:val="auto"/>
        </w:rPr>
        <w:t>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license, collaboration and other revenues when the customer obtains control of the goods, which is upon delivery.</w:t>
      </w:r>
    </w:p>
    <w:p>
      <w:pPr>
        <w:spacing w:after="0" w:line="114"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i w:val="1"/>
          <w:iCs w:val="1"/>
          <w:color w:val="auto"/>
        </w:rPr>
        <w:t xml:space="preserve">Royalties: </w:t>
      </w:r>
      <w:r>
        <w:rPr>
          <w:rFonts w:ascii="Arial" w:cs="Arial" w:eastAsia="Arial" w:hAnsi="Arial"/>
          <w:sz w:val="14"/>
          <w:szCs w:val="14"/>
          <w:color w:val="auto"/>
        </w:rPr>
        <w:t>For arrangements that include sales-based royalties, including milestone payments based on the level of sales, and the license is deemed to be</w:t>
      </w:r>
      <w:r>
        <w:rPr>
          <w:rFonts w:ascii="Arial" w:cs="Arial" w:eastAsia="Arial" w:hAnsi="Arial"/>
          <w:sz w:val="14"/>
          <w:szCs w:val="14"/>
          <w:i w:val="1"/>
          <w:iCs w:val="1"/>
          <w:color w:val="auto"/>
        </w:rPr>
        <w:t xml:space="preserve"> </w:t>
      </w:r>
      <w:r>
        <w:rPr>
          <w:rFonts w:ascii="Arial" w:cs="Arial" w:eastAsia="Arial" w:hAnsi="Arial"/>
          <w:sz w:val="14"/>
          <w:szCs w:val="14"/>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Approximately $0.2 million in the six months ended June 30, 2017, which was previously recorded within “Proceeds from issuance of common stock under stock plans” in Financing activities in the Statement of Cash Flows, has been reclassified as a Changes in operating assets and liabilities item “Prepaid expenses and other assets” within Operating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Accounting Pronouncements - Recently Adopted</w:t>
      </w:r>
    </w:p>
    <w:p>
      <w:pPr>
        <w:spacing w:after="0" w:line="149"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 xml:space="preserve">In May 2014, the Financial Accounting Standards Board, or FASB, issued Accounting Standards Update, or ASU, No. 2014-09, which amends the guidance for accounting for revenue from contracts with customers. This ASU supersedes the revenue recognition requirements in Topic 605,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Recognition, </w:t>
      </w:r>
      <w:r>
        <w:rPr>
          <w:rFonts w:ascii="Arial" w:cs="Arial" w:eastAsia="Arial" w:hAnsi="Arial"/>
          <w:sz w:val="14"/>
          <w:szCs w:val="14"/>
          <w:color w:val="auto"/>
        </w:rPr>
        <w:t>and creates a new Topic 606,</w:t>
      </w:r>
      <w:r>
        <w:rPr>
          <w:rFonts w:ascii="Arial" w:cs="Arial" w:eastAsia="Arial" w:hAnsi="Arial"/>
          <w:sz w:val="14"/>
          <w:szCs w:val="14"/>
          <w:i w:val="1"/>
          <w:iCs w:val="1"/>
          <w:color w:val="auto"/>
        </w:rPr>
        <w:t xml:space="preserve"> Revenue from Contracts with Customers. </w:t>
      </w:r>
      <w:r>
        <w:rPr>
          <w:rFonts w:ascii="Arial" w:cs="Arial" w:eastAsia="Arial" w:hAnsi="Arial"/>
          <w:sz w:val="14"/>
          <w:szCs w:val="14"/>
          <w:color w:val="auto"/>
        </w:rPr>
        <w:t>In 2015 and 2016, the FASB issued additional ASUs related to Topic 606</w:t>
      </w:r>
      <w:r>
        <w:rPr>
          <w:rFonts w:ascii="Arial" w:cs="Arial" w:eastAsia="Arial" w:hAnsi="Arial"/>
          <w:sz w:val="14"/>
          <w:szCs w:val="14"/>
          <w:i w:val="1"/>
          <w:iCs w:val="1"/>
          <w:color w:val="auto"/>
        </w:rPr>
        <w:t xml:space="preserve"> </w:t>
      </w:r>
      <w:r>
        <w:rPr>
          <w:rFonts w:ascii="Arial" w:cs="Arial" w:eastAsia="Arial" w:hAnsi="Arial"/>
          <w:sz w:val="14"/>
          <w:szCs w:val="14"/>
          <w:color w:val="auto"/>
        </w:rPr>
        <w:t>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new standard on January 1, 2018 using the modified retrospective transition method.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8" w:name="page9"/>
    <w:bookmarkEnd w:id="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Impact of Adoption</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The Company, on adopting Topic 606 on January 1, 2018, has used the modified retrospective transition method with the cumulative effect of initially applying the standard as an adjustment to the opening balance of retained earnings of the annual reporting period that includes the date of initial application. The following adjustments were recorded in the opening balance on January 1, 2018.</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3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Adjustments</w:t>
            </w:r>
          </w:p>
        </w:tc>
        <w:tc>
          <w:tcPr>
            <w:tcW w:w="140" w:type="dxa"/>
            <w:vAlign w:val="bottom"/>
          </w:tcPr>
          <w:p>
            <w:pPr>
              <w:spacing w:after="0"/>
              <w:rPr>
                <w:sz w:val="10"/>
                <w:szCs w:val="10"/>
                <w:color w:val="auto"/>
              </w:rPr>
            </w:pPr>
          </w:p>
        </w:tc>
        <w:tc>
          <w:tcPr>
            <w:tcW w:w="780" w:type="dxa"/>
            <w:vAlign w:val="bottom"/>
          </w:tcPr>
          <w:p>
            <w:pPr>
              <w:jc w:val="right"/>
              <w:ind w:right="135"/>
              <w:spacing w:after="0"/>
              <w:rPr>
                <w:sz w:val="20"/>
                <w:szCs w:val="20"/>
                <w:color w:val="auto"/>
              </w:rPr>
            </w:pPr>
            <w:r>
              <w:rPr>
                <w:rFonts w:ascii="Arial" w:cs="Arial" w:eastAsia="Arial" w:hAnsi="Arial"/>
                <w:sz w:val="11"/>
                <w:szCs w:val="11"/>
                <w:b w:val="1"/>
                <w:bCs w:val="1"/>
                <w:color w:val="auto"/>
              </w:rPr>
              <w:t>January 1,</w:t>
            </w:r>
          </w:p>
        </w:tc>
      </w:tr>
      <w:tr>
        <w:trPr>
          <w:trHeight w:val="128"/>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95"/>
              <w:spacing w:after="0"/>
              <w:rPr>
                <w:sz w:val="20"/>
                <w:szCs w:val="20"/>
                <w:color w:val="auto"/>
              </w:rPr>
            </w:pPr>
            <w:r>
              <w:rPr>
                <w:rFonts w:ascii="Arial" w:cs="Arial" w:eastAsia="Arial" w:hAnsi="Arial"/>
                <w:sz w:val="11"/>
                <w:szCs w:val="11"/>
                <w:b w:val="1"/>
                <w:bCs w:val="1"/>
                <w:color w:val="auto"/>
              </w:rPr>
              <w:t>2017</w:t>
            </w:r>
          </w:p>
        </w:tc>
        <w:tc>
          <w:tcPr>
            <w:tcW w:w="180" w:type="dxa"/>
            <w:vAlign w:val="bottom"/>
          </w:tcPr>
          <w:p>
            <w:pPr>
              <w:spacing w:after="0"/>
              <w:rPr>
                <w:sz w:val="11"/>
                <w:szCs w:val="11"/>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Due to Topic 606</w:t>
            </w:r>
          </w:p>
        </w:tc>
        <w:tc>
          <w:tcPr>
            <w:tcW w:w="140" w:type="dxa"/>
            <w:vAlign w:val="bottom"/>
          </w:tcPr>
          <w:p>
            <w:pPr>
              <w:spacing w:after="0"/>
              <w:rPr>
                <w:sz w:val="11"/>
                <w:szCs w:val="11"/>
                <w:color w:val="auto"/>
              </w:rPr>
            </w:pPr>
          </w:p>
        </w:tc>
        <w:tc>
          <w:tcPr>
            <w:tcW w:w="780" w:type="dxa"/>
            <w:vAlign w:val="bottom"/>
          </w:tcPr>
          <w:p>
            <w:pPr>
              <w:jc w:val="right"/>
              <w:ind w:right="275"/>
              <w:spacing w:after="0"/>
              <w:rPr>
                <w:sz w:val="20"/>
                <w:szCs w:val="20"/>
                <w:color w:val="auto"/>
              </w:rPr>
            </w:pPr>
            <w:r>
              <w:rPr>
                <w:rFonts w:ascii="Arial" w:cs="Arial" w:eastAsia="Arial" w:hAnsi="Arial"/>
                <w:sz w:val="11"/>
                <w:szCs w:val="11"/>
                <w:b w:val="1"/>
                <w:bCs w:val="1"/>
                <w:color w:val="auto"/>
              </w:rPr>
              <w:t>2018</w:t>
            </w:r>
          </w:p>
        </w:tc>
      </w:tr>
      <w:tr>
        <w:trPr>
          <w:trHeight w:val="129"/>
        </w:trPr>
        <w:tc>
          <w:tcPr>
            <w:tcW w:w="396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Total current assets</w:t>
            </w: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5,000</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5,000</w:t>
            </w:r>
          </w:p>
        </w:tc>
      </w:tr>
      <w:tr>
        <w:trPr>
          <w:trHeight w:val="139"/>
        </w:trPr>
        <w:tc>
          <w:tcPr>
            <w:tcW w:w="3960" w:type="dxa"/>
            <w:vAlign w:val="bottom"/>
          </w:tcPr>
          <w:p>
            <w:pPr>
              <w:spacing w:after="0" w:line="139" w:lineRule="exact"/>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2"/>
                <w:szCs w:val="12"/>
                <w:color w:val="auto"/>
              </w:rPr>
            </w:pPr>
          </w:p>
        </w:tc>
        <w:tc>
          <w:tcPr>
            <w:tcW w:w="1020" w:type="dxa"/>
            <w:vAlign w:val="bottom"/>
            <w:gridSpan w:val="2"/>
          </w:tcPr>
          <w:p>
            <w:pPr>
              <w:ind w:left="660"/>
              <w:spacing w:after="0" w:line="13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1,000</w:t>
            </w:r>
          </w:p>
        </w:tc>
      </w:tr>
      <w:tr>
        <w:trPr>
          <w:trHeight w:val="131"/>
        </w:trPr>
        <w:tc>
          <w:tcPr>
            <w:tcW w:w="39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Accumulated deficit</w:t>
            </w:r>
          </w:p>
        </w:tc>
        <w:tc>
          <w:tcPr>
            <w:tcW w:w="1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4,000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4,000</w:t>
            </w:r>
          </w:p>
        </w:tc>
      </w:tr>
    </w:tbl>
    <w:p>
      <w:pPr>
        <w:spacing w:after="0" w:line="117"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As a result of adopting Topic 606 on January 1, 2018, the following financial statement line items in the Company’s Condensed Consolidated Balance Sheet at June 30, 2018 and the Condensed Consolidated Statement of Income for the six months ended June 30, 2018 were affected.</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3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June 30, 2018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97"/>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As Reported</w:t>
            </w:r>
          </w:p>
        </w:tc>
        <w:tc>
          <w:tcPr>
            <w:tcW w:w="1200" w:type="dxa"/>
            <w:vAlign w:val="bottom"/>
            <w:gridSpan w:val="2"/>
          </w:tcPr>
          <w:p>
            <w:pPr>
              <w:jc w:val="right"/>
              <w:ind w:right="280"/>
              <w:spacing w:after="0" w:line="97" w:lineRule="exact"/>
              <w:rPr>
                <w:sz w:val="20"/>
                <w:szCs w:val="20"/>
                <w:color w:val="auto"/>
              </w:rPr>
            </w:pPr>
            <w:r>
              <w:rPr>
                <w:rFonts w:ascii="Arial" w:cs="Arial" w:eastAsia="Arial" w:hAnsi="Arial"/>
                <w:sz w:val="11"/>
                <w:szCs w:val="11"/>
                <w:b w:val="1"/>
                <w:bCs w:val="1"/>
                <w:color w:val="auto"/>
              </w:rPr>
              <w:t>Under Topic 605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right"/>
              <w:ind w:right="52"/>
              <w:spacing w:after="0" w:line="97" w:lineRule="exact"/>
              <w:rPr>
                <w:sz w:val="20"/>
                <w:szCs w:val="20"/>
                <w:color w:val="auto"/>
              </w:rPr>
            </w:pPr>
            <w:r>
              <w:rPr>
                <w:rFonts w:ascii="Arial" w:cs="Arial" w:eastAsia="Arial" w:hAnsi="Arial"/>
                <w:sz w:val="11"/>
                <w:szCs w:val="11"/>
                <w:b w:val="1"/>
                <w:bCs w:val="1"/>
                <w:color w:val="auto"/>
                <w:w w:val="93"/>
              </w:rPr>
              <w:t>Effect of Change</w:t>
            </w:r>
          </w:p>
        </w:tc>
      </w:tr>
      <w:tr>
        <w:trPr>
          <w:trHeight w:val="129"/>
        </w:trPr>
        <w:tc>
          <w:tcPr>
            <w:tcW w:w="392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Total 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221,688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216,688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5,000</w:t>
            </w:r>
          </w:p>
        </w:tc>
      </w:tr>
      <w:tr>
        <w:trPr>
          <w:trHeight w:val="139"/>
        </w:trPr>
        <w:tc>
          <w:tcPr>
            <w:tcW w:w="3920" w:type="dxa"/>
            <w:vAlign w:val="bottom"/>
          </w:tcPr>
          <w:p>
            <w:pPr>
              <w:spacing w:after="0" w:line="139" w:lineRule="exact"/>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15,609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right"/>
              <w:spacing w:after="0" w:line="139" w:lineRule="exact"/>
              <w:rPr>
                <w:sz w:val="20"/>
                <w:szCs w:val="20"/>
                <w:color w:val="auto"/>
              </w:rPr>
            </w:pPr>
            <w:r>
              <w:rPr>
                <w:rFonts w:ascii="Arial" w:cs="Arial" w:eastAsia="Arial" w:hAnsi="Arial"/>
                <w:sz w:val="14"/>
                <w:szCs w:val="14"/>
                <w:color w:val="auto"/>
              </w:rPr>
              <w:t>14,609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39" w:lineRule="exact"/>
              <w:rPr>
                <w:sz w:val="20"/>
                <w:szCs w:val="20"/>
                <w:color w:val="auto"/>
              </w:rPr>
            </w:pPr>
            <w:r>
              <w:rPr>
                <w:rFonts w:ascii="Arial" w:cs="Arial" w:eastAsia="Arial" w:hAnsi="Arial"/>
                <w:sz w:val="14"/>
                <w:szCs w:val="14"/>
                <w:color w:val="auto"/>
              </w:rPr>
              <w:t>1,000</w:t>
            </w:r>
          </w:p>
        </w:tc>
      </w:tr>
      <w:tr>
        <w:trPr>
          <w:trHeight w:val="139"/>
        </w:trPr>
        <w:tc>
          <w:tcPr>
            <w:tcW w:w="39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(313,524)</w:t>
            </w: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(317,524)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4,000</w:t>
            </w:r>
          </w:p>
        </w:tc>
      </w:tr>
      <w:tr>
        <w:trPr>
          <w:trHeight w:val="256"/>
        </w:trPr>
        <w:tc>
          <w:tcPr>
            <w:tcW w:w="39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8"/>
          </w:tcPr>
          <w:p>
            <w:pPr>
              <w:jc w:val="right"/>
              <w:ind w:right="812"/>
              <w:spacing w:after="0"/>
              <w:rPr>
                <w:sz w:val="20"/>
                <w:szCs w:val="20"/>
                <w:color w:val="auto"/>
              </w:rPr>
            </w:pPr>
            <w:r>
              <w:rPr>
                <w:rFonts w:ascii="Arial" w:cs="Arial" w:eastAsia="Arial" w:hAnsi="Arial"/>
                <w:sz w:val="11"/>
                <w:szCs w:val="11"/>
                <w:b w:val="1"/>
                <w:bCs w:val="1"/>
                <w:color w:val="auto"/>
              </w:rPr>
              <w:t>Six Months Ended June 30, 2018</w:t>
            </w:r>
          </w:p>
        </w:tc>
      </w:tr>
      <w:tr>
        <w:trPr>
          <w:trHeight w:val="97"/>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As Reported</w:t>
            </w:r>
          </w:p>
        </w:tc>
        <w:tc>
          <w:tcPr>
            <w:tcW w:w="1200" w:type="dxa"/>
            <w:vAlign w:val="bottom"/>
            <w:gridSpan w:val="2"/>
          </w:tcPr>
          <w:p>
            <w:pPr>
              <w:jc w:val="right"/>
              <w:ind w:right="280"/>
              <w:spacing w:after="0" w:line="97" w:lineRule="exact"/>
              <w:rPr>
                <w:sz w:val="20"/>
                <w:szCs w:val="20"/>
                <w:color w:val="auto"/>
              </w:rPr>
            </w:pPr>
            <w:r>
              <w:rPr>
                <w:rFonts w:ascii="Arial" w:cs="Arial" w:eastAsia="Arial" w:hAnsi="Arial"/>
                <w:sz w:val="11"/>
                <w:szCs w:val="11"/>
                <w:b w:val="1"/>
                <w:bCs w:val="1"/>
                <w:color w:val="auto"/>
              </w:rPr>
              <w:t>Under Topic 605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right"/>
              <w:ind w:right="52"/>
              <w:spacing w:after="0" w:line="97" w:lineRule="exact"/>
              <w:rPr>
                <w:sz w:val="20"/>
                <w:szCs w:val="20"/>
                <w:color w:val="auto"/>
              </w:rPr>
            </w:pPr>
            <w:r>
              <w:rPr>
                <w:rFonts w:ascii="Arial" w:cs="Arial" w:eastAsia="Arial" w:hAnsi="Arial"/>
                <w:sz w:val="11"/>
                <w:szCs w:val="11"/>
                <w:b w:val="1"/>
                <w:bCs w:val="1"/>
                <w:color w:val="auto"/>
                <w:w w:val="93"/>
              </w:rPr>
              <w:t>Effect of Change</w:t>
            </w:r>
          </w:p>
        </w:tc>
      </w:tr>
      <w:tr>
        <w:trPr>
          <w:trHeight w:val="129"/>
        </w:trPr>
        <w:tc>
          <w:tcPr>
            <w:tcW w:w="392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Revenue:</w:t>
            </w: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r>
      <w:tr>
        <w:trPr>
          <w:trHeight w:val="139"/>
        </w:trPr>
        <w:tc>
          <w:tcPr>
            <w:tcW w:w="3920" w:type="dxa"/>
            <w:vAlign w:val="bottom"/>
          </w:tcPr>
          <w:p>
            <w:pPr>
              <w:ind w:left="80"/>
              <w:spacing w:after="0" w:line="139" w:lineRule="exact"/>
              <w:rPr>
                <w:sz w:val="20"/>
                <w:szCs w:val="20"/>
                <w:color w:val="auto"/>
              </w:rPr>
            </w:pPr>
            <w:r>
              <w:rPr>
                <w:rFonts w:ascii="Arial" w:cs="Arial" w:eastAsia="Arial" w:hAnsi="Arial"/>
                <w:sz w:val="14"/>
                <w:szCs w:val="14"/>
                <w:color w:val="auto"/>
              </w:rPr>
              <w:t>Licensing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2,320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right"/>
              <w:spacing w:after="0" w:line="139" w:lineRule="exact"/>
              <w:rPr>
                <w:sz w:val="20"/>
                <w:szCs w:val="20"/>
                <w:color w:val="auto"/>
              </w:rPr>
            </w:pPr>
            <w:r>
              <w:rPr>
                <w:rFonts w:ascii="Arial" w:cs="Arial" w:eastAsia="Arial" w:hAnsi="Arial"/>
                <w:sz w:val="14"/>
                <w:szCs w:val="14"/>
                <w:color w:val="auto"/>
              </w:rPr>
              <w:t>2,320</w:t>
            </w:r>
          </w:p>
        </w:tc>
        <w:tc>
          <w:tcPr>
            <w:tcW w:w="140" w:type="dxa"/>
            <w:vAlign w:val="bottom"/>
          </w:tcPr>
          <w:p>
            <w:pPr>
              <w:spacing w:after="0"/>
              <w:rPr>
                <w:sz w:val="12"/>
                <w:szCs w:val="12"/>
                <w:color w:val="auto"/>
              </w:rPr>
            </w:pPr>
          </w:p>
        </w:tc>
        <w:tc>
          <w:tcPr>
            <w:tcW w:w="100" w:type="dxa"/>
            <w:vAlign w:val="bottom"/>
            <w:gridSpan w:val="2"/>
          </w:tcPr>
          <w:p>
            <w:pPr>
              <w:jc w:val="right"/>
              <w:spacing w:after="0" w:line="13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392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Other revenue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r>
      <w:tr>
        <w:trPr>
          <w:trHeight w:val="181"/>
        </w:trPr>
        <w:tc>
          <w:tcPr>
            <w:tcW w:w="3920" w:type="dxa"/>
            <w:vAlign w:val="bottom"/>
          </w:tcPr>
          <w:p>
            <w:pPr>
              <w:spacing w:after="0"/>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75"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In May 2017, FASB issued ASU No. 2017-09, Compensation-Stock Compensation (Topic 718) - Scope of Modification Accounting (ASU 2017-09). The amendments included in this update provide guidance about which changes to the terms or conditions of a share-based payment award require an entity to apply modification accounting. The amendments in this update will be applied prospectively to an award modified on or after the adoption date. On January 1, 2018, we adopted ASU 2017-09 and the adoption of this standard did not have a material impact on the Company’s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Accounting Pronouncements Not Yet Adopted</w:t>
      </w:r>
    </w:p>
    <w:p>
      <w:pPr>
        <w:spacing w:after="0" w:line="149"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 xml:space="preserve">In February 2016, the FASB issued ASU No. 2016-02, </w:t>
      </w:r>
      <w:r>
        <w:rPr>
          <w:rFonts w:ascii="Arial" w:cs="Arial" w:eastAsia="Arial" w:hAnsi="Arial"/>
          <w:sz w:val="13"/>
          <w:szCs w:val="13"/>
          <w:i w:val="1"/>
          <w:iCs w:val="1"/>
          <w:color w:val="auto"/>
        </w:rPr>
        <w:t>Leases (Topic 842),</w:t>
      </w:r>
      <w:r>
        <w:rPr>
          <w:rFonts w:ascii="Arial" w:cs="Arial" w:eastAsia="Arial" w:hAnsi="Arial"/>
          <w:sz w:val="13"/>
          <w:szCs w:val="13"/>
          <w:color w:val="auto"/>
        </w:rPr>
        <w:t xml:space="preserve"> which replaces most current lease guidance when it becomes effective. This standard update intends to increase the transparency and improve comparability by requiring entities to recognize assets and liabilities on the balance sheet for all leases, with certain exceptions. The new standard states that a lessee will recognize a lease liability for the obligation to make lease payments and a right-of-use asset for the right to use the underlying asset for the lease term. Leases will be classified as either finance or operating, with classification affecting the pattern of expense recognition in the consolidated statements of operations. The new guidance will be effective for the Company starting in the first quarter of fiscal 2019. Early adoption is permitted. The Company plans to adopt the new guidance effective January 1, 2019, and is currently evaluating the effect that this guidance will have on its consolidated financial statements and related disclosures.</w:t>
      </w:r>
    </w:p>
    <w:p>
      <w:pPr>
        <w:spacing w:after="0" w:line="131"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 xml:space="preserve">In June 2018, the FASB issued ASU No. 2018-07, </w:t>
      </w:r>
      <w:r>
        <w:rPr>
          <w:rFonts w:ascii="Arial" w:cs="Arial" w:eastAsia="Arial" w:hAnsi="Arial"/>
          <w:sz w:val="13"/>
          <w:szCs w:val="13"/>
          <w:i w:val="1"/>
          <w:iCs w:val="1"/>
          <w:color w:val="auto"/>
        </w:rPr>
        <w:t>Stock Compensation (Topic 718): Improvements to Nonemployee Share-Based Payment Accounting</w:t>
      </w:r>
      <w:r>
        <w:rPr>
          <w:rFonts w:ascii="Arial" w:cs="Arial" w:eastAsia="Arial" w:hAnsi="Arial"/>
          <w:sz w:val="13"/>
          <w:szCs w:val="13"/>
          <w:color w:val="auto"/>
        </w:rPr>
        <w:t>. ASU 2018-07 is intended to reduce the cost and complexity and to improve financial reporting for nonemployee share-based payments. ASU 2018-07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supersedes Subtopic 505-50, Equity-Based Payments to Non-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9" w:name="page10"/>
    <w:bookmarkEnd w:id="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Employees. ASU 2018-07 is effective for the Company for fiscal years beginning after December 15, 2018, including interim periods within that fiscal year and early adoption is permitted. The Company is currently assessing the impact of this standard on its consolidated financial statements.</w:t>
      </w:r>
    </w:p>
    <w:p>
      <w:pPr>
        <w:spacing w:after="0" w:line="108"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CASH, CASH EQUIVALENTS AND INVESTMENTS</w:t>
      </w:r>
    </w:p>
    <w:p>
      <w:pPr>
        <w:spacing w:after="0" w:line="153"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Securities classified as cash, cash equivalents and short-term investments as of June 30, 2018 and December 31, 2017, are summarized below (in thousands). Estimated fair value is based on quoted market prices for these investments.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 2018</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1"/>
                <w:szCs w:val="11"/>
                <w:b w:val="1"/>
                <w:bCs w:val="1"/>
                <w:color w:val="auto"/>
                <w:w w:val="95"/>
              </w:rPr>
              <w:t>Amortized Cost</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5"/>
          </w:tcPr>
          <w:p>
            <w:pPr>
              <w:ind w:left="400"/>
              <w:spacing w:after="0" w:line="97" w:lineRule="exact"/>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rPr>
              <w:t>Fair Value</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120"/>
              <w:spacing w:after="0" w:line="97" w:lineRule="exact"/>
              <w:rPr>
                <w:sz w:val="20"/>
                <w:szCs w:val="20"/>
                <w:color w:val="auto"/>
              </w:rPr>
            </w:pPr>
            <w:r>
              <w:rPr>
                <w:rFonts w:ascii="Arial" w:cs="Arial" w:eastAsia="Arial" w:hAnsi="Arial"/>
                <w:sz w:val="11"/>
                <w:szCs w:val="11"/>
                <w:b w:val="1"/>
                <w:bCs w:val="1"/>
                <w:color w:val="auto"/>
              </w:rPr>
              <w:t>Gains</w:t>
            </w:r>
          </w:p>
        </w:tc>
        <w:tc>
          <w:tcPr>
            <w:tcW w:w="2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30"/>
              <w:spacing w:after="0" w:line="97" w:lineRule="exact"/>
              <w:rPr>
                <w:sz w:val="20"/>
                <w:szCs w:val="20"/>
                <w:color w:val="auto"/>
              </w:rPr>
            </w:pPr>
            <w:r>
              <w:rPr>
                <w:rFonts w:ascii="Arial" w:cs="Arial" w:eastAsia="Arial" w:hAnsi="Arial"/>
                <w:sz w:val="11"/>
                <w:szCs w:val="11"/>
                <w:b w:val="1"/>
                <w:bCs w:val="1"/>
                <w:color w:val="auto"/>
                <w:w w:val="94"/>
              </w:rPr>
              <w:t>Losses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90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Cash and cash equivalents:</w:t>
            </w: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160"/>
              <w:spacing w:after="0" w:line="139" w:lineRule="exact"/>
              <w:rPr>
                <w:sz w:val="20"/>
                <w:szCs w:val="20"/>
                <w:color w:val="auto"/>
              </w:rPr>
            </w:pPr>
            <w:r>
              <w:rPr>
                <w:rFonts w:ascii="Arial" w:cs="Arial" w:eastAsia="Arial" w:hAnsi="Arial"/>
                <w:sz w:val="14"/>
                <w:szCs w:val="14"/>
                <w:color w:val="auto"/>
              </w:rPr>
              <w:t>Cash</w:t>
            </w:r>
          </w:p>
        </w:tc>
        <w:tc>
          <w:tcPr>
            <w:tcW w:w="10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2,932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line="13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2,932</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67,611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67,611</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160"/>
              <w:spacing w:after="0" w:line="139" w:lineRule="exact"/>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2,664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2,664</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Commercial paper</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18,544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18,544</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900" w:type="dxa"/>
            <w:vAlign w:val="bottom"/>
          </w:tcPr>
          <w:p>
            <w:pPr>
              <w:spacing w:after="0" w:line="130" w:lineRule="exact"/>
              <w:rPr>
                <w:sz w:val="20"/>
                <w:szCs w:val="20"/>
                <w:color w:val="auto"/>
              </w:rPr>
            </w:pPr>
            <w:r>
              <w:rPr>
                <w:rFonts w:ascii="Arial" w:cs="Arial" w:eastAsia="Arial" w:hAnsi="Arial"/>
                <w:sz w:val="14"/>
                <w:szCs w:val="14"/>
                <w:color w:val="auto"/>
              </w:rPr>
              <w:t>Total cash and cash equivalents</w:t>
            </w:r>
          </w:p>
        </w:tc>
        <w:tc>
          <w:tcPr>
            <w:tcW w:w="1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91,751</w:t>
            </w:r>
          </w:p>
        </w:tc>
        <w:tc>
          <w:tcPr>
            <w:tcW w:w="200" w:type="dxa"/>
            <w:vAlign w:val="bottom"/>
          </w:tcPr>
          <w:p>
            <w:pPr>
              <w:spacing w:after="0"/>
              <w:rPr>
                <w:sz w:val="11"/>
                <w:szCs w:val="11"/>
                <w:color w:val="auto"/>
              </w:rPr>
            </w:pPr>
          </w:p>
        </w:tc>
        <w:tc>
          <w:tcPr>
            <w:tcW w:w="200" w:type="dxa"/>
            <w:vAlign w:val="bottom"/>
            <w:tcBorders>
              <w:top w:val="single" w:sz="8" w:color="auto"/>
            </w:tcBorders>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91,751</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Short-term investments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260"/>
              <w:spacing w:after="0" w:line="139" w:lineRule="exact"/>
              <w:rPr>
                <w:sz w:val="20"/>
                <w:szCs w:val="20"/>
                <w:color w:val="auto"/>
              </w:rPr>
            </w:pPr>
            <w:r>
              <w:rPr>
                <w:rFonts w:ascii="Arial" w:cs="Arial" w:eastAsia="Arial" w:hAnsi="Arial"/>
                <w:sz w:val="14"/>
                <w:szCs w:val="14"/>
                <w:color w:val="auto"/>
              </w:rPr>
              <w:t>U.S. treasury securities</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8,459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8,460</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38,788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38,757</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260"/>
              <w:spacing w:after="0" w:line="139" w:lineRule="exact"/>
              <w:rPr>
                <w:sz w:val="20"/>
                <w:szCs w:val="20"/>
                <w:color w:val="auto"/>
              </w:rPr>
            </w:pPr>
            <w:r>
              <w:rPr>
                <w:rFonts w:ascii="Arial" w:cs="Arial" w:eastAsia="Arial" w:hAnsi="Arial"/>
                <w:sz w:val="14"/>
                <w:szCs w:val="14"/>
                <w:color w:val="auto"/>
              </w:rPr>
              <w:t>Commercial paper</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64,642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3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64,640</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Asset-backed securities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9,126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9,123</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900" w:type="dxa"/>
            <w:vAlign w:val="bottom"/>
            <w:tcBorders>
              <w:bottom w:val="single" w:sz="8" w:color="CCEEFF"/>
            </w:tcBorders>
          </w:tcPr>
          <w:p>
            <w:pPr>
              <w:ind w:left="80"/>
              <w:spacing w:after="0" w:line="130" w:lineRule="exact"/>
              <w:rPr>
                <w:sz w:val="20"/>
                <w:szCs w:val="20"/>
                <w:color w:val="auto"/>
              </w:rPr>
            </w:pPr>
            <w:r>
              <w:rPr>
                <w:rFonts w:ascii="Arial" w:cs="Arial" w:eastAsia="Arial" w:hAnsi="Arial"/>
                <w:sz w:val="14"/>
                <w:szCs w:val="14"/>
                <w:color w:val="auto"/>
              </w:rPr>
              <w:t>Total short-term investments</w:t>
            </w:r>
          </w:p>
        </w:tc>
        <w:tc>
          <w:tcPr>
            <w:tcW w:w="1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121,015</w:t>
            </w:r>
          </w:p>
        </w:tc>
        <w:tc>
          <w:tcPr>
            <w:tcW w:w="2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120,980</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2900" w:type="dxa"/>
            <w:vAlign w:val="bottom"/>
            <w:tcBorders>
              <w:bottom w:val="single" w:sz="8" w:color="CCEEFF"/>
            </w:tcBorders>
            <w:shd w:val="clear" w:color="auto" w:fill="CCEEFF"/>
          </w:tcPr>
          <w:p>
            <w:pPr>
              <w:ind w:left="80"/>
              <w:spacing w:after="0" w:line="130" w:lineRule="exact"/>
              <w:rPr>
                <w:sz w:val="20"/>
                <w:szCs w:val="20"/>
                <w:color w:val="auto"/>
              </w:rPr>
            </w:pPr>
            <w:r>
              <w:rPr>
                <w:rFonts w:ascii="Arial" w:cs="Arial" w:eastAsia="Arial" w:hAnsi="Arial"/>
                <w:sz w:val="14"/>
                <w:szCs w:val="14"/>
                <w:color w:val="auto"/>
              </w:rPr>
              <w:t>Total cash equivalents and investments</w:t>
            </w:r>
          </w:p>
        </w:tc>
        <w:tc>
          <w:tcPr>
            <w:tcW w:w="1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212,766</w:t>
            </w:r>
          </w:p>
        </w:tc>
        <w:tc>
          <w:tcPr>
            <w:tcW w:w="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212,731</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9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December 31, 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1"/>
                <w:szCs w:val="11"/>
                <w:b w:val="1"/>
                <w:bCs w:val="1"/>
                <w:color w:val="auto"/>
                <w:w w:val="95"/>
              </w:rPr>
              <w:t>Amortized Cost</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5"/>
          </w:tcPr>
          <w:p>
            <w:pPr>
              <w:ind w:left="400"/>
              <w:spacing w:after="0" w:line="97" w:lineRule="exact"/>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rPr>
              <w:t>Fair Value</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120"/>
              <w:spacing w:after="0" w:line="97" w:lineRule="exact"/>
              <w:rPr>
                <w:sz w:val="20"/>
                <w:szCs w:val="20"/>
                <w:color w:val="auto"/>
              </w:rPr>
            </w:pPr>
            <w:r>
              <w:rPr>
                <w:rFonts w:ascii="Arial" w:cs="Arial" w:eastAsia="Arial" w:hAnsi="Arial"/>
                <w:sz w:val="11"/>
                <w:szCs w:val="11"/>
                <w:b w:val="1"/>
                <w:bCs w:val="1"/>
                <w:color w:val="auto"/>
              </w:rPr>
              <w:t>Gains</w:t>
            </w:r>
          </w:p>
        </w:tc>
        <w:tc>
          <w:tcPr>
            <w:tcW w:w="2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30"/>
              <w:spacing w:after="0" w:line="97" w:lineRule="exact"/>
              <w:rPr>
                <w:sz w:val="20"/>
                <w:szCs w:val="20"/>
                <w:color w:val="auto"/>
              </w:rPr>
            </w:pPr>
            <w:r>
              <w:rPr>
                <w:rFonts w:ascii="Arial" w:cs="Arial" w:eastAsia="Arial" w:hAnsi="Arial"/>
                <w:sz w:val="11"/>
                <w:szCs w:val="11"/>
                <w:b w:val="1"/>
                <w:bCs w:val="1"/>
                <w:color w:val="auto"/>
                <w:w w:val="94"/>
              </w:rPr>
              <w:t>Losses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90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Cash and cash equivalents:</w:t>
            </w: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160"/>
              <w:spacing w:after="0" w:line="139" w:lineRule="exact"/>
              <w:rPr>
                <w:sz w:val="20"/>
                <w:szCs w:val="20"/>
                <w:color w:val="auto"/>
              </w:rPr>
            </w:pPr>
            <w:r>
              <w:rPr>
                <w:rFonts w:ascii="Arial" w:cs="Arial" w:eastAsia="Arial" w:hAnsi="Arial"/>
                <w:sz w:val="14"/>
                <w:szCs w:val="14"/>
                <w:color w:val="auto"/>
              </w:rPr>
              <w:t>Cash</w:t>
            </w:r>
          </w:p>
        </w:tc>
        <w:tc>
          <w:tcPr>
            <w:tcW w:w="10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5,882</w:t>
            </w:r>
          </w:p>
        </w:tc>
        <w:tc>
          <w:tcPr>
            <w:tcW w:w="400" w:type="dxa"/>
            <w:vAlign w:val="bottom"/>
            <w:gridSpan w:val="2"/>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line="13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5,882</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68,651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68,651</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160"/>
              <w:spacing w:after="0" w:line="139" w:lineRule="exact"/>
              <w:rPr>
                <w:sz w:val="20"/>
                <w:szCs w:val="20"/>
                <w:color w:val="auto"/>
              </w:rPr>
            </w:pPr>
            <w:r>
              <w:rPr>
                <w:rFonts w:ascii="Arial" w:cs="Arial" w:eastAsia="Arial" w:hAnsi="Arial"/>
                <w:sz w:val="14"/>
                <w:szCs w:val="14"/>
                <w:color w:val="auto"/>
              </w:rPr>
              <w:t>Commercial paper</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850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850</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900" w:type="dxa"/>
            <w:vAlign w:val="bottom"/>
            <w:tcBorders>
              <w:top w:val="single" w:sz="8" w:color="CCEEFF"/>
            </w:tcBorders>
            <w:shd w:val="clear" w:color="auto" w:fill="CCEEFF"/>
          </w:tcPr>
          <w:p>
            <w:pPr>
              <w:ind w:left="80"/>
              <w:spacing w:after="0" w:line="130" w:lineRule="exact"/>
              <w:rPr>
                <w:sz w:val="20"/>
                <w:szCs w:val="20"/>
                <w:color w:val="auto"/>
              </w:rPr>
            </w:pPr>
            <w:r>
              <w:rPr>
                <w:rFonts w:ascii="Arial" w:cs="Arial" w:eastAsia="Arial" w:hAnsi="Arial"/>
                <w:sz w:val="14"/>
                <w:szCs w:val="14"/>
                <w:color w:val="auto"/>
              </w:rPr>
              <w:t>Total cash equivalents and investments</w:t>
            </w: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75,383</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75,383</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spacing w:after="0" w:line="139" w:lineRule="exact"/>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U.S. treasury securities</w:t>
            </w:r>
          </w:p>
        </w:tc>
        <w:tc>
          <w:tcPr>
            <w:tcW w:w="1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3,994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w:t>
            </w:r>
          </w:p>
        </w:tc>
        <w:tc>
          <w:tcPr>
            <w:tcW w:w="220" w:type="dxa"/>
            <w:vAlign w:val="bottom"/>
            <w:gridSpan w:val="2"/>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3,993</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160"/>
              <w:spacing w:after="0" w:line="139" w:lineRule="exact"/>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26,853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26,827</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shd w:val="clear" w:color="auto" w:fill="CCEEFF"/>
          </w:tcPr>
          <w:p>
            <w:pPr>
              <w:ind w:left="160"/>
              <w:spacing w:after="0" w:line="139" w:lineRule="exact"/>
              <w:rPr>
                <w:sz w:val="20"/>
                <w:szCs w:val="20"/>
                <w:color w:val="auto"/>
              </w:rPr>
            </w:pPr>
            <w:r>
              <w:rPr>
                <w:rFonts w:ascii="Arial" w:cs="Arial" w:eastAsia="Arial" w:hAnsi="Arial"/>
                <w:sz w:val="14"/>
                <w:szCs w:val="14"/>
                <w:color w:val="auto"/>
              </w:rPr>
              <w:t>Commercial paper</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19,584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19,570</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2900" w:type="dxa"/>
            <w:vAlign w:val="bottom"/>
          </w:tcPr>
          <w:p>
            <w:pPr>
              <w:ind w:left="160"/>
              <w:spacing w:after="0" w:line="139" w:lineRule="exact"/>
              <w:rPr>
                <w:sz w:val="20"/>
                <w:szCs w:val="20"/>
                <w:color w:val="auto"/>
              </w:rPr>
            </w:pPr>
            <w:r>
              <w:rPr>
                <w:rFonts w:ascii="Arial" w:cs="Arial" w:eastAsia="Arial" w:hAnsi="Arial"/>
                <w:sz w:val="14"/>
                <w:szCs w:val="14"/>
                <w:color w:val="auto"/>
              </w:rPr>
              <w:t>Asset-backed securities</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Arial" w:cs="Arial" w:eastAsia="Arial" w:hAnsi="Arial"/>
                <w:sz w:val="14"/>
                <w:szCs w:val="14"/>
                <w:color w:val="auto"/>
              </w:rPr>
              <w:t>8,209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3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8,203</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900" w:type="dxa"/>
            <w:vAlign w:val="bottom"/>
            <w:tcBorders>
              <w:top w:val="single" w:sz="8" w:color="CCEEFF"/>
            </w:tcBorders>
            <w:shd w:val="clear" w:color="auto" w:fill="CCEEFF"/>
          </w:tcPr>
          <w:p>
            <w:pPr>
              <w:ind w:left="80"/>
              <w:spacing w:after="0" w:line="130" w:lineRule="exact"/>
              <w:rPr>
                <w:sz w:val="20"/>
                <w:szCs w:val="20"/>
                <w:color w:val="auto"/>
              </w:rPr>
            </w:pPr>
            <w:r>
              <w:rPr>
                <w:rFonts w:ascii="Arial" w:cs="Arial" w:eastAsia="Arial" w:hAnsi="Arial"/>
                <w:sz w:val="14"/>
                <w:szCs w:val="14"/>
                <w:color w:val="auto"/>
              </w:rPr>
              <w:t>Total short-term investments</w:t>
            </w:r>
          </w:p>
        </w:tc>
        <w:tc>
          <w:tcPr>
            <w:tcW w:w="1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58,640</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58,593</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2900" w:type="dxa"/>
            <w:vAlign w:val="bottom"/>
          </w:tcPr>
          <w:p>
            <w:pPr>
              <w:ind w:left="80"/>
              <w:spacing w:after="0" w:line="130" w:lineRule="exact"/>
              <w:rPr>
                <w:sz w:val="20"/>
                <w:szCs w:val="20"/>
                <w:color w:val="auto"/>
              </w:rPr>
            </w:pPr>
            <w:r>
              <w:rPr>
                <w:rFonts w:ascii="Arial" w:cs="Arial" w:eastAsia="Arial" w:hAnsi="Arial"/>
                <w:sz w:val="14"/>
                <w:szCs w:val="14"/>
                <w:color w:val="auto"/>
              </w:rPr>
              <w:t>Total cash equivalents and investments</w:t>
            </w:r>
          </w:p>
        </w:tc>
        <w:tc>
          <w:tcPr>
            <w:tcW w:w="1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134,023</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40" w:type="dxa"/>
            <w:vAlign w:val="bottom"/>
            <w:tcBorders>
              <w:bottom w:val="single" w:sz="8" w:color="auto"/>
            </w:tcBorders>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133,976</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0"/>
        </w:trPr>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92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18" w:right="1399" w:bottom="1440" w:gutter="0" w:footer="0" w:header="0"/>
        </w:sectPr>
      </w:pPr>
    </w:p>
    <w:bookmarkStart w:id="10" w:name="page11"/>
    <w:bookmarkEnd w:id="1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condensed consolidated balance sheets. The Company uses the specific identification method to determine the amount of realized gains or losses on sales of marketable securities. Realized gains or losses have been insignificant and are included in “other income, net” in the consolidated condensed statement of operations.</w:t>
      </w:r>
    </w:p>
    <w:p>
      <w:pPr>
        <w:spacing w:after="0" w:line="130" w:lineRule="exact"/>
        <w:rPr>
          <w:sz w:val="20"/>
          <w:szCs w:val="20"/>
          <w:color w:val="auto"/>
        </w:rPr>
      </w:pPr>
    </w:p>
    <w:p>
      <w:pPr>
        <w:jc w:val="both"/>
        <w:ind w:firstLine="256"/>
        <w:spacing w:after="0" w:line="230" w:lineRule="auto"/>
        <w:rPr>
          <w:sz w:val="20"/>
          <w:szCs w:val="20"/>
          <w:color w:val="auto"/>
        </w:rPr>
      </w:pPr>
      <w:r>
        <w:rPr>
          <w:rFonts w:ascii="Arial" w:cs="Arial" w:eastAsia="Arial" w:hAnsi="Arial"/>
          <w:sz w:val="13"/>
          <w:szCs w:val="13"/>
          <w:color w:val="auto"/>
        </w:rPr>
        <w:t>All available-for-sale securities held as of June 30, 2018,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June 30, 2018, no investment was in a continuous unrealized loss position for more than one year and the Company believes that is more likely than not the investments will be held until maturity or a forecasted recovery of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153"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three-level hierarchy for the inputs to valuation techniques is briefly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ind w:left="260"/>
              <w:spacing w:after="0"/>
              <w:rPr>
                <w:sz w:val="20"/>
                <w:szCs w:val="20"/>
                <w:color w:val="auto"/>
              </w:rPr>
            </w:pPr>
            <w:r>
              <w:rPr>
                <w:rFonts w:ascii="Arial" w:cs="Arial" w:eastAsia="Arial" w:hAnsi="Arial"/>
                <w:sz w:val="14"/>
                <w:szCs w:val="14"/>
                <w:color w:val="auto"/>
              </w:rPr>
              <w:t>Level 1</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8100" w:type="dxa"/>
            <w:vAlign w:val="bottom"/>
          </w:tcPr>
          <w:p>
            <w:pPr>
              <w:jc w:val="right"/>
              <w:spacing w:after="0"/>
              <w:rPr>
                <w:sz w:val="20"/>
                <w:szCs w:val="20"/>
                <w:color w:val="auto"/>
              </w:rPr>
            </w:pPr>
            <w:r>
              <w:rPr>
                <w:rFonts w:ascii="Arial" w:cs="Arial" w:eastAsia="Arial" w:hAnsi="Arial"/>
                <w:sz w:val="14"/>
                <w:szCs w:val="14"/>
                <w:color w:val="auto"/>
                <w:w w:val="97"/>
              </w:rPr>
              <w:t>Valuations are based on quoted prices in active markets for identical assets or liabilities and readily accessible by the Company at the</w:t>
            </w:r>
          </w:p>
        </w:tc>
      </w:tr>
      <w:tr>
        <w:trPr>
          <w:trHeight w:val="139"/>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100" w:type="dxa"/>
            <w:vAlign w:val="bottom"/>
          </w:tcPr>
          <w:p>
            <w:pPr>
              <w:jc w:val="right"/>
              <w:spacing w:after="0" w:line="139" w:lineRule="exact"/>
              <w:rPr>
                <w:sz w:val="20"/>
                <w:szCs w:val="20"/>
                <w:color w:val="auto"/>
              </w:rPr>
            </w:pPr>
            <w:r>
              <w:rPr>
                <w:rFonts w:ascii="Arial" w:cs="Arial" w:eastAsia="Arial" w:hAnsi="Arial"/>
                <w:sz w:val="14"/>
                <w:szCs w:val="14"/>
                <w:color w:val="auto"/>
                <w:w w:val="98"/>
              </w:rPr>
              <w:t>reporting date. Examples of assets and liabilities utilizing Level 1 inputs are certain money market funds, U.S. Treasuries and trading</w:t>
            </w:r>
          </w:p>
        </w:tc>
      </w:tr>
      <w:tr>
        <w:trPr>
          <w:trHeight w:val="181"/>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tcPr>
          <w:p>
            <w:pPr>
              <w:ind w:left="20"/>
              <w:spacing w:after="0"/>
              <w:rPr>
                <w:sz w:val="20"/>
                <w:szCs w:val="20"/>
                <w:color w:val="auto"/>
              </w:rPr>
            </w:pPr>
            <w:r>
              <w:rPr>
                <w:rFonts w:ascii="Arial" w:cs="Arial" w:eastAsia="Arial" w:hAnsi="Arial"/>
                <w:sz w:val="14"/>
                <w:szCs w:val="14"/>
                <w:color w:val="auto"/>
              </w:rPr>
              <w:t>securities with quoted prices on active markets.</w:t>
            </w:r>
          </w:p>
        </w:tc>
      </w:tr>
      <w:tr>
        <w:trPr>
          <w:trHeight w:val="268"/>
        </w:trPr>
        <w:tc>
          <w:tcPr>
            <w:tcW w:w="780" w:type="dxa"/>
            <w:vAlign w:val="bottom"/>
          </w:tcPr>
          <w:p>
            <w:pPr>
              <w:ind w:left="260"/>
              <w:spacing w:after="0"/>
              <w:rPr>
                <w:sz w:val="20"/>
                <w:szCs w:val="20"/>
                <w:color w:val="auto"/>
              </w:rPr>
            </w:pPr>
            <w:r>
              <w:rPr>
                <w:rFonts w:ascii="Arial" w:cs="Arial" w:eastAsia="Arial" w:hAnsi="Arial"/>
                <w:sz w:val="14"/>
                <w:szCs w:val="14"/>
                <w:color w:val="auto"/>
              </w:rPr>
              <w:t>Level 2</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8100" w:type="dxa"/>
            <w:vAlign w:val="bottom"/>
          </w:tcPr>
          <w:p>
            <w:pPr>
              <w:jc w:val="right"/>
              <w:spacing w:after="0"/>
              <w:rPr>
                <w:sz w:val="20"/>
                <w:szCs w:val="20"/>
                <w:color w:val="auto"/>
              </w:rPr>
            </w:pPr>
            <w:r>
              <w:rPr>
                <w:rFonts w:ascii="Arial" w:cs="Arial" w:eastAsia="Arial" w:hAnsi="Arial"/>
                <w:sz w:val="14"/>
                <w:szCs w:val="14"/>
                <w:color w:val="auto"/>
                <w:w w:val="95"/>
              </w:rPr>
              <w:t>Valuations based on inputs other than Level 1 that are observable, either directly or indirectly, such as quoted prices for similar assets or</w:t>
            </w:r>
          </w:p>
        </w:tc>
      </w:tr>
      <w:tr>
        <w:trPr>
          <w:trHeight w:val="139"/>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100" w:type="dxa"/>
            <w:vAlign w:val="bottom"/>
          </w:tcPr>
          <w:p>
            <w:pPr>
              <w:jc w:val="right"/>
              <w:spacing w:after="0" w:line="139" w:lineRule="exact"/>
              <w:rPr>
                <w:sz w:val="20"/>
                <w:szCs w:val="20"/>
                <w:color w:val="auto"/>
              </w:rPr>
            </w:pPr>
            <w:r>
              <w:rPr>
                <w:rFonts w:ascii="Arial" w:cs="Arial" w:eastAsia="Arial" w:hAnsi="Arial"/>
                <w:sz w:val="14"/>
                <w:szCs w:val="14"/>
                <w:color w:val="auto"/>
                <w:w w:val="93"/>
              </w:rPr>
              <w:t>liabilities; quoted prices in markets that are not active; or other inputs that are observable or can be corroborated by observable market data</w:t>
            </w:r>
          </w:p>
        </w:tc>
      </w:tr>
      <w:tr>
        <w:trPr>
          <w:trHeight w:val="139"/>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100" w:type="dxa"/>
            <w:vAlign w:val="bottom"/>
          </w:tcPr>
          <w:p>
            <w:pPr>
              <w:jc w:val="right"/>
              <w:spacing w:after="0" w:line="139" w:lineRule="exact"/>
              <w:rPr>
                <w:sz w:val="20"/>
                <w:szCs w:val="20"/>
                <w:color w:val="auto"/>
              </w:rPr>
            </w:pPr>
            <w:r>
              <w:rPr>
                <w:rFonts w:ascii="Arial" w:cs="Arial" w:eastAsia="Arial" w:hAnsi="Arial"/>
                <w:sz w:val="14"/>
                <w:szCs w:val="14"/>
                <w:color w:val="auto"/>
                <w:w w:val="98"/>
              </w:rPr>
              <w:t>for substantially the full term of the assets or liabilities. Examples of assets and liabilities utilizing Level 2 inputs are corporate bonds,</w:t>
            </w:r>
          </w:p>
        </w:tc>
      </w:tr>
      <w:tr>
        <w:trPr>
          <w:trHeight w:val="181"/>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tcPr>
          <w:p>
            <w:pPr>
              <w:ind w:left="20"/>
              <w:spacing w:after="0"/>
              <w:rPr>
                <w:sz w:val="20"/>
                <w:szCs w:val="20"/>
                <w:color w:val="auto"/>
              </w:rPr>
            </w:pPr>
            <w:r>
              <w:rPr>
                <w:rFonts w:ascii="Arial" w:cs="Arial" w:eastAsia="Arial" w:hAnsi="Arial"/>
                <w:sz w:val="14"/>
                <w:szCs w:val="14"/>
                <w:color w:val="auto"/>
              </w:rPr>
              <w:t>commercial paper, certificates of deposit and over-the-counter derivatives.</w:t>
            </w:r>
          </w:p>
        </w:tc>
      </w:tr>
      <w:tr>
        <w:trPr>
          <w:trHeight w:val="268"/>
        </w:trPr>
        <w:tc>
          <w:tcPr>
            <w:tcW w:w="780" w:type="dxa"/>
            <w:vAlign w:val="bottom"/>
          </w:tcPr>
          <w:p>
            <w:pPr>
              <w:ind w:left="260"/>
              <w:spacing w:after="0"/>
              <w:rPr>
                <w:sz w:val="20"/>
                <w:szCs w:val="20"/>
                <w:color w:val="auto"/>
              </w:rPr>
            </w:pPr>
            <w:r>
              <w:rPr>
                <w:rFonts w:ascii="Arial" w:cs="Arial" w:eastAsia="Arial" w:hAnsi="Arial"/>
                <w:sz w:val="14"/>
                <w:szCs w:val="14"/>
                <w:color w:val="auto"/>
              </w:rPr>
              <w:t>Level 3</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8100" w:type="dxa"/>
            <w:vAlign w:val="bottom"/>
          </w:tcPr>
          <w:p>
            <w:pPr>
              <w:jc w:val="right"/>
              <w:spacing w:after="0"/>
              <w:rPr>
                <w:sz w:val="20"/>
                <w:szCs w:val="20"/>
                <w:color w:val="auto"/>
              </w:rPr>
            </w:pPr>
            <w:r>
              <w:rPr>
                <w:rFonts w:ascii="Arial" w:cs="Arial" w:eastAsia="Arial" w:hAnsi="Arial"/>
                <w:sz w:val="14"/>
                <w:szCs w:val="14"/>
                <w:color w:val="auto"/>
              </w:rPr>
              <w:t>Valuations based on unobservable inputs in which there is little or no market data, which require the Company to develop its own</w:t>
            </w:r>
          </w:p>
        </w:tc>
      </w:tr>
      <w:tr>
        <w:trPr>
          <w:trHeight w:val="181"/>
        </w:trPr>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00" w:type="dxa"/>
            <w:vAlign w:val="bottom"/>
          </w:tcPr>
          <w:p>
            <w:pPr>
              <w:ind w:left="20"/>
              <w:spacing w:after="0"/>
              <w:rPr>
                <w:sz w:val="20"/>
                <w:szCs w:val="20"/>
                <w:color w:val="auto"/>
              </w:rPr>
            </w:pPr>
            <w:r>
              <w:rPr>
                <w:rFonts w:ascii="Arial" w:cs="Arial" w:eastAsia="Arial" w:hAnsi="Arial"/>
                <w:sz w:val="14"/>
                <w:szCs w:val="14"/>
                <w:color w:val="auto"/>
              </w:rPr>
              <w:t>assumptions.</w:t>
            </w:r>
          </w:p>
        </w:tc>
      </w:tr>
      <w:tr>
        <w:trPr>
          <w:trHeight w:val="480"/>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00" w:type="dxa"/>
            <w:vAlign w:val="bottom"/>
          </w:tcPr>
          <w:p>
            <w:pPr>
              <w:jc w:val="right"/>
              <w:ind w:right="4409"/>
              <w:spacing w:after="0"/>
              <w:rPr>
                <w:sz w:val="20"/>
                <w:szCs w:val="20"/>
                <w:color w:val="auto"/>
              </w:rPr>
            </w:pPr>
            <w:r>
              <w:rPr>
                <w:rFonts w:ascii="Arial" w:cs="Arial" w:eastAsia="Arial" w:hAnsi="Arial"/>
                <w:sz w:val="14"/>
                <w:szCs w:val="14"/>
                <w:color w:val="auto"/>
              </w:rPr>
              <w:t>10</w:t>
            </w:r>
          </w:p>
        </w:tc>
      </w:tr>
      <w:tr>
        <w:trPr>
          <w:trHeight w:val="77"/>
        </w:trPr>
        <w:tc>
          <w:tcPr>
            <w:tcW w:w="7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100" w:type="dxa"/>
            <w:vAlign w:val="bottom"/>
            <w:tcBorders>
              <w:bottom w:val="single" w:sz="8" w:color="auto"/>
            </w:tcBorders>
          </w:tcPr>
          <w:p>
            <w:pPr>
              <w:spacing w:after="0"/>
              <w:rPr>
                <w:sz w:val="6"/>
                <w:szCs w:val="6"/>
                <w:color w:val="auto"/>
              </w:rPr>
            </w:pPr>
          </w:p>
        </w:tc>
      </w:tr>
    </w:tbl>
    <w:p>
      <w:pPr>
        <w:sectPr>
          <w:pgSz w:w="11900" w:h="16838" w:orient="portrait"/>
          <w:cols w:equalWidth="0" w:num="1">
            <w:col w:w="9100"/>
          </w:cols>
          <w:pgMar w:left="1400" w:top="118" w:right="1399" w:bottom="1440" w:gutter="0" w:footer="0" w:header="0"/>
        </w:sectPr>
      </w:pPr>
    </w:p>
    <w:bookmarkStart w:id="11" w:name="page12"/>
    <w:bookmarkEnd w:id="1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The following table sets forth the fair value of the Company’s financial assets and liabilities measured on a recurring basis by level within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 2018</w:t>
            </w: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c>
          <w:tcPr>
            <w:tcW w:w="19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11"/>
              <w:spacing w:after="0" w:line="97" w:lineRule="exact"/>
              <w:rPr>
                <w:sz w:val="20"/>
                <w:szCs w:val="20"/>
                <w:color w:val="auto"/>
              </w:rPr>
            </w:pPr>
            <w:r>
              <w:rPr>
                <w:rFonts w:ascii="Arial" w:cs="Arial" w:eastAsia="Arial" w:hAnsi="Arial"/>
                <w:sz w:val="11"/>
                <w:szCs w:val="11"/>
                <w:b w:val="1"/>
                <w:bCs w:val="1"/>
                <w:color w:val="auto"/>
              </w:rPr>
              <w:t>Total</w:t>
            </w:r>
          </w:p>
        </w:tc>
        <w:tc>
          <w:tcPr>
            <w:tcW w:w="1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1"/>
                <w:szCs w:val="11"/>
                <w:b w:val="1"/>
                <w:bCs w:val="1"/>
                <w:color w:val="auto"/>
              </w:rPr>
              <w:t>Level 1</w:t>
            </w:r>
          </w:p>
        </w:tc>
        <w:tc>
          <w:tcPr>
            <w:tcW w:w="1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71"/>
              <w:spacing w:after="0" w:line="97" w:lineRule="exact"/>
              <w:rPr>
                <w:sz w:val="20"/>
                <w:szCs w:val="20"/>
                <w:color w:val="auto"/>
              </w:rPr>
            </w:pPr>
            <w:r>
              <w:rPr>
                <w:rFonts w:ascii="Arial" w:cs="Arial" w:eastAsia="Arial" w:hAnsi="Arial"/>
                <w:sz w:val="11"/>
                <w:szCs w:val="11"/>
                <w:b w:val="1"/>
                <w:bCs w:val="1"/>
                <w:color w:val="auto"/>
                <w:w w:val="91"/>
              </w:rPr>
              <w:t>Level 2</w:t>
            </w:r>
          </w:p>
        </w:tc>
        <w:tc>
          <w:tcPr>
            <w:tcW w:w="1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51"/>
              <w:spacing w:after="0" w:line="97" w:lineRule="exact"/>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Assets:</w:t>
            </w: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ind w:left="80"/>
              <w:spacing w:after="0" w:line="139" w:lineRule="exact"/>
              <w:rPr>
                <w:sz w:val="20"/>
                <w:szCs w:val="20"/>
                <w:color w:val="auto"/>
              </w:rPr>
            </w:pPr>
            <w:r>
              <w:rPr>
                <w:rFonts w:ascii="Arial" w:cs="Arial" w:eastAsia="Arial" w:hAnsi="Arial"/>
                <w:sz w:val="14"/>
                <w:szCs w:val="14"/>
                <w:color w:val="auto"/>
              </w:rPr>
              <w:t>Money market funds</w:t>
            </w:r>
          </w:p>
        </w:tc>
        <w:tc>
          <w:tcPr>
            <w:tcW w:w="210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67,611</w:t>
            </w:r>
          </w:p>
        </w:tc>
        <w:tc>
          <w:tcPr>
            <w:tcW w:w="340" w:type="dxa"/>
            <w:vAlign w:val="bottom"/>
            <w:gridSpan w:val="2"/>
          </w:tcPr>
          <w:p>
            <w:pPr>
              <w:jc w:val="right"/>
              <w:ind w:right="9"/>
              <w:spacing w:after="0" w:line="13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67,611</w:t>
            </w:r>
          </w:p>
        </w:tc>
        <w:tc>
          <w:tcPr>
            <w:tcW w:w="40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U.S. treasury securities</w:t>
            </w: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8,460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8,460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ind w:left="80"/>
              <w:spacing w:after="0" w:line="139" w:lineRule="exact"/>
              <w:rPr>
                <w:sz w:val="20"/>
                <w:szCs w:val="20"/>
                <w:color w:val="auto"/>
              </w:rPr>
            </w:pPr>
            <w:r>
              <w:rPr>
                <w:rFonts w:ascii="Arial" w:cs="Arial" w:eastAsia="Arial" w:hAnsi="Arial"/>
                <w:sz w:val="14"/>
                <w:szCs w:val="14"/>
                <w:color w:val="auto"/>
              </w:rPr>
              <w:t>Corporate bonds</w:t>
            </w: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41,421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41,421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Commercial paper</w:t>
            </w: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83,184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83,184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Borders>
              <w:bottom w:val="single" w:sz="8" w:color="CCEEFF"/>
            </w:tcBorders>
          </w:tcPr>
          <w:p>
            <w:pPr>
              <w:ind w:left="80"/>
              <w:spacing w:after="0" w:line="139" w:lineRule="exact"/>
              <w:rPr>
                <w:sz w:val="20"/>
                <w:szCs w:val="20"/>
                <w:color w:val="auto"/>
              </w:rPr>
            </w:pPr>
            <w:r>
              <w:rPr>
                <w:rFonts w:ascii="Arial" w:cs="Arial" w:eastAsia="Arial" w:hAnsi="Arial"/>
                <w:sz w:val="14"/>
                <w:szCs w:val="14"/>
                <w:color w:val="auto"/>
              </w:rPr>
              <w:t>Asset-backed securities</w:t>
            </w:r>
          </w:p>
        </w:tc>
        <w:tc>
          <w:tcPr>
            <w:tcW w:w="19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9,123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9,123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40" w:type="dxa"/>
            <w:vAlign w:val="bottom"/>
            <w:tcBorders>
              <w:bottom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Total</w:t>
            </w:r>
          </w:p>
        </w:tc>
        <w:tc>
          <w:tcPr>
            <w:tcW w:w="19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209,799</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76,071</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133,728</w:t>
            </w: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Liabilities:</w:t>
            </w: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ind w:left="80"/>
              <w:spacing w:after="0" w:line="139" w:lineRule="exact"/>
              <w:rPr>
                <w:sz w:val="20"/>
                <w:szCs w:val="20"/>
                <w:color w:val="auto"/>
              </w:rPr>
            </w:pPr>
            <w:r>
              <w:rPr>
                <w:rFonts w:ascii="Arial" w:cs="Arial" w:eastAsia="Arial" w:hAnsi="Arial"/>
                <w:sz w:val="14"/>
                <w:szCs w:val="14"/>
                <w:color w:val="auto"/>
              </w:rPr>
              <w:t>Derivative liability</w:t>
            </w:r>
          </w:p>
        </w:tc>
        <w:tc>
          <w:tcPr>
            <w:tcW w:w="1920" w:type="dxa"/>
            <w:vAlign w:val="bottom"/>
          </w:tcPr>
          <w:p>
            <w:pPr>
              <w:spacing w:after="0"/>
              <w:rPr>
                <w:sz w:val="12"/>
                <w:szCs w:val="12"/>
                <w:color w:val="auto"/>
              </w:rPr>
            </w:pPr>
          </w:p>
        </w:tc>
        <w:tc>
          <w:tcPr>
            <w:tcW w:w="180" w:type="dxa"/>
            <w:vAlign w:val="bottom"/>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546</w:t>
            </w:r>
          </w:p>
        </w:tc>
        <w:tc>
          <w:tcPr>
            <w:tcW w:w="180" w:type="dxa"/>
            <w:vAlign w:val="bottom"/>
          </w:tcPr>
          <w:p>
            <w:pPr>
              <w:spacing w:after="0"/>
              <w:rPr>
                <w:sz w:val="12"/>
                <w:szCs w:val="12"/>
                <w:color w:val="auto"/>
              </w:rPr>
            </w:pPr>
          </w:p>
        </w:tc>
        <w:tc>
          <w:tcPr>
            <w:tcW w:w="160" w:type="dxa"/>
            <w:vAlign w:val="bottom"/>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1"/>
                <w:szCs w:val="11"/>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c>
          <w:tcPr>
            <w:tcW w:w="19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11"/>
              <w:spacing w:after="0" w:line="97" w:lineRule="exact"/>
              <w:rPr>
                <w:sz w:val="20"/>
                <w:szCs w:val="20"/>
                <w:color w:val="auto"/>
              </w:rPr>
            </w:pPr>
            <w:r>
              <w:rPr>
                <w:rFonts w:ascii="Arial" w:cs="Arial" w:eastAsia="Arial" w:hAnsi="Arial"/>
                <w:sz w:val="11"/>
                <w:szCs w:val="11"/>
                <w:b w:val="1"/>
                <w:bCs w:val="1"/>
                <w:color w:val="auto"/>
              </w:rPr>
              <w:t>Total</w:t>
            </w:r>
          </w:p>
        </w:tc>
        <w:tc>
          <w:tcPr>
            <w:tcW w:w="1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1"/>
                <w:szCs w:val="11"/>
                <w:b w:val="1"/>
                <w:bCs w:val="1"/>
                <w:color w:val="auto"/>
              </w:rPr>
              <w:t>Level 1</w:t>
            </w:r>
          </w:p>
        </w:tc>
        <w:tc>
          <w:tcPr>
            <w:tcW w:w="1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71"/>
              <w:spacing w:after="0" w:line="97" w:lineRule="exact"/>
              <w:rPr>
                <w:sz w:val="20"/>
                <w:szCs w:val="20"/>
                <w:color w:val="auto"/>
              </w:rPr>
            </w:pPr>
            <w:r>
              <w:rPr>
                <w:rFonts w:ascii="Arial" w:cs="Arial" w:eastAsia="Arial" w:hAnsi="Arial"/>
                <w:sz w:val="11"/>
                <w:szCs w:val="11"/>
                <w:b w:val="1"/>
                <w:bCs w:val="1"/>
                <w:color w:val="auto"/>
                <w:w w:val="91"/>
              </w:rPr>
              <w:t>Level 2</w:t>
            </w:r>
          </w:p>
        </w:tc>
        <w:tc>
          <w:tcPr>
            <w:tcW w:w="1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51"/>
              <w:spacing w:after="0" w:line="97" w:lineRule="exact"/>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Assets:</w:t>
            </w: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ind w:left="80"/>
              <w:spacing w:after="0" w:line="139" w:lineRule="exact"/>
              <w:rPr>
                <w:sz w:val="20"/>
                <w:szCs w:val="20"/>
                <w:color w:val="auto"/>
              </w:rPr>
            </w:pPr>
            <w:r>
              <w:rPr>
                <w:rFonts w:ascii="Arial" w:cs="Arial" w:eastAsia="Arial" w:hAnsi="Arial"/>
                <w:sz w:val="14"/>
                <w:szCs w:val="14"/>
                <w:color w:val="auto"/>
              </w:rPr>
              <w:t>Money market funds</w:t>
            </w:r>
          </w:p>
        </w:tc>
        <w:tc>
          <w:tcPr>
            <w:tcW w:w="210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68,651</w:t>
            </w:r>
          </w:p>
        </w:tc>
        <w:tc>
          <w:tcPr>
            <w:tcW w:w="340" w:type="dxa"/>
            <w:vAlign w:val="bottom"/>
            <w:gridSpan w:val="2"/>
          </w:tcPr>
          <w:p>
            <w:pPr>
              <w:jc w:val="right"/>
              <w:ind w:right="9"/>
              <w:spacing w:after="0" w:line="13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68,651</w:t>
            </w:r>
          </w:p>
        </w:tc>
        <w:tc>
          <w:tcPr>
            <w:tcW w:w="40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U.S. treasury securities</w:t>
            </w: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3,993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3,993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Pr>
          <w:p>
            <w:pPr>
              <w:ind w:left="80"/>
              <w:spacing w:after="0" w:line="139" w:lineRule="exact"/>
              <w:rPr>
                <w:sz w:val="20"/>
                <w:szCs w:val="20"/>
                <w:color w:val="auto"/>
              </w:rPr>
            </w:pPr>
            <w:r>
              <w:rPr>
                <w:rFonts w:ascii="Arial" w:cs="Arial" w:eastAsia="Arial" w:hAnsi="Arial"/>
                <w:sz w:val="14"/>
                <w:szCs w:val="14"/>
                <w:color w:val="auto"/>
              </w:rPr>
              <w:t>Corporate bonds</w:t>
            </w: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26,827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26,827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Commercial paper</w:t>
            </w: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20,420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20,420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tcBorders>
              <w:bottom w:val="single" w:sz="8" w:color="CCEEFF"/>
            </w:tcBorders>
          </w:tcPr>
          <w:p>
            <w:pPr>
              <w:ind w:left="80"/>
              <w:spacing w:after="0" w:line="139" w:lineRule="exact"/>
              <w:rPr>
                <w:sz w:val="20"/>
                <w:szCs w:val="20"/>
                <w:color w:val="auto"/>
              </w:rPr>
            </w:pPr>
            <w:r>
              <w:rPr>
                <w:rFonts w:ascii="Arial" w:cs="Arial" w:eastAsia="Arial" w:hAnsi="Arial"/>
                <w:sz w:val="14"/>
                <w:szCs w:val="14"/>
                <w:color w:val="auto"/>
              </w:rPr>
              <w:t>Asset-backed securities</w:t>
            </w:r>
          </w:p>
        </w:tc>
        <w:tc>
          <w:tcPr>
            <w:tcW w:w="19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8,203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8,203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40" w:type="dxa"/>
            <w:vAlign w:val="bottom"/>
            <w:tcBorders>
              <w:bottom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Total</w:t>
            </w:r>
          </w:p>
        </w:tc>
        <w:tc>
          <w:tcPr>
            <w:tcW w:w="19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128,094</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72,644</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55,450</w:t>
            </w: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Where quoted prices are available in an active market, securities are classified as Level 1. The Company classifies money market funds, U.S. treasury securities and U.S. government-sponsored agency bonds as Level 1. When quoted market prices are not available for the specific security, then the Company estimates fair value by using benchmark yields, reported trades, broker/dealer quotes and issuer spreads. The Company classifies corporate bonds, commercial paper and asset-backed securities as Level 2. In certain cases, where there is limited activity or less transparency around inputs to valuation, securities are classified as Level 3. There were no transfers between Level 1 and Level 2 during the periods presented.</w:t>
      </w:r>
    </w:p>
    <w:p>
      <w:pPr>
        <w:spacing w:after="0" w:line="130"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In May 2018, pursuant to the loan and security agreement with Solar Capital Ltd. and Western Alliance Bank (see Note 5), the Company entered into an Exit Fee Agreement under which the Company agreed to pay $1.5 million in cash, or the Exit Fee, upon any change of control transaction or if the Company obtains FDA approval of tenapanor in the treatment of hyperphosphatemia in ESRD patients on dialysis and FDA approval of tenapanor for the treatment of patients with IBS-C. Notwithstanding the prepayment or termination of the Term Loan, the Company’s obligation to pay the Exit Fee will expire 10 years from the Closing Date. The Company evaluated that the Exit Fee is a freestanding derivative which should be accounted for at fair value on a recurring basis. The estimated fair value of the Exit Fee was determined to be $546,000 and is recorded as a derivative liability and included in accrued and other liabilities on the accompanying consolidated balance sheet.</w:t>
      </w:r>
    </w:p>
    <w:p>
      <w:pPr>
        <w:spacing w:after="0" w:line="133"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 i) the Company’s estimates of both the probability and timing of a potential $1.5 million payment to Solar Capital Ltd. and Western Alliance Bank as a result of the FDA approvals, and ii) a discount rate which was derived from the Company's estimated cost of debt.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$55,000.</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2" w:name="page13"/>
    <w:bookmarkEnd w:id="1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315" w:lineRule="auto"/>
        <w:rPr>
          <w:sz w:val="20"/>
          <w:szCs w:val="20"/>
          <w:color w:val="auto"/>
        </w:rPr>
      </w:pPr>
      <w:r>
        <w:rPr>
          <w:rFonts w:ascii="Arial" w:cs="Arial" w:eastAsia="Arial" w:hAnsi="Arial"/>
          <w:sz w:val="12"/>
          <w:szCs w:val="12"/>
          <w:color w:val="auto"/>
        </w:rPr>
        <w:t>The carrying amounts reflected in the balance sheets for cash equivalents, short-term investments, accounts receivable, prepaid expenses and other current assets, accounts payable and accrued expenses approximate their fair values at both June 30, 2018 and December 31, 2017, due to their short-term nature.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Solar Capital and Western Alliance Bank Loan Agreement</w:t>
      </w:r>
    </w:p>
    <w:p>
      <w:pPr>
        <w:spacing w:after="0" w:line="117"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w:t>
      </w:r>
    </w:p>
    <w:p>
      <w:pPr>
        <w:spacing w:after="0" w:line="98"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3"/>
          <w:szCs w:val="13"/>
          <w:color w:val="auto"/>
        </w:rPr>
        <w:t>Borrowings under the Term Loan bear interest at a floating per annum rate equal to 7.45% plus the one-month LIBOR. The Company is permitted to make interest-only payments on the Term Loan through December 1, 2020 if the Company achieves its primary endpoint in the Phase 3 study of tenapanor for the treatment of hyperphosphatemia in end-stage renal disease patients on dialysis, prior to June 1, 2020; otherwise, the Company is permitted to make interest-only payments on the Term Loan only through June 1, 2020. Accordingly, beginning on either June 1, 2020 or December 1, 2020, as applicable,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our intellectual property and certain other customary exclusions. Additionally, in connection with the Term Loan, the Company entered into an Exit Fee Agreement, whereby the Company agreed to pay an exit fee in the amount of 3% of the Term Loan, or the Exit Fee, upon any change of control transaction or FDA approval of tenapanor in the treatment of hyperphosphatemia in ESRD patients on dialysis and FDA approval of tenapanor for the treatment of patients with IBS-C. Notwithstanding the prepayment or termination of the Term Loan, the obligation to pay the Exit Fee will expire 10 years from the Closing Date.</w:t>
      </w:r>
    </w:p>
    <w:p>
      <w:pPr>
        <w:spacing w:after="0" w:line="97"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The Loan Agreement contains customary representations and warranties and customary affirmative and negative covenants. Additionally, if the Company elects to enter into an exclusive license agreement for the use of its intellectual property in the United States (other than for tenapanor for hyperphosphatemia or for our FXR and TGR5 agonist programs) and has not obtained the written consent of the Lenders to enter into such license agreement, the Company has agreed to not allow our unrestricted cash and cash equivalents to be less than $50.0 million, until the Company achieves its primary endpoint in the second Phase 3 study of tenapanor for the treatment of hyperphosphatemia in end-stage renal disease patients on dialysis. As of June 30, 2018, the Company was in compliance with the covenants.</w:t>
      </w:r>
    </w:p>
    <w:p>
      <w:pPr>
        <w:spacing w:after="0" w:line="98" w:lineRule="exact"/>
        <w:rPr>
          <w:sz w:val="20"/>
          <w:szCs w:val="20"/>
          <w:color w:val="auto"/>
        </w:rPr>
      </w:pPr>
    </w:p>
    <w:p>
      <w:pPr>
        <w:ind w:right="120" w:firstLine="256"/>
        <w:spacing w:after="0" w:line="222" w:lineRule="auto"/>
        <w:rPr>
          <w:sz w:val="20"/>
          <w:szCs w:val="20"/>
          <w:color w:val="auto"/>
        </w:rPr>
      </w:pPr>
      <w:r>
        <w:rPr>
          <w:rFonts w:ascii="Arial" w:cs="Arial" w:eastAsia="Arial" w:hAnsi="Arial"/>
          <w:sz w:val="14"/>
          <w:szCs w:val="14"/>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our cash. Upon the occurrence and for the duration of an event of default, an additional default interest rate equal to 4.0% per annum will apply to all obligations owed under the Loan Agreement. As of June 30, 2018, there were no events of default.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3" w:name="page14"/>
    <w:bookmarkEnd w:id="1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As of June 30, 2018, assuming the principal payments start on December 1, 2020, the Company’s future debt payment obligations towards the principal and final fee, excluding interest payments and exit fee, for the respective fiscal years are as follows (in thousands):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98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9"/>
        </w:trPr>
        <w:tc>
          <w:tcPr>
            <w:tcW w:w="4720" w:type="dxa"/>
            <w:vAlign w:val="bottom"/>
          </w:tcPr>
          <w:p>
            <w:pPr>
              <w:spacing w:after="0" w:line="139" w:lineRule="exact"/>
              <w:rPr>
                <w:sz w:val="20"/>
                <w:szCs w:val="20"/>
                <w:color w:val="auto"/>
              </w:rPr>
            </w:pPr>
            <w:r>
              <w:rPr>
                <w:rFonts w:ascii="Arial" w:cs="Arial" w:eastAsia="Arial" w:hAnsi="Arial"/>
                <w:sz w:val="14"/>
                <w:szCs w:val="14"/>
                <w:color w:val="auto"/>
              </w:rPr>
              <w:t>2019</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4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2020</w:t>
            </w: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2,083</w:t>
            </w:r>
          </w:p>
        </w:tc>
      </w:tr>
      <w:tr>
        <w:trPr>
          <w:trHeight w:val="139"/>
        </w:trPr>
        <w:tc>
          <w:tcPr>
            <w:tcW w:w="4720" w:type="dxa"/>
            <w:vAlign w:val="bottom"/>
          </w:tcPr>
          <w:p>
            <w:pPr>
              <w:spacing w:after="0" w:line="139" w:lineRule="exact"/>
              <w:rPr>
                <w:sz w:val="20"/>
                <w:szCs w:val="20"/>
                <w:color w:val="auto"/>
              </w:rPr>
            </w:pPr>
            <w:r>
              <w:rPr>
                <w:rFonts w:ascii="Arial" w:cs="Arial" w:eastAsia="Arial" w:hAnsi="Arial"/>
                <w:sz w:val="14"/>
                <w:szCs w:val="14"/>
                <w:color w:val="auto"/>
              </w:rPr>
              <w:t>2021</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4"/>
                <w:szCs w:val="14"/>
                <w:color w:val="auto"/>
              </w:rPr>
              <w:t>25,000</w:t>
            </w:r>
          </w:p>
        </w:tc>
      </w:tr>
      <w:tr>
        <w:trPr>
          <w:trHeight w:val="139"/>
        </w:trPr>
        <w:tc>
          <w:tcPr>
            <w:tcW w:w="4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2022</w:t>
            </w:r>
          </w:p>
        </w:tc>
        <w:tc>
          <w:tcPr>
            <w:tcW w:w="17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24,892</w:t>
            </w:r>
          </w:p>
        </w:tc>
      </w:tr>
      <w:tr>
        <w:trPr>
          <w:trHeight w:val="129"/>
        </w:trPr>
        <w:tc>
          <w:tcPr>
            <w:tcW w:w="4720" w:type="dxa"/>
            <w:vAlign w:val="bottom"/>
          </w:tcPr>
          <w:p>
            <w:pPr>
              <w:ind w:left="80"/>
              <w:spacing w:after="0" w:line="130" w:lineRule="exact"/>
              <w:rPr>
                <w:sz w:val="20"/>
                <w:szCs w:val="20"/>
                <w:color w:val="auto"/>
              </w:rPr>
            </w:pPr>
            <w:r>
              <w:rPr>
                <w:rFonts w:ascii="Arial" w:cs="Arial" w:eastAsia="Arial" w:hAnsi="Arial"/>
                <w:sz w:val="14"/>
                <w:szCs w:val="14"/>
                <w:color w:val="auto"/>
              </w:rPr>
              <w:t>Total principal and final fee payments</w:t>
            </w: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51,975</w:t>
            </w:r>
          </w:p>
        </w:tc>
      </w:tr>
      <w:tr>
        <w:trPr>
          <w:trHeight w:val="139"/>
        </w:trPr>
        <w:tc>
          <w:tcPr>
            <w:tcW w:w="47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Less: Unamortized discount and debt issuance costs</w:t>
            </w: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(1,218)</w:t>
            </w:r>
          </w:p>
        </w:tc>
      </w:tr>
      <w:tr>
        <w:trPr>
          <w:trHeight w:val="139"/>
        </w:trPr>
        <w:tc>
          <w:tcPr>
            <w:tcW w:w="472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rPr>
              <w:t>Less: Unaccreted value of final fee</w:t>
            </w:r>
          </w:p>
        </w:tc>
        <w:tc>
          <w:tcPr>
            <w:tcW w:w="1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(1,921)</w:t>
            </w:r>
          </w:p>
        </w:tc>
      </w:tr>
      <w:tr>
        <w:trPr>
          <w:trHeight w:val="131"/>
        </w:trPr>
        <w:tc>
          <w:tcPr>
            <w:tcW w:w="4720" w:type="dxa"/>
            <w:vAlign w:val="bottom"/>
            <w:tcBorders>
              <w:bottom w:val="single" w:sz="8" w:color="CCEEFF"/>
            </w:tcBorders>
            <w:shd w:val="clear" w:color="auto" w:fill="CCEEFF"/>
          </w:tcPr>
          <w:p>
            <w:pPr>
              <w:ind w:left="80"/>
              <w:spacing w:after="0" w:line="130" w:lineRule="exact"/>
              <w:rPr>
                <w:sz w:val="20"/>
                <w:szCs w:val="20"/>
                <w:color w:val="auto"/>
              </w:rPr>
            </w:pPr>
            <w:r>
              <w:rPr>
                <w:rFonts w:ascii="Arial" w:cs="Arial" w:eastAsia="Arial" w:hAnsi="Arial"/>
                <w:sz w:val="14"/>
                <w:szCs w:val="14"/>
                <w:color w:val="auto"/>
              </w:rPr>
              <w:t>Loan payable, long term</w:t>
            </w:r>
          </w:p>
        </w:tc>
        <w:tc>
          <w:tcPr>
            <w:tcW w:w="17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48,836</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SHAREHOLDERS EQUITY</w:t>
      </w:r>
    </w:p>
    <w:p>
      <w:pPr>
        <w:spacing w:after="0" w:line="131"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On May 22, 2018, the Company entered into an underwriting agreement with Jefferies LLC and Leerink Partners LLC, as representatives of several underwriters, or collectively the Underwriters, pursuant to which the Company agreed to issue and sell 12,500,000 shares of its common stock, par value $0.0001 per share, or Common Stock, to the Underwriters, or the Offering. The shares were sold at a public offering price of $4.00 per share, and were purchased by the Underwriters from the Company at a price of $3.76 per Share. Under the terms of the underwriting agreement, the Company granted the Underwriters the option, for 30 days, to purchase up to 1,875,000 additional shares of Common Stock at the public offering price.</w:t>
      </w:r>
    </w:p>
    <w:p>
      <w:pPr>
        <w:spacing w:after="0" w:line="98"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On May 25, 2018, the Offering closed and the Company completed the sale and issuance of 12,500,000 shares of Common Stock. The Company received net proceeds from the Offering of approximately $46.7 million, after deducting the Underwriters’ discounts and commissions and offering expenses payable by the Company. Subsequently, on June 25, 2018, the Underwriters exercised their option to purchase the full 1,875,000 shares of Common Stock at the public offering price of $4.00 per share that were purchased by the Underwriters from the Company at a price of $3.76 per Share and the Company received additional net proceeds of $7.1 million, after deducting the Underwriters’ commissions. In aggregate, the Company completed the sale and issuance of 14,375,000 shares of Common Stock and received net proceeds from the Offering of approximately $53.8 million, after deducting the Underwriters’ discounts, commissions and offering expenses.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STOCK-BASED COMPENSATION</w:t>
      </w:r>
    </w:p>
    <w:p>
      <w:pPr>
        <w:spacing w:after="0" w:line="153"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Pr>
          <w:p>
            <w:pPr>
              <w:spacing w:after="0"/>
              <w:rPr>
                <w:sz w:val="10"/>
                <w:szCs w:val="10"/>
                <w:color w:val="auto"/>
              </w:rPr>
            </w:pPr>
          </w:p>
        </w:tc>
        <w:tc>
          <w:tcPr>
            <w:tcW w:w="1420" w:type="dxa"/>
            <w:vAlign w:val="bottom"/>
            <w:gridSpan w:val="5"/>
          </w:tcPr>
          <w:p>
            <w:pPr>
              <w:ind w:left="120"/>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b w:val="1"/>
                <w:bCs w:val="1"/>
                <w:color w:val="auto"/>
                <w:w w:val="99"/>
              </w:rPr>
              <w:t>June 30,</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6"/>
              <w:spacing w:after="0" w:line="97" w:lineRule="exact"/>
              <w:rPr>
                <w:sz w:val="20"/>
                <w:szCs w:val="20"/>
                <w:color w:val="auto"/>
              </w:rPr>
            </w:pPr>
            <w:r>
              <w:rPr>
                <w:rFonts w:ascii="Arial" w:cs="Arial" w:eastAsia="Arial" w:hAnsi="Arial"/>
                <w:sz w:val="11"/>
                <w:szCs w:val="11"/>
                <w:b w:val="1"/>
                <w:bCs w:val="1"/>
                <w:color w:val="auto"/>
              </w:rPr>
              <w:t>2018</w:t>
            </w: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2"/>
              <w:spacing w:after="0" w:line="97" w:lineRule="exact"/>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60"/>
              <w:spacing w:after="0" w:line="9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2"/>
              <w:spacing w:after="0" w:line="97" w:lineRule="exact"/>
              <w:rPr>
                <w:sz w:val="20"/>
                <w:szCs w:val="20"/>
                <w:color w:val="auto"/>
              </w:rPr>
            </w:pPr>
            <w:r>
              <w:rPr>
                <w:rFonts w:ascii="Arial" w:cs="Arial" w:eastAsia="Arial" w:hAnsi="Arial"/>
                <w:sz w:val="11"/>
                <w:szCs w:val="11"/>
                <w:b w:val="1"/>
                <w:bCs w:val="1"/>
                <w:color w:val="auto"/>
                <w:w w:val="97"/>
              </w:rPr>
              <w:t>2017</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1,414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1,890</w:t>
            </w:r>
          </w:p>
        </w:tc>
        <w:tc>
          <w:tcPr>
            <w:tcW w:w="300" w:type="dxa"/>
            <w:vAlign w:val="bottom"/>
            <w:gridSpan w:val="2"/>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2,445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1,620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1,376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120"/>
              <w:spacing w:after="0" w:line="139" w:lineRule="exact"/>
              <w:rPr>
                <w:sz w:val="20"/>
                <w:szCs w:val="20"/>
                <w:color w:val="auto"/>
              </w:rPr>
            </w:pPr>
            <w:r>
              <w:rPr>
                <w:rFonts w:ascii="Arial" w:cs="Arial" w:eastAsia="Arial" w:hAnsi="Arial"/>
                <w:sz w:val="14"/>
                <w:szCs w:val="14"/>
                <w:color w:val="auto"/>
              </w:rPr>
              <w:t>3,138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2,454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40" w:type="dxa"/>
            <w:vAlign w:val="bottom"/>
            <w:tcBorders>
              <w:bottom w:val="single" w:sz="8" w:color="CCEEFF"/>
            </w:tcBorders>
            <w:shd w:val="clear" w:color="auto" w:fill="CCEEFF"/>
          </w:tcPr>
          <w:p>
            <w:pPr>
              <w:ind w:left="60"/>
              <w:spacing w:after="0" w:line="130"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2,603</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2,790</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ind w:left="120"/>
              <w:spacing w:after="0" w:line="130" w:lineRule="exact"/>
              <w:rPr>
                <w:sz w:val="20"/>
                <w:szCs w:val="20"/>
                <w:color w:val="auto"/>
              </w:rPr>
            </w:pPr>
            <w:r>
              <w:rPr>
                <w:rFonts w:ascii="Arial" w:cs="Arial" w:eastAsia="Arial" w:hAnsi="Arial"/>
                <w:sz w:val="14"/>
                <w:szCs w:val="14"/>
                <w:color w:val="auto"/>
              </w:rPr>
              <w:t>5,028</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4,899</w:t>
            </w: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In January 2017, the Company granted PRSU awards to certain employees which vest upon the achievement of specified performance conditions, subject to the employees’ continued service relationship with the Company. None vested during the three and six months ended June 30, 2018 and 2017. However, the related compensation cost is recognized as an expense over the estimated vesting period when achievement of the milestone is considered probable. The expense recognized for these awards is based on the grant date fair value of the Company’s common stock multiplied by the number of units granted. The Company recognized $0.3 million and $0.4 million of related expense during the three and six months ended June 30, 2018,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4" w:name="page15"/>
    <w:bookmarkEnd w:id="1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At June 30, 2018, the Company had $14.5 million, $1.6 million, $0.3 million and $0.1 million of total unrecognized compensation expense, net of estimated forfeitures, related to stock option grants, RSU grants, PRSUs and the ESPP, respectively, that will be recognized over an average vesting period of 2.7 years, 1.0 years, 0.3 years and 0.2 years,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Option Exercises</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For the three and six months ended June 30, 2018, zero options were exercised to purchase shares of the Company's common stock, with zero net proceeds to the Company. For the three and six months ended June 30, 2017, 9,025 and 28,326 options, respectively, were exercised to purchase shares of the Company’s common stock, with insignificant net proceeds to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For the three and six months ended June 30, 2018, the Company issued zero shares, of its common stock upon vesting of restricted stock units to its employees. For the three and six months ended June 30, 2017, the Company issued zero and 15,188 shares, respectively, of the Company’s common stock due to vesting of restricted stock units resulting in insignificant net proceeds to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In February 2018, the Company sold 68,589 shares under the ESPP. The shares were purchased by employees at a purchase price of $4.38 per share with proceeds to the Company of approximately $0.3 million. In February 2017, the Company sold 42,845 shares under the ESPP. The shares were purchased by employees at a purchase price of $8.77 per share with proceeds to the Company of approximately $0.4 million.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Issuance of Common Stock for Services</w:t>
      </w:r>
    </w:p>
    <w:p>
      <w:pPr>
        <w:spacing w:after="0" w:line="149"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For the three and six months ended June 30, 2018, the Company issued 75,183 shares of common stock to members of the board of directors who elected to receive stock in lieu of their cash fees under the Non-Employee Director Compensation Plan. The shares issued were valued at $0.3 million based on the fair value of the common stock on the date of grant. For the three and six months ended June 30, 2017, the Company issued 46,858 shares of common stock to members of the board of directors who elected to receive stock in lieu of their cash fees under the Non-Employee Director Compensation Plan. The shares issued were valued at $0.2 million based on the fair value of the common stock on the date of grant.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5" w:name="page16"/>
    <w:bookmarkEnd w:id="1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NET LOSS PER SHARE</w:t>
      </w:r>
    </w:p>
    <w:p>
      <w:pPr>
        <w:spacing w:after="0" w:line="153"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and six months ended June 30, 2018 and 2017, all potential common shares were determined to be anti-dilutive. The following table sets forth the computation of net loss per common share (in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40" w:type="dxa"/>
            <w:vAlign w:val="bottom"/>
            <w:gridSpan w:val="4"/>
          </w:tcPr>
          <w:p>
            <w:pPr>
              <w:jc w:val="right"/>
              <w:ind w:right="552"/>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gridSpan w:val="4"/>
          </w:tcPr>
          <w:p>
            <w:pPr>
              <w:jc w:val="right"/>
              <w:ind w:right="592"/>
              <w:spacing w:after="0"/>
              <w:rPr>
                <w:sz w:val="20"/>
                <w:szCs w:val="20"/>
                <w:color w:val="auto"/>
              </w:rPr>
            </w:pPr>
            <w:r>
              <w:rPr>
                <w:rFonts w:ascii="Arial" w:cs="Arial" w:eastAsia="Arial" w:hAnsi="Arial"/>
                <w:sz w:val="11"/>
                <w:szCs w:val="11"/>
                <w:b w:val="1"/>
                <w:bCs w:val="1"/>
                <w:color w:val="auto"/>
              </w:rPr>
              <w:t>Six Months Ended</w:t>
            </w:r>
          </w:p>
        </w:tc>
      </w:tr>
      <w:tr>
        <w:trPr>
          <w:trHeight w:val="128"/>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June 30,</w:t>
            </w:r>
          </w:p>
        </w:tc>
        <w:tc>
          <w:tcPr>
            <w:tcW w:w="8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416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56"/>
              <w:spacing w:after="0" w:line="9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52"/>
              <w:spacing w:after="0" w:line="97" w:lineRule="exact"/>
              <w:rPr>
                <w:sz w:val="20"/>
                <w:szCs w:val="20"/>
                <w:color w:val="auto"/>
              </w:rPr>
            </w:pPr>
            <w:r>
              <w:rPr>
                <w:rFonts w:ascii="Arial" w:cs="Arial" w:eastAsia="Arial" w:hAnsi="Arial"/>
                <w:sz w:val="11"/>
                <w:szCs w:val="11"/>
                <w:b w:val="1"/>
                <w:bCs w:val="1"/>
                <w:color w:val="auto"/>
              </w:rPr>
              <w:t>2017</w:t>
            </w: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56"/>
              <w:spacing w:after="0" w:line="9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2"/>
              <w:spacing w:after="0" w:line="97" w:lineRule="exact"/>
              <w:rPr>
                <w:sz w:val="20"/>
                <w:szCs w:val="20"/>
                <w:color w:val="auto"/>
              </w:rPr>
            </w:pPr>
            <w:r>
              <w:rPr>
                <w:rFonts w:ascii="Arial" w:cs="Arial" w:eastAsia="Arial" w:hAnsi="Arial"/>
                <w:sz w:val="11"/>
                <w:szCs w:val="11"/>
                <w:b w:val="1"/>
                <w:bCs w:val="1"/>
                <w:color w:val="auto"/>
              </w:rPr>
              <w:t>2017</w:t>
            </w:r>
          </w:p>
        </w:tc>
      </w:tr>
      <w:tr>
        <w:trPr>
          <w:trHeight w:val="129"/>
        </w:trPr>
        <w:tc>
          <w:tcPr>
            <w:tcW w:w="20" w:type="dxa"/>
            <w:vAlign w:val="bottom"/>
          </w:tcPr>
          <w:p>
            <w:pPr>
              <w:spacing w:after="0"/>
              <w:rPr>
                <w:sz w:val="11"/>
                <w:szCs w:val="11"/>
                <w:color w:val="auto"/>
              </w:rPr>
            </w:pPr>
          </w:p>
        </w:tc>
        <w:tc>
          <w:tcPr>
            <w:tcW w:w="416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Numerator:</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4160" w:type="dxa"/>
            <w:vAlign w:val="bottom"/>
          </w:tcPr>
          <w:p>
            <w:pPr>
              <w:ind w:left="80"/>
              <w:spacing w:after="0" w:line="139" w:lineRule="exact"/>
              <w:rPr>
                <w:sz w:val="20"/>
                <w:szCs w:val="20"/>
                <w:color w:val="auto"/>
              </w:rPr>
            </w:pPr>
            <w:r>
              <w:rPr>
                <w:rFonts w:ascii="Arial" w:cs="Arial" w:eastAsia="Arial" w:hAnsi="Arial"/>
                <w:sz w:val="14"/>
                <w:szCs w:val="14"/>
                <w:color w:val="auto"/>
              </w:rPr>
              <w:t>Net loss</w:t>
            </w:r>
          </w:p>
        </w:tc>
        <w:tc>
          <w:tcPr>
            <w:tcW w:w="50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9" w:lineRule="exact"/>
              <w:rPr>
                <w:sz w:val="20"/>
                <w:szCs w:val="20"/>
                <w:color w:val="auto"/>
              </w:rPr>
            </w:pPr>
            <w:r>
              <w:rPr>
                <w:rFonts w:ascii="Arial" w:cs="Arial" w:eastAsia="Arial" w:hAnsi="Arial"/>
                <w:sz w:val="14"/>
                <w:szCs w:val="14"/>
                <w:color w:val="auto"/>
              </w:rPr>
              <w:t>(22,291)</w:t>
            </w:r>
          </w:p>
        </w:tc>
        <w:tc>
          <w:tcPr>
            <w:tcW w:w="380" w:type="dxa"/>
            <w:vAlign w:val="bottom"/>
            <w:gridSpan w:val="2"/>
          </w:tcPr>
          <w:p>
            <w:pPr>
              <w:jc w:val="right"/>
              <w:ind w:right="89"/>
              <w:spacing w:after="0" w:line="13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(25,721)</w:t>
            </w:r>
          </w:p>
        </w:tc>
        <w:tc>
          <w:tcPr>
            <w:tcW w:w="360" w:type="dxa"/>
            <w:vAlign w:val="bottom"/>
            <w:gridSpan w:val="2"/>
          </w:tcPr>
          <w:p>
            <w:pPr>
              <w:jc w:val="right"/>
              <w:ind w:right="89"/>
              <w:spacing w:after="0" w:line="13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9" w:lineRule="exact"/>
              <w:rPr>
                <w:sz w:val="20"/>
                <w:szCs w:val="20"/>
                <w:color w:val="auto"/>
              </w:rPr>
            </w:pPr>
            <w:r>
              <w:rPr>
                <w:rFonts w:ascii="Arial" w:cs="Arial" w:eastAsia="Arial" w:hAnsi="Arial"/>
                <w:sz w:val="14"/>
                <w:szCs w:val="14"/>
                <w:color w:val="auto"/>
              </w:rPr>
              <w:t>(39,310)</w:t>
            </w:r>
          </w:p>
        </w:tc>
        <w:tc>
          <w:tcPr>
            <w:tcW w:w="360" w:type="dxa"/>
            <w:vAlign w:val="bottom"/>
            <w:gridSpan w:val="2"/>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(53,729)</w:t>
            </w:r>
          </w:p>
        </w:tc>
      </w:tr>
      <w:tr>
        <w:trPr>
          <w:trHeight w:val="139"/>
        </w:trPr>
        <w:tc>
          <w:tcPr>
            <w:tcW w:w="20" w:type="dxa"/>
            <w:vAlign w:val="bottom"/>
          </w:tcPr>
          <w:p>
            <w:pPr>
              <w:spacing w:after="0"/>
              <w:rPr>
                <w:sz w:val="12"/>
                <w:szCs w:val="12"/>
                <w:color w:val="auto"/>
              </w:rPr>
            </w:pPr>
          </w:p>
        </w:tc>
        <w:tc>
          <w:tcPr>
            <w:tcW w:w="4160" w:type="dxa"/>
            <w:vAlign w:val="bottom"/>
            <w:tcBorders>
              <w:top w:val="single" w:sz="8" w:color="CCEEFF"/>
            </w:tcBorders>
            <w:shd w:val="clear" w:color="auto" w:fill="CCEEFF"/>
          </w:tcPr>
          <w:p>
            <w:pPr>
              <w:ind w:left="80"/>
              <w:spacing w:after="0" w:line="139" w:lineRule="exact"/>
              <w:rPr>
                <w:sz w:val="20"/>
                <w:szCs w:val="20"/>
                <w:color w:val="auto"/>
              </w:rPr>
            </w:pPr>
            <w:r>
              <w:rPr>
                <w:rFonts w:ascii="Arial" w:cs="Arial" w:eastAsia="Arial" w:hAnsi="Arial"/>
                <w:sz w:val="14"/>
                <w:szCs w:val="14"/>
                <w:b w:val="1"/>
                <w:bCs w:val="1"/>
                <w:color w:val="auto"/>
              </w:rPr>
              <w:t>Denominator:</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4160" w:type="dxa"/>
            <w:vAlign w:val="bottom"/>
            <w:tcBorders>
              <w:bottom w:val="single" w:sz="8" w:color="CCEEFF"/>
            </w:tcBorders>
          </w:tcPr>
          <w:p>
            <w:pPr>
              <w:ind w:left="160"/>
              <w:spacing w:after="0" w:line="139" w:lineRule="exact"/>
              <w:rPr>
                <w:sz w:val="20"/>
                <w:szCs w:val="20"/>
                <w:color w:val="auto"/>
              </w:rPr>
            </w:pPr>
            <w:r>
              <w:rPr>
                <w:rFonts w:ascii="Arial" w:cs="Arial" w:eastAsia="Arial" w:hAnsi="Arial"/>
                <w:sz w:val="14"/>
                <w:szCs w:val="14"/>
                <w:color w:val="auto"/>
                <w:w w:val="96"/>
              </w:rPr>
              <w:t>Weighted average common shares outstanding - basic and diluted</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52,824,483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47,403,243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50,206,470</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47,373,404</w:t>
            </w:r>
          </w:p>
        </w:tc>
      </w:tr>
      <w:tr>
        <w:trPr>
          <w:trHeight w:val="131"/>
        </w:trPr>
        <w:tc>
          <w:tcPr>
            <w:tcW w:w="20" w:type="dxa"/>
            <w:vAlign w:val="bottom"/>
          </w:tcPr>
          <w:p>
            <w:pPr>
              <w:spacing w:after="0"/>
              <w:rPr>
                <w:sz w:val="11"/>
                <w:szCs w:val="11"/>
                <w:color w:val="auto"/>
              </w:rPr>
            </w:pPr>
          </w:p>
        </w:tc>
        <w:tc>
          <w:tcPr>
            <w:tcW w:w="4160" w:type="dxa"/>
            <w:vAlign w:val="bottom"/>
            <w:tcBorders>
              <w:bottom w:val="single" w:sz="8" w:color="CCEEFF"/>
            </w:tcBorders>
            <w:shd w:val="clear" w:color="auto" w:fill="CCEEFF"/>
          </w:tcPr>
          <w:p>
            <w:pPr>
              <w:ind w:left="80"/>
              <w:spacing w:after="0" w:line="130" w:lineRule="exact"/>
              <w:rPr>
                <w:sz w:val="20"/>
                <w:szCs w:val="20"/>
                <w:color w:val="auto"/>
              </w:rPr>
            </w:pPr>
            <w:r>
              <w:rPr>
                <w:rFonts w:ascii="Arial" w:cs="Arial" w:eastAsia="Arial" w:hAnsi="Arial"/>
                <w:sz w:val="14"/>
                <w:szCs w:val="14"/>
                <w:color w:val="auto"/>
              </w:rPr>
              <w:t>Net loss per share - basic and diluted</w:t>
            </w:r>
          </w:p>
        </w:tc>
        <w:tc>
          <w:tcPr>
            <w:tcW w:w="2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(0.42)</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9"/>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(0.54)</w:t>
            </w: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(0.78)</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(1.13)</w:t>
            </w:r>
          </w:p>
        </w:tc>
      </w:tr>
    </w:tbl>
    <w:p>
      <w:pPr>
        <w:spacing w:after="0" w:line="117"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For the three and six months ended June 30, 2018 the total number of securities that could potentially dilute basic net loss per share in the future that were not included in the computation of diluted net loss per share because the effect would have been antidilutive was 7.9 million and 8.0 million, respectively.</w:t>
      </w:r>
    </w:p>
    <w:p>
      <w:pPr>
        <w:spacing w:after="0" w:line="108"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For the three and six months ended June 30, 2017, the total number of securities that could potentially dilute basic net loss per share in the future that were not included in the computation of diluted net loss per share because the effect would have been antidilutive was 6.6 million and 6.4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ACCRUED AND OTHER LIABILITIES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Accrued liabilities and other liabilities consist of the following (in thousands):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10"/>
                <w:szCs w:val="10"/>
                <w:color w:val="auto"/>
              </w:rPr>
            </w:pPr>
          </w:p>
        </w:tc>
        <w:tc>
          <w:tcPr>
            <w:tcW w:w="960" w:type="dxa"/>
            <w:vAlign w:val="bottom"/>
          </w:tcPr>
          <w:p>
            <w:pPr>
              <w:jc w:val="right"/>
              <w:ind w:right="172"/>
              <w:spacing w:after="0"/>
              <w:rPr>
                <w:sz w:val="20"/>
                <w:szCs w:val="20"/>
                <w:color w:val="auto"/>
              </w:rPr>
            </w:pPr>
            <w:r>
              <w:rPr>
                <w:rFonts w:ascii="Arial" w:cs="Arial" w:eastAsia="Arial" w:hAnsi="Arial"/>
                <w:sz w:val="11"/>
                <w:szCs w:val="11"/>
                <w:b w:val="1"/>
                <w:bCs w:val="1"/>
                <w:color w:val="auto"/>
                <w:w w:val="97"/>
              </w:rPr>
              <w:t>December 31,</w:t>
            </w:r>
          </w:p>
        </w:tc>
      </w:tr>
      <w:tr>
        <w:trPr>
          <w:trHeight w:val="128"/>
        </w:trPr>
        <w:tc>
          <w:tcPr>
            <w:tcW w:w="370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2017</w:t>
            </w:r>
          </w:p>
        </w:tc>
      </w:tr>
      <w:tr>
        <w:trPr>
          <w:trHeight w:val="129"/>
        </w:trPr>
        <w:tc>
          <w:tcPr>
            <w:tcW w:w="3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clinical and non-clinical expenses</w:t>
            </w: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5,518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5,447</w:t>
            </w:r>
          </w:p>
        </w:tc>
      </w:tr>
      <w:tr>
        <w:trPr>
          <w:trHeight w:val="139"/>
        </w:trPr>
        <w:tc>
          <w:tcPr>
            <w:tcW w:w="3700" w:type="dxa"/>
            <w:vAlign w:val="bottom"/>
          </w:tcPr>
          <w:p>
            <w:pPr>
              <w:spacing w:after="0" w:line="139" w:lineRule="exact"/>
              <w:rPr>
                <w:sz w:val="20"/>
                <w:szCs w:val="20"/>
                <w:color w:val="auto"/>
              </w:rPr>
            </w:pPr>
            <w:r>
              <w:rPr>
                <w:rFonts w:ascii="Arial" w:cs="Arial" w:eastAsia="Arial" w:hAnsi="Arial"/>
                <w:sz w:val="14"/>
                <w:szCs w:val="14"/>
                <w:color w:val="auto"/>
              </w:rPr>
              <w:t>Accrued contract manufacturing</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4"/>
                <w:szCs w:val="14"/>
                <w:color w:val="auto"/>
              </w:rPr>
              <w:t>1,958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39" w:lineRule="exact"/>
              <w:rPr>
                <w:sz w:val="20"/>
                <w:szCs w:val="20"/>
                <w:color w:val="auto"/>
              </w:rPr>
            </w:pPr>
            <w:r>
              <w:rPr>
                <w:rFonts w:ascii="Arial" w:cs="Arial" w:eastAsia="Arial" w:hAnsi="Arial"/>
                <w:sz w:val="14"/>
                <w:szCs w:val="14"/>
                <w:color w:val="auto"/>
              </w:rPr>
              <w:t>3,980</w:t>
            </w:r>
          </w:p>
        </w:tc>
      </w:tr>
      <w:tr>
        <w:trPr>
          <w:trHeight w:val="139"/>
        </w:trPr>
        <w:tc>
          <w:tcPr>
            <w:tcW w:w="37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Derivative liability</w:t>
            </w: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546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r>
      <w:tr>
        <w:trPr>
          <w:trHeight w:val="139"/>
        </w:trPr>
        <w:tc>
          <w:tcPr>
            <w:tcW w:w="3700" w:type="dxa"/>
            <w:vAlign w:val="bottom"/>
          </w:tcPr>
          <w:p>
            <w:pPr>
              <w:spacing w:after="0" w:line="139" w:lineRule="exact"/>
              <w:rPr>
                <w:sz w:val="20"/>
                <w:szCs w:val="20"/>
                <w:color w:val="auto"/>
              </w:rPr>
            </w:pPr>
            <w:r>
              <w:rPr>
                <w:rFonts w:ascii="Arial" w:cs="Arial" w:eastAsia="Arial" w:hAnsi="Arial"/>
                <w:sz w:val="14"/>
                <w:szCs w:val="14"/>
                <w:color w:val="auto"/>
              </w:rPr>
              <w:t>Accrued professional and consulting services</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4"/>
                <w:szCs w:val="14"/>
                <w:color w:val="auto"/>
              </w:rPr>
              <w:t>368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39" w:lineRule="exact"/>
              <w:rPr>
                <w:sz w:val="20"/>
                <w:szCs w:val="20"/>
                <w:color w:val="auto"/>
              </w:rPr>
            </w:pPr>
            <w:r>
              <w:rPr>
                <w:rFonts w:ascii="Arial" w:cs="Arial" w:eastAsia="Arial" w:hAnsi="Arial"/>
                <w:sz w:val="14"/>
                <w:szCs w:val="14"/>
                <w:color w:val="auto"/>
              </w:rPr>
              <w:t>530</w:t>
            </w:r>
          </w:p>
        </w:tc>
      </w:tr>
      <w:tr>
        <w:trPr>
          <w:trHeight w:val="139"/>
        </w:trPr>
        <w:tc>
          <w:tcPr>
            <w:tcW w:w="37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Other</w:t>
            </w:r>
          </w:p>
        </w:tc>
        <w:tc>
          <w:tcPr>
            <w:tcW w:w="1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844</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752</w:t>
            </w:r>
          </w:p>
        </w:tc>
      </w:tr>
      <w:tr>
        <w:trPr>
          <w:trHeight w:val="131"/>
        </w:trPr>
        <w:tc>
          <w:tcPr>
            <w:tcW w:w="3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9,234</w:t>
            </w: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9"/>
              <w:spacing w:after="0" w:line="130"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10,709</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COLLABORATION AND LICENSING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Kyowa Hakko Kirin Co., Ltd., or KHK</w:t>
      </w:r>
    </w:p>
    <w:p>
      <w:pPr>
        <w:spacing w:after="0" w:line="149"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In November 2017, the Company entered into an exclusive license agreement with KHK, or the KHK Agreement, for the development, commercialization and distribution of tenapanor in Japan for cardiorenal indications. The Company assessed these arrangements in accordance with Topic 606 and concluded that the contract counterparty, KHK, is a customer. Under the terms of the KHK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an increase in current assets of $5.0 million as well as in current liabilities of $1.0 million related to the first milestone under the KHK Agreement which the Company believes is not materially at risk, reflecting revenues and cost of revenue,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6" w:name="page17"/>
    <w:bookmarkEnd w:id="1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respectively, that would have been recognized in the fourth quarter 2017 if the Company had adopted Topic 606 prior to January 1, 2018.</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In addition to the up-front license fee of $30.0 million, the Company may be entitled to receive up to $55.0 million in total development milestones and 8.5 billion yen in commercialization milestones, as well as reimbursement of cost plus a reasonable overhead for the supply of product and high-teen royalties on net sales throughout the term of the agreement.</w:t>
      </w:r>
    </w:p>
    <w:p>
      <w:pPr>
        <w:spacing w:after="0" w:line="130"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The Company recorded $30,000 of other revenue for manufacturing supply of tenapanor and other materials to KHK for KHK’s product development and clinical trials in Japan, in accordance with the Company’s agreement with KHK, for the three and six months ended June 30, 2018.</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Shanghai Fosun Pharmaceutical Industrial Development Co. Ltd., or Fosun Pharma</w:t>
      </w:r>
    </w:p>
    <w:p>
      <w:pPr>
        <w:spacing w:after="0" w:line="149"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2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In addition, the Company may be entitled to additional development and commercialization milestones of up to $113.0 million, as well as reimbursement of cost plus a reasonable overhead for the supply of product and tiered royalties on net sales ranging from the mid-teens to 20%.</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was no revenue recorded in the three and six month period ended June 30, 2018 related to the Fosun Agreement.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Knight Therapeutics, Inc., or Knight</w:t>
      </w:r>
    </w:p>
    <w:p>
      <w:pPr>
        <w:spacing w:after="0" w:line="149"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Under the terms of the agreement, the Company is eligible to receive up to CAD 25 million in total payments including an up-front payment and development and sales milestones, reimbursement of supply costs on a schedule specifying cost per tablet, with a reasonable mark up for overhead, as well as double-digit tiered royalties on net sales.</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There was no revenue recorded in the three month period ended June 30, 2018 related to the Knight Agreement. In the six month period ended June 30, 2018, there was $2.3 million of revenue recorded related to the Knight Agreement and $0.5 million of cost of revenue pursuant to the AstraZeneca Termination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7" w:name="page18"/>
    <w:bookmarkEnd w:id="1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AstraZeneca</w:t>
      </w:r>
    </w:p>
    <w:p>
      <w:pPr>
        <w:spacing w:after="0" w:line="149"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In June 2015, the Company entered into a termination agreement with AstraZeneca, or the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$9.9 million of the $75.0 million, recorded as cost of revenue comprising (i) $6.0 million and $2.4 million related to the KHK Agreement and Fosun Agreement, respectively, recorded in 2017 (ii) $1.0 million related to the KHK Agreement associated with a future milestone which the Company believes is not materially at risk for which the Company recorded an increase in current liabilities in the six month period ended June 30, 2018 reflecting the future payable to AstraZeneca and (iii) $0.5 million related to the Knight Agreement recorded in the six month period ended June 30, 2018.</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CONTINGENCIES</w:t>
      </w:r>
    </w:p>
    <w:p>
      <w:pPr>
        <w:spacing w:after="0" w:line="153"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8" w:name="page19"/>
    <w:bookmarkEnd w:id="1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53" w:lineRule="exact"/>
        <w:rPr>
          <w:sz w:val="20"/>
          <w:szCs w:val="20"/>
          <w:color w:val="auto"/>
        </w:rPr>
      </w:pPr>
    </w:p>
    <w:p>
      <w:pPr>
        <w:jc w:val="both"/>
        <w:ind w:firstLine="256"/>
        <w:spacing w:after="0" w:line="144" w:lineRule="exact"/>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w:t>
      </w:r>
      <w:r>
        <w:rPr>
          <w:rFonts w:ascii="MS PGothic" w:cs="MS PGothic" w:eastAsia="MS PGothic" w:hAnsi="MS PGothic"/>
          <w:sz w:val="13"/>
          <w:szCs w:val="13"/>
          <w:i w:val="1"/>
          <w:iCs w:val="1"/>
          <w:color w:val="auto"/>
        </w:rPr>
        <w:t>‑</w:t>
      </w:r>
      <w:r>
        <w:rPr>
          <w:rFonts w:ascii="Arial" w:cs="Arial" w:eastAsia="Arial" w:hAnsi="Arial"/>
          <w:sz w:val="13"/>
          <w:szCs w:val="13"/>
          <w:i w:val="1"/>
          <w:iCs w:val="1"/>
          <w:color w:val="auto"/>
        </w:rPr>
        <w:t>K for the year ended December 31, 2017.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Ardelyx</w:t>
      </w:r>
    </w:p>
    <w:p>
      <w:pPr>
        <w:spacing w:after="0" w:line="153" w:lineRule="exact"/>
        <w:rPr>
          <w:sz w:val="20"/>
          <w:szCs w:val="20"/>
          <w:color w:val="auto"/>
        </w:rPr>
      </w:pPr>
    </w:p>
    <w:p>
      <w:pPr>
        <w:jc w:val="both"/>
        <w:ind w:firstLine="513"/>
        <w:spacing w:after="0" w:line="219" w:lineRule="auto"/>
        <w:rPr>
          <w:sz w:val="20"/>
          <w:szCs w:val="20"/>
          <w:color w:val="auto"/>
        </w:rPr>
      </w:pPr>
      <w:r>
        <w:rPr>
          <w:rFonts w:ascii="Arial" w:cs="Arial" w:eastAsia="Arial" w:hAnsi="Arial"/>
          <w:sz w:val="14"/>
          <w:szCs w:val="14"/>
          <w:color w:val="auto"/>
        </w:rPr>
        <w:t>We are a specialized biopharmaceutical company focused on developing first-in-class, disruptive medicines for the treatment of renal diseases, which affect both the heart and the kidneys. This includes patients with end-stage renal disease, or ESRD, who suffer from elevated serum phosphorus, or hyperphosphatemia; and patients with chronic kidney disease, or CKD, and/or heart failure who have elevated serum potassium, or hyperkalemia. We have also developed a number of programs directed toward treating gastrointestinal, or GI, disorders, including the treatment of irritable bowel syndrome with constipation, or IBS-C.</w:t>
      </w:r>
    </w:p>
    <w:p>
      <w:pPr>
        <w:spacing w:after="0" w:line="130" w:lineRule="exact"/>
        <w:rPr>
          <w:sz w:val="20"/>
          <w:szCs w:val="20"/>
          <w:color w:val="auto"/>
        </w:rPr>
      </w:pPr>
    </w:p>
    <w:p>
      <w:pPr>
        <w:jc w:val="both"/>
        <w:ind w:firstLine="513"/>
        <w:spacing w:after="0" w:line="227" w:lineRule="auto"/>
        <w:rPr>
          <w:sz w:val="20"/>
          <w:szCs w:val="20"/>
          <w:color w:val="auto"/>
        </w:rPr>
      </w:pPr>
      <w:r>
        <w:rPr>
          <w:rFonts w:ascii="Arial" w:cs="Arial" w:eastAsia="Arial" w:hAnsi="Arial"/>
          <w:sz w:val="14"/>
          <w:szCs w:val="14"/>
          <w:color w:val="auto"/>
        </w:rPr>
        <w:t>Our portfolio is led by the development of tenapanor, a first-in-class inhibitor of NHE3. In our renal pipeline, tenapanor is being evaluated in a second Phase 3 trial for the treatment of hyperphosphatemia in patients with ESRD who are on dialysis. We are also advancing a small molecule potassium secretagogue program, RDX013, for the potential treatment of hyperkalemia.</w:t>
      </w:r>
    </w:p>
    <w:p>
      <w:pPr>
        <w:spacing w:after="0" w:line="130" w:lineRule="exact"/>
        <w:rPr>
          <w:sz w:val="20"/>
          <w:szCs w:val="20"/>
          <w:color w:val="auto"/>
        </w:rPr>
      </w:pPr>
    </w:p>
    <w:p>
      <w:pPr>
        <w:jc w:val="both"/>
        <w:ind w:firstLine="513"/>
        <w:spacing w:after="0" w:line="222" w:lineRule="auto"/>
        <w:rPr>
          <w:sz w:val="20"/>
          <w:szCs w:val="20"/>
          <w:color w:val="auto"/>
        </w:rPr>
      </w:pPr>
      <w:r>
        <w:rPr>
          <w:rFonts w:ascii="Arial" w:cs="Arial" w:eastAsia="Arial" w:hAnsi="Arial"/>
          <w:sz w:val="14"/>
          <w:szCs w:val="14"/>
          <w:color w:val="auto"/>
        </w:rPr>
        <w:t>We have also developed tenapanor for the treatment of people with irritable bowel syndrome with constipation, or IBS-C. In 2017, we completed the T3MPO program for this indication, including two Phase 3 studies, both of which achieved statistical significance for the primary endpoint, and a long-term safety extension study. Based on the results of the T3MPO clinical program in IBS-C, we currently plan to submit our first NDA to FDA in the second half of 2018 for tenapanor for the treatment of IBS-C.</w:t>
      </w:r>
    </w:p>
    <w:p>
      <w:pPr>
        <w:spacing w:after="0" w:line="130"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4"/>
          <w:szCs w:val="14"/>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129" w:lineRule="exact"/>
        <w:rPr>
          <w:sz w:val="20"/>
          <w:szCs w:val="20"/>
          <w:color w:val="auto"/>
        </w:rPr>
      </w:pPr>
    </w:p>
    <w:p>
      <w:pPr>
        <w:jc w:val="both"/>
        <w:ind w:firstLine="513"/>
        <w:spacing w:after="0" w:line="227" w:lineRule="auto"/>
        <w:rPr>
          <w:sz w:val="20"/>
          <w:szCs w:val="20"/>
          <w:color w:val="auto"/>
        </w:rPr>
      </w:pPr>
      <w:r>
        <w:rPr>
          <w:rFonts w:ascii="Arial" w:cs="Arial" w:eastAsia="Arial" w:hAnsi="Arial"/>
          <w:sz w:val="14"/>
          <w:szCs w:val="14"/>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w:t>
      </w:r>
    </w:p>
    <w:p>
      <w:pPr>
        <w:spacing w:after="0" w:line="130" w:lineRule="exact"/>
        <w:rPr>
          <w:sz w:val="20"/>
          <w:szCs w:val="20"/>
          <w:color w:val="auto"/>
        </w:rPr>
      </w:pPr>
    </w:p>
    <w:p>
      <w:pPr>
        <w:jc w:val="both"/>
        <w:ind w:firstLine="513"/>
        <w:spacing w:after="0" w:line="247" w:lineRule="auto"/>
        <w:rPr>
          <w:sz w:val="20"/>
          <w:szCs w:val="20"/>
          <w:color w:val="auto"/>
        </w:rPr>
      </w:pPr>
      <w:r>
        <w:rPr>
          <w:rFonts w:ascii="Arial" w:cs="Arial" w:eastAsia="Arial" w:hAnsi="Arial"/>
          <w:sz w:val="13"/>
          <w:szCs w:val="13"/>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26" w:lineRule="exact"/>
        <w:rPr>
          <w:sz w:val="20"/>
          <w:szCs w:val="20"/>
          <w:color w:val="auto"/>
        </w:rPr>
      </w:pPr>
    </w:p>
    <w:p>
      <w:pPr>
        <w:jc w:val="both"/>
        <w:ind w:firstLine="513"/>
        <w:spacing w:after="0" w:line="219" w:lineRule="auto"/>
        <w:rPr>
          <w:sz w:val="20"/>
          <w:szCs w:val="20"/>
          <w:color w:val="auto"/>
        </w:rPr>
      </w:pPr>
      <w:r>
        <w:rPr>
          <w:rFonts w:ascii="Arial" w:cs="Arial" w:eastAsia="Arial" w:hAnsi="Arial"/>
          <w:sz w:val="14"/>
          <w:szCs w:val="14"/>
          <w:color w:val="auto"/>
        </w:rPr>
        <w:t>On May 25, 2018, we completed an underwritten public offering of 12,500,000 shares of our common stock at a price to the public of $4.00 per share, that were purchased by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additional shares of common stock. We received net proceeds from the offering of $53.8 million, after deducting the underwriting discounts, commissions and offering expenses.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19" w:name="page20"/>
    <w:bookmarkEnd w:id="1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513"/>
        <w:spacing w:after="0" w:line="234" w:lineRule="auto"/>
        <w:rPr>
          <w:sz w:val="20"/>
          <w:szCs w:val="20"/>
          <w:color w:val="auto"/>
        </w:rPr>
      </w:pPr>
      <w:r>
        <w:rPr>
          <w:rFonts w:ascii="Arial" w:cs="Arial" w:eastAsia="Arial" w:hAnsi="Arial"/>
          <w:sz w:val="13"/>
          <w:szCs w:val="13"/>
          <w:color w:val="auto"/>
        </w:rPr>
        <w:t>We expect to incur operating losses for the foreseeable future as we prepare for the development and commercialization of tenapanor, including costs associated with completing the on-going Phase 3 development program for tenapanor for the treatment of hyperphosphatemia in patients with ESRD on dialysis, as well as the advancement of our research programs into the preclinical stage and the progression of our early stage research. To date, we have funded our operations from the sale and issuance of common stock, convertible preferred stock, funds from our former collaboration partnerships with AstraZeneca AB, or AstraZeneca, and Sanofi SA, or Sanofi, and funds from our recent license agreements with Kyowa Hakko Kirin Co., Ltd., or KHK, Shanghai Fosun Pharmaceutical Industrial Development Co. Ltd., or Fosun Pharma, and Knight Therapeutics Inc., or Knight.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We have not generated any revenue from product sales. Our past revenue performance is not necessarily indicative of results to be expected for the entire year ending December 31, 2018, or future operating periods. Our non-product revenue cannot always be predicted since it is dependent upon achievement of certain milestones. See “NOTE 2. SUMMARY OF SIGNIFICANT ACCOUNTING POLICIES” for further detail.</w:t>
      </w:r>
    </w:p>
    <w:p>
      <w:pPr>
        <w:spacing w:after="0" w:line="130"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During the first quarter of 2018, we executed license agreements with Knight for the development, commercialization and distribution of tenapanor for hyperphosphatemia and IBS-C in Canada. Under the terms of the Knight license agreements, the Company received a nonrefundable payment of CAD 3 million, or U.S. $2.3 million, in up-front license fees, which was recorded as revenue when the contracts were executed. The agreement also provides for development and commercialization milestone payments, which will be recorded as revenue when we achieve the underlying milestone.</w:t>
      </w:r>
    </w:p>
    <w:p>
      <w:pPr>
        <w:spacing w:after="0" w:line="131"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 xml:space="preserve">On January 1, 2018 we adopted the new standard for Revenue from Contracts with </w:t>
      </w:r>
      <w:r>
        <w:rPr>
          <w:rFonts w:ascii="Arial" w:cs="Arial" w:eastAsia="Arial" w:hAnsi="Arial"/>
          <w:sz w:val="14"/>
          <w:szCs w:val="14"/>
          <w:i w:val="1"/>
          <w:iCs w:val="1"/>
          <w:color w:val="auto"/>
        </w:rPr>
        <w:t>Customers,</w:t>
      </w:r>
      <w:r>
        <w:rPr>
          <w:rFonts w:ascii="Arial" w:cs="Arial" w:eastAsia="Arial" w:hAnsi="Arial"/>
          <w:sz w:val="14"/>
          <w:szCs w:val="14"/>
          <w:color w:val="auto"/>
        </w:rPr>
        <w:t xml:space="preserve"> Topic 606, on a modified retrospective method as an adjustment to the opening balance of retained earnings of the annual reporting period. On January 1, 2018, we recorded an increase in current assets of $5.0 million reflecting a future receivable related to the first milestone under our license with KHK, which we believe is not materially at risk, an increase in current liabilities of $1.0 million reflecting a future payable related to the corresponding payment to AstraZeneca, in accordance with our termination agreement with AstraZeneca and a related decrease in its accumulated deficit of approximately $4.0 million as the new standard permits revenue from certain milestones to be recognized earlier of approximately $4.0 million as the new standard contains different recognition criteria related to milestones than under the previous standard, Topic 605.</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49" w:lineRule="exact"/>
        <w:rPr>
          <w:sz w:val="20"/>
          <w:szCs w:val="20"/>
          <w:color w:val="auto"/>
        </w:rPr>
      </w:pPr>
    </w:p>
    <w:p>
      <w:pPr>
        <w:jc w:val="both"/>
        <w:ind w:firstLine="256"/>
        <w:spacing w:after="0" w:line="213" w:lineRule="auto"/>
        <w:rPr>
          <w:sz w:val="20"/>
          <w:szCs w:val="20"/>
          <w:color w:val="auto"/>
        </w:rPr>
      </w:pPr>
      <w:r>
        <w:rPr>
          <w:rFonts w:ascii="Arial" w:cs="Arial" w:eastAsia="Arial" w:hAnsi="Arial"/>
          <w:sz w:val="14"/>
          <w:szCs w:val="14"/>
          <w:color w:val="auto"/>
        </w:rPr>
        <w:t>Cost of revenue currently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$9.9 million of the $75.0 million, recorded as cost of revenue comprising (i) $6.0 million and $2.4 million related to the KHK Agreement and Fosun Agreement, respectively, recorded in 2017 (ii) $1.0 million related to the KHK Agreement associated with a future milestone which we believe is not materially at risk for which we recorded an increase in current liabilities in the six month period ended June 30, 2018 reflecting the future payable to AstraZeneca and (iii) $0.5 million related to the Knight Agreement recorded in the six month period ended June 30, 2018.</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0" w:name="page21"/>
    <w:bookmarkEnd w:id="2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49"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We recognize all research and development expenses as they are incurred to support the discovery, development and manufacturing of our product candidates. Research and development expenses consist of the following:</w:t>
      </w:r>
    </w:p>
    <w:p>
      <w:pPr>
        <w:spacing w:after="0" w:line="129" w:lineRule="exact"/>
        <w:rPr>
          <w:sz w:val="20"/>
          <w:szCs w:val="20"/>
          <w:color w:val="auto"/>
        </w:rPr>
      </w:pPr>
    </w:p>
    <w:p>
      <w:pPr>
        <w:ind w:left="520" w:hanging="259"/>
        <w:spacing w:after="0" w:line="273" w:lineRule="auto"/>
        <w:tabs>
          <w:tab w:leader="none" w:pos="520" w:val="left"/>
        </w:tabs>
        <w:numPr>
          <w:ilvl w:val="0"/>
          <w:numId w:val="6"/>
        </w:numPr>
        <w:rPr>
          <w:rFonts w:ascii="Arial" w:cs="Arial" w:eastAsia="Arial" w:hAnsi="Arial"/>
          <w:sz w:val="13"/>
          <w:szCs w:val="13"/>
          <w:color w:val="231F20"/>
        </w:rPr>
      </w:pPr>
      <w:r>
        <w:rPr>
          <w:rFonts w:ascii="Arial" w:cs="Arial" w:eastAsia="Arial" w:hAnsi="Arial"/>
          <w:sz w:val="13"/>
          <w:szCs w:val="13"/>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108" w:lineRule="exact"/>
        <w:rPr>
          <w:rFonts w:ascii="Arial" w:cs="Arial" w:eastAsia="Arial" w:hAnsi="Arial"/>
          <w:sz w:val="13"/>
          <w:szCs w:val="13"/>
          <w:color w:val="231F20"/>
        </w:rPr>
      </w:pPr>
    </w:p>
    <w:p>
      <w:pPr>
        <w:ind w:left="520" w:hanging="259"/>
        <w:spacing w:after="0"/>
        <w:tabs>
          <w:tab w:leader="none" w:pos="52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expenses associated with supplies and materials consumed in connection with our research operations;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employee-related expenses, which include salaries, bonuses, benefits, travel and stock-based compensation;</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other costs associated with regulatory, clinical and non-clinical development activities; and</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facilities and other allocated expenses, which include direct and allocated expenses for rent and maintenance of facilities, depreciation and amortization expense, information technology expense and other supplies.</w:t>
      </w:r>
    </w:p>
    <w:p>
      <w:pPr>
        <w:spacing w:after="0" w:line="129"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We expect to continue to make substantial investments in research and development activities as we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31"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4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2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We anticipate that our general and administrative expenses will increase in the future primarily because of (i) increased pre-commercial activities and personnel costs to support the potential launch of tenapanor for the treatment of hyperphosphatemia in ESRD patients on dialysis and (ii) expenses related to costs of operating as a public company primarily preparing for future integrated audits.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1" w:name="page22"/>
    <w:bookmarkEnd w:id="2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49"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The provision for income taxes was insignificant for the three and six months ended June 30, 2018 and zero for the three and six months ended June 30, 2017. We expect to generate a net loss for the year ending December 31, 2018. Our deferred tax assets continue to be fully offset by a valuation allowance.</w:t>
      </w:r>
    </w:p>
    <w:p>
      <w:pPr>
        <w:spacing w:after="0" w:line="108" w:lineRule="exact"/>
        <w:rPr>
          <w:sz w:val="20"/>
          <w:szCs w:val="20"/>
          <w:color w:val="auto"/>
        </w:rPr>
      </w:pPr>
    </w:p>
    <w:p>
      <w:pPr>
        <w:jc w:val="both"/>
        <w:ind w:firstLine="256"/>
        <w:spacing w:after="0" w:line="213" w:lineRule="auto"/>
        <w:rPr>
          <w:sz w:val="20"/>
          <w:szCs w:val="20"/>
          <w:color w:val="auto"/>
        </w:rPr>
      </w:pPr>
      <w:r>
        <w:rPr>
          <w:rFonts w:ascii="Arial" w:cs="Arial" w:eastAsia="Arial" w:hAnsi="Arial"/>
          <w:sz w:val="14"/>
          <w:szCs w:val="14"/>
          <w:color w:val="auto"/>
        </w:rPr>
        <w:t>The Tax Cuts and Jobs Act ("TCJA") makes broad and complex changes to the U.S. tax code, including, but not limited to, reducing the U.S. federal corporate tax rate from 35% to 21%, effective January 1, 2018. The Company was able to determine a reasonable estimate of certain effects of the TCJA and has therefore recognized the provisional tax impacts related to the revaluation of deferred tax assets and liabilities. The Securities and Exchange Commission has provided accounting and reporting guidance that allows the Company to report provisional amounts within a measurement period of up to one year from the date of enactment due to the complexities inherent in adopting the TCJA. The ultimate impact may differ from provisional amounts, possibly materially, due to, among other things, additional analysis, changes in interpretations and assumptions the Company has made, additional regulatory guidance that may be issued, and actions the Company may take as a result of the TCJA. As of June 30, 2018, the Company still considers its accounting for the impacts of the new law to be provisional and will continue to assess the impact of the recently enacted tax law on its business and condensed consolidated financial statements over the next six months.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Accounting Polices and Estimates</w:t>
      </w:r>
    </w:p>
    <w:p>
      <w:pPr>
        <w:spacing w:after="0" w:line="149" w:lineRule="exact"/>
        <w:rPr>
          <w:sz w:val="20"/>
          <w:szCs w:val="20"/>
          <w:color w:val="auto"/>
        </w:rPr>
      </w:pPr>
    </w:p>
    <w:p>
      <w:pPr>
        <w:jc w:val="both"/>
        <w:ind w:firstLine="256"/>
        <w:spacing w:after="0" w:line="230" w:lineRule="auto"/>
        <w:rPr>
          <w:sz w:val="20"/>
          <w:szCs w:val="20"/>
          <w:color w:val="auto"/>
        </w:rPr>
      </w:pPr>
      <w:r>
        <w:rPr>
          <w:rFonts w:ascii="Arial" w:cs="Arial" w:eastAsia="Arial" w:hAnsi="Arial"/>
          <w:sz w:val="13"/>
          <w:szCs w:val="13"/>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Other than the implementation of Topic 606 there have been no changes to our critical accounting policies since we filed our 2017 Form 10-K with the SEC on March 14, 2018. For a description of our critical accounting policies, please refer to our Form 10-K we filed with the SEC on March 14, 2018.</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Three and six months ended June 30, 2018 and 2017</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for the three and six months ended June 30, 2018, as compared to the same period in the prior year, was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Three Months Ended June 30,</w:t>
            </w:r>
          </w:p>
        </w:tc>
        <w:tc>
          <w:tcPr>
            <w:tcW w:w="2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Six Months Ended June 30,</w:t>
            </w:r>
          </w:p>
        </w:tc>
      </w:tr>
      <w:tr>
        <w:trPr>
          <w:trHeight w:val="97"/>
        </w:trPr>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40" w:type="dxa"/>
            <w:vAlign w:val="bottom"/>
            <w:gridSpan w:val="2"/>
          </w:tcPr>
          <w:p>
            <w:pPr>
              <w:jc w:val="right"/>
              <w:ind w:right="23"/>
              <w:spacing w:after="0" w:line="97" w:lineRule="exact"/>
              <w:rPr>
                <w:sz w:val="20"/>
                <w:szCs w:val="20"/>
                <w:color w:val="auto"/>
              </w:rPr>
            </w:pPr>
            <w:r>
              <w:rPr>
                <w:rFonts w:ascii="Arial" w:cs="Arial" w:eastAsia="Arial" w:hAnsi="Arial"/>
                <w:sz w:val="11"/>
                <w:szCs w:val="11"/>
                <w:b w:val="1"/>
                <w:bCs w:val="1"/>
                <w:color w:val="auto"/>
              </w:rPr>
              <w:t>2018</w:t>
            </w:r>
          </w:p>
        </w:tc>
        <w:tc>
          <w:tcPr>
            <w:tcW w:w="260" w:type="dxa"/>
            <w:vAlign w:val="bottom"/>
          </w:tcPr>
          <w:p>
            <w:pPr>
              <w:spacing w:after="0"/>
              <w:rPr>
                <w:sz w:val="8"/>
                <w:szCs w:val="8"/>
                <w:color w:val="auto"/>
              </w:rPr>
            </w:pPr>
          </w:p>
        </w:tc>
        <w:tc>
          <w:tcPr>
            <w:tcW w:w="860" w:type="dxa"/>
            <w:vAlign w:val="bottom"/>
            <w:gridSpan w:val="3"/>
          </w:tcPr>
          <w:p>
            <w:pPr>
              <w:jc w:val="right"/>
              <w:ind w:right="100"/>
              <w:spacing w:after="0" w:line="97" w:lineRule="exact"/>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213"/>
              <w:spacing w:after="0" w:line="97" w:lineRule="exact"/>
              <w:rPr>
                <w:sz w:val="20"/>
                <w:szCs w:val="20"/>
                <w:color w:val="auto"/>
              </w:rPr>
            </w:pPr>
            <w:r>
              <w:rPr>
                <w:rFonts w:ascii="Arial" w:cs="Arial" w:eastAsia="Arial" w:hAnsi="Arial"/>
                <w:sz w:val="11"/>
                <w:szCs w:val="11"/>
                <w:b w:val="1"/>
                <w:bCs w:val="1"/>
                <w:color w:val="auto"/>
              </w:rPr>
              <w:t>2018</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ind w:left="200"/>
              <w:spacing w:after="0" w:line="97" w:lineRule="exact"/>
              <w:rPr>
                <w:sz w:val="20"/>
                <w:szCs w:val="20"/>
                <w:color w:val="auto"/>
              </w:rPr>
            </w:pPr>
            <w:r>
              <w:rPr>
                <w:rFonts w:ascii="Arial" w:cs="Arial" w:eastAsia="Arial" w:hAnsi="Arial"/>
                <w:sz w:val="11"/>
                <w:szCs w:val="11"/>
                <w:b w:val="1"/>
                <w:bCs w:val="1"/>
                <w:color w:val="auto"/>
              </w:rPr>
              <w:t>2017</w:t>
            </w:r>
          </w:p>
        </w:tc>
      </w:tr>
      <w:tr>
        <w:trPr>
          <w:trHeight w:val="129"/>
        </w:trPr>
        <w:tc>
          <w:tcPr>
            <w:tcW w:w="920" w:type="dxa"/>
            <w:vAlign w:val="bottom"/>
          </w:tcPr>
          <w:p>
            <w:pPr>
              <w:spacing w:after="0"/>
              <w:rPr>
                <w:sz w:val="11"/>
                <w:szCs w:val="11"/>
                <w:color w:val="auto"/>
              </w:rPr>
            </w:pPr>
          </w:p>
        </w:tc>
        <w:tc>
          <w:tcPr>
            <w:tcW w:w="3360" w:type="dxa"/>
            <w:vAlign w:val="bottom"/>
            <w:tcBorders>
              <w:top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Licensing revenue</w:t>
            </w: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30"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2,320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r>
      <w:tr>
        <w:trPr>
          <w:trHeight w:val="139"/>
        </w:trPr>
        <w:tc>
          <w:tcPr>
            <w:tcW w:w="920" w:type="dxa"/>
            <w:vAlign w:val="bottom"/>
          </w:tcPr>
          <w:p>
            <w:pPr>
              <w:spacing w:after="0"/>
              <w:rPr>
                <w:sz w:val="12"/>
                <w:szCs w:val="12"/>
                <w:color w:val="auto"/>
              </w:rPr>
            </w:pPr>
          </w:p>
        </w:tc>
        <w:tc>
          <w:tcPr>
            <w:tcW w:w="3360" w:type="dxa"/>
            <w:vAlign w:val="bottom"/>
            <w:gridSpan w:val="2"/>
          </w:tcPr>
          <w:p>
            <w:pPr>
              <w:spacing w:after="0" w:line="139" w:lineRule="exact"/>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line="13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3"/>
          </w:tcPr>
          <w:p>
            <w:pPr>
              <w:ind w:left="40"/>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520"/>
              <w:spacing w:after="0" w:line="139" w:lineRule="exact"/>
              <w:rPr>
                <w:sz w:val="20"/>
                <w:szCs w:val="20"/>
                <w:color w:val="auto"/>
              </w:rPr>
            </w:pPr>
            <w:r>
              <w:rPr>
                <w:rFonts w:ascii="Arial" w:cs="Arial" w:eastAsia="Arial" w:hAnsi="Arial"/>
                <w:sz w:val="14"/>
                <w:szCs w:val="14"/>
                <w:color w:val="auto"/>
              </w:rPr>
              <w:t>—</w:t>
            </w:r>
          </w:p>
        </w:tc>
      </w:tr>
      <w:tr>
        <w:trPr>
          <w:trHeight w:val="129"/>
        </w:trPr>
        <w:tc>
          <w:tcPr>
            <w:tcW w:w="920" w:type="dxa"/>
            <w:vAlign w:val="bottom"/>
          </w:tcPr>
          <w:p>
            <w:pPr>
              <w:spacing w:after="0"/>
              <w:rPr>
                <w:sz w:val="11"/>
                <w:szCs w:val="11"/>
                <w:color w:val="auto"/>
              </w:rPr>
            </w:pPr>
          </w:p>
        </w:tc>
        <w:tc>
          <w:tcPr>
            <w:tcW w:w="3360" w:type="dxa"/>
            <w:vAlign w:val="bottom"/>
            <w:tcBorders>
              <w:top w:val="single" w:sz="8" w:color="CCEEFF"/>
            </w:tcBorders>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30"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2,350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r>
      <w:tr>
        <w:trPr>
          <w:trHeight w:val="139"/>
        </w:trPr>
        <w:tc>
          <w:tcPr>
            <w:tcW w:w="920" w:type="dxa"/>
            <w:vAlign w:val="bottom"/>
          </w:tcPr>
          <w:p>
            <w:pPr>
              <w:spacing w:after="0"/>
              <w:rPr>
                <w:sz w:val="12"/>
                <w:szCs w:val="12"/>
                <w:color w:val="auto"/>
              </w:rPr>
            </w:pPr>
          </w:p>
        </w:tc>
        <w:tc>
          <w:tcPr>
            <w:tcW w:w="3360" w:type="dxa"/>
            <w:vAlign w:val="bottom"/>
            <w:gridSpan w:val="2"/>
          </w:tcPr>
          <w:p>
            <w:pPr>
              <w:spacing w:after="0" w:line="139" w:lineRule="exact"/>
              <w:rPr>
                <w:sz w:val="20"/>
                <w:szCs w:val="20"/>
                <w:color w:val="auto"/>
              </w:rPr>
            </w:pPr>
            <w:r>
              <w:rPr>
                <w:rFonts w:ascii="Arial" w:cs="Arial" w:eastAsia="Arial" w:hAnsi="Arial"/>
                <w:sz w:val="14"/>
                <w:szCs w:val="14"/>
                <w:color w:val="auto"/>
              </w:rPr>
              <w:t>Dollar change from prior year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line="13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2,350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3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Percent change from prior year</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r>
      <w:tr>
        <w:trPr>
          <w:trHeight w:val="85"/>
        </w:trPr>
        <w:tc>
          <w:tcPr>
            <w:tcW w:w="9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2" w:name="page23"/>
    <w:bookmarkEnd w:id="2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Revenue was $30,000 for the three months ended June 30, 2018, an increase of $30,000, compared to zero for the three months ended June 30, 2017. The increase in revenue of $30,000 was related to the manufacturing supply of tenapanor and other materials to KHK for KHK’s product development and clinical trials in Japan in accordance with our agreement with KHK.</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Revenue was $2.4 million for the six months ended June 30, 2018, an increase of $2.4 million, compared to zero for the six months ended June 30, 2017.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revenue was primarily from the licensing revenue of $2.3 million related to the license fees payment we received.</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Cost of revenue for the three and six months ended June 30, 2018, as compared to the same period in the prior year, was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960" w:type="dxa"/>
            <w:vAlign w:val="bottom"/>
            <w:gridSpan w:val="7"/>
          </w:tcPr>
          <w:p>
            <w:pPr>
              <w:jc w:val="right"/>
              <w:ind w:right="329"/>
              <w:spacing w:after="0"/>
              <w:rPr>
                <w:sz w:val="20"/>
                <w:szCs w:val="20"/>
                <w:color w:val="auto"/>
              </w:rPr>
            </w:pPr>
            <w:r>
              <w:rPr>
                <w:rFonts w:ascii="Arial" w:cs="Arial" w:eastAsia="Arial" w:hAnsi="Arial"/>
                <w:sz w:val="11"/>
                <w:szCs w:val="11"/>
                <w:b w:val="1"/>
                <w:bCs w:val="1"/>
                <w:color w:val="auto"/>
              </w:rPr>
              <w:t>Three Months Ended June 30,</w:t>
            </w:r>
          </w:p>
        </w:tc>
        <w:tc>
          <w:tcPr>
            <w:tcW w:w="1720" w:type="dxa"/>
            <w:vAlign w:val="bottom"/>
            <w:gridSpan w:val="5"/>
          </w:tcPr>
          <w:p>
            <w:pPr>
              <w:ind w:left="60"/>
              <w:spacing w:after="0"/>
              <w:rPr>
                <w:sz w:val="20"/>
                <w:szCs w:val="20"/>
                <w:color w:val="auto"/>
              </w:rPr>
            </w:pPr>
            <w:r>
              <w:rPr>
                <w:rFonts w:ascii="Arial" w:cs="Arial" w:eastAsia="Arial" w:hAnsi="Arial"/>
                <w:sz w:val="11"/>
                <w:szCs w:val="11"/>
                <w:b w:val="1"/>
                <w:bCs w:val="1"/>
                <w:color w:val="auto"/>
              </w:rPr>
              <w:t>Six Months Ended June 30,</w:t>
            </w:r>
          </w:p>
        </w:tc>
      </w:tr>
      <w:tr>
        <w:trPr>
          <w:trHeight w:val="97"/>
        </w:trPr>
        <w:tc>
          <w:tcPr>
            <w:tcW w:w="920" w:type="dxa"/>
            <w:vAlign w:val="bottom"/>
          </w:tcPr>
          <w:p>
            <w:pPr>
              <w:spacing w:after="0"/>
              <w:rPr>
                <w:sz w:val="8"/>
                <w:szCs w:val="8"/>
                <w:color w:val="auto"/>
              </w:rPr>
            </w:pPr>
          </w:p>
        </w:tc>
        <w:tc>
          <w:tcPr>
            <w:tcW w:w="136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1"/>
                <w:szCs w:val="11"/>
                <w:b w:val="1"/>
                <w:bCs w:val="1"/>
                <w:color w:val="auto"/>
              </w:rPr>
              <w:t>2018</w:t>
            </w:r>
          </w:p>
        </w:tc>
        <w:tc>
          <w:tcPr>
            <w:tcW w:w="2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16"/>
              <w:spacing w:after="0" w:line="9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15"/>
              <w:spacing w:after="0" w:line="9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6"/>
              <w:spacing w:after="0" w:line="97" w:lineRule="exact"/>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8"/>
                <w:szCs w:val="8"/>
                <w:color w:val="auto"/>
              </w:rPr>
            </w:pPr>
          </w:p>
        </w:tc>
      </w:tr>
      <w:tr>
        <w:trPr>
          <w:trHeight w:val="129"/>
        </w:trPr>
        <w:tc>
          <w:tcPr>
            <w:tcW w:w="920" w:type="dxa"/>
            <w:vAlign w:val="bottom"/>
          </w:tcPr>
          <w:p>
            <w:pPr>
              <w:spacing w:after="0"/>
              <w:rPr>
                <w:sz w:val="11"/>
                <w:szCs w:val="11"/>
                <w:color w:val="auto"/>
              </w:rPr>
            </w:pPr>
          </w:p>
        </w:tc>
        <w:tc>
          <w:tcPr>
            <w:tcW w:w="3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Cost of revenue</w:t>
            </w:r>
          </w:p>
        </w:tc>
        <w:tc>
          <w:tcPr>
            <w:tcW w:w="560" w:type="dxa"/>
            <w:vAlign w:val="bottom"/>
            <w:shd w:val="clear" w:color="auto" w:fill="CCEEFF"/>
          </w:tcPr>
          <w:p>
            <w:pPr>
              <w:jc w:val="right"/>
              <w:ind w:right="418"/>
              <w:spacing w:after="0" w:line="130"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r>
      <w:tr>
        <w:trPr>
          <w:trHeight w:val="139"/>
        </w:trPr>
        <w:tc>
          <w:tcPr>
            <w:tcW w:w="920" w:type="dxa"/>
            <w:vAlign w:val="bottom"/>
          </w:tcPr>
          <w:p>
            <w:pPr>
              <w:spacing w:after="0"/>
              <w:rPr>
                <w:sz w:val="12"/>
                <w:szCs w:val="12"/>
                <w:color w:val="auto"/>
              </w:rPr>
            </w:pPr>
          </w:p>
        </w:tc>
        <w:tc>
          <w:tcPr>
            <w:tcW w:w="3580" w:type="dxa"/>
            <w:vAlign w:val="bottom"/>
            <w:gridSpan w:val="2"/>
          </w:tcPr>
          <w:p>
            <w:pPr>
              <w:spacing w:after="0" w:line="139" w:lineRule="exact"/>
              <w:rPr>
                <w:sz w:val="20"/>
                <w:szCs w:val="20"/>
                <w:color w:val="auto"/>
              </w:rPr>
            </w:pPr>
            <w:r>
              <w:rPr>
                <w:rFonts w:ascii="Arial" w:cs="Arial" w:eastAsia="Arial" w:hAnsi="Arial"/>
                <w:sz w:val="14"/>
                <w:szCs w:val="14"/>
                <w:color w:val="auto"/>
              </w:rPr>
              <w:t>Dollar change from prior year</w:t>
            </w:r>
          </w:p>
        </w:tc>
        <w:tc>
          <w:tcPr>
            <w:tcW w:w="560" w:type="dxa"/>
            <w:vAlign w:val="bottom"/>
          </w:tcPr>
          <w:p>
            <w:pPr>
              <w:spacing w:after="0"/>
              <w:rPr>
                <w:sz w:val="12"/>
                <w:szCs w:val="12"/>
                <w:color w:val="auto"/>
              </w:rPr>
            </w:pPr>
          </w:p>
        </w:tc>
        <w:tc>
          <w:tcPr>
            <w:tcW w:w="520" w:type="dxa"/>
            <w:vAlign w:val="bottom"/>
            <w:gridSpan w:val="3"/>
          </w:tcPr>
          <w:p>
            <w:pPr>
              <w:jc w:val="right"/>
              <w:ind w:right="289"/>
              <w:spacing w:after="0" w:line="13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464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9"/>
        </w:trPr>
        <w:tc>
          <w:tcPr>
            <w:tcW w:w="920" w:type="dxa"/>
            <w:vAlign w:val="bottom"/>
          </w:tcPr>
          <w:p>
            <w:pPr>
              <w:spacing w:after="0"/>
              <w:rPr>
                <w:sz w:val="12"/>
                <w:szCs w:val="12"/>
                <w:color w:val="auto"/>
              </w:rPr>
            </w:pPr>
          </w:p>
        </w:tc>
        <w:tc>
          <w:tcPr>
            <w:tcW w:w="35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Percent change from prior year</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85"/>
        </w:trPr>
        <w:tc>
          <w:tcPr>
            <w:tcW w:w="9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Cost of revenue was negligible for the three months ended June 30, 2018 and June 30, 2017.</w:t>
      </w:r>
    </w:p>
    <w:p>
      <w:pPr>
        <w:spacing w:after="0" w:line="117"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Cost of revenue was $0.5 million for the six months ended June 30, 2018, an increase of $0.5 million, compared to zero for the six months ended June 30, 2017. The increase in cost of revenue of $0.5 million was due to the license fees paid to AstraZeneca pursuant to the Termination Agreement, corresponding to the revenue realized.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4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Research and development expenses for the three and six months ended June 30, 2018, as compared to the same period in the prior year, were as follows (in thousands):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ind w:left="40"/>
              <w:spacing w:after="0"/>
              <w:rPr>
                <w:sz w:val="20"/>
                <w:szCs w:val="20"/>
                <w:color w:val="auto"/>
              </w:rPr>
            </w:pPr>
            <w:r>
              <w:rPr>
                <w:rFonts w:ascii="Arial" w:cs="Arial" w:eastAsia="Arial" w:hAnsi="Arial"/>
                <w:sz w:val="11"/>
                <w:szCs w:val="11"/>
                <w:b w:val="1"/>
                <w:bCs w:val="1"/>
                <w:color w:val="auto"/>
              </w:rPr>
              <w:t>Three Months Ended June 30,</w:t>
            </w:r>
          </w:p>
        </w:tc>
        <w:tc>
          <w:tcPr>
            <w:tcW w:w="14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Six Months Ended June 30,</w:t>
            </w:r>
          </w:p>
        </w:tc>
      </w:tr>
      <w:tr>
        <w:trPr>
          <w:trHeight w:val="97"/>
        </w:trPr>
        <w:tc>
          <w:tcPr>
            <w:tcW w:w="35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15"/>
              <w:spacing w:after="0" w:line="97" w:lineRule="exact"/>
              <w:rPr>
                <w:sz w:val="20"/>
                <w:szCs w:val="20"/>
                <w:color w:val="auto"/>
              </w:rPr>
            </w:pPr>
            <w:r>
              <w:rPr>
                <w:rFonts w:ascii="Arial" w:cs="Arial" w:eastAsia="Arial" w:hAnsi="Arial"/>
                <w:sz w:val="11"/>
                <w:szCs w:val="11"/>
                <w:b w:val="1"/>
                <w:bCs w:val="1"/>
                <w:color w:val="auto"/>
              </w:rPr>
              <w:t>2018</w:t>
            </w:r>
          </w:p>
        </w:tc>
        <w:tc>
          <w:tcPr>
            <w:tcW w:w="200" w:type="dxa"/>
            <w:vAlign w:val="bottom"/>
            <w:tcBorders>
              <w:top w:val="single" w:sz="8" w:color="auto"/>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216"/>
              <w:spacing w:after="0" w:line="9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215"/>
              <w:spacing w:after="0" w:line="97" w:lineRule="exact"/>
              <w:rPr>
                <w:sz w:val="20"/>
                <w:szCs w:val="20"/>
                <w:color w:val="auto"/>
              </w:rPr>
            </w:pPr>
            <w:r>
              <w:rPr>
                <w:rFonts w:ascii="Arial" w:cs="Arial" w:eastAsia="Arial" w:hAnsi="Arial"/>
                <w:sz w:val="11"/>
                <w:szCs w:val="11"/>
                <w:b w:val="1"/>
                <w:bCs w:val="1"/>
                <w:color w:val="auto"/>
              </w:rPr>
              <w:t>2018</w:t>
            </w:r>
          </w:p>
        </w:tc>
        <w:tc>
          <w:tcPr>
            <w:tcW w:w="200" w:type="dxa"/>
            <w:vAlign w:val="bottom"/>
            <w:tcBorders>
              <w:top w:val="single" w:sz="8" w:color="auto"/>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6"/>
              <w:spacing w:after="0" w:line="97"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CCEEFF"/>
            </w:tcBorders>
          </w:tcPr>
          <w:p>
            <w:pPr>
              <w:spacing w:after="0"/>
              <w:rPr>
                <w:sz w:val="8"/>
                <w:szCs w:val="8"/>
                <w:color w:val="auto"/>
              </w:rPr>
            </w:pPr>
          </w:p>
        </w:tc>
      </w:tr>
      <w:tr>
        <w:trPr>
          <w:trHeight w:val="129"/>
        </w:trPr>
        <w:tc>
          <w:tcPr>
            <w:tcW w:w="3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16,046</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20,572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29,396</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42,960</w:t>
            </w:r>
          </w:p>
        </w:tc>
        <w:tc>
          <w:tcPr>
            <w:tcW w:w="40" w:type="dxa"/>
            <w:vAlign w:val="bottom"/>
            <w:shd w:val="clear" w:color="auto" w:fill="CCEEFF"/>
          </w:tcPr>
          <w:p>
            <w:pPr>
              <w:spacing w:after="0"/>
              <w:rPr>
                <w:sz w:val="11"/>
                <w:szCs w:val="11"/>
                <w:color w:val="auto"/>
              </w:rPr>
            </w:pPr>
          </w:p>
        </w:tc>
      </w:tr>
      <w:tr>
        <w:trPr>
          <w:trHeight w:val="139"/>
        </w:trPr>
        <w:tc>
          <w:tcPr>
            <w:tcW w:w="3540" w:type="dxa"/>
            <w:vAlign w:val="bottom"/>
          </w:tcPr>
          <w:p>
            <w:pPr>
              <w:spacing w:after="0" w:line="139" w:lineRule="exact"/>
              <w:rPr>
                <w:sz w:val="20"/>
                <w:szCs w:val="20"/>
                <w:color w:val="auto"/>
              </w:rPr>
            </w:pPr>
            <w:r>
              <w:rPr>
                <w:rFonts w:ascii="Arial" w:cs="Arial" w:eastAsia="Arial" w:hAnsi="Arial"/>
                <w:sz w:val="14"/>
                <w:szCs w:val="14"/>
                <w:color w:val="auto"/>
              </w:rPr>
              <w:t>Dollar change from prior year</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39" w:lineRule="exact"/>
              <w:rPr>
                <w:sz w:val="20"/>
                <w:szCs w:val="20"/>
                <w:color w:val="auto"/>
              </w:rPr>
            </w:pPr>
            <w:r>
              <w:rPr>
                <w:rFonts w:ascii="Arial" w:cs="Arial" w:eastAsia="Arial" w:hAnsi="Arial"/>
                <w:sz w:val="14"/>
                <w:szCs w:val="14"/>
                <w:color w:val="auto"/>
              </w:rPr>
              <w:t>(4,526)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39" w:lineRule="exact"/>
              <w:rPr>
                <w:sz w:val="20"/>
                <w:szCs w:val="20"/>
                <w:color w:val="auto"/>
              </w:rPr>
            </w:pPr>
            <w:r>
              <w:rPr>
                <w:rFonts w:ascii="Arial" w:cs="Arial" w:eastAsia="Arial" w:hAnsi="Arial"/>
                <w:sz w:val="14"/>
                <w:szCs w:val="14"/>
                <w:color w:val="auto"/>
              </w:rPr>
              <w:t>(13,564)</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3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Percent change from prior year</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bl>
    <w:p>
      <w:pPr>
        <w:spacing w:after="0" w:line="117"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Research and development expenses were $16.1 million for the three months ended June 30, 2018, a decrease of $4.5 million, or 22%, compared to $20.6 million for the three months ended June 30, 2017. The decrease consisted of a $2.4 million decrease in our external program costs and a $2.1 million decrease in our internal program costs.</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The decrease in our external program costs of $2.4 million included a $2.2 million decrease related to discontinuation of the RDX7675 program and a $1.0 million decrease related to the reduction of activities associated with the RDX8940 program that was partially offset by $0.8 million primarily related to an increase in expense due to the start of our second tenapanor hyperphosphatemia Phase 3 study.</w:t>
      </w:r>
    </w:p>
    <w:p>
      <w:pPr>
        <w:spacing w:after="0" w:line="130"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The decrease in our internal costs of $2.1 million was primarily due to a decrease in personnel costs, including stock-based compensation costs as a result of a reduction in force during the third quarter of 2017, and a related decrease in research and development activities.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3" w:name="page24"/>
    <w:bookmarkEnd w:id="2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Research and development expenses were $29.4 million for the six months ended June 30, 2018, a decrease of $13.6 million, or 32%, compared to $43.0 million for the six months ended June 30, 2017. The decrease consisted of a $9.4 million decrease in our external program costs and a $4.2 million decrease in our internal program costs.</w:t>
      </w:r>
    </w:p>
    <w:p>
      <w:pPr>
        <w:spacing w:after="0" w:line="130"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The decrease in our external program costs of $9.4 million included a $5.5 million decrease related to discontinuation of the RDX7675 program, a $1.6 million decrease related to the reduction of activities associated with the RDX8940 program and a net $2.3 million decrease in expense primarily for clinical development activities related to the completion of our tenapanor IBS-C Phase 3 clinical program as well as our first tenapanor hyperphosphatemia Phase 3 clinical trial that was partially offset by an increase in expenses incurred related to the start of our second tenapanor hyperphosphatemia Phase 3 study.</w:t>
      </w:r>
    </w:p>
    <w:p>
      <w:pPr>
        <w:spacing w:after="0" w:line="131"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The decrease in our internal costs of $4.2 million was primarily due to a decrease in personnel costs, including stock-based compensation costs, as a result of a reduction in force during the third quarter of 2017, and a related decrease in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4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General and administrative expenses for the three and six months ended June 30, 2018, as compared to the same period in the prior year, were as follows (in thousands):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4"/>
          </w:tcPr>
          <w:p>
            <w:pPr>
              <w:jc w:val="right"/>
              <w:ind w:right="276"/>
              <w:spacing w:after="0"/>
              <w:rPr>
                <w:sz w:val="20"/>
                <w:szCs w:val="20"/>
                <w:color w:val="auto"/>
              </w:rPr>
            </w:pPr>
            <w:r>
              <w:rPr>
                <w:rFonts w:ascii="Arial" w:cs="Arial" w:eastAsia="Arial" w:hAnsi="Arial"/>
                <w:sz w:val="11"/>
                <w:szCs w:val="11"/>
                <w:b w:val="1"/>
                <w:bCs w:val="1"/>
                <w:color w:val="auto"/>
              </w:rPr>
              <w:t>Three Months Ended June 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Six Months Ended June 30,</w:t>
            </w:r>
          </w:p>
        </w:tc>
      </w:tr>
      <w:tr>
        <w:trPr>
          <w:trHeight w:val="97"/>
        </w:trPr>
        <w:tc>
          <w:tcPr>
            <w:tcW w:w="282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295"/>
              <w:spacing w:after="0" w:line="97" w:lineRule="exact"/>
              <w:rPr>
                <w:sz w:val="20"/>
                <w:szCs w:val="20"/>
                <w:color w:val="auto"/>
              </w:rPr>
            </w:pPr>
            <w:r>
              <w:rPr>
                <w:rFonts w:ascii="Arial" w:cs="Arial" w:eastAsia="Arial" w:hAnsi="Arial"/>
                <w:sz w:val="11"/>
                <w:szCs w:val="11"/>
                <w:b w:val="1"/>
                <w:bCs w:val="1"/>
                <w:color w:val="auto"/>
              </w:rPr>
              <w:t>2018</w:t>
            </w:r>
          </w:p>
        </w:tc>
        <w:tc>
          <w:tcPr>
            <w:tcW w:w="24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96"/>
              <w:spacing w:after="0" w:line="9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35"/>
              <w:spacing w:after="0" w:line="97" w:lineRule="exact"/>
              <w:rPr>
                <w:sz w:val="20"/>
                <w:szCs w:val="20"/>
                <w:color w:val="auto"/>
              </w:rPr>
            </w:pPr>
            <w:r>
              <w:rPr>
                <w:rFonts w:ascii="Arial" w:cs="Arial" w:eastAsia="Arial" w:hAnsi="Arial"/>
                <w:sz w:val="11"/>
                <w:szCs w:val="11"/>
                <w:b w:val="1"/>
                <w:bCs w:val="1"/>
                <w:color w:val="auto"/>
              </w:rPr>
              <w:t>2018</w:t>
            </w:r>
          </w:p>
        </w:tc>
        <w:tc>
          <w:tcPr>
            <w:tcW w:w="24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36"/>
              <w:spacing w:after="0" w:line="97" w:lineRule="exact"/>
              <w:rPr>
                <w:sz w:val="20"/>
                <w:szCs w:val="20"/>
                <w:color w:val="auto"/>
              </w:rPr>
            </w:pPr>
            <w:r>
              <w:rPr>
                <w:rFonts w:ascii="Arial" w:cs="Arial" w:eastAsia="Arial" w:hAnsi="Arial"/>
                <w:sz w:val="11"/>
                <w:szCs w:val="11"/>
                <w:b w:val="1"/>
                <w:bCs w:val="1"/>
                <w:color w:val="auto"/>
              </w:rPr>
              <w:t>2017</w:t>
            </w:r>
          </w:p>
        </w:tc>
        <w:tc>
          <w:tcPr>
            <w:tcW w:w="240" w:type="dxa"/>
            <w:vAlign w:val="bottom"/>
            <w:tcBorders>
              <w:bottom w:val="single" w:sz="8" w:color="CCEEFF"/>
            </w:tcBorders>
          </w:tcPr>
          <w:p>
            <w:pPr>
              <w:spacing w:after="0"/>
              <w:rPr>
                <w:sz w:val="8"/>
                <w:szCs w:val="8"/>
                <w:color w:val="auto"/>
              </w:rPr>
            </w:pPr>
          </w:p>
        </w:tc>
      </w:tr>
      <w:tr>
        <w:trPr>
          <w:trHeight w:val="129"/>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6,138</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5,846</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12,329</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11,892</w:t>
            </w:r>
          </w:p>
        </w:tc>
        <w:tc>
          <w:tcPr>
            <w:tcW w:w="240" w:type="dxa"/>
            <w:vAlign w:val="bottom"/>
            <w:shd w:val="clear" w:color="auto" w:fill="CCEEFF"/>
          </w:tcPr>
          <w:p>
            <w:pPr>
              <w:spacing w:after="0"/>
              <w:rPr>
                <w:sz w:val="11"/>
                <w:szCs w:val="11"/>
                <w:color w:val="auto"/>
              </w:rPr>
            </w:pPr>
          </w:p>
        </w:tc>
      </w:tr>
      <w:tr>
        <w:trPr>
          <w:trHeight w:val="139"/>
        </w:trPr>
        <w:tc>
          <w:tcPr>
            <w:tcW w:w="2820" w:type="dxa"/>
            <w:vAlign w:val="bottom"/>
          </w:tcPr>
          <w:p>
            <w:pPr>
              <w:spacing w:after="0" w:line="139" w:lineRule="exact"/>
              <w:rPr>
                <w:sz w:val="20"/>
                <w:szCs w:val="20"/>
                <w:color w:val="auto"/>
              </w:rPr>
            </w:pPr>
            <w:r>
              <w:rPr>
                <w:rFonts w:ascii="Arial" w:cs="Arial" w:eastAsia="Arial" w:hAnsi="Arial"/>
                <w:sz w:val="14"/>
                <w:szCs w:val="14"/>
                <w:color w:val="auto"/>
              </w:rPr>
              <w:t>Dollar change from prior year</w:t>
            </w:r>
          </w:p>
        </w:tc>
        <w:tc>
          <w:tcPr>
            <w:tcW w:w="20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292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437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39"/>
        </w:trPr>
        <w:tc>
          <w:tcPr>
            <w:tcW w:w="28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Percent change from prior year</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jc w:val="right"/>
              <w:ind w:right="49"/>
              <w:spacing w:after="0" w:line="139" w:lineRule="exact"/>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jc w:val="right"/>
              <w:ind w:right="49"/>
              <w:spacing w:after="0" w:line="13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bl>
    <w:p>
      <w:pPr>
        <w:spacing w:after="0" w:line="117"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General and administrative expenses were $6.1 million for the three months ended June 30, 2018, an increase of $0.3 million, or 5%, compared to $5.8 million for the three months ended June 30, 2017. The increase was primarily due to an increase in professional services and stock-based compensation expense, partially offset by a reduction in personnel costs due to reduction in force during the third quarter of 2017.</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General and administrative expenses were $12.3 million for the six months ended June 30, 2018, an increase of $0.4 million, or 4%, compared to $11.9 million for the six months ended June 30, 2017. The increase was primarily due to an increase in professional services and stock-based compensation expense, partially offset by a reduction in personnel costs due to reduction in force during the third quarter of 2017.</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3"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The following table displays a summary of our cash, cash equivalents and short-term investments as of June 30, 2018 and December 31, 2017 (in thousands):</w:t>
      </w:r>
    </w:p>
    <w:p>
      <w:pPr>
        <w:spacing w:after="0" w:line="120"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35"/>
              <w:spacing w:after="0"/>
              <w:rPr>
                <w:sz w:val="20"/>
                <w:szCs w:val="20"/>
                <w:color w:val="auto"/>
              </w:rPr>
            </w:pPr>
            <w:r>
              <w:rPr>
                <w:rFonts w:ascii="Arial" w:cs="Arial" w:eastAsia="Arial" w:hAnsi="Arial"/>
                <w:sz w:val="11"/>
                <w:szCs w:val="11"/>
                <w:b w:val="1"/>
                <w:bCs w:val="1"/>
                <w:color w:val="auto"/>
                <w:w w:val="99"/>
              </w:rPr>
              <w:t>June 30,</w:t>
            </w:r>
          </w:p>
        </w:tc>
        <w:tc>
          <w:tcPr>
            <w:tcW w:w="180" w:type="dxa"/>
            <w:vAlign w:val="bottom"/>
          </w:tcPr>
          <w:p>
            <w:pPr>
              <w:spacing w:after="0"/>
              <w:rPr>
                <w:sz w:val="10"/>
                <w:szCs w:val="10"/>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December 31,</w:t>
            </w:r>
          </w:p>
        </w:tc>
      </w:tr>
      <w:tr>
        <w:trPr>
          <w:trHeight w:val="128"/>
        </w:trPr>
        <w:tc>
          <w:tcPr>
            <w:tcW w:w="54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2017</w:t>
            </w:r>
          </w:p>
        </w:tc>
        <w:tc>
          <w:tcPr>
            <w:tcW w:w="60" w:type="dxa"/>
            <w:vAlign w:val="bottom"/>
            <w:tcBorders>
              <w:bottom w:val="single" w:sz="8" w:color="CCEEFF"/>
            </w:tcBorders>
          </w:tcPr>
          <w:p>
            <w:pPr>
              <w:spacing w:after="0"/>
              <w:rPr>
                <w:sz w:val="11"/>
                <w:szCs w:val="11"/>
                <w:color w:val="auto"/>
              </w:rPr>
            </w:pPr>
          </w:p>
        </w:tc>
      </w:tr>
      <w:tr>
        <w:trPr>
          <w:trHeight w:val="129"/>
        </w:trPr>
        <w:tc>
          <w:tcPr>
            <w:tcW w:w="5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91,751</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75,383</w:t>
            </w:r>
          </w:p>
        </w:tc>
        <w:tc>
          <w:tcPr>
            <w:tcW w:w="60" w:type="dxa"/>
            <w:vAlign w:val="bottom"/>
            <w:shd w:val="clear" w:color="auto" w:fill="CCEEFF"/>
          </w:tcPr>
          <w:p>
            <w:pPr>
              <w:spacing w:after="0"/>
              <w:rPr>
                <w:sz w:val="11"/>
                <w:szCs w:val="11"/>
                <w:color w:val="auto"/>
              </w:rPr>
            </w:pPr>
          </w:p>
        </w:tc>
      </w:tr>
      <w:tr>
        <w:trPr>
          <w:trHeight w:val="139"/>
        </w:trPr>
        <w:tc>
          <w:tcPr>
            <w:tcW w:w="548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rPr>
              <w:t>Short-term investments</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120,980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58,593</w:t>
            </w:r>
          </w:p>
        </w:tc>
        <w:tc>
          <w:tcPr>
            <w:tcW w:w="60" w:type="dxa"/>
            <w:vAlign w:val="bottom"/>
            <w:tcBorders>
              <w:bottom w:val="single" w:sz="8" w:color="CCEEFF"/>
            </w:tcBorders>
          </w:tcPr>
          <w:p>
            <w:pPr>
              <w:spacing w:after="0"/>
              <w:rPr>
                <w:sz w:val="12"/>
                <w:szCs w:val="12"/>
                <w:color w:val="auto"/>
              </w:rPr>
            </w:pPr>
          </w:p>
        </w:tc>
      </w:tr>
      <w:tr>
        <w:trPr>
          <w:trHeight w:val="131"/>
        </w:trPr>
        <w:tc>
          <w:tcPr>
            <w:tcW w:w="5480" w:type="dxa"/>
            <w:vAlign w:val="bottom"/>
            <w:tcBorders>
              <w:bottom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Total liquid funds</w:t>
            </w:r>
          </w:p>
        </w:tc>
        <w:tc>
          <w:tcPr>
            <w:tcW w:w="1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212,731</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133,976</w:t>
            </w:r>
          </w:p>
        </w:tc>
        <w:tc>
          <w:tcPr>
            <w:tcW w:w="60" w:type="dxa"/>
            <w:vAlign w:val="bottom"/>
            <w:tcBorders>
              <w:bottom w:val="single" w:sz="8" w:color="CCEEFF"/>
            </w:tcBorders>
            <w:shd w:val="clear" w:color="auto" w:fill="CCEEFF"/>
          </w:tcPr>
          <w:p>
            <w:pPr>
              <w:spacing w:after="0"/>
              <w:rPr>
                <w:sz w:val="11"/>
                <w:szCs w:val="11"/>
                <w:color w:val="auto"/>
              </w:rPr>
            </w:pPr>
          </w:p>
        </w:tc>
      </w:tr>
    </w:tbl>
    <w:p>
      <w:pPr>
        <w:spacing w:after="0" w:line="117" w:lineRule="exact"/>
        <w:rPr>
          <w:sz w:val="20"/>
          <w:szCs w:val="20"/>
          <w:color w:val="auto"/>
        </w:rPr>
      </w:pPr>
    </w:p>
    <w:p>
      <w:pPr>
        <w:jc w:val="both"/>
        <w:ind w:firstLine="256"/>
        <w:spacing w:after="0" w:line="247" w:lineRule="auto"/>
        <w:rPr>
          <w:sz w:val="20"/>
          <w:szCs w:val="20"/>
          <w:color w:val="auto"/>
        </w:rPr>
      </w:pPr>
      <w:r>
        <w:rPr>
          <w:rFonts w:ascii="Arial" w:cs="Arial" w:eastAsia="Arial" w:hAnsi="Arial"/>
          <w:sz w:val="13"/>
          <w:szCs w:val="13"/>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26"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On May 25, 2018, we completed an underwritten public offering of 12,500,000 shares of our common stock at a price to the public of $4.00 per share, that were purchased by the Underwriters from the Company at a price of $3.76 per Share,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4" w:name="page25"/>
    <w:bookmarkEnd w:id="2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and on June 25, 2018, we sold an additional 1,875,000 shares of our common stock at a price to the public of $4.00 per share, that were purchased by the Underwriters from the Company at a price of $3.76 per Share, following the full exercise of the underwriters’ option to purchase an additional shares of common stock. We received net proceeds from the offering of $53.8 million, after deducting the underwriting discounts, commissions and offering expenses.</w:t>
      </w:r>
    </w:p>
    <w:p>
      <w:pPr>
        <w:spacing w:after="0" w:line="126"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Our primary sources of cash have been primarily from past equity financings, debt financings and collaboration partnerships, including past collaboration partnerships with AstraZeneca and Sanofi and more recent collaboration partnerships with KHK, Fosun Pharma, and Knight.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30" w:lineRule="exact"/>
        <w:rPr>
          <w:sz w:val="20"/>
          <w:szCs w:val="20"/>
          <w:color w:val="auto"/>
        </w:rPr>
      </w:pPr>
    </w:p>
    <w:p>
      <w:pPr>
        <w:jc w:val="both"/>
        <w:ind w:firstLine="256"/>
        <w:spacing w:after="0" w:line="252" w:lineRule="auto"/>
        <w:rPr>
          <w:sz w:val="20"/>
          <w:szCs w:val="20"/>
          <w:color w:val="auto"/>
        </w:rPr>
      </w:pPr>
      <w:r>
        <w:rPr>
          <w:rFonts w:ascii="Arial" w:cs="Arial" w:eastAsia="Arial" w:hAnsi="Arial"/>
          <w:sz w:val="12"/>
          <w:szCs w:val="12"/>
          <w:color w:val="auto"/>
        </w:rPr>
        <w:t>We believe that our existing capital resources as of June 30, 2018 will be sufficient to meet our projected operating requirements for at least the next 12-months. We have based this estimate on assumptions that may prove to be wrong, and we could utilize our available capital resources sooner than we currently expect. Further,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enter into additional collaboration partnerships with third-parties to participate in their development and commercialization, our future funding requirements will depend on many factors, including the following:</w:t>
      </w:r>
    </w:p>
    <w:p>
      <w:pPr>
        <w:spacing w:after="0" w:line="122" w:lineRule="exact"/>
        <w:rPr>
          <w:sz w:val="20"/>
          <w:szCs w:val="20"/>
          <w:color w:val="auto"/>
        </w:rPr>
      </w:pPr>
    </w:p>
    <w:p>
      <w:pPr>
        <w:jc w:val="both"/>
        <w:ind w:left="520" w:hanging="259"/>
        <w:spacing w:after="0" w:line="227" w:lineRule="auto"/>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progress, timing, scope, results and costs of our Phase 3 clinical trial programs evaluating tenapanor for the treatment of hyperphosphatemia in ESRD patients on dialysis, the submission of an NDA with the FDA to request marketing authorization for tenapanor for the treatment of IBS-C, as well as our decision whether or not to pursue other indications for tenapanor;</w:t>
      </w:r>
    </w:p>
    <w:p>
      <w:pPr>
        <w:spacing w:after="0" w:line="130"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our ability to identify a collaboration partner and negotiate acceptable terms for a collaboration partnership for the commercialization of tenapanor in IBS-C in the United States;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our ability to successfully commercialize tenapanor, either alone or with one or more collaboration partners;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manufacturing costs of tenapanor, and the availability of one or more suppliers for tenapanor at reasonable costs;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selling and marketing costs associated with tenapanor, including the cost and timing of building our sales and marketing capabilities;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timing, receipt, and amount of sales of, or royalties on, tenapanor, if any;</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sales price and the availability of adequate third-party reimbursement for tenapanor;</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cash requirements of any future acquisitions or discovery of product candidates;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number and scope of research programs that we decide to pursue or initiate, and any clinical trials we decide to pursue for other product candidates;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7"/>
        </w:numPr>
        <w:rPr>
          <w:rFonts w:ascii="Arial" w:cs="Arial" w:eastAsia="Arial" w:hAnsi="Arial"/>
          <w:sz w:val="14"/>
          <w:szCs w:val="14"/>
          <w:color w:val="231F20"/>
        </w:rPr>
      </w:pPr>
      <w:r>
        <w:rPr>
          <w:rFonts w:ascii="Arial" w:cs="Arial" w:eastAsia="Arial" w:hAnsi="Arial"/>
          <w:sz w:val="14"/>
          <w:szCs w:val="14"/>
          <w:color w:val="auto"/>
        </w:rPr>
        <w:t>the time and cost necessary to respond to technological and market developments;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5" w:name="page26"/>
    <w:bookmarkEnd w:id="2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520" w:hanging="259"/>
        <w:spacing w:after="0" w:line="227" w:lineRule="auto"/>
        <w:tabs>
          <w:tab w:leader="none" w:pos="520" w:val="left"/>
        </w:tabs>
        <w:numPr>
          <w:ilvl w:val="0"/>
          <w:numId w:val="8"/>
        </w:numPr>
        <w:rPr>
          <w:rFonts w:ascii="Arial" w:cs="Arial" w:eastAsia="Arial" w:hAnsi="Arial"/>
          <w:sz w:val="14"/>
          <w:szCs w:val="14"/>
          <w:color w:val="231F20"/>
        </w:rPr>
      </w:pPr>
      <w:r>
        <w:rPr>
          <w:rFonts w:ascii="Arial" w:cs="Arial" w:eastAsia="Arial" w:hAnsi="Arial"/>
          <w:sz w:val="14"/>
          <w:szCs w:val="14"/>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30" w:lineRule="exact"/>
        <w:rPr>
          <w:rFonts w:ascii="Arial" w:cs="Arial" w:eastAsia="Arial" w:hAnsi="Arial"/>
          <w:sz w:val="14"/>
          <w:szCs w:val="14"/>
          <w:color w:val="231F20"/>
        </w:rPr>
      </w:pPr>
    </w:p>
    <w:p>
      <w:pPr>
        <w:ind w:left="520" w:hanging="259"/>
        <w:spacing w:after="0"/>
        <w:tabs>
          <w:tab w:leader="none" w:pos="520" w:val="left"/>
        </w:tabs>
        <w:numPr>
          <w:ilvl w:val="0"/>
          <w:numId w:val="8"/>
        </w:numPr>
        <w:rPr>
          <w:rFonts w:ascii="Arial" w:cs="Arial" w:eastAsia="Arial" w:hAnsi="Arial"/>
          <w:sz w:val="14"/>
          <w:szCs w:val="14"/>
          <w:color w:val="231F20"/>
        </w:rPr>
      </w:pPr>
      <w:r>
        <w:rPr>
          <w:rFonts w:ascii="Arial" w:cs="Arial" w:eastAsia="Arial" w:hAnsi="Arial"/>
          <w:sz w:val="14"/>
          <w:szCs w:val="14"/>
          <w:color w:val="auto"/>
        </w:rPr>
        <w:t>requirements to pay the interest and principal of our Loan Agreement and the restrictions, penalties and covenants therein.</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cash flows for the periods indicated (in thousands):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6"/>
          </w:tcPr>
          <w:p>
            <w:pPr>
              <w:ind w:left="40"/>
              <w:spacing w:after="0"/>
              <w:rPr>
                <w:sz w:val="20"/>
                <w:szCs w:val="20"/>
                <w:color w:val="auto"/>
              </w:rPr>
            </w:pPr>
            <w:r>
              <w:rPr>
                <w:rFonts w:ascii="Arial" w:cs="Arial" w:eastAsia="Arial" w:hAnsi="Arial"/>
                <w:sz w:val="11"/>
                <w:szCs w:val="11"/>
                <w:b w:val="1"/>
                <w:bCs w:val="1"/>
                <w:color w:val="auto"/>
              </w:rPr>
              <w:t>Six Months Ended June 30,</w:t>
            </w:r>
          </w:p>
        </w:tc>
      </w:tr>
      <w:tr>
        <w:trPr>
          <w:trHeight w:val="97"/>
        </w:trPr>
        <w:tc>
          <w:tcPr>
            <w:tcW w:w="548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14"/>
              <w:spacing w:after="0" w:line="97" w:lineRule="exact"/>
              <w:rPr>
                <w:sz w:val="20"/>
                <w:szCs w:val="20"/>
                <w:color w:val="auto"/>
              </w:rPr>
            </w:pPr>
            <w:r>
              <w:rPr>
                <w:rFonts w:ascii="Arial" w:cs="Arial" w:eastAsia="Arial" w:hAnsi="Arial"/>
                <w:sz w:val="11"/>
                <w:szCs w:val="11"/>
                <w:b w:val="1"/>
                <w:bCs w:val="1"/>
                <w:color w:val="auto"/>
              </w:rPr>
              <w:t>2018</w:t>
            </w:r>
          </w:p>
        </w:tc>
        <w:tc>
          <w:tcPr>
            <w:tcW w:w="160" w:type="dxa"/>
            <w:vAlign w:val="bottom"/>
            <w:tcBorders>
              <w:top w:val="single" w:sz="8" w:color="auto"/>
              <w:bottom w:val="single" w:sz="8" w:color="CCEEFF"/>
            </w:tcBorders>
          </w:tcPr>
          <w:p>
            <w:pPr>
              <w:spacing w:after="0"/>
              <w:rPr>
                <w:sz w:val="8"/>
                <w:szCs w:val="8"/>
                <w:color w:val="auto"/>
              </w:rPr>
            </w:pPr>
          </w:p>
        </w:tc>
        <w:tc>
          <w:tcPr>
            <w:tcW w:w="2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212"/>
              <w:spacing w:after="0" w:line="97" w:lineRule="exact"/>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CEEFF"/>
            </w:tcBorders>
          </w:tcPr>
          <w:p>
            <w:pPr>
              <w:spacing w:after="0"/>
              <w:rPr>
                <w:sz w:val="8"/>
                <w:szCs w:val="8"/>
                <w:color w:val="auto"/>
              </w:rPr>
            </w:pPr>
          </w:p>
        </w:tc>
      </w:tr>
      <w:tr>
        <w:trPr>
          <w:trHeight w:val="129"/>
        </w:trPr>
        <w:tc>
          <w:tcPr>
            <w:tcW w:w="5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used in operating activities</w:t>
            </w: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(24,819)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(50,647)</w:t>
            </w:r>
          </w:p>
        </w:tc>
        <w:tc>
          <w:tcPr>
            <w:tcW w:w="100" w:type="dxa"/>
            <w:vAlign w:val="bottom"/>
            <w:shd w:val="clear" w:color="auto" w:fill="CCEEFF"/>
          </w:tcPr>
          <w:p>
            <w:pPr>
              <w:spacing w:after="0"/>
              <w:rPr>
                <w:sz w:val="11"/>
                <w:szCs w:val="11"/>
                <w:color w:val="auto"/>
              </w:rPr>
            </w:pPr>
          </w:p>
        </w:tc>
      </w:tr>
      <w:tr>
        <w:trPr>
          <w:trHeight w:val="139"/>
        </w:trPr>
        <w:tc>
          <w:tcPr>
            <w:tcW w:w="5480" w:type="dxa"/>
            <w:vAlign w:val="bottom"/>
          </w:tcPr>
          <w:p>
            <w:pPr>
              <w:spacing w:after="0" w:line="139" w:lineRule="exact"/>
              <w:rPr>
                <w:sz w:val="20"/>
                <w:szCs w:val="20"/>
                <w:color w:val="auto"/>
              </w:rPr>
            </w:pPr>
            <w:r>
              <w:rPr>
                <w:rFonts w:ascii="Arial" w:cs="Arial" w:eastAsia="Arial" w:hAnsi="Arial"/>
                <w:sz w:val="14"/>
                <w:szCs w:val="14"/>
                <w:color w:val="auto"/>
              </w:rPr>
              <w:t>Cash (used in) provided by investing activities</w:t>
            </w:r>
          </w:p>
        </w:tc>
        <w:tc>
          <w:tcPr>
            <w:tcW w:w="12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(62,176)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39,261</w:t>
            </w:r>
          </w:p>
        </w:tc>
        <w:tc>
          <w:tcPr>
            <w:tcW w:w="100" w:type="dxa"/>
            <w:vAlign w:val="bottom"/>
          </w:tcPr>
          <w:p>
            <w:pPr>
              <w:spacing w:after="0"/>
              <w:rPr>
                <w:sz w:val="12"/>
                <w:szCs w:val="12"/>
                <w:color w:val="auto"/>
              </w:rPr>
            </w:pPr>
          </w:p>
        </w:tc>
      </w:tr>
      <w:tr>
        <w:trPr>
          <w:trHeight w:val="139"/>
        </w:trPr>
        <w:tc>
          <w:tcPr>
            <w:tcW w:w="54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Cash provided by financing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103,363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2"/>
                <w:szCs w:val="12"/>
                <w:color w:val="auto"/>
              </w:rPr>
            </w:pPr>
          </w:p>
        </w:tc>
      </w:tr>
      <w:tr>
        <w:trPr>
          <w:trHeight w:val="131"/>
        </w:trPr>
        <w:tc>
          <w:tcPr>
            <w:tcW w:w="5480" w:type="dxa"/>
            <w:vAlign w:val="bottom"/>
          </w:tcPr>
          <w:p>
            <w:pPr>
              <w:spacing w:after="0" w:line="130"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16,368</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(10,962)</w:t>
            </w:r>
          </w:p>
        </w:tc>
        <w:tc>
          <w:tcPr>
            <w:tcW w:w="100" w:type="dxa"/>
            <w:vAlign w:val="bottom"/>
          </w:tcPr>
          <w:p>
            <w:pPr>
              <w:spacing w:after="0"/>
              <w:rPr>
                <w:sz w:val="11"/>
                <w:szCs w:val="1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53"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Net cash used in operating activities during the six months ended June 30, 2018, was approximately $24.8 million. The net loss of $39.3 million was adjusted for non-cash charges of $1.3 million related to depreciation amortization and non-cash interest expense and $5.0 million for stock-based compensation, and an increase to cash of $8.2 million related to other working capital items associated with changes in our net operating assets and liabilities primarily related to a decrease of receivables related to the Fosun Agreement offset by working capital related to clinical development and manufacturing of tenapanor.</w:t>
      </w:r>
    </w:p>
    <w:p>
      <w:pPr>
        <w:spacing w:after="0" w:line="130"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Net cash used in operating activities during the six months ended June 30, 2017 was approximately $50.6 million. The net loss of $53.7 million was adjusted for non-cash charges of $1.7 million for depreciation and amortization and $4.9 million for stock-based compensation, and a decrease to cash of $3.5 million related to other working capital items associated with changes in our net operating assets and liabilities, primarily related to a decrease in pre-payments to vendors for clinical development and manufacturing activities, and a decrease of accounts payable and accrued liabilities primarily due to expenses for the activities for tenapanor, RDX7675 and RDX8940.</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53"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Net cash used in investing activities was $62.2 million for the six months ended June 30, 2018, primarily due to purchases of investments of $119.0 million offset by maturities of investments of $56.0 million and redemptions of investments of $0.8 million.</w:t>
      </w:r>
    </w:p>
    <w:p>
      <w:pPr>
        <w:spacing w:after="0" w:line="12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Net cash provided by investing activities was $39.3 million for the six months ended June 30, 2017 and was primarily due to maturities and sales of investments of $85.9 million. This was offset by purchases of investments of $44.7 million and acquisition of property and equipment of $1.9 million related to the expansion of our laboratory and related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53"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Net cash provided by financing activities for the six months ended June 30, 2018, was $103.4 million, primarily due to net proceeds of $53.8 million, after deducting the underwriting discounts and commissions and offering expenses from an underwritten public offering of our common stock in May 2018, net proceeds of $49.3 million, after deducting the closing fee, legal expenses and issuance cost from the term loan provided by Solar Capital Ltd. and Western Alliance Bank, and net proceeds of $0.3 million from issuance of common stock under the employee stock purchase plan, or ESPP.</w:t>
      </w:r>
    </w:p>
    <w:p>
      <w:pPr>
        <w:spacing w:after="0" w:line="131"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Net cash provided by financing activities for the six months ended June 30, 2017 was $0.4 million and was due to proceeds from issuance of common stock under ESPP.</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6" w:name="page27"/>
    <w:bookmarkEnd w:id="2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53" w:lineRule="exact"/>
        <w:rPr>
          <w:sz w:val="20"/>
          <w:szCs w:val="20"/>
          <w:color w:val="auto"/>
        </w:rPr>
      </w:pPr>
    </w:p>
    <w:p>
      <w:pPr>
        <w:jc w:val="both"/>
        <w:ind w:firstLine="256"/>
        <w:spacing w:after="0" w:line="160" w:lineRule="exact"/>
        <w:rPr>
          <w:sz w:val="20"/>
          <w:szCs w:val="20"/>
          <w:color w:val="auto"/>
        </w:rPr>
      </w:pPr>
      <w:r>
        <w:rPr>
          <w:rFonts w:ascii="Arial" w:cs="Arial" w:eastAsia="Arial" w:hAnsi="Arial"/>
          <w:sz w:val="14"/>
          <w:szCs w:val="14"/>
          <w:color w:val="auto"/>
        </w:rPr>
        <w:t>Refer to Note 2 in the notes to our unaudited interim condensed consolidated financial statements in Part I, Item 1 of this Quarterly Report on Form 10</w:t>
      </w:r>
      <w:r>
        <w:rPr>
          <w:rFonts w:ascii="MS PGothic" w:cs="MS PGothic" w:eastAsia="MS PGothic" w:hAnsi="MS PGothic"/>
          <w:sz w:val="14"/>
          <w:szCs w:val="14"/>
          <w:color w:val="auto"/>
        </w:rPr>
        <w:t>‑</w:t>
      </w:r>
      <w:r>
        <w:rPr>
          <w:rFonts w:ascii="Arial" w:cs="Arial" w:eastAsia="Arial" w:hAnsi="Arial"/>
          <w:sz w:val="14"/>
          <w:szCs w:val="14"/>
          <w:color w:val="auto"/>
        </w:rPr>
        <w:t>Q, for a discussion of recent accounting pronouncements.</w:t>
      </w:r>
    </w:p>
    <w:p>
      <w:pPr>
        <w:spacing w:after="0" w:line="12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53" w:lineRule="exact"/>
        <w:rPr>
          <w:sz w:val="20"/>
          <w:szCs w:val="20"/>
          <w:color w:val="auto"/>
        </w:rPr>
      </w:pPr>
    </w:p>
    <w:p>
      <w:pPr>
        <w:ind w:left="260"/>
        <w:spacing w:after="0" w:line="150" w:lineRule="exact"/>
        <w:rPr>
          <w:sz w:val="20"/>
          <w:szCs w:val="20"/>
          <w:color w:val="auto"/>
        </w:rPr>
      </w:pPr>
      <w:r>
        <w:rPr>
          <w:rFonts w:ascii="Arial" w:cs="Arial" w:eastAsia="Arial" w:hAnsi="Arial"/>
          <w:sz w:val="13"/>
          <w:szCs w:val="13"/>
          <w:color w:val="auto"/>
        </w:rPr>
        <w:t>There have been no material changes in the sources and effects of our market risk compared to the disclosures in Item 7A of our 2017 Form 10</w:t>
      </w:r>
      <w:r>
        <w:rPr>
          <w:rFonts w:ascii="MS PGothic" w:cs="MS PGothic" w:eastAsia="MS PGothic" w:hAnsi="MS PGothic"/>
          <w:sz w:val="13"/>
          <w:szCs w:val="13"/>
          <w:color w:val="auto"/>
        </w:rPr>
        <w:t>‑</w:t>
      </w:r>
      <w:r>
        <w:rPr>
          <w:rFonts w:ascii="Arial" w:cs="Arial" w:eastAsia="Arial" w:hAnsi="Arial"/>
          <w:sz w:val="13"/>
          <w:szCs w:val="13"/>
          <w:color w:val="auto"/>
        </w:rPr>
        <w:t>K.</w:t>
      </w:r>
    </w:p>
    <w:p>
      <w:pPr>
        <w:spacing w:after="0" w:line="156"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49" w:lineRule="exact"/>
        <w:rPr>
          <w:sz w:val="20"/>
          <w:szCs w:val="20"/>
          <w:color w:val="auto"/>
        </w:rPr>
      </w:pPr>
    </w:p>
    <w:p>
      <w:pPr>
        <w:jc w:val="both"/>
        <w:ind w:firstLine="256"/>
        <w:spacing w:after="0" w:line="145" w:lineRule="exact"/>
        <w:rPr>
          <w:sz w:val="20"/>
          <w:szCs w:val="20"/>
          <w:color w:val="auto"/>
        </w:rPr>
      </w:pPr>
      <w:r>
        <w:rPr>
          <w:rFonts w:ascii="Arial" w:cs="Arial" w:eastAsia="Arial" w:hAnsi="Arial"/>
          <w:sz w:val="14"/>
          <w:szCs w:val="14"/>
          <w:color w:val="auto"/>
        </w:rPr>
        <w:t>As required by Rule 13a</w:t>
      </w:r>
      <w:r>
        <w:rPr>
          <w:rFonts w:ascii="MS PGothic" w:cs="MS PGothic" w:eastAsia="MS PGothic" w:hAnsi="MS PGothic"/>
          <w:sz w:val="14"/>
          <w:szCs w:val="14"/>
          <w:color w:val="auto"/>
        </w:rPr>
        <w:t>‑</w:t>
      </w:r>
      <w:r>
        <w:rPr>
          <w:rFonts w:ascii="Arial" w:cs="Arial" w:eastAsia="Arial" w:hAnsi="Arial"/>
          <w:sz w:val="14"/>
          <w:szCs w:val="14"/>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4"/>
          <w:szCs w:val="14"/>
          <w:color w:val="auto"/>
        </w:rPr>
        <w:t>‑</w:t>
      </w:r>
      <w:r>
        <w:rPr>
          <w:rFonts w:ascii="Arial" w:cs="Arial" w:eastAsia="Arial" w:hAnsi="Arial"/>
          <w:sz w:val="14"/>
          <w:szCs w:val="14"/>
          <w:color w:val="auto"/>
        </w:rPr>
        <w:t>15(e) and 15d</w:t>
      </w:r>
      <w:r>
        <w:rPr>
          <w:rFonts w:ascii="MS PGothic" w:cs="MS PGothic" w:eastAsia="MS PGothic" w:hAnsi="MS PGothic"/>
          <w:sz w:val="14"/>
          <w:szCs w:val="14"/>
          <w:color w:val="auto"/>
        </w:rPr>
        <w:t>‑</w:t>
      </w:r>
      <w:r>
        <w:rPr>
          <w:rFonts w:ascii="Arial" w:cs="Arial" w:eastAsia="Arial" w:hAnsi="Arial"/>
          <w:sz w:val="14"/>
          <w:szCs w:val="14"/>
          <w:color w:val="auto"/>
        </w:rPr>
        <w:t>15(e) under the Exchange Act) as of June 30, 2018.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June 30, 2018, our disclosure controls and procedures were effective at a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4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Inherent Limitations on Effectiveness of Controls</w:t>
      </w:r>
    </w:p>
    <w:p>
      <w:pPr>
        <w:spacing w:after="0" w:line="149"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7" w:name="page28"/>
    <w:bookmarkEnd w:id="2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PART II.</w:t>
      </w:r>
      <w:r>
        <w:rPr>
          <w:sz w:val="20"/>
          <w:szCs w:val="20"/>
          <w:color w:val="auto"/>
        </w:rPr>
        <w:tab/>
      </w:r>
      <w:r>
        <w:rPr>
          <w:rFonts w:ascii="Arial" w:cs="Arial" w:eastAsia="Arial" w:hAnsi="Arial"/>
          <w:sz w:val="14"/>
          <w:szCs w:val="14"/>
          <w:b w:val="1"/>
          <w:bCs w:val="1"/>
          <w:color w:val="auto"/>
        </w:rPr>
        <w:t>OTHER INFORMATION</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53"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From time to time, we may be involved in legal proceedings arising in the ordinary course of business. As of June 30, 2018, there is no litigation pending that would reasonably be expected to have a material adverse effect on our results of operations and financial condition.</w:t>
      </w:r>
    </w:p>
    <w:p>
      <w:pPr>
        <w:spacing w:after="0" w:line="12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tab/>
        <w:t>RISK FACTORS</w:t>
      </w:r>
    </w:p>
    <w:p>
      <w:pPr>
        <w:spacing w:after="0" w:line="153" w:lineRule="exact"/>
        <w:rPr>
          <w:sz w:val="20"/>
          <w:szCs w:val="20"/>
          <w:color w:val="auto"/>
        </w:rPr>
      </w:pPr>
    </w:p>
    <w:p>
      <w:pPr>
        <w:jc w:val="both"/>
        <w:ind w:firstLine="256"/>
        <w:spacing w:after="0" w:line="147" w:lineRule="exact"/>
        <w:rPr>
          <w:sz w:val="20"/>
          <w:szCs w:val="20"/>
          <w:color w:val="auto"/>
        </w:rPr>
      </w:pPr>
      <w:r>
        <w:rPr>
          <w:rFonts w:ascii="Arial" w:cs="Arial" w:eastAsia="Arial" w:hAnsi="Arial"/>
          <w:sz w:val="14"/>
          <w:szCs w:val="14"/>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Limited Operating History, Financial Condition and Capital Requirements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29"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30" w:lineRule="exact"/>
        <w:rPr>
          <w:sz w:val="20"/>
          <w:szCs w:val="20"/>
          <w:color w:val="auto"/>
        </w:rPr>
      </w:pPr>
    </w:p>
    <w:p>
      <w:pPr>
        <w:jc w:val="both"/>
        <w:ind w:firstLine="256"/>
        <w:spacing w:after="0" w:line="247" w:lineRule="auto"/>
        <w:rPr>
          <w:sz w:val="20"/>
          <w:szCs w:val="20"/>
          <w:color w:val="auto"/>
        </w:rPr>
      </w:pPr>
      <w:r>
        <w:rPr>
          <w:rFonts w:ascii="Arial" w:cs="Arial" w:eastAsia="Arial" w:hAnsi="Arial"/>
          <w:sz w:val="13"/>
          <w:szCs w:val="13"/>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June 30, 2018, we had an accumulated deficit of $313.5 million.</w:t>
      </w:r>
    </w:p>
    <w:p>
      <w:pPr>
        <w:spacing w:after="0" w:line="126"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ESRD patients on dialysis, preparing the new drug application, or NDA, for submission to the U.S. Food and Drug Administration, or FDA, to request marketing authorization for tenapanor for the treatment of patients with IBS-C, and continuing our discovery and research activities.</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Our prior losses, combined with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130"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8" w:name="page29"/>
    <w:bookmarkEnd w:id="2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never generated any revenue from product sales and may never be profitable.</w:t>
      </w:r>
    </w:p>
    <w:p>
      <w:pPr>
        <w:spacing w:after="0" w:line="149"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We do not anticipate generating revenue from product sales for the foreseeable future. Our ability to generate future revenue from product sales or pursuant to milestone payments depends heavily on many factors, including but not limited to:</w:t>
      </w:r>
    </w:p>
    <w:p>
      <w:pPr>
        <w:spacing w:after="0" w:line="130" w:lineRule="exact"/>
        <w:rPr>
          <w:sz w:val="20"/>
          <w:szCs w:val="20"/>
          <w:color w:val="auto"/>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the successful completion of nonclinical and clinical development of tenapanor;</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obtaining regulatory approvals for tenapanor, either on our own, or with one or more collaboration partners;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our ability to identify a collaboration partnership and negotiate acceptable terms for a collaboration partnership for the commercialization of tenapanor in IBS-C in the United States;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our ability to successfully commercialize tenapanor, either on our own, or with one or more collaboration partners;</w:t>
      </w:r>
    </w:p>
    <w:p>
      <w:pPr>
        <w:spacing w:after="0" w:line="148" w:lineRule="exact"/>
        <w:rPr>
          <w:rFonts w:ascii="Arial" w:cs="Arial" w:eastAsia="Arial" w:hAnsi="Arial"/>
          <w:sz w:val="14"/>
          <w:szCs w:val="14"/>
          <w:color w:val="231F20"/>
        </w:rPr>
      </w:pPr>
    </w:p>
    <w:p>
      <w:pPr>
        <w:ind w:left="520" w:hanging="259"/>
        <w:spacing w:after="0" w:line="273" w:lineRule="auto"/>
        <w:tabs>
          <w:tab w:leader="none" w:pos="520" w:val="left"/>
        </w:tabs>
        <w:numPr>
          <w:ilvl w:val="0"/>
          <w:numId w:val="9"/>
        </w:numPr>
        <w:rPr>
          <w:rFonts w:ascii="Arial" w:cs="Arial" w:eastAsia="Arial" w:hAnsi="Arial"/>
          <w:sz w:val="13"/>
          <w:szCs w:val="13"/>
          <w:color w:val="231F20"/>
        </w:rPr>
      </w:pPr>
      <w:r>
        <w:rPr>
          <w:rFonts w:ascii="Arial" w:cs="Arial" w:eastAsia="Arial" w:hAnsi="Arial"/>
          <w:sz w:val="13"/>
          <w:szCs w:val="13"/>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08" w:lineRule="exact"/>
        <w:rPr>
          <w:rFonts w:ascii="Arial" w:cs="Arial" w:eastAsia="Arial" w:hAnsi="Arial"/>
          <w:sz w:val="13"/>
          <w:szCs w:val="13"/>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obtaining market acceptance of tenapanor, if approved, as a viable treatment option for the indications for which it is approved;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addressing any competing technological and market developments;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identifying, assessing, acquiring, in-licensing and/or developing new product candidates;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negotiating favorable terms in any collaboration partnership, licensing or other arrangements into which we may enter;</w:t>
      </w:r>
    </w:p>
    <w:p>
      <w:pPr>
        <w:spacing w:after="0" w:line="148" w:lineRule="exact"/>
        <w:rPr>
          <w:rFonts w:ascii="Arial" w:cs="Arial" w:eastAsia="Arial" w:hAnsi="Arial"/>
          <w:sz w:val="14"/>
          <w:szCs w:val="14"/>
          <w:color w:val="231F20"/>
        </w:rPr>
      </w:pPr>
    </w:p>
    <w:p>
      <w:pPr>
        <w:ind w:left="520" w:hanging="259"/>
        <w:spacing w:after="0" w:line="273" w:lineRule="auto"/>
        <w:tabs>
          <w:tab w:leader="none" w:pos="520" w:val="left"/>
        </w:tabs>
        <w:numPr>
          <w:ilvl w:val="0"/>
          <w:numId w:val="9"/>
        </w:numPr>
        <w:rPr>
          <w:rFonts w:ascii="Arial" w:cs="Arial" w:eastAsia="Arial" w:hAnsi="Arial"/>
          <w:sz w:val="13"/>
          <w:szCs w:val="13"/>
          <w:color w:val="231F20"/>
        </w:rPr>
      </w:pPr>
      <w:r>
        <w:rPr>
          <w:rFonts w:ascii="Arial" w:cs="Arial" w:eastAsia="Arial" w:hAnsi="Arial"/>
          <w:sz w:val="13"/>
          <w:szCs w:val="13"/>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08" w:lineRule="exact"/>
        <w:rPr>
          <w:rFonts w:ascii="Arial" w:cs="Arial" w:eastAsia="Arial" w:hAnsi="Arial"/>
          <w:sz w:val="13"/>
          <w:szCs w:val="13"/>
          <w:color w:val="231F20"/>
        </w:rPr>
      </w:pPr>
    </w:p>
    <w:p>
      <w:pPr>
        <w:ind w:left="520" w:hanging="259"/>
        <w:spacing w:after="0"/>
        <w:tabs>
          <w:tab w:leader="none" w:pos="520" w:val="left"/>
        </w:tabs>
        <w:numPr>
          <w:ilvl w:val="0"/>
          <w:numId w:val="9"/>
        </w:numPr>
        <w:rPr>
          <w:rFonts w:ascii="Arial" w:cs="Arial" w:eastAsia="Arial" w:hAnsi="Arial"/>
          <w:sz w:val="14"/>
          <w:szCs w:val="14"/>
          <w:color w:val="231F20"/>
        </w:rPr>
      </w:pPr>
      <w:r>
        <w:rPr>
          <w:rFonts w:ascii="Arial" w:cs="Arial" w:eastAsia="Arial" w:hAnsi="Arial"/>
          <w:sz w:val="14"/>
          <w:szCs w:val="14"/>
          <w:color w:val="auto"/>
        </w:rPr>
        <w:t>attracting, hiring, and retaining qualified personnel.</w:t>
      </w:r>
    </w:p>
    <w:p>
      <w:pPr>
        <w:spacing w:after="0" w:line="149" w:lineRule="exact"/>
        <w:rPr>
          <w:sz w:val="20"/>
          <w:szCs w:val="20"/>
          <w:color w:val="auto"/>
        </w:rPr>
      </w:pPr>
    </w:p>
    <w:p>
      <w:pPr>
        <w:jc w:val="both"/>
        <w:ind w:firstLine="256"/>
        <w:spacing w:after="0" w:line="230" w:lineRule="auto"/>
        <w:rPr>
          <w:sz w:val="20"/>
          <w:szCs w:val="20"/>
          <w:color w:val="auto"/>
        </w:rPr>
      </w:pPr>
      <w:r>
        <w:rPr>
          <w:rFonts w:ascii="Arial" w:cs="Arial" w:eastAsia="Arial" w:hAnsi="Arial"/>
          <w:sz w:val="13"/>
          <w:szCs w:val="13"/>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If the number of patients suitable for tenapanor is not as significant as we estimate, the indications approved by regulatory authorities are narrower than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29" w:name="page30"/>
    <w:bookmarkEnd w:id="2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66" w:lineRule="exact"/>
        <w:rPr>
          <w:sz w:val="20"/>
          <w:szCs w:val="20"/>
          <w:color w:val="auto"/>
        </w:rPr>
      </w:pPr>
    </w:p>
    <w:p>
      <w:pPr>
        <w:jc w:val="both"/>
        <w:ind w:firstLine="256"/>
        <w:spacing w:after="0" w:line="213" w:lineRule="auto"/>
        <w:rPr>
          <w:sz w:val="20"/>
          <w:szCs w:val="20"/>
          <w:color w:val="auto"/>
        </w:rPr>
      </w:pPr>
      <w:r>
        <w:rPr>
          <w:rFonts w:ascii="Arial" w:cs="Arial" w:eastAsia="Arial" w:hAnsi="Arial"/>
          <w:sz w:val="14"/>
          <w:szCs w:val="14"/>
          <w:color w:val="auto"/>
        </w:rPr>
        <w:t>On May 16, 2018, we entered into a loan and security agreement with Silicon Valley Bank and Western Alliance Bank, or collectively the Lenders, pursuant to which the Lenders agreed to provide us a $50.0 million term loan facility with a maturity date of November 1, 2022, or the Term Loan.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230" w:lineRule="exact"/>
        <w:rPr>
          <w:sz w:val="20"/>
          <w:szCs w:val="20"/>
          <w:color w:val="auto"/>
        </w:rPr>
      </w:pPr>
    </w:p>
    <w:p>
      <w:pPr>
        <w:jc w:val="both"/>
        <w:ind w:firstLine="256"/>
        <w:spacing w:after="0" w:line="249" w:lineRule="auto"/>
        <w:rPr>
          <w:sz w:val="20"/>
          <w:szCs w:val="20"/>
          <w:color w:val="auto"/>
        </w:rPr>
      </w:pPr>
      <w:r>
        <w:rPr>
          <w:rFonts w:ascii="Arial" w:cs="Arial" w:eastAsia="Arial" w:hAnsi="Arial"/>
          <w:sz w:val="12"/>
          <w:szCs w:val="12"/>
          <w:color w:val="auto"/>
        </w:rPr>
        <w:t xml:space="preserve">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determines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0"/>
          <w:szCs w:val="10"/>
          <w:color w:val="auto"/>
        </w:rPr>
        <w:t>the</w:t>
      </w:r>
      <w:r>
        <w:rPr>
          <w:rFonts w:ascii="Arial" w:cs="Arial" w:eastAsia="Arial" w:hAnsi="Arial"/>
          <w:sz w:val="12"/>
          <w:szCs w:val="12"/>
          <w:color w:val="auto"/>
        </w:rPr>
        <w:t xml:space="preserve"> Lenders to accelerate the maturity of</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3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30" w:lineRule="exact"/>
        <w:rPr>
          <w:sz w:val="20"/>
          <w:szCs w:val="20"/>
          <w:color w:val="auto"/>
        </w:rPr>
      </w:pPr>
    </w:p>
    <w:p>
      <w:pPr>
        <w:jc w:val="both"/>
        <w:ind w:firstLine="256"/>
        <w:spacing w:after="0" w:line="214" w:lineRule="auto"/>
        <w:rPr>
          <w:sz w:val="20"/>
          <w:szCs w:val="20"/>
          <w:color w:val="auto"/>
        </w:rPr>
      </w:pPr>
      <w:r>
        <w:rPr>
          <w:rFonts w:ascii="Arial" w:cs="Arial" w:eastAsia="Arial" w:hAnsi="Arial"/>
          <w:sz w:val="14"/>
          <w:szCs w:val="14"/>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33" w:lineRule="exact"/>
        <w:rPr>
          <w:sz w:val="20"/>
          <w:szCs w:val="20"/>
          <w:color w:val="auto"/>
        </w:rPr>
      </w:pPr>
    </w:p>
    <w:p>
      <w:pPr>
        <w:jc w:val="both"/>
        <w:ind w:left="520" w:hanging="259"/>
        <w:spacing w:after="0" w:line="227" w:lineRule="auto"/>
        <w:tabs>
          <w:tab w:leader="none" w:pos="520" w:val="left"/>
        </w:tabs>
        <w:numPr>
          <w:ilvl w:val="0"/>
          <w:numId w:val="10"/>
        </w:numPr>
        <w:rPr>
          <w:rFonts w:ascii="Arial" w:cs="Arial" w:eastAsia="Arial" w:hAnsi="Arial"/>
          <w:sz w:val="14"/>
          <w:szCs w:val="14"/>
          <w:color w:val="231F20"/>
        </w:rPr>
      </w:pPr>
      <w:r>
        <w:rPr>
          <w:rFonts w:ascii="Arial" w:cs="Arial" w:eastAsia="Arial" w:hAnsi="Arial"/>
          <w:sz w:val="14"/>
          <w:szCs w:val="14"/>
          <w:color w:val="auto"/>
        </w:rPr>
        <w:t>the progress, timing, scope, results and costs of our Phase 3 clinical trial programs evaluating tenapanor for the treatment of hyperphosphatemia in ESRD patients on dialysis, the submission of an NDA with the FDA to request marketing authorization for tenapanor for the treatment of IBS-C, as well as our decision whether or not to pursue other indications for tenapanor;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0" w:name="page31"/>
    <w:bookmarkEnd w:id="3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ind w:left="520" w:hanging="259"/>
        <w:spacing w:after="0" w:line="238" w:lineRule="auto"/>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our ability to identify a collaboration partner and negotiate acceptable terms for a collaboration partnership for the commercialization of tenapanor in IBS-C in the United States;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our ability to successfully commercialize tenapanor, either alone or with one or more collaboration partners;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manufacturing costs of our product candidates, and the availability of one or more suppliers for our product candidates at reasonable costs, both for clinical and commercial supply;</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selling and marketing costs associated with tenapanor, including the cost and timing of building our sales and marketing capabilities, should we elect to do so;</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timing, receipt, and amount of sales of, or royalties on, tenapanor, if any;</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sales price and the availability of adequate third-party reimbursement for tenapanor, if approved;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cash requirements of any future acquisitions or discovery of product candidates;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number and scope of preclinical and discovery programs that we decide to pursue or initiate, and any clinical trials we decide to pursue for other product candidates;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time and cost necessary to respond to technological and market developments;</w:t>
      </w:r>
    </w:p>
    <w:p>
      <w:pPr>
        <w:spacing w:after="0" w:line="148"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30" w:lineRule="exact"/>
        <w:rPr>
          <w:rFonts w:ascii="Arial" w:cs="Arial" w:eastAsia="Arial" w:hAnsi="Arial"/>
          <w:sz w:val="14"/>
          <w:szCs w:val="14"/>
          <w:color w:val="231F20"/>
        </w:rPr>
      </w:pPr>
    </w:p>
    <w:p>
      <w:pPr>
        <w:ind w:left="520" w:hanging="259"/>
        <w:spacing w:after="0"/>
        <w:tabs>
          <w:tab w:leader="none" w:pos="52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the payment of interest and principal related to our loan and security agreement entered into during May 2018.</w:t>
      </w:r>
    </w:p>
    <w:p>
      <w:pPr>
        <w:spacing w:after="0" w:line="149"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are substantially dependent on the success of our lead product candidate, tenapanor, which may not be successful in further nonclinical studies or clinical trials, receive regulatory approval or be successfully commercialized.</w:t>
      </w:r>
    </w:p>
    <w:p>
      <w:pPr>
        <w:spacing w:after="0" w:line="12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29" w:lineRule="exact"/>
        <w:rPr>
          <w:sz w:val="20"/>
          <w:szCs w:val="20"/>
          <w:color w:val="auto"/>
        </w:rPr>
      </w:pPr>
    </w:p>
    <w:p>
      <w:pPr>
        <w:ind w:left="520" w:hanging="259"/>
        <w:spacing w:after="0" w:line="238" w:lineRule="auto"/>
        <w:tabs>
          <w:tab w:leader="none" w:pos="520" w:val="left"/>
        </w:tabs>
        <w:numPr>
          <w:ilvl w:val="0"/>
          <w:numId w:val="12"/>
        </w:numPr>
        <w:rPr>
          <w:rFonts w:ascii="Arial" w:cs="Arial" w:eastAsia="Arial" w:hAnsi="Arial"/>
          <w:sz w:val="14"/>
          <w:szCs w:val="14"/>
          <w:color w:val="231F20"/>
        </w:rPr>
      </w:pPr>
      <w:r>
        <w:rPr>
          <w:rFonts w:ascii="Arial" w:cs="Arial" w:eastAsia="Arial" w:hAnsi="Arial"/>
          <w:sz w:val="14"/>
          <w:szCs w:val="14"/>
          <w:color w:val="auto"/>
        </w:rPr>
        <w:t>our ability to, in a timely manner and under terms that are acceptable to us, establish a collaboration partnership for the commercialization of tenapanor for the treatment of IBS-C in the United States;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1" w:name="page32"/>
    <w:bookmarkEnd w:id="3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520" w:hanging="259"/>
        <w:spacing w:after="0" w:line="227"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130"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whether the FDA or foreign regulatory authorities require additional nonclinical and/or clinical studies, which could delay the commercialization of tenapanor;</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whether the FDA or foreign regulatory authorities require us to conduct clinical trials in addition to those anticipated prior to approval to market tenapanor;</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whether we will be required to conduct clinical trials in addition to those anticipated to obtain adequate commercial pricing;</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the prevalence and severity of adverse side effects of tenapanor;</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whether tenapanor’s safety and efficacy profile is satisfactory to the FDA and foreign regulatory authorities to gain marketing approval;</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the timely receipt of necessary marketing approvals from the FDA and foreign regulatory authorities;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achieving and maintaining compliance with all regulatory requirements applicable to tenapanor;</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acceptance of tenapanor as safe, effective and well-tolerated by patients and the medical community;</w:t>
      </w:r>
    </w:p>
    <w:p>
      <w:pPr>
        <w:spacing w:after="0" w:line="148"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our ability, alone or with collaboration partners,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130"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the availability, perceived advantages, relative cost, relative safety and relative efficacy of tenapanor compared to alternative and competing treatments;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obtaining and sustaining an adequate level of coverage and reimbursement for tenapanor by third-party payors;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enforcing intellectual property rights in and to tenapanor;</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avoiding third-party interference, opposition, derivation or similar proceedings with respect to our patent rights, and avoiding other challenges to our patent rights and patent infringement claims; and</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3"/>
        </w:numPr>
        <w:rPr>
          <w:rFonts w:ascii="Arial" w:cs="Arial" w:eastAsia="Arial" w:hAnsi="Arial"/>
          <w:sz w:val="14"/>
          <w:szCs w:val="14"/>
          <w:color w:val="231F20"/>
        </w:rPr>
      </w:pPr>
      <w:r>
        <w:rPr>
          <w:rFonts w:ascii="Arial" w:cs="Arial" w:eastAsia="Arial" w:hAnsi="Arial"/>
          <w:sz w:val="14"/>
          <w:szCs w:val="14"/>
          <w:color w:val="auto"/>
        </w:rPr>
        <w:t>a continued acceptable safety and tolerability profile of tenapanor following approval.</w:t>
      </w:r>
    </w:p>
    <w:p>
      <w:pPr>
        <w:spacing w:after="0" w:line="149"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our NDA that we plan to submit for this indication, once submitted, will be accepted by FDA or that we will receive marketing authorization from FDA. Although tenapanor met the primary endpoint in the first Phase 3 clinical trial for the treatment of hyperphosphatemia in ESRD patients on dialysis, there can be no assurances that the second Phase 3 trial of tenapanor in this indication will achieve the primary endpoint, or that tenapanor will receive regulatory approval for this indication. Further, it may not be possible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2" w:name="page33"/>
    <w:bookmarkEnd w:id="3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19" w:lineRule="auto"/>
        <w:rPr>
          <w:sz w:val="20"/>
          <w:szCs w:val="20"/>
          <w:color w:val="auto"/>
        </w:rPr>
      </w:pPr>
      <w:r>
        <w:rPr>
          <w:rFonts w:ascii="Arial" w:cs="Arial" w:eastAsia="Arial" w:hAnsi="Arial"/>
          <w:sz w:val="14"/>
          <w:szCs w:val="14"/>
          <w:color w:val="auto"/>
        </w:rPr>
        <w:t>or practicable to demonstrate, or if approved, to market tenapanor on the basis of certain of the benefits we believe tenapanor possesses. If the number of patients in the market for tenapanor or the price that the market can bear is not as significant as we estimate,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30"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Clinical drug development involves a lengthy and expensive process with an uncertain outcome, and we may encounter substantial delays in our Phase 3 clinical study of tenapanor for the treatment of hyperphosphatemia. Furthermore, results of earlier studies and trials may not be predictive of future trial results.</w:t>
      </w:r>
    </w:p>
    <w:p>
      <w:pPr>
        <w:spacing w:after="0" w:line="130"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Phase 3 program for tenapanor for the treatment of hyperphosphatemia is completed, and despite the completion of our Phase 3 program for tenapanor for IBS-C, the results for one or both indications may not be sufficient to obtain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29"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We do not know whether our second Phase 3 clinical trial for tenapanor for the treatment of hyperphosphatemia will enroll an adequate number of patients on time or be completed on schedule, if at all. Clinical trials can be delayed or terminated for a variety of reasons, including delay or failure to:</w:t>
      </w:r>
    </w:p>
    <w:p>
      <w:pPr>
        <w:spacing w:after="0" w:line="108" w:lineRule="exact"/>
        <w:rPr>
          <w:sz w:val="20"/>
          <w:szCs w:val="20"/>
          <w:color w:val="auto"/>
        </w:rPr>
      </w:pPr>
    </w:p>
    <w:p>
      <w:pPr>
        <w:ind w:left="520" w:hanging="259"/>
        <w:spacing w:after="0" w:line="238" w:lineRule="auto"/>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obtain institutional review board, or IRB, approval at each site;</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recruit suitable patients in a timely manner to participate in our trials;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have patients complete a trial or return for post-treatment follow-up;</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ensure that clinical sites observe trial protocol, comply with good clinical practices, or GCPs, or continue to participate in a trial;</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address any patient safety concerns that arise during the course of a trial;</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address any conflicts with new or existing laws or regulations; or</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4"/>
        </w:numPr>
        <w:rPr>
          <w:rFonts w:ascii="Arial" w:cs="Arial" w:eastAsia="Arial" w:hAnsi="Arial"/>
          <w:sz w:val="14"/>
          <w:szCs w:val="14"/>
          <w:color w:val="231F20"/>
        </w:rPr>
      </w:pPr>
      <w:r>
        <w:rPr>
          <w:rFonts w:ascii="Arial" w:cs="Arial" w:eastAsia="Arial" w:hAnsi="Arial"/>
          <w:sz w:val="14"/>
          <w:szCs w:val="14"/>
          <w:color w:val="auto"/>
        </w:rPr>
        <w:t>initiate or add a sufficient number of clinical trial sites.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3" w:name="page34"/>
    <w:bookmarkEnd w:id="3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30"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We could also encounter delays if our Phase 3 clinical trial is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30"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Further, if there are delays in the completion of, or termination of, the Phase 3 clinical trial for tenapanor for the treatment of hyperphosphatemia, the commercial prospects of tenapanor for such indication may be harmed, and our ability to generate revenue from product sales of tenapanor for such indication will be delayed. In addition, any delays in completing the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the Phase 3 clinical trial may also ultimately lead to the denial of regulatory approval.</w:t>
      </w:r>
    </w:p>
    <w:p>
      <w:pPr>
        <w:spacing w:after="0" w:line="129"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Even if we successfully obtain regulatory approval for tenapanor,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Even if tenapanor obtains FDA or other regulatory approvals, and is ultimately commercialized for one or more indications, it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30" w:lineRule="exact"/>
        <w:rPr>
          <w:sz w:val="20"/>
          <w:szCs w:val="20"/>
          <w:color w:val="auto"/>
        </w:rPr>
      </w:pPr>
    </w:p>
    <w:p>
      <w:pPr>
        <w:ind w:left="520" w:hanging="259"/>
        <w:spacing w:after="0" w:line="23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with respect to tenapanor for IBS-C in the United States, our ability to obtain a collaboration partner for commercialization and the strength of such collaboration partner’s marketing and distribution organizations;</w:t>
      </w:r>
    </w:p>
    <w:p>
      <w:pPr>
        <w:spacing w:after="0" w:line="129" w:lineRule="exact"/>
        <w:rPr>
          <w:rFonts w:ascii="Arial" w:cs="Arial" w:eastAsia="Arial" w:hAnsi="Arial"/>
          <w:sz w:val="14"/>
          <w:szCs w:val="14"/>
          <w:color w:val="auto"/>
        </w:rPr>
      </w:pPr>
    </w:p>
    <w:p>
      <w:pPr>
        <w:ind w:left="520" w:hanging="259"/>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efficacy demonstrated in clinical trials;</w:t>
      </w:r>
    </w:p>
    <w:p>
      <w:pPr>
        <w:spacing w:after="0" w:line="148" w:lineRule="exact"/>
        <w:rPr>
          <w:rFonts w:ascii="Arial" w:cs="Arial" w:eastAsia="Arial" w:hAnsi="Arial"/>
          <w:sz w:val="14"/>
          <w:szCs w:val="14"/>
          <w:color w:val="auto"/>
        </w:rPr>
      </w:pPr>
    </w:p>
    <w:p>
      <w:pPr>
        <w:ind w:left="520" w:hanging="259"/>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prevalence and severity of any side effects and overall safety and tolerability profile of the product;</w:t>
      </w:r>
    </w:p>
    <w:p>
      <w:pPr>
        <w:spacing w:after="0" w:line="148" w:lineRule="exact"/>
        <w:rPr>
          <w:rFonts w:ascii="Arial" w:cs="Arial" w:eastAsia="Arial" w:hAnsi="Arial"/>
          <w:sz w:val="14"/>
          <w:szCs w:val="14"/>
          <w:color w:val="auto"/>
        </w:rPr>
      </w:pPr>
    </w:p>
    <w:p>
      <w:pPr>
        <w:ind w:left="520" w:hanging="259"/>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clinical indications for which it is approved;</w:t>
      </w:r>
    </w:p>
    <w:p>
      <w:pPr>
        <w:spacing w:after="0" w:line="148" w:lineRule="exact"/>
        <w:rPr>
          <w:rFonts w:ascii="Arial" w:cs="Arial" w:eastAsia="Arial" w:hAnsi="Arial"/>
          <w:sz w:val="14"/>
          <w:szCs w:val="14"/>
          <w:color w:val="auto"/>
        </w:rPr>
      </w:pPr>
    </w:p>
    <w:p>
      <w:pPr>
        <w:ind w:left="520" w:hanging="259"/>
        <w:spacing w:after="0" w:line="23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advantages over new or traditional or existing therapies, including recently approved therapies or therapies that the physician community anticipate will be approved;</w:t>
      </w:r>
    </w:p>
    <w:p>
      <w:pPr>
        <w:spacing w:after="0" w:line="129" w:lineRule="exact"/>
        <w:rPr>
          <w:rFonts w:ascii="Arial" w:cs="Arial" w:eastAsia="Arial" w:hAnsi="Arial"/>
          <w:sz w:val="14"/>
          <w:szCs w:val="14"/>
          <w:color w:val="auto"/>
        </w:rPr>
      </w:pPr>
    </w:p>
    <w:p>
      <w:pPr>
        <w:ind w:left="520" w:hanging="259"/>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acceptance by physicians, major operators of clinics and patients of tenapanor as a safe, effective and well-tolerated treatment;</w:t>
      </w:r>
    </w:p>
    <w:p>
      <w:pPr>
        <w:spacing w:after="0" w:line="148" w:lineRule="exact"/>
        <w:rPr>
          <w:rFonts w:ascii="Arial" w:cs="Arial" w:eastAsia="Arial" w:hAnsi="Arial"/>
          <w:sz w:val="14"/>
          <w:szCs w:val="14"/>
          <w:color w:val="auto"/>
        </w:rPr>
      </w:pPr>
    </w:p>
    <w:p>
      <w:pPr>
        <w:ind w:left="520" w:hanging="259"/>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relative convenience and ease of administration of tenapanor;</w:t>
      </w:r>
    </w:p>
    <w:p>
      <w:pPr>
        <w:spacing w:after="0" w:line="148" w:lineRule="exact"/>
        <w:rPr>
          <w:rFonts w:ascii="Arial" w:cs="Arial" w:eastAsia="Arial" w:hAnsi="Arial"/>
          <w:sz w:val="14"/>
          <w:szCs w:val="14"/>
          <w:color w:val="auto"/>
        </w:rPr>
      </w:pPr>
    </w:p>
    <w:p>
      <w:pPr>
        <w:ind w:left="520" w:hanging="259"/>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potential and perceived advantages of tenapanor over current treatment options or alternative treatments, including future alternative treatments;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4" w:name="page35"/>
    <w:bookmarkEnd w:id="3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ind w:left="520" w:hanging="259"/>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cost of treatment in relation to alternative treatments and willingness to pay for tenapanor, if approved, on the part of physicians and patients;</w:t>
      </w:r>
    </w:p>
    <w:p>
      <w:pPr>
        <w:spacing w:after="0" w:line="160" w:lineRule="exact"/>
        <w:rPr>
          <w:rFonts w:ascii="Arial" w:cs="Arial" w:eastAsia="Arial" w:hAnsi="Arial"/>
          <w:sz w:val="13"/>
          <w:szCs w:val="13"/>
          <w:color w:val="auto"/>
        </w:rPr>
      </w:pPr>
    </w:p>
    <w:p>
      <w:pPr>
        <w:ind w:left="520" w:hanging="259"/>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availability of alternative products and their ability to meet market demand; and</w:t>
      </w:r>
    </w:p>
    <w:p>
      <w:pPr>
        <w:spacing w:after="0" w:line="148" w:lineRule="exact"/>
        <w:rPr>
          <w:rFonts w:ascii="Arial" w:cs="Arial" w:eastAsia="Arial" w:hAnsi="Arial"/>
          <w:sz w:val="14"/>
          <w:szCs w:val="14"/>
          <w:color w:val="auto"/>
        </w:rPr>
      </w:pPr>
    </w:p>
    <w:p>
      <w:pPr>
        <w:ind w:left="520" w:hanging="259"/>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quality of our relationships with patient advocacy groups; and</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29"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3"/>
          <w:szCs w:val="13"/>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33"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 and we may not be able to successfully commercialize our product candidates.</w:t>
      </w:r>
    </w:p>
    <w:p>
      <w:pPr>
        <w:spacing w:after="0" w:line="130" w:lineRule="exact"/>
        <w:rPr>
          <w:sz w:val="20"/>
          <w:szCs w:val="20"/>
          <w:color w:val="auto"/>
        </w:rPr>
      </w:pPr>
    </w:p>
    <w:p>
      <w:pPr>
        <w:jc w:val="both"/>
        <w:spacing w:after="0" w:line="315" w:lineRule="auto"/>
        <w:rPr>
          <w:sz w:val="20"/>
          <w:szCs w:val="20"/>
          <w:color w:val="auto"/>
        </w:rPr>
      </w:pPr>
      <w:r>
        <w:rPr>
          <w:rFonts w:ascii="Arial" w:cs="Arial" w:eastAsia="Arial" w:hAnsi="Arial"/>
          <w:sz w:val="12"/>
          <w:szCs w:val="12"/>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86"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29"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5" w:name="page36"/>
    <w:bookmarkEnd w:id="3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may select candidates for development, yet we may fail to advance product candidates to clinical development for many reasons, including the following:</w:t>
      </w:r>
    </w:p>
    <w:p>
      <w:pPr>
        <w:spacing w:after="0" w:line="160" w:lineRule="exact"/>
        <w:rPr>
          <w:sz w:val="20"/>
          <w:szCs w:val="20"/>
          <w:color w:val="auto"/>
        </w:rPr>
      </w:pPr>
    </w:p>
    <w:p>
      <w:pPr>
        <w:ind w:left="520" w:hanging="259"/>
        <w:spacing w:after="0" w:line="273" w:lineRule="auto"/>
        <w:tabs>
          <w:tab w:leader="none" w:pos="520" w:val="left"/>
        </w:tabs>
        <w:numPr>
          <w:ilvl w:val="0"/>
          <w:numId w:val="17"/>
        </w:numPr>
        <w:rPr>
          <w:rFonts w:ascii="Arial" w:cs="Arial" w:eastAsia="Arial" w:hAnsi="Arial"/>
          <w:sz w:val="13"/>
          <w:szCs w:val="13"/>
          <w:color w:val="231F20"/>
        </w:rPr>
      </w:pPr>
      <w:r>
        <w:rPr>
          <w:rFonts w:ascii="Arial" w:cs="Arial" w:eastAsia="Arial" w:hAnsi="Arial"/>
          <w:sz w:val="13"/>
          <w:szCs w:val="13"/>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08" w:lineRule="exact"/>
        <w:rPr>
          <w:rFonts w:ascii="Arial" w:cs="Arial" w:eastAsia="Arial" w:hAnsi="Arial"/>
          <w:sz w:val="13"/>
          <w:szCs w:val="13"/>
          <w:color w:val="231F20"/>
        </w:rPr>
      </w:pPr>
    </w:p>
    <w:p>
      <w:pPr>
        <w:ind w:left="520" w:hanging="259"/>
        <w:spacing w:after="0"/>
        <w:tabs>
          <w:tab w:leader="none" w:pos="520" w:val="left"/>
        </w:tabs>
        <w:numPr>
          <w:ilvl w:val="0"/>
          <w:numId w:val="17"/>
        </w:numPr>
        <w:rPr>
          <w:rFonts w:ascii="Arial" w:cs="Arial" w:eastAsia="Arial" w:hAnsi="Arial"/>
          <w:sz w:val="13"/>
          <w:szCs w:val="13"/>
          <w:color w:val="231F20"/>
        </w:rPr>
      </w:pPr>
      <w:r>
        <w:rPr>
          <w:rFonts w:ascii="Arial" w:cs="Arial" w:eastAsia="Arial" w:hAnsi="Arial"/>
          <w:sz w:val="13"/>
          <w:szCs w:val="13"/>
          <w:color w:val="auto"/>
        </w:rPr>
        <w:t>the research methodology used and our drug discovery and design platform may not be successful in identifying potential product candidates;</w:t>
      </w:r>
    </w:p>
    <w:p>
      <w:pPr>
        <w:spacing w:after="0" w:line="160" w:lineRule="exact"/>
        <w:rPr>
          <w:rFonts w:ascii="Arial" w:cs="Arial" w:eastAsia="Arial" w:hAnsi="Arial"/>
          <w:sz w:val="13"/>
          <w:szCs w:val="13"/>
          <w:color w:val="231F20"/>
        </w:rPr>
      </w:pPr>
    </w:p>
    <w:p>
      <w:pPr>
        <w:ind w:left="520" w:hanging="259"/>
        <w:spacing w:after="0"/>
        <w:tabs>
          <w:tab w:leader="none" w:pos="520" w:val="left"/>
        </w:tabs>
        <w:numPr>
          <w:ilvl w:val="0"/>
          <w:numId w:val="17"/>
        </w:numPr>
        <w:rPr>
          <w:rFonts w:ascii="Arial" w:cs="Arial" w:eastAsia="Arial" w:hAnsi="Arial"/>
          <w:sz w:val="14"/>
          <w:szCs w:val="14"/>
          <w:color w:val="231F20"/>
        </w:rPr>
      </w:pPr>
      <w:r>
        <w:rPr>
          <w:rFonts w:ascii="Arial" w:cs="Arial" w:eastAsia="Arial" w:hAnsi="Arial"/>
          <w:sz w:val="14"/>
          <w:szCs w:val="14"/>
          <w:color w:val="auto"/>
        </w:rPr>
        <w:t>competitors may develop alternatives that render our product candidates obsolete or less attractive;</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7"/>
        </w:numPr>
        <w:rPr>
          <w:rFonts w:ascii="Arial" w:cs="Arial" w:eastAsia="Arial" w:hAnsi="Arial"/>
          <w:sz w:val="14"/>
          <w:szCs w:val="14"/>
          <w:color w:val="231F20"/>
        </w:rPr>
      </w:pPr>
      <w:r>
        <w:rPr>
          <w:rFonts w:ascii="Arial" w:cs="Arial" w:eastAsia="Arial" w:hAnsi="Arial"/>
          <w:sz w:val="14"/>
          <w:szCs w:val="14"/>
          <w:color w:val="auto"/>
        </w:rPr>
        <w:t>product candidates we develop may nevertheless be covered by third parties’ patents or other exclusive rights;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7"/>
        </w:numPr>
        <w:rPr>
          <w:rFonts w:ascii="Arial" w:cs="Arial" w:eastAsia="Arial" w:hAnsi="Arial"/>
          <w:sz w:val="14"/>
          <w:szCs w:val="14"/>
          <w:color w:val="231F20"/>
        </w:rPr>
      </w:pPr>
      <w:r>
        <w:rPr>
          <w:rFonts w:ascii="Arial" w:cs="Arial" w:eastAsia="Arial" w:hAnsi="Arial"/>
          <w:sz w:val="14"/>
          <w:szCs w:val="14"/>
          <w:color w:val="auto"/>
        </w:rPr>
        <w:t>the market for a product candidate may change during our program so that the continued development of that product candidate is no longer reasonable;</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17"/>
        </w:numPr>
        <w:rPr>
          <w:rFonts w:ascii="Arial" w:cs="Arial" w:eastAsia="Arial" w:hAnsi="Arial"/>
          <w:sz w:val="14"/>
          <w:szCs w:val="14"/>
          <w:color w:val="231F20"/>
        </w:rPr>
      </w:pPr>
      <w:r>
        <w:rPr>
          <w:rFonts w:ascii="Arial" w:cs="Arial" w:eastAsia="Arial" w:hAnsi="Arial"/>
          <w:sz w:val="14"/>
          <w:szCs w:val="14"/>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17"/>
        </w:numPr>
        <w:rPr>
          <w:rFonts w:ascii="Arial" w:cs="Arial" w:eastAsia="Arial" w:hAnsi="Arial"/>
          <w:sz w:val="14"/>
          <w:szCs w:val="14"/>
          <w:color w:val="231F20"/>
        </w:rPr>
      </w:pPr>
      <w:r>
        <w:rPr>
          <w:rFonts w:ascii="Arial" w:cs="Arial" w:eastAsia="Arial" w:hAnsi="Arial"/>
          <w:sz w:val="14"/>
          <w:szCs w:val="14"/>
          <w:color w:val="auto"/>
        </w:rPr>
        <w:t>a product candidate may not be capable of being produced in commercial quantities at an acceptable cost, or at all;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7"/>
        </w:numPr>
        <w:rPr>
          <w:rFonts w:ascii="Arial" w:cs="Arial" w:eastAsia="Arial" w:hAnsi="Arial"/>
          <w:sz w:val="13"/>
          <w:szCs w:val="13"/>
          <w:color w:val="231F20"/>
        </w:rPr>
      </w:pPr>
      <w:r>
        <w:rPr>
          <w:rFonts w:ascii="Arial" w:cs="Arial" w:eastAsia="Arial" w:hAnsi="Arial"/>
          <w:sz w:val="13"/>
          <w:szCs w:val="13"/>
          <w:color w:val="auto"/>
        </w:rPr>
        <w:t>a product candidate may not be accepted as safe, effective and well-tolerated by patients, the medical community or third-party payors, if applicable.</w:t>
      </w:r>
    </w:p>
    <w:p>
      <w:pPr>
        <w:spacing w:after="0" w:line="160"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08"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renal diseases, we may need to further develop our proprietary drug discovery and design platform to enhance its usefulness in the identification, screening, testing, design and development of new product candidates for the treatment of renal diseases. There can be no assurances that we will be successful in such additional development of our platform or that our platform will yield product candidates for the treatment of renal diseases.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6" w:name="page37"/>
    <w:bookmarkEnd w:id="3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08"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3"/>
          <w:szCs w:val="13"/>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29" w:lineRule="exact"/>
        <w:rPr>
          <w:sz w:val="20"/>
          <w:szCs w:val="20"/>
          <w:color w:val="auto"/>
        </w:rPr>
      </w:pPr>
    </w:p>
    <w:p>
      <w:pPr>
        <w:jc w:val="both"/>
        <w:spacing w:after="0" w:line="222" w:lineRule="auto"/>
        <w:rPr>
          <w:sz w:val="20"/>
          <w:szCs w:val="20"/>
          <w:color w:val="auto"/>
        </w:rPr>
      </w:pPr>
      <w:r>
        <w:rPr>
          <w:rFonts w:ascii="Arial" w:cs="Arial" w:eastAsia="Arial" w:hAnsi="Arial"/>
          <w:sz w:val="14"/>
          <w:szCs w:val="14"/>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tenapanor or any of our other product candidates receives marketing approval and we or others later identify undesirable side effects caused by the product candidate, the ability to market the product candidates could be compromised.</w:t>
      </w:r>
    </w:p>
    <w:p>
      <w:pPr>
        <w:spacing w:after="0" w:line="130"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3"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129" w:lineRule="exact"/>
        <w:rPr>
          <w:sz w:val="20"/>
          <w:szCs w:val="20"/>
          <w:color w:val="auto"/>
        </w:rPr>
      </w:pPr>
    </w:p>
    <w:p>
      <w:pPr>
        <w:ind w:left="520" w:hanging="259"/>
        <w:spacing w:after="0"/>
        <w:tabs>
          <w:tab w:leader="none" w:pos="520" w:val="left"/>
        </w:tabs>
        <w:numPr>
          <w:ilvl w:val="0"/>
          <w:numId w:val="18"/>
        </w:numPr>
        <w:rPr>
          <w:rFonts w:ascii="Arial" w:cs="Arial" w:eastAsia="Arial" w:hAnsi="Arial"/>
          <w:sz w:val="14"/>
          <w:szCs w:val="14"/>
          <w:color w:val="231F20"/>
        </w:rPr>
      </w:pPr>
      <w:r>
        <w:rPr>
          <w:rFonts w:ascii="Arial" w:cs="Arial" w:eastAsia="Arial" w:hAnsi="Arial"/>
          <w:sz w:val="14"/>
          <w:szCs w:val="14"/>
          <w:color w:val="auto"/>
        </w:rPr>
        <w:t>regulatory authorities may withdraw their approval of the product or seize the product;</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8"/>
        </w:numPr>
        <w:rPr>
          <w:rFonts w:ascii="Arial" w:cs="Arial" w:eastAsia="Arial" w:hAnsi="Arial"/>
          <w:sz w:val="14"/>
          <w:szCs w:val="14"/>
          <w:color w:val="231F20"/>
        </w:rPr>
      </w:pPr>
      <w:r>
        <w:rPr>
          <w:rFonts w:ascii="Arial" w:cs="Arial" w:eastAsia="Arial" w:hAnsi="Arial"/>
          <w:sz w:val="14"/>
          <w:szCs w:val="14"/>
          <w:color w:val="auto"/>
        </w:rPr>
        <w:t>we, or a collaboration partner, may be required to recall the product;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7" w:name="page38"/>
    <w:bookmarkEnd w:id="3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520" w:hanging="259"/>
        <w:spacing w:after="0" w:line="222" w:lineRule="auto"/>
        <w:tabs>
          <w:tab w:leader="none" w:pos="520" w:val="left"/>
        </w:tabs>
        <w:numPr>
          <w:ilvl w:val="0"/>
          <w:numId w:val="19"/>
        </w:numPr>
        <w:rPr>
          <w:rFonts w:ascii="Arial" w:cs="Arial" w:eastAsia="Arial" w:hAnsi="Arial"/>
          <w:sz w:val="14"/>
          <w:szCs w:val="14"/>
          <w:color w:val="231F20"/>
        </w:rPr>
      </w:pPr>
      <w:r>
        <w:rPr>
          <w:rFonts w:ascii="Arial" w:cs="Arial" w:eastAsia="Arial" w:hAnsi="Arial"/>
          <w:sz w:val="14"/>
          <w:szCs w:val="14"/>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30" w:lineRule="exact"/>
        <w:rPr>
          <w:rFonts w:ascii="Arial" w:cs="Arial" w:eastAsia="Arial" w:hAnsi="Arial"/>
          <w:sz w:val="14"/>
          <w:szCs w:val="14"/>
          <w:color w:val="231F20"/>
        </w:rPr>
      </w:pPr>
    </w:p>
    <w:p>
      <w:pPr>
        <w:ind w:left="520" w:hanging="259"/>
        <w:spacing w:after="0"/>
        <w:tabs>
          <w:tab w:leader="none" w:pos="520" w:val="left"/>
        </w:tabs>
        <w:numPr>
          <w:ilvl w:val="0"/>
          <w:numId w:val="19"/>
        </w:numPr>
        <w:rPr>
          <w:rFonts w:ascii="Arial" w:cs="Arial" w:eastAsia="Arial" w:hAnsi="Arial"/>
          <w:sz w:val="14"/>
          <w:szCs w:val="14"/>
          <w:color w:val="231F20"/>
        </w:rPr>
      </w:pPr>
      <w:r>
        <w:rPr>
          <w:rFonts w:ascii="Arial" w:cs="Arial" w:eastAsia="Arial" w:hAnsi="Arial"/>
          <w:sz w:val="14"/>
          <w:szCs w:val="14"/>
          <w:color w:val="auto"/>
        </w:rPr>
        <w:t>we, or a collaboration partner, may be subject to fines, injunctions or the imposition of civil or criminal penalties;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9"/>
        </w:numPr>
        <w:rPr>
          <w:rFonts w:ascii="Arial" w:cs="Arial" w:eastAsia="Arial" w:hAnsi="Arial"/>
          <w:sz w:val="14"/>
          <w:szCs w:val="14"/>
          <w:color w:val="231F20"/>
        </w:rPr>
      </w:pPr>
      <w:r>
        <w:rPr>
          <w:rFonts w:ascii="Arial" w:cs="Arial" w:eastAsia="Arial" w:hAnsi="Arial"/>
          <w:sz w:val="14"/>
          <w:szCs w:val="14"/>
          <w:color w:val="auto"/>
        </w:rPr>
        <w:t>regulatory authorities may require the addition of labeling statements, such as a “black box” warning or a contraindication;</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9"/>
        </w:numPr>
        <w:rPr>
          <w:rFonts w:ascii="Arial" w:cs="Arial" w:eastAsia="Arial" w:hAnsi="Arial"/>
          <w:sz w:val="14"/>
          <w:szCs w:val="14"/>
          <w:color w:val="231F20"/>
        </w:rPr>
      </w:pPr>
      <w:r>
        <w:rPr>
          <w:rFonts w:ascii="Arial" w:cs="Arial" w:eastAsia="Arial" w:hAnsi="Arial"/>
          <w:sz w:val="14"/>
          <w:szCs w:val="14"/>
          <w:color w:val="auto"/>
        </w:rPr>
        <w:t>we could be sued and held liable for harm caused to patients;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9"/>
        </w:numPr>
        <w:rPr>
          <w:rFonts w:ascii="Arial" w:cs="Arial" w:eastAsia="Arial" w:hAnsi="Arial"/>
          <w:sz w:val="14"/>
          <w:szCs w:val="14"/>
          <w:color w:val="231F20"/>
        </w:rPr>
      </w:pPr>
      <w:r>
        <w:rPr>
          <w:rFonts w:ascii="Arial" w:cs="Arial" w:eastAsia="Arial" w:hAnsi="Arial"/>
          <w:sz w:val="14"/>
          <w:szCs w:val="14"/>
          <w:color w:val="auto"/>
        </w:rPr>
        <w:t>the product may become less competitive;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19"/>
        </w:numPr>
        <w:rPr>
          <w:rFonts w:ascii="Arial" w:cs="Arial" w:eastAsia="Arial" w:hAnsi="Arial"/>
          <w:sz w:val="14"/>
          <w:szCs w:val="14"/>
          <w:color w:val="231F20"/>
        </w:rPr>
      </w:pPr>
      <w:r>
        <w:rPr>
          <w:rFonts w:ascii="Arial" w:cs="Arial" w:eastAsia="Arial" w:hAnsi="Arial"/>
          <w:sz w:val="14"/>
          <w:szCs w:val="14"/>
          <w:color w:val="auto"/>
        </w:rPr>
        <w:t>our reputation may suffer</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substantial competition and our competitors may discover, develop or commercialize products faster or more successfully than us.</w:t>
      </w:r>
    </w:p>
    <w:p>
      <w:pPr>
        <w:spacing w:after="0" w:line="160"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example, tenapanor will, if approved, compete directly with phosphate binders for the treatment of hyperphosphatemia in ESRD patients on dialysis.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various types of phosphate binders commercialized in the United States include the following:</w:t>
      </w:r>
    </w:p>
    <w:p>
      <w:pPr>
        <w:spacing w:after="0" w:line="137" w:lineRule="exact"/>
        <w:rPr>
          <w:sz w:val="20"/>
          <w:szCs w:val="20"/>
          <w:color w:val="auto"/>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Calcium carbonate (many over-the-counter brands including Tums and Caltrate)</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Calcium acetate (several prescription brands including PhosLo and Phoslyra)</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Lanthanum carbonate (Fosrenol marketed by Shire)</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Sevelamer hydrochloride (Renagel, marketed by Sanofi)</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Sevelamer carbonate (Renvela, marketed by Sanofi)</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Sucroferric oxyhydroxide (Velphoro, marketed by Vifor Fresenius)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0"/>
        </w:numPr>
        <w:rPr>
          <w:rFonts w:ascii="Arial" w:cs="Arial" w:eastAsia="Arial" w:hAnsi="Arial"/>
          <w:sz w:val="14"/>
          <w:szCs w:val="14"/>
          <w:color w:val="231F20"/>
        </w:rPr>
      </w:pPr>
      <w:r>
        <w:rPr>
          <w:rFonts w:ascii="Arial" w:cs="Arial" w:eastAsia="Arial" w:hAnsi="Arial"/>
          <w:sz w:val="14"/>
          <w:szCs w:val="14"/>
          <w:color w:val="auto"/>
        </w:rPr>
        <w:t>Ferric citrate (Auryxia, marketed by Keryx)</w:t>
      </w:r>
    </w:p>
    <w:p>
      <w:pPr>
        <w:spacing w:after="0" w:line="149"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The hydrochloride form of sevelamer, Renagel, was launched in the United States by Genzyme Corporation in 1998 prior to its acquisition by Sanofi, and the carbonate form, Renvela, was launched in 2008. Sanofi booked €802 million ($0.98 billion) in worldwide sales of sevelamer during 2017.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8" w:name="page39"/>
    <w:bookmarkEnd w:id="3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in Phase 3 being developed by Opko Health, Inc., and PT20, an iron-based binder in Phase 3 being developed by Shield Therapeutics.</w:t>
      </w:r>
    </w:p>
    <w:p>
      <w:pPr>
        <w:spacing w:after="0" w:line="149"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Numerous treatments exist for constipation and the constipation component of IBS -C,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31"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We are also aware of three prescription products marketed for IBS-C: (i) Linzess (linaclotide), marketed by Ironwood Pharmaceuticals and Allergan, (ii) Amitiza (lubiprostone), marketed by Takeda and Sucampo, a wholly-owned subsidiary of Mallinckrodt, and (iii) Trulance (plecanatide), marketed by Synergy Pharmaceuticals.</w:t>
      </w:r>
    </w:p>
    <w:p>
      <w:pPr>
        <w:spacing w:after="0" w:line="130"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30"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difficulties in managing our current activities and growth given our level of managerial, operational, financial and other resources.</w:t>
      </w:r>
    </w:p>
    <w:p>
      <w:pPr>
        <w:spacing w:after="0" w:line="172"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29" w:lineRule="exact"/>
        <w:rPr>
          <w:sz w:val="20"/>
          <w:szCs w:val="20"/>
          <w:color w:val="auto"/>
        </w:rPr>
      </w:pPr>
    </w:p>
    <w:p>
      <w:pPr>
        <w:ind w:left="520" w:hanging="259"/>
        <w:spacing w:after="0"/>
        <w:tabs>
          <w:tab w:leader="none" w:pos="520" w:val="left"/>
        </w:tabs>
        <w:numPr>
          <w:ilvl w:val="0"/>
          <w:numId w:val="21"/>
        </w:numPr>
        <w:rPr>
          <w:rFonts w:ascii="Arial" w:cs="Arial" w:eastAsia="Arial" w:hAnsi="Arial"/>
          <w:sz w:val="14"/>
          <w:szCs w:val="14"/>
          <w:color w:val="231F20"/>
        </w:rPr>
      </w:pPr>
      <w:r>
        <w:rPr>
          <w:rFonts w:ascii="Arial" w:cs="Arial" w:eastAsia="Arial" w:hAnsi="Arial"/>
          <w:sz w:val="14"/>
          <w:szCs w:val="14"/>
          <w:color w:val="auto"/>
        </w:rPr>
        <w:t>manage our clinical trials effectively, including the Phase 3 trial of tenapanor which is being conducted at multiple trial sites;</w:t>
      </w:r>
    </w:p>
    <w:p>
      <w:pPr>
        <w:spacing w:after="0" w:line="148" w:lineRule="exact"/>
        <w:rPr>
          <w:rFonts w:ascii="Arial" w:cs="Arial" w:eastAsia="Arial" w:hAnsi="Arial"/>
          <w:sz w:val="14"/>
          <w:szCs w:val="14"/>
          <w:color w:val="231F20"/>
        </w:rPr>
      </w:pPr>
    </w:p>
    <w:p>
      <w:pPr>
        <w:ind w:left="500" w:hanging="218"/>
        <w:spacing w:after="0" w:line="238" w:lineRule="auto"/>
        <w:tabs>
          <w:tab w:leader="none" w:pos="500" w:val="left"/>
        </w:tabs>
        <w:numPr>
          <w:ilvl w:val="1"/>
          <w:numId w:val="21"/>
        </w:numPr>
        <w:rPr>
          <w:rFonts w:ascii="Arial" w:cs="Arial" w:eastAsia="Arial" w:hAnsi="Arial"/>
          <w:sz w:val="14"/>
          <w:szCs w:val="14"/>
          <w:color w:val="231F20"/>
        </w:rPr>
      </w:pPr>
      <w:r>
        <w:rPr>
          <w:rFonts w:ascii="Arial" w:cs="Arial" w:eastAsia="Arial" w:hAnsi="Arial"/>
          <w:sz w:val="14"/>
          <w:szCs w:val="14"/>
          <w:color w:val="auto"/>
        </w:rPr>
        <w:t>manage our internal research and development efforts effectively while carrying out our contractual obligations to licensors, contractors, collaborators, government agencies and other third parties;</w:t>
      </w:r>
    </w:p>
    <w:p>
      <w:pPr>
        <w:spacing w:after="0" w:line="129" w:lineRule="exact"/>
        <w:rPr>
          <w:rFonts w:ascii="Arial" w:cs="Arial" w:eastAsia="Arial" w:hAnsi="Arial"/>
          <w:sz w:val="14"/>
          <w:szCs w:val="14"/>
          <w:color w:val="231F20"/>
        </w:rPr>
      </w:pPr>
    </w:p>
    <w:p>
      <w:pPr>
        <w:ind w:left="500" w:hanging="218"/>
        <w:spacing w:after="0"/>
        <w:tabs>
          <w:tab w:leader="none" w:pos="500" w:val="left"/>
        </w:tabs>
        <w:numPr>
          <w:ilvl w:val="1"/>
          <w:numId w:val="21"/>
        </w:numPr>
        <w:rPr>
          <w:rFonts w:ascii="Arial" w:cs="Arial" w:eastAsia="Arial" w:hAnsi="Arial"/>
          <w:sz w:val="14"/>
          <w:szCs w:val="14"/>
          <w:color w:val="231F20"/>
        </w:rPr>
      </w:pPr>
      <w:r>
        <w:rPr>
          <w:rFonts w:ascii="Arial" w:cs="Arial" w:eastAsia="Arial" w:hAnsi="Arial"/>
          <w:sz w:val="14"/>
          <w:szCs w:val="14"/>
          <w:color w:val="auto"/>
        </w:rPr>
        <w:t>continue to improve our operational, financial and management controls, reporting systems and procedures; and</w:t>
      </w:r>
    </w:p>
    <w:p>
      <w:pPr>
        <w:spacing w:after="0" w:line="148" w:lineRule="exact"/>
        <w:rPr>
          <w:rFonts w:ascii="Arial" w:cs="Arial" w:eastAsia="Arial" w:hAnsi="Arial"/>
          <w:sz w:val="14"/>
          <w:szCs w:val="14"/>
          <w:color w:val="231F20"/>
        </w:rPr>
      </w:pPr>
    </w:p>
    <w:p>
      <w:pPr>
        <w:ind w:left="500" w:hanging="218"/>
        <w:spacing w:after="0"/>
        <w:tabs>
          <w:tab w:leader="none" w:pos="500" w:val="left"/>
        </w:tabs>
        <w:numPr>
          <w:ilvl w:val="1"/>
          <w:numId w:val="21"/>
        </w:numPr>
        <w:rPr>
          <w:rFonts w:ascii="Arial" w:cs="Arial" w:eastAsia="Arial" w:hAnsi="Arial"/>
          <w:sz w:val="14"/>
          <w:szCs w:val="14"/>
          <w:color w:val="231F20"/>
        </w:rPr>
      </w:pPr>
      <w:r>
        <w:rPr>
          <w:rFonts w:ascii="Arial" w:cs="Arial" w:eastAsia="Arial" w:hAnsi="Arial"/>
          <w:sz w:val="14"/>
          <w:szCs w:val="14"/>
          <w:color w:val="auto"/>
        </w:rPr>
        <w:t>retain and motivate our remaining employees and potentially identify, recruit, and integrate additional employees.</w:t>
      </w:r>
    </w:p>
    <w:p>
      <w:pPr>
        <w:spacing w:after="0" w:line="149"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39" w:name="page40"/>
    <w:bookmarkEnd w:id="3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22" w:lineRule="auto"/>
        <w:rPr>
          <w:sz w:val="20"/>
          <w:szCs w:val="20"/>
          <w:color w:val="auto"/>
        </w:rPr>
      </w:pPr>
      <w:r>
        <w:rPr>
          <w:rFonts w:ascii="Arial" w:cs="Arial" w:eastAsia="Arial" w:hAnsi="Arial"/>
          <w:sz w:val="14"/>
          <w:szCs w:val="14"/>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Competent Authorities of the Member States of the EEA or comparable regulatory authorities, fail to provide us with sufficient quantities of drug product, or fail to do so at acceptable quality levels or prices.</w:t>
      </w:r>
    </w:p>
    <w:p>
      <w:pPr>
        <w:spacing w:after="0" w:line="130" w:lineRule="exact"/>
        <w:rPr>
          <w:sz w:val="20"/>
          <w:szCs w:val="20"/>
          <w:color w:val="auto"/>
        </w:rPr>
      </w:pPr>
    </w:p>
    <w:p>
      <w:pPr>
        <w:jc w:val="both"/>
        <w:ind w:firstLine="256"/>
        <w:spacing w:after="0" w:line="260" w:lineRule="auto"/>
        <w:rPr>
          <w:sz w:val="20"/>
          <w:szCs w:val="20"/>
          <w:color w:val="auto"/>
        </w:rPr>
      </w:pPr>
      <w:r>
        <w:rPr>
          <w:rFonts w:ascii="Arial" w:cs="Arial" w:eastAsia="Arial" w:hAnsi="Arial"/>
          <w:sz w:val="12"/>
          <w:szCs w:val="12"/>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any drug products must be approved by the FDA pursuant to inspections that will be conducted after an NDA is submitted to the FDA. We do not control the manufacturing process of our product candidates, and we are completely dependent on our contract manufacturing partners for compliance with the regulatory requirements, known as cGMPs, for manufacture of both active drug substances and finished drug products.</w:t>
      </w:r>
    </w:p>
    <w:p>
      <w:pPr>
        <w:spacing w:after="0" w:line="117"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30"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08"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31"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w:t>
      </w:r>
    </w:p>
    <w:p>
      <w:pPr>
        <w:spacing w:after="0" w:line="130"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Department of Health and Human Services responsible for administering the Medicare program, as CMS decides whether and to what extent a new drug will be covered and reimbursed under Medicare. Private payors tend to follow the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0" w:name="page41"/>
    <w:bookmarkEnd w:id="4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coverage reimbursement policies established by CMS to a substantial degree. It is difficult to predict what CMS will decide with respect to reimbursement for products such as ours.</w:t>
      </w:r>
    </w:p>
    <w:p>
      <w:pPr>
        <w:spacing w:after="0" w:line="129"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of the recent legislation, beginning in 2025, oral-only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increase faster than increases in reimbursement levels.</w:t>
      </w:r>
    </w:p>
    <w:p>
      <w:pPr>
        <w:spacing w:after="0" w:line="136"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33"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29"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3" w:lineRule="exact"/>
        <w:rPr>
          <w:sz w:val="20"/>
          <w:szCs w:val="20"/>
          <w:color w:val="auto"/>
        </w:rPr>
      </w:pPr>
    </w:p>
    <w:p>
      <w:pPr>
        <w:ind w:left="520" w:hanging="259"/>
        <w:spacing w:after="0"/>
        <w:tabs>
          <w:tab w:leader="none" w:pos="520" w:val="left"/>
        </w:tabs>
        <w:numPr>
          <w:ilvl w:val="0"/>
          <w:numId w:val="22"/>
        </w:numPr>
        <w:rPr>
          <w:rFonts w:ascii="Arial" w:cs="Arial" w:eastAsia="Arial" w:hAnsi="Arial"/>
          <w:sz w:val="14"/>
          <w:szCs w:val="14"/>
          <w:color w:val="231F20"/>
        </w:rPr>
      </w:pPr>
      <w:r>
        <w:rPr>
          <w:rFonts w:ascii="Arial" w:cs="Arial" w:eastAsia="Arial" w:hAnsi="Arial"/>
          <w:sz w:val="14"/>
          <w:szCs w:val="14"/>
          <w:color w:val="auto"/>
        </w:rPr>
        <w:t>decreased demand for our product candidates;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2"/>
        </w:numPr>
        <w:rPr>
          <w:rFonts w:ascii="Arial" w:cs="Arial" w:eastAsia="Arial" w:hAnsi="Arial"/>
          <w:sz w:val="14"/>
          <w:szCs w:val="14"/>
          <w:color w:val="231F20"/>
        </w:rPr>
      </w:pPr>
      <w:r>
        <w:rPr>
          <w:rFonts w:ascii="Arial" w:cs="Arial" w:eastAsia="Arial" w:hAnsi="Arial"/>
          <w:sz w:val="14"/>
          <w:szCs w:val="14"/>
          <w:color w:val="auto"/>
        </w:rPr>
        <w:t>injury to our reputation;</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2"/>
        </w:numPr>
        <w:rPr>
          <w:rFonts w:ascii="Arial" w:cs="Arial" w:eastAsia="Arial" w:hAnsi="Arial"/>
          <w:sz w:val="14"/>
          <w:szCs w:val="14"/>
          <w:color w:val="231F20"/>
        </w:rPr>
      </w:pPr>
      <w:r>
        <w:rPr>
          <w:rFonts w:ascii="Arial" w:cs="Arial" w:eastAsia="Arial" w:hAnsi="Arial"/>
          <w:sz w:val="14"/>
          <w:szCs w:val="14"/>
          <w:color w:val="auto"/>
        </w:rPr>
        <w:t>withdrawal of clinical trial participants;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1" w:name="page42"/>
    <w:bookmarkEnd w:id="4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ind w:left="520" w:hanging="259"/>
        <w:spacing w:after="0"/>
        <w:tabs>
          <w:tab w:leader="none" w:pos="520" w:val="left"/>
        </w:tabs>
        <w:numPr>
          <w:ilvl w:val="0"/>
          <w:numId w:val="23"/>
        </w:numPr>
        <w:rPr>
          <w:rFonts w:ascii="Arial" w:cs="Arial" w:eastAsia="Arial" w:hAnsi="Arial"/>
          <w:sz w:val="14"/>
          <w:szCs w:val="14"/>
          <w:color w:val="231F20"/>
        </w:rPr>
      </w:pPr>
      <w:r>
        <w:rPr>
          <w:rFonts w:ascii="Arial" w:cs="Arial" w:eastAsia="Arial" w:hAnsi="Arial"/>
          <w:sz w:val="14"/>
          <w:szCs w:val="14"/>
          <w:color w:val="auto"/>
        </w:rPr>
        <w:t>costs to defend the related litigation;</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3"/>
        </w:numPr>
        <w:rPr>
          <w:rFonts w:ascii="Arial" w:cs="Arial" w:eastAsia="Arial" w:hAnsi="Arial"/>
          <w:sz w:val="14"/>
          <w:szCs w:val="14"/>
          <w:color w:val="231F20"/>
        </w:rPr>
      </w:pPr>
      <w:r>
        <w:rPr>
          <w:rFonts w:ascii="Arial" w:cs="Arial" w:eastAsia="Arial" w:hAnsi="Arial"/>
          <w:sz w:val="14"/>
          <w:szCs w:val="14"/>
          <w:color w:val="auto"/>
        </w:rPr>
        <w:t>a diversion of management’s time and our resources;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3"/>
        </w:numPr>
        <w:rPr>
          <w:rFonts w:ascii="Arial" w:cs="Arial" w:eastAsia="Arial" w:hAnsi="Arial"/>
          <w:sz w:val="14"/>
          <w:szCs w:val="14"/>
          <w:color w:val="231F20"/>
        </w:rPr>
      </w:pPr>
      <w:r>
        <w:rPr>
          <w:rFonts w:ascii="Arial" w:cs="Arial" w:eastAsia="Arial" w:hAnsi="Arial"/>
          <w:sz w:val="14"/>
          <w:szCs w:val="14"/>
          <w:color w:val="auto"/>
        </w:rPr>
        <w:t>substantial monetary awards to trial participants or patients;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3"/>
        </w:numPr>
        <w:rPr>
          <w:rFonts w:ascii="Arial" w:cs="Arial" w:eastAsia="Arial" w:hAnsi="Arial"/>
          <w:sz w:val="14"/>
          <w:szCs w:val="14"/>
          <w:color w:val="231F20"/>
        </w:rPr>
      </w:pPr>
      <w:r>
        <w:rPr>
          <w:rFonts w:ascii="Arial" w:cs="Arial" w:eastAsia="Arial" w:hAnsi="Arial"/>
          <w:sz w:val="14"/>
          <w:szCs w:val="14"/>
          <w:color w:val="auto"/>
        </w:rPr>
        <w:t>regulatory investigations, product recalls or withdrawals, or labeling, marketing or promotional restrictions;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3"/>
        </w:numPr>
        <w:rPr>
          <w:rFonts w:ascii="Arial" w:cs="Arial" w:eastAsia="Arial" w:hAnsi="Arial"/>
          <w:sz w:val="14"/>
          <w:szCs w:val="14"/>
          <w:color w:val="231F20"/>
        </w:rPr>
      </w:pPr>
      <w:r>
        <w:rPr>
          <w:rFonts w:ascii="Arial" w:cs="Arial" w:eastAsia="Arial" w:hAnsi="Arial"/>
          <w:sz w:val="14"/>
          <w:szCs w:val="14"/>
          <w:color w:val="auto"/>
        </w:rPr>
        <w:t>loss of revenue;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3"/>
        </w:numPr>
        <w:rPr>
          <w:rFonts w:ascii="Arial" w:cs="Arial" w:eastAsia="Arial" w:hAnsi="Arial"/>
          <w:sz w:val="14"/>
          <w:szCs w:val="14"/>
          <w:color w:val="231F20"/>
        </w:rPr>
      </w:pPr>
      <w:r>
        <w:rPr>
          <w:rFonts w:ascii="Arial" w:cs="Arial" w:eastAsia="Arial" w:hAnsi="Arial"/>
          <w:sz w:val="14"/>
          <w:szCs w:val="14"/>
          <w:color w:val="auto"/>
        </w:rPr>
        <w:t>the inability to commercialize or co-promote our product candidates.</w:t>
      </w:r>
    </w:p>
    <w:p>
      <w:pPr>
        <w:spacing w:after="0" w:line="149"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30"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We are highly dependent on the services of our President and Chief Executive Officer, Michael Raab, our Chief Operating Officer, and our Chief Development Officer, David Rosenbaum, Ph.D. If we are not able to retain these members of our management team, or recruit additional management, clinical and scientific personnel, our business will suffer.</w:t>
      </w:r>
    </w:p>
    <w:p>
      <w:pPr>
        <w:spacing w:after="0" w:line="130"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3"/>
          <w:szCs w:val="13"/>
          <w:color w:val="auto"/>
        </w:rPr>
        <w:t>Our success depends in part on our continued ability to attract, retain and motivate highly qualified personnel. In particular, we are highly dependent upon Michael Raab, our President and Chief Executive Officer and David Rosenbaum, Ph.D., our Chief Development Officer. The loss of services 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Our internal computer systems, or those of our CROs or other contractors or consultants, may fail or suffer data security breaches, which could adversely affect our business.</w:t>
      </w:r>
    </w:p>
    <w:p>
      <w:pPr>
        <w:spacing w:after="0" w:line="129"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Our business is increasingly dependent on critical, complex and interdependent information technology systems to support business processes as well as internal and external communications. Despite the implementation of security measures, the size and complexity of our internal computer systems, and those of our CROs and other contractors, make them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2" w:name="page43"/>
    <w:bookmarkEnd w:id="4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recover or reproduce the data. In addition, our systems are potentially vulnerable to data security breaches, whether by employees or others, which may expose sensitive data to unauthorized persons. Such data security breaches could lead to the loss of trade secrets or other intellectual property, or could lead to the public exposure of personal information of our employees, clinical trial patients, customers, and others. Such disruptions and breaches of security could expose us to liability and have a material adverse effect on the operating results and financial condition of our business.</w:t>
      </w:r>
    </w:p>
    <w:p>
      <w:pPr>
        <w:spacing w:after="0" w:line="131"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0"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3"/>
          <w:szCs w:val="13"/>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33" w:lineRule="exact"/>
        <w:rPr>
          <w:sz w:val="20"/>
          <w:szCs w:val="20"/>
          <w:color w:val="auto"/>
        </w:rPr>
      </w:pPr>
    </w:p>
    <w:p>
      <w:pPr>
        <w:jc w:val="both"/>
        <w:ind w:firstLine="256"/>
        <w:spacing w:after="0" w:line="225" w:lineRule="auto"/>
        <w:rPr>
          <w:sz w:val="20"/>
          <w:szCs w:val="20"/>
          <w:color w:val="auto"/>
        </w:rPr>
      </w:pPr>
      <w:r>
        <w:rPr>
          <w:rFonts w:ascii="Arial" w:cs="Arial" w:eastAsia="Arial" w:hAnsi="Arial"/>
          <w:sz w:val="13"/>
          <w:szCs w:val="13"/>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w:t>
      </w:r>
    </w:p>
    <w:p>
      <w:pPr>
        <w:spacing w:after="0" w:line="1" w:lineRule="exact"/>
        <w:rPr>
          <w:sz w:val="20"/>
          <w:szCs w:val="20"/>
          <w:color w:val="auto"/>
        </w:rPr>
      </w:pPr>
    </w:p>
    <w:p>
      <w:pPr>
        <w:jc w:val="both"/>
        <w:ind w:firstLine="5"/>
        <w:spacing w:after="0" w:line="218" w:lineRule="auto"/>
        <w:tabs>
          <w:tab w:leader="none" w:pos="2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the completion of our IPO (December 31, 2019), (2) the last day of the fiscal year in which we have total annual gross revenue of at least $1.07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129"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3" w:name="page44"/>
    <w:bookmarkEnd w:id="4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29" w:lineRule="exact"/>
        <w:rPr>
          <w:sz w:val="20"/>
          <w:szCs w:val="20"/>
          <w:color w:val="auto"/>
        </w:rPr>
      </w:pPr>
    </w:p>
    <w:p>
      <w:pPr>
        <w:jc w:val="both"/>
        <w:ind w:firstLine="256"/>
        <w:spacing w:after="0" w:line="226" w:lineRule="auto"/>
        <w:rPr>
          <w:sz w:val="20"/>
          <w:szCs w:val="20"/>
          <w:color w:val="auto"/>
        </w:rPr>
      </w:pPr>
      <w:r>
        <w:rPr>
          <w:rFonts w:ascii="Arial" w:cs="Arial" w:eastAsia="Arial" w:hAnsi="Arial"/>
          <w:sz w:val="13"/>
          <w:szCs w:val="13"/>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also expect to form one or more additional collaboration partnerships in connection with the commercialization of tenapanor, if approved.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additional collaboration partnerships for tenapanor for IBS-C commercialization or for any future product candidates and programs on terms that are acceptable to us, or at all. With respect to tenapanor, this may be because third parties may not view tenapanor for the treatment of IBS-C as having sufficient potential to be successfully commercialized. If we are unable to establish a collaboration partnership for the commercialization of IBS-C in the United States,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engage in strategic transactions that could impact our liquidity, increase our expenses and present significant distractions to our management.</w:t>
      </w:r>
    </w:p>
    <w:p>
      <w:pPr>
        <w:spacing w:after="0" w:line="172"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30" w:lineRule="exact"/>
        <w:rPr>
          <w:sz w:val="20"/>
          <w:szCs w:val="20"/>
          <w:color w:val="auto"/>
        </w:rPr>
      </w:pPr>
    </w:p>
    <w:p>
      <w:pPr>
        <w:ind w:left="520" w:hanging="259"/>
        <w:spacing w:after="0" w:line="238" w:lineRule="auto"/>
        <w:tabs>
          <w:tab w:leader="none" w:pos="52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up-front, milestone and royalty payments, equity investments and financial support of new research and development candidates including increase of personnel, all of which may be substantial;</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exposure to unknown liabilities;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disruption of our business and diversion of our management’s time and attention in order to develop acquired products, product candidates or technologies;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incurrence of substantial debt or dilutive issuances of equity securities to pay for acquisitions;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4" w:name="page45"/>
    <w:bookmarkEnd w:id="4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ind w:left="520" w:hanging="259"/>
        <w:spacing w:after="0"/>
        <w:tabs>
          <w:tab w:leader="none" w:pos="52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higher-than-expected acquisition and integration costs;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write-downs of assets or goodwill or impairment charges;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increased amortization expenses;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difficulty and cost in combining the operations and personnel of any acquired businesses with our operations and personnel;</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6"/>
        </w:numPr>
        <w:rPr>
          <w:rFonts w:ascii="Arial" w:cs="Arial" w:eastAsia="Arial" w:hAnsi="Arial"/>
          <w:sz w:val="13"/>
          <w:szCs w:val="13"/>
          <w:color w:val="231F20"/>
        </w:rPr>
      </w:pPr>
      <w:r>
        <w:rPr>
          <w:rFonts w:ascii="Arial" w:cs="Arial" w:eastAsia="Arial" w:hAnsi="Arial"/>
          <w:sz w:val="13"/>
          <w:szCs w:val="13"/>
          <w:color w:val="auto"/>
        </w:rPr>
        <w:t>impairment of relationships with key suppliers or customers of any acquired businesses due to changes in management and ownership; and</w:t>
      </w:r>
    </w:p>
    <w:p>
      <w:pPr>
        <w:spacing w:after="0" w:line="160" w:lineRule="exact"/>
        <w:rPr>
          <w:rFonts w:ascii="Arial" w:cs="Arial" w:eastAsia="Arial" w:hAnsi="Arial"/>
          <w:sz w:val="13"/>
          <w:szCs w:val="13"/>
          <w:color w:val="231F20"/>
        </w:rPr>
      </w:pPr>
    </w:p>
    <w:p>
      <w:pPr>
        <w:ind w:left="520" w:hanging="259"/>
        <w:spacing w:after="0"/>
        <w:tabs>
          <w:tab w:leader="none" w:pos="520" w:val="left"/>
        </w:tabs>
        <w:numPr>
          <w:ilvl w:val="0"/>
          <w:numId w:val="26"/>
        </w:numPr>
        <w:rPr>
          <w:rFonts w:ascii="Arial" w:cs="Arial" w:eastAsia="Arial" w:hAnsi="Arial"/>
          <w:sz w:val="14"/>
          <w:szCs w:val="14"/>
          <w:color w:val="231F20"/>
        </w:rPr>
      </w:pPr>
      <w:r>
        <w:rPr>
          <w:rFonts w:ascii="Arial" w:cs="Arial" w:eastAsia="Arial" w:hAnsi="Arial"/>
          <w:sz w:val="14"/>
          <w:szCs w:val="14"/>
          <w:color w:val="auto"/>
        </w:rPr>
        <w:t>inability to retain key employees of any acquired businesses.</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If we seek and obtain approval to commercialize our product candidates outside of the United States, or otherwise engage in business outside of the United States, a variety of risks associated with international operations could materially adversely affect our business.</w:t>
      </w:r>
    </w:p>
    <w:p>
      <w:pPr>
        <w:spacing w:after="0" w:line="129" w:lineRule="exact"/>
        <w:rPr>
          <w:sz w:val="20"/>
          <w:szCs w:val="20"/>
          <w:color w:val="auto"/>
        </w:rPr>
      </w:pPr>
    </w:p>
    <w:p>
      <w:pPr>
        <w:jc w:val="both"/>
        <w:ind w:firstLine="256"/>
        <w:spacing w:after="0" w:line="247" w:lineRule="auto"/>
        <w:rPr>
          <w:sz w:val="20"/>
          <w:szCs w:val="20"/>
          <w:color w:val="auto"/>
        </w:rPr>
      </w:pPr>
      <w:r>
        <w:rPr>
          <w:rFonts w:ascii="Arial" w:cs="Arial" w:eastAsia="Arial" w:hAnsi="Arial"/>
          <w:sz w:val="13"/>
          <w:szCs w:val="13"/>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expect that we will be subject to additional risks related to entering these international business markets and relationships, including:</w:t>
      </w:r>
    </w:p>
    <w:p>
      <w:pPr>
        <w:spacing w:after="0" w:line="126" w:lineRule="exact"/>
        <w:rPr>
          <w:sz w:val="20"/>
          <w:szCs w:val="20"/>
          <w:color w:val="auto"/>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different regulatory requirements for drug approvals in foreign countries;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differing United States and foreign drug import and export rules;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reduced protection for intellectual property rights in foreign countries;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unexpected changes in tariffs, trade barriers and regulatory requirements;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different reimbursement systems, and different competitive drugs;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economic weakness, including inflation, or political instability in particular foreign economies and markets;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compliance with tax, employment, immigration and labor laws for employees living or traveling abroad;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foreign taxes, including withholding of payroll taxes;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foreign currency fluctuations, which could result in increased operating expenses and reduced revenues, and other obligations incident to doing business in another country;</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workforce uncertainty in countries where labor unrest is more common than in the United States;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production shortages resulting from any events affecting raw material supply or manufacturing capabilities abroad;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7"/>
        </w:numPr>
        <w:rPr>
          <w:rFonts w:ascii="Arial" w:cs="Arial" w:eastAsia="Arial" w:hAnsi="Arial"/>
          <w:sz w:val="14"/>
          <w:szCs w:val="14"/>
          <w:color w:val="231F20"/>
        </w:rPr>
      </w:pPr>
      <w:r>
        <w:rPr>
          <w:rFonts w:ascii="Arial" w:cs="Arial" w:eastAsia="Arial" w:hAnsi="Arial"/>
          <w:sz w:val="14"/>
          <w:szCs w:val="14"/>
          <w:color w:val="auto"/>
        </w:rPr>
        <w:t>potential liability resulting from development work conducted by these distributors;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5" w:name="page46"/>
    <w:bookmarkEnd w:id="4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ind w:left="520" w:hanging="259"/>
        <w:spacing w:after="0"/>
        <w:tabs>
          <w:tab w:leader="none" w:pos="520" w:val="left"/>
        </w:tabs>
        <w:numPr>
          <w:ilvl w:val="0"/>
          <w:numId w:val="28"/>
        </w:numPr>
        <w:rPr>
          <w:rFonts w:ascii="Arial" w:cs="Arial" w:eastAsia="Arial" w:hAnsi="Arial"/>
          <w:sz w:val="14"/>
          <w:szCs w:val="14"/>
          <w:color w:val="231F20"/>
        </w:rPr>
      </w:pPr>
      <w:r>
        <w:rPr>
          <w:rFonts w:ascii="Arial" w:cs="Arial" w:eastAsia="Arial" w:hAnsi="Arial"/>
          <w:sz w:val="14"/>
          <w:szCs w:val="14"/>
          <w:color w:val="auto"/>
        </w:rPr>
        <w:t>business interruptions resulting from geopolitical actions, including war and terrorism, or natural disasters.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29"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adversely affected by the global economic environment.</w:t>
      </w:r>
    </w:p>
    <w:p>
      <w:pPr>
        <w:spacing w:after="0" w:line="149"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29"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29"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Our corporate headquarters and other facilities are located in the San Francisco Bay Area, which in the past has experienced severe earthquakes. We do not carry earthquake insurance. Earthquakes or other natural disasters could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6" w:name="page47"/>
    <w:bookmarkEnd w:id="4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severely disrupt our operations, and have a material adverse effect on our business, results of operations, financial condition and prospects.</w:t>
      </w:r>
    </w:p>
    <w:p>
      <w:pPr>
        <w:spacing w:after="0" w:line="149"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08" w:lineRule="exact"/>
        <w:rPr>
          <w:sz w:val="20"/>
          <w:szCs w:val="20"/>
          <w:color w:val="auto"/>
        </w:rPr>
      </w:pPr>
    </w:p>
    <w:p>
      <w:pPr>
        <w:jc w:val="both"/>
        <w:ind w:firstLine="256"/>
        <w:spacing w:after="0" w:line="234" w:lineRule="auto"/>
        <w:rPr>
          <w:sz w:val="20"/>
          <w:szCs w:val="20"/>
          <w:color w:val="auto"/>
        </w:rPr>
      </w:pPr>
      <w:r>
        <w:rPr>
          <w:rFonts w:ascii="Arial" w:cs="Arial" w:eastAsia="Arial" w:hAnsi="Arial"/>
          <w:sz w:val="13"/>
          <w:szCs w:val="13"/>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We have not submitted an application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29" w:lineRule="exact"/>
        <w:rPr>
          <w:sz w:val="20"/>
          <w:szCs w:val="20"/>
          <w:color w:val="auto"/>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warning letters;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civil and criminal penalties;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injunctions;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withdrawal of regulatory approval of products;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product seizure or detention;</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product recalls;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total or partial suspension of production;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refusal to approve pending NDAs or supplements to approved NDAs.</w:t>
      </w:r>
    </w:p>
    <w:p>
      <w:pPr>
        <w:spacing w:after="0" w:line="149" w:lineRule="exact"/>
        <w:rPr>
          <w:sz w:val="20"/>
          <w:szCs w:val="20"/>
          <w:color w:val="auto"/>
        </w:rPr>
      </w:pPr>
    </w:p>
    <w:p>
      <w:pPr>
        <w:jc w:val="both"/>
        <w:ind w:firstLine="256"/>
        <w:spacing w:after="0" w:line="214" w:lineRule="auto"/>
        <w:rPr>
          <w:sz w:val="20"/>
          <w:szCs w:val="20"/>
          <w:color w:val="auto"/>
        </w:rPr>
      </w:pPr>
      <w:r>
        <w:rPr>
          <w:rFonts w:ascii="Arial" w:cs="Arial" w:eastAsia="Arial" w:hAnsi="Arial"/>
          <w:sz w:val="14"/>
          <w:szCs w:val="14"/>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7" w:name="page48"/>
    <w:bookmarkEnd w:id="4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13" w:lineRule="auto"/>
        <w:rPr>
          <w:sz w:val="20"/>
          <w:szCs w:val="20"/>
          <w:color w:val="auto"/>
        </w:rPr>
      </w:pPr>
      <w:r>
        <w:rPr>
          <w:rFonts w:ascii="Arial" w:cs="Arial" w:eastAsia="Arial" w:hAnsi="Arial"/>
          <w:sz w:val="14"/>
          <w:szCs w:val="14"/>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Applications for our product candidates could fail to receive regulatory approval for many reasons, including but not limited to the following:</w:t>
      </w:r>
    </w:p>
    <w:p>
      <w:pPr>
        <w:spacing w:after="0" w:line="149" w:lineRule="exact"/>
        <w:rPr>
          <w:sz w:val="20"/>
          <w:szCs w:val="20"/>
          <w:color w:val="auto"/>
        </w:rPr>
      </w:pPr>
    </w:p>
    <w:p>
      <w:pPr>
        <w:ind w:left="520" w:hanging="259"/>
        <w:spacing w:after="0" w:line="238" w:lineRule="auto"/>
        <w:tabs>
          <w:tab w:leader="none" w:pos="52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FDA or comparable foreign regulatory authorities may disagree with the design or implementation of our, or our collaboration partners’, clinical studies;</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population studied in the clinical program may not be sufficiently broad or representative to assure safety in the full population for which approval is sought;</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30"/>
        </w:numPr>
        <w:rPr>
          <w:rFonts w:ascii="Arial" w:cs="Arial" w:eastAsia="Arial" w:hAnsi="Arial"/>
          <w:sz w:val="13"/>
          <w:szCs w:val="13"/>
          <w:color w:val="231F20"/>
        </w:rPr>
      </w:pPr>
      <w:r>
        <w:rPr>
          <w:rFonts w:ascii="Arial" w:cs="Arial" w:eastAsia="Arial" w:hAnsi="Arial"/>
          <w:sz w:val="13"/>
          <w:szCs w:val="13"/>
          <w:color w:val="auto"/>
        </w:rPr>
        <w:t>the FDA or comparable foreign regulatory authorities may disagree with the interpretation of data from preclinical studies or clinical studies;</w:t>
      </w:r>
    </w:p>
    <w:p>
      <w:pPr>
        <w:spacing w:after="0" w:line="160" w:lineRule="exact"/>
        <w:rPr>
          <w:rFonts w:ascii="Arial" w:cs="Arial" w:eastAsia="Arial" w:hAnsi="Arial"/>
          <w:sz w:val="13"/>
          <w:szCs w:val="13"/>
          <w:color w:val="231F20"/>
        </w:rPr>
      </w:pPr>
    </w:p>
    <w:p>
      <w:pPr>
        <w:ind w:left="520" w:hanging="259"/>
        <w:spacing w:after="0" w:line="238" w:lineRule="auto"/>
        <w:tabs>
          <w:tab w:leader="none" w:pos="52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data collected from clinical studies of our product candidates may not be sufficient to support the submission of a NDA or other submission or to obtain regulatory approval in the United States or elsewhere;</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we or our collaboration partners may be unable to demonstrate to the FDA or comparable foreign regulatory authorities that a product candidate’s risk-benefit ratio for its proposed indication is acceptable;</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approval policies or regulations of the FDA or comparable foreign regulatory authorities may significantly change in a manner rendering our clinical data insufficient for approval.</w:t>
      </w:r>
    </w:p>
    <w:p>
      <w:pPr>
        <w:spacing w:after="0" w:line="129"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30"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8" w:name="page49"/>
    <w:bookmarkEnd w:id="4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22" w:lineRule="auto"/>
        <w:rPr>
          <w:sz w:val="20"/>
          <w:szCs w:val="20"/>
          <w:color w:val="auto"/>
        </w:rPr>
      </w:pPr>
      <w:r>
        <w:rPr>
          <w:rFonts w:ascii="Arial" w:cs="Arial" w:eastAsia="Arial" w:hAnsi="Arial"/>
          <w:sz w:val="14"/>
          <w:szCs w:val="14"/>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0"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30"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30"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9" w:lineRule="exact"/>
        <w:rPr>
          <w:sz w:val="20"/>
          <w:szCs w:val="20"/>
          <w:color w:val="auto"/>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warning letters, fines or holds on clinical trials;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1"/>
        </w:numPr>
        <w:rPr>
          <w:rFonts w:ascii="Arial" w:cs="Arial" w:eastAsia="Arial" w:hAnsi="Arial"/>
          <w:sz w:val="13"/>
          <w:szCs w:val="13"/>
          <w:color w:val="231F20"/>
        </w:rPr>
      </w:pPr>
      <w:r>
        <w:rPr>
          <w:rFonts w:ascii="Arial" w:cs="Arial" w:eastAsia="Arial" w:hAnsi="Arial"/>
          <w:sz w:val="13"/>
          <w:szCs w:val="13"/>
          <w:color w:val="auto"/>
        </w:rPr>
        <w:t>restrictions on the marketing or manufacturing of the product, withdrawal of the product from the market or voluntary or mandatory product recalls;</w:t>
      </w:r>
    </w:p>
    <w:p>
      <w:pPr>
        <w:spacing w:after="0" w:line="160" w:lineRule="exact"/>
        <w:rPr>
          <w:rFonts w:ascii="Arial" w:cs="Arial" w:eastAsia="Arial" w:hAnsi="Arial"/>
          <w:sz w:val="13"/>
          <w:szCs w:val="13"/>
          <w:color w:val="231F20"/>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injunctions or the imposition of civil or criminal penalties;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suspension or revocation of existing regulatory approvals;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suspension of any of our ongoing clinical trials;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refusal to approve pending applications or supplements to approved applications submitted by us;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restrictions on our or our contract manufacturers’ operations; or</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product seizure or detention, or refusal to permit the import or export of products.</w:t>
      </w:r>
    </w:p>
    <w:p>
      <w:pPr>
        <w:spacing w:after="0" w:line="149"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49" w:name="page50"/>
    <w:bookmarkEnd w:id="4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may lose any marketing approval that we may have obtained, which would adversely affect our business, prospects and ability to achieve or sustain profitability.</w:t>
      </w:r>
    </w:p>
    <w:p>
      <w:pPr>
        <w:spacing w:after="0" w:line="129"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13"/>
          <w:szCs w:val="13"/>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08"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3"/>
          <w:szCs w:val="13"/>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32"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0" w:name="page51"/>
    <w:bookmarkEnd w:id="5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production. Switching manufacturers may involve substantial costs and is likely to result in a delay in our desired clinical and commercial timelines.</w:t>
      </w:r>
    </w:p>
    <w:p>
      <w:pPr>
        <w:spacing w:after="0" w:line="149" w:lineRule="exact"/>
        <w:rPr>
          <w:sz w:val="20"/>
          <w:szCs w:val="20"/>
          <w:color w:val="auto"/>
        </w:rPr>
      </w:pPr>
    </w:p>
    <w:p>
      <w:pPr>
        <w:jc w:val="both"/>
        <w:ind w:firstLine="256"/>
        <w:spacing w:after="0" w:line="278" w:lineRule="auto"/>
        <w:rPr>
          <w:sz w:val="20"/>
          <w:szCs w:val="20"/>
          <w:color w:val="auto"/>
        </w:rPr>
      </w:pPr>
      <w:r>
        <w:rPr>
          <w:rFonts w:ascii="Arial" w:cs="Arial" w:eastAsia="Arial" w:hAnsi="Arial"/>
          <w:sz w:val="12"/>
          <w:szCs w:val="12"/>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29" w:lineRule="exact"/>
        <w:rPr>
          <w:sz w:val="20"/>
          <w:szCs w:val="20"/>
          <w:color w:val="auto"/>
        </w:rPr>
      </w:pPr>
    </w:p>
    <w:p>
      <w:pPr>
        <w:jc w:val="both"/>
        <w:ind w:firstLine="256"/>
        <w:spacing w:after="0" w:line="214" w:lineRule="auto"/>
        <w:rPr>
          <w:sz w:val="20"/>
          <w:szCs w:val="20"/>
          <w:color w:val="auto"/>
        </w:rPr>
      </w:pPr>
      <w:r>
        <w:rPr>
          <w:rFonts w:ascii="Arial" w:cs="Arial" w:eastAsia="Arial" w:hAnsi="Arial"/>
          <w:sz w:val="14"/>
          <w:szCs w:val="14"/>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33"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36"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29"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1" w:name="page52"/>
    <w:bookmarkEnd w:id="5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5" w:lineRule="exact"/>
        <w:rPr>
          <w:sz w:val="20"/>
          <w:szCs w:val="20"/>
          <w:color w:val="auto"/>
        </w:rPr>
      </w:pPr>
    </w:p>
    <w:p>
      <w:pPr>
        <w:jc w:val="both"/>
        <w:spacing w:after="0" w:line="219" w:lineRule="auto"/>
        <w:rPr>
          <w:sz w:val="20"/>
          <w:szCs w:val="20"/>
          <w:color w:val="auto"/>
        </w:rPr>
      </w:pPr>
      <w:r>
        <w:rPr>
          <w:rFonts w:ascii="Arial" w:cs="Arial" w:eastAsia="Arial" w:hAnsi="Arial"/>
          <w:sz w:val="14"/>
          <w:szCs w:val="14"/>
          <w:color w:val="auto"/>
        </w:rPr>
        <w:t>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29"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w:t>
      </w:r>
    </w:p>
    <w:p>
      <w:pPr>
        <w:spacing w:after="0" w:line="1" w:lineRule="exact"/>
        <w:rPr>
          <w:sz w:val="20"/>
          <w:szCs w:val="20"/>
          <w:color w:val="auto"/>
        </w:rPr>
      </w:pPr>
    </w:p>
    <w:p>
      <w:pPr>
        <w:jc w:val="both"/>
        <w:ind w:firstLine="5"/>
        <w:spacing w:after="0" w:line="226" w:lineRule="auto"/>
        <w:tabs>
          <w:tab w:leader="none" w:pos="21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obtain regulatory approvals in foreign jurisdictions would prevent us from marketing our products internationally.</w:t>
      </w:r>
    </w:p>
    <w:p>
      <w:pPr>
        <w:spacing w:after="0" w:line="149"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31"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2" w:name="page53"/>
    <w:bookmarkEnd w:id="5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08"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30" w:lineRule="exact"/>
        <w:rPr>
          <w:sz w:val="20"/>
          <w:szCs w:val="20"/>
          <w:color w:val="auto"/>
        </w:rPr>
      </w:pPr>
    </w:p>
    <w:p>
      <w:pPr>
        <w:jc w:val="both"/>
        <w:ind w:left="520" w:hanging="259"/>
        <w:spacing w:after="0" w:line="247" w:lineRule="auto"/>
        <w:tabs>
          <w:tab w:leader="none" w:pos="520" w:val="left"/>
        </w:tabs>
        <w:numPr>
          <w:ilvl w:val="0"/>
          <w:numId w:val="33"/>
        </w:numPr>
        <w:rPr>
          <w:rFonts w:ascii="Arial" w:cs="Arial" w:eastAsia="Arial" w:hAnsi="Arial"/>
          <w:sz w:val="13"/>
          <w:szCs w:val="13"/>
          <w:color w:val="231F20"/>
        </w:rPr>
      </w:pPr>
      <w:r>
        <w:rPr>
          <w:rFonts w:ascii="Arial" w:cs="Arial" w:eastAsia="Arial" w:hAnsi="Arial"/>
          <w:sz w:val="13"/>
          <w:szCs w:val="13"/>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25" w:lineRule="exact"/>
        <w:rPr>
          <w:rFonts w:ascii="Arial" w:cs="Arial" w:eastAsia="Arial" w:hAnsi="Arial"/>
          <w:sz w:val="13"/>
          <w:szCs w:val="13"/>
          <w:color w:val="231F20"/>
        </w:rPr>
      </w:pPr>
    </w:p>
    <w:p>
      <w:pPr>
        <w:ind w:left="520" w:hanging="259"/>
        <w:spacing w:after="0" w:line="238"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federal criminal laws that prohibit executing a scheme to defraud any healthcare benefit program or making false statements relating to healthcare matters;</w:t>
      </w:r>
    </w:p>
    <w:p>
      <w:pPr>
        <w:spacing w:after="0" w:line="129"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30" w:lineRule="exact"/>
        <w:rPr>
          <w:rFonts w:ascii="Arial" w:cs="Arial" w:eastAsia="Arial" w:hAnsi="Arial"/>
          <w:sz w:val="14"/>
          <w:szCs w:val="14"/>
          <w:color w:val="231F20"/>
        </w:rPr>
      </w:pPr>
    </w:p>
    <w:p>
      <w:pPr>
        <w:jc w:val="both"/>
        <w:ind w:left="520" w:hanging="259"/>
        <w:spacing w:after="0" w:line="247" w:lineRule="auto"/>
        <w:tabs>
          <w:tab w:leader="none" w:pos="520" w:val="left"/>
        </w:tabs>
        <w:numPr>
          <w:ilvl w:val="0"/>
          <w:numId w:val="33"/>
        </w:numPr>
        <w:rPr>
          <w:rFonts w:ascii="Arial" w:cs="Arial" w:eastAsia="Arial" w:hAnsi="Arial"/>
          <w:sz w:val="13"/>
          <w:szCs w:val="13"/>
          <w:color w:val="231F20"/>
        </w:rPr>
      </w:pPr>
      <w:r>
        <w:rPr>
          <w:rFonts w:ascii="Arial" w:cs="Arial" w:eastAsia="Arial" w:hAnsi="Arial"/>
          <w:sz w:val="13"/>
          <w:szCs w:val="13"/>
          <w:color w:val="auto"/>
        </w:rPr>
        <w:t>the federal physician sunshine requirements under the Affordable Care Act,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25" w:lineRule="exact"/>
        <w:rPr>
          <w:rFonts w:ascii="Arial" w:cs="Arial" w:eastAsia="Arial" w:hAnsi="Arial"/>
          <w:sz w:val="13"/>
          <w:szCs w:val="13"/>
          <w:color w:val="231F20"/>
        </w:rPr>
      </w:pPr>
    </w:p>
    <w:p>
      <w:pPr>
        <w:ind w:left="520" w:hanging="259"/>
        <w:spacing w:after="0" w:line="238"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state law equivalents of each of the above federal laws, such as anti-kickback and false claims laws which may apply to items or services reimbursed by any third-party payor, including commercial insurers;</w:t>
      </w:r>
    </w:p>
    <w:p>
      <w:pPr>
        <w:spacing w:after="0" w:line="129"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30"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130"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3"/>
        </w:numPr>
        <w:rPr>
          <w:rFonts w:ascii="Arial" w:cs="Arial" w:eastAsia="Arial" w:hAnsi="Arial"/>
          <w:sz w:val="14"/>
          <w:szCs w:val="14"/>
          <w:color w:val="231F20"/>
        </w:rPr>
      </w:pPr>
      <w:r>
        <w:rPr>
          <w:rFonts w:ascii="Arial" w:cs="Arial" w:eastAsia="Arial" w:hAnsi="Arial"/>
          <w:sz w:val="14"/>
          <w:szCs w:val="14"/>
          <w:color w:val="auto"/>
        </w:rPr>
        <w:t>European and other foreign law equivalents of each of the laws, including reporting requirements detailing interactions with and payments to healthcare providers.</w:t>
      </w:r>
    </w:p>
    <w:p>
      <w:pPr>
        <w:spacing w:after="0" w:line="129"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3" w:name="page54"/>
    <w:bookmarkEnd w:id="5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19" w:lineRule="auto"/>
        <w:rPr>
          <w:sz w:val="20"/>
          <w:szCs w:val="20"/>
          <w:color w:val="auto"/>
        </w:rPr>
      </w:pPr>
      <w:r>
        <w:rPr>
          <w:rFonts w:ascii="Arial" w:cs="Arial" w:eastAsia="Arial" w:hAnsi="Arial"/>
          <w:sz w:val="14"/>
          <w:szCs w:val="14"/>
          <w:color w:val="auto"/>
        </w:rPr>
        <w:t>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08"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30" w:lineRule="exact"/>
        <w:rPr>
          <w:sz w:val="20"/>
          <w:szCs w:val="20"/>
          <w:color w:val="auto"/>
        </w:rPr>
      </w:pPr>
    </w:p>
    <w:p>
      <w:pPr>
        <w:ind w:left="520" w:hanging="259"/>
        <w:spacing w:after="0"/>
        <w:tabs>
          <w:tab w:leader="none" w:pos="520" w:val="left"/>
        </w:tabs>
        <w:numPr>
          <w:ilvl w:val="0"/>
          <w:numId w:val="34"/>
        </w:numPr>
        <w:rPr>
          <w:rFonts w:ascii="Arial" w:cs="Arial" w:eastAsia="Arial" w:hAnsi="Arial"/>
          <w:sz w:val="14"/>
          <w:szCs w:val="14"/>
          <w:color w:val="231F20"/>
        </w:rPr>
      </w:pPr>
      <w:r>
        <w:rPr>
          <w:rFonts w:ascii="Arial" w:cs="Arial" w:eastAsia="Arial" w:hAnsi="Arial"/>
          <w:sz w:val="14"/>
          <w:szCs w:val="14"/>
          <w:color w:val="auto"/>
        </w:rPr>
        <w:t>additional clinical trials to be conducted prior to obtaining approval;</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4"/>
        </w:numPr>
        <w:rPr>
          <w:rFonts w:ascii="Arial" w:cs="Arial" w:eastAsia="Arial" w:hAnsi="Arial"/>
          <w:sz w:val="14"/>
          <w:szCs w:val="14"/>
          <w:color w:val="231F20"/>
        </w:rPr>
      </w:pPr>
      <w:r>
        <w:rPr>
          <w:rFonts w:ascii="Arial" w:cs="Arial" w:eastAsia="Arial" w:hAnsi="Arial"/>
          <w:sz w:val="14"/>
          <w:szCs w:val="14"/>
          <w:color w:val="auto"/>
        </w:rPr>
        <w:t>changes to manufacturing methods;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4"/>
        </w:numPr>
        <w:rPr>
          <w:rFonts w:ascii="Arial" w:cs="Arial" w:eastAsia="Arial" w:hAnsi="Arial"/>
          <w:sz w:val="14"/>
          <w:szCs w:val="14"/>
          <w:color w:val="231F20"/>
        </w:rPr>
      </w:pPr>
      <w:r>
        <w:rPr>
          <w:rFonts w:ascii="Arial" w:cs="Arial" w:eastAsia="Arial" w:hAnsi="Arial"/>
          <w:sz w:val="14"/>
          <w:szCs w:val="14"/>
          <w:color w:val="auto"/>
        </w:rPr>
        <w:t>recall, replacement, or discontinuance of one or more of our products;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4"/>
        </w:numPr>
        <w:rPr>
          <w:rFonts w:ascii="Arial" w:cs="Arial" w:eastAsia="Arial" w:hAnsi="Arial"/>
          <w:sz w:val="14"/>
          <w:szCs w:val="14"/>
          <w:color w:val="231F20"/>
        </w:rPr>
      </w:pPr>
      <w:r>
        <w:rPr>
          <w:rFonts w:ascii="Arial" w:cs="Arial" w:eastAsia="Arial" w:hAnsi="Arial"/>
          <w:sz w:val="14"/>
          <w:szCs w:val="14"/>
          <w:color w:val="auto"/>
        </w:rPr>
        <w:t>additional record keeping.</w:t>
      </w:r>
    </w:p>
    <w:p>
      <w:pPr>
        <w:spacing w:after="0" w:line="149" w:lineRule="exact"/>
        <w:rPr>
          <w:sz w:val="20"/>
          <w:szCs w:val="20"/>
          <w:color w:val="auto"/>
        </w:rPr>
      </w:pPr>
    </w:p>
    <w:p>
      <w:pPr>
        <w:jc w:val="both"/>
        <w:ind w:firstLine="256"/>
        <w:spacing w:after="0" w:line="273" w:lineRule="auto"/>
        <w:rPr>
          <w:sz w:val="20"/>
          <w:szCs w:val="20"/>
          <w:color w:val="auto"/>
        </w:rPr>
      </w:pPr>
      <w:r>
        <w:rPr>
          <w:rFonts w:ascii="Arial" w:cs="Arial" w:eastAsia="Arial" w:hAnsi="Arial"/>
          <w:sz w:val="13"/>
          <w:szCs w:val="13"/>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08" w:lineRule="exact"/>
        <w:rPr>
          <w:sz w:val="20"/>
          <w:szCs w:val="20"/>
          <w:color w:val="auto"/>
        </w:rPr>
      </w:pPr>
    </w:p>
    <w:p>
      <w:pPr>
        <w:jc w:val="both"/>
        <w:ind w:firstLine="256"/>
        <w:spacing w:after="0" w:line="253" w:lineRule="auto"/>
        <w:rPr>
          <w:sz w:val="20"/>
          <w:szCs w:val="20"/>
          <w:color w:val="auto"/>
        </w:rPr>
      </w:pPr>
      <w:r>
        <w:rPr>
          <w:rFonts w:ascii="Arial" w:cs="Arial" w:eastAsia="Arial" w:hAnsi="Arial"/>
          <w:sz w:val="12"/>
          <w:szCs w:val="12"/>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24" w:lineRule="exact"/>
        <w:rPr>
          <w:sz w:val="20"/>
          <w:szCs w:val="20"/>
          <w:color w:val="auto"/>
        </w:rPr>
      </w:pPr>
    </w:p>
    <w:p>
      <w:pPr>
        <w:jc w:val="both"/>
        <w:ind w:firstLine="256"/>
        <w:spacing w:after="0" w:line="213" w:lineRule="auto"/>
        <w:rPr>
          <w:sz w:val="20"/>
          <w:szCs w:val="20"/>
          <w:color w:val="auto"/>
        </w:rPr>
      </w:pPr>
      <w:r>
        <w:rPr>
          <w:rFonts w:ascii="Arial" w:cs="Arial" w:eastAsia="Arial" w:hAnsi="Arial"/>
          <w:sz w:val="14"/>
          <w:szCs w:val="14"/>
          <w:color w:val="auto"/>
        </w:rPr>
        <w:t>We currently expect that federal and state legislatures within the United States and foreign governments will continue to consider changes to existing healthcare legislation, and we currently expect that the current Presidential Administration and U.S. Congress will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4" w:name="page55"/>
    <w:bookmarkEnd w:id="5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3"/>
          <w:szCs w:val="13"/>
          <w:color w:val="auto"/>
        </w:rPr>
        <w:t>Other legislative changes have been proposed and adopted in the United States since the Affordable Care Act was enacted. These new laws, among other things, included aggregate reductions of Medicare payments to providers of 2% per fiscal year that will remain in effect through 2025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08" w:lineRule="exact"/>
        <w:rPr>
          <w:sz w:val="20"/>
          <w:szCs w:val="20"/>
          <w:color w:val="auto"/>
        </w:rPr>
      </w:pPr>
    </w:p>
    <w:p>
      <w:pPr>
        <w:jc w:val="both"/>
        <w:ind w:firstLine="256"/>
        <w:spacing w:after="0" w:line="230" w:lineRule="auto"/>
        <w:rPr>
          <w:sz w:val="20"/>
          <w:szCs w:val="20"/>
          <w:color w:val="auto"/>
        </w:rPr>
      </w:pPr>
      <w:r>
        <w:rPr>
          <w:rFonts w:ascii="Arial" w:cs="Arial" w:eastAsia="Arial" w:hAnsi="Arial"/>
          <w:sz w:val="13"/>
          <w:szCs w:val="13"/>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31"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3"/>
          <w:szCs w:val="13"/>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APECCS, we could be forced to stop our use of APECCS or modify our processes to avoid infringement, which may not be possible at a reasonable cost, if at all, and which could result in substantial delay in our use of APECCS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32"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In addition to infringement claims against us, if third parties prepare and file patent applications in the United States that also claim technology similar or identical to ours, we may have to participate in interference or derivation proceedings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5" w:name="page56"/>
    <w:bookmarkEnd w:id="5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22" w:lineRule="auto"/>
        <w:rPr>
          <w:sz w:val="20"/>
          <w:szCs w:val="20"/>
          <w:color w:val="auto"/>
        </w:rPr>
      </w:pPr>
      <w:r>
        <w:rPr>
          <w:rFonts w:ascii="Arial" w:cs="Arial" w:eastAsia="Arial" w:hAnsi="Arial"/>
          <w:sz w:val="14"/>
          <w:szCs w:val="14"/>
          <w:color w:val="auto"/>
        </w:rPr>
        <w:t>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29"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30"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3"/>
          <w:szCs w:val="13"/>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35"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32"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6" w:name="page57"/>
    <w:bookmarkEnd w:id="5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13" w:lineRule="auto"/>
        <w:rPr>
          <w:sz w:val="20"/>
          <w:szCs w:val="20"/>
          <w:color w:val="auto"/>
        </w:rPr>
      </w:pPr>
      <w:r>
        <w:rPr>
          <w:rFonts w:ascii="Arial" w:cs="Arial" w:eastAsia="Arial" w:hAnsi="Arial"/>
          <w:sz w:val="14"/>
          <w:szCs w:val="14"/>
          <w:color w:val="auto"/>
        </w:rPr>
        <w:t>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34"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13"/>
          <w:szCs w:val="13"/>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08" w:lineRule="exact"/>
        <w:rPr>
          <w:sz w:val="20"/>
          <w:szCs w:val="20"/>
          <w:color w:val="auto"/>
        </w:rPr>
      </w:pPr>
    </w:p>
    <w:p>
      <w:pPr>
        <w:jc w:val="both"/>
        <w:ind w:firstLine="256"/>
        <w:spacing w:after="0" w:line="215" w:lineRule="auto"/>
        <w:rPr>
          <w:sz w:val="20"/>
          <w:szCs w:val="20"/>
          <w:color w:val="auto"/>
        </w:rPr>
      </w:pPr>
      <w:r>
        <w:rPr>
          <w:rFonts w:ascii="Arial" w:cs="Arial" w:eastAsia="Arial" w:hAnsi="Arial"/>
          <w:sz w:val="14"/>
          <w:szCs w:val="14"/>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33"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240"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enforce our intellectual property rights throughout the world.</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7" w:name="page58"/>
    <w:bookmarkEnd w:id="5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30"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9" w:lineRule="exact"/>
        <w:rPr>
          <w:sz w:val="20"/>
          <w:szCs w:val="20"/>
          <w:color w:val="auto"/>
        </w:rPr>
      </w:pPr>
    </w:p>
    <w:p>
      <w:pPr>
        <w:jc w:val="both"/>
        <w:ind w:firstLine="256"/>
        <w:spacing w:after="0" w:line="228" w:lineRule="auto"/>
        <w:rPr>
          <w:sz w:val="20"/>
          <w:szCs w:val="20"/>
          <w:color w:val="auto"/>
        </w:rPr>
      </w:pPr>
      <w:r>
        <w:rPr>
          <w:rFonts w:ascii="Arial" w:cs="Arial" w:eastAsia="Arial" w:hAnsi="Arial"/>
          <w:sz w:val="13"/>
          <w:szCs w:val="13"/>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36" w:lineRule="exact"/>
        <w:rPr>
          <w:sz w:val="20"/>
          <w:szCs w:val="20"/>
          <w:color w:val="auto"/>
        </w:rPr>
      </w:pPr>
    </w:p>
    <w:p>
      <w:pPr>
        <w:jc w:val="both"/>
        <w:ind w:firstLine="256"/>
        <w:spacing w:after="0" w:line="260" w:lineRule="auto"/>
        <w:rPr>
          <w:sz w:val="20"/>
          <w:szCs w:val="20"/>
          <w:color w:val="auto"/>
        </w:rPr>
      </w:pPr>
      <w:r>
        <w:rPr>
          <w:rFonts w:ascii="Arial" w:cs="Arial" w:eastAsia="Arial" w:hAnsi="Arial"/>
          <w:sz w:val="12"/>
          <w:szCs w:val="12"/>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stock price may be volatile and our stockholders may not be able to resell shares of our common stock at or above the price they paid.</w:t>
      </w:r>
    </w:p>
    <w:p>
      <w:pPr>
        <w:spacing w:after="0" w:line="160" w:lineRule="exact"/>
        <w:rPr>
          <w:sz w:val="20"/>
          <w:szCs w:val="20"/>
          <w:color w:val="auto"/>
        </w:rPr>
      </w:pPr>
    </w:p>
    <w:p>
      <w:pPr>
        <w:jc w:val="both"/>
        <w:ind w:firstLine="256"/>
        <w:spacing w:after="0" w:line="238" w:lineRule="auto"/>
        <w:rPr>
          <w:sz w:val="20"/>
          <w:szCs w:val="20"/>
          <w:color w:val="auto"/>
        </w:rPr>
      </w:pPr>
      <w:r>
        <w:rPr>
          <w:rFonts w:ascii="Arial" w:cs="Arial" w:eastAsia="Arial" w:hAnsi="Arial"/>
          <w:sz w:val="14"/>
          <w:szCs w:val="14"/>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29" w:lineRule="exact"/>
        <w:rPr>
          <w:sz w:val="20"/>
          <w:szCs w:val="20"/>
          <w:color w:val="auto"/>
        </w:rPr>
      </w:pPr>
    </w:p>
    <w:p>
      <w:pPr>
        <w:ind w:left="520" w:hanging="259"/>
        <w:spacing w:after="0" w:line="238" w:lineRule="auto"/>
        <w:tabs>
          <w:tab w:leader="none" w:pos="520" w:val="left"/>
        </w:tabs>
        <w:numPr>
          <w:ilvl w:val="0"/>
          <w:numId w:val="35"/>
        </w:numPr>
        <w:rPr>
          <w:rFonts w:ascii="Arial" w:cs="Arial" w:eastAsia="Arial" w:hAnsi="Arial"/>
          <w:sz w:val="14"/>
          <w:szCs w:val="14"/>
          <w:color w:val="231F20"/>
        </w:rPr>
      </w:pPr>
      <w:r>
        <w:rPr>
          <w:rFonts w:ascii="Arial" w:cs="Arial" w:eastAsia="Arial" w:hAnsi="Arial"/>
          <w:sz w:val="14"/>
          <w:szCs w:val="14"/>
          <w:color w:val="auto"/>
        </w:rPr>
        <w:t>results from, or any delays in, clinical trial programs relating to our product candidates, including the ongoing Phase 3 clinical trial for tenapanor for hyperphosphatemia;</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35"/>
        </w:numPr>
        <w:rPr>
          <w:rFonts w:ascii="Arial" w:cs="Arial" w:eastAsia="Arial" w:hAnsi="Arial"/>
          <w:sz w:val="14"/>
          <w:szCs w:val="14"/>
          <w:color w:val="231F20"/>
        </w:rPr>
      </w:pPr>
      <w:r>
        <w:rPr>
          <w:rFonts w:ascii="Arial" w:cs="Arial" w:eastAsia="Arial" w:hAnsi="Arial"/>
          <w:sz w:val="14"/>
          <w:szCs w:val="14"/>
          <w:color w:val="auto"/>
        </w:rPr>
        <w:t>the success of our efforts to establish a collaboration partnership for the commercialization of tenapanor for IBS-C in the United States;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8" w:name="page59"/>
    <w:bookmarkEnd w:id="5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5" w:lineRule="exact"/>
        <w:rPr>
          <w:sz w:val="20"/>
          <w:szCs w:val="20"/>
          <w:color w:val="auto"/>
        </w:rPr>
      </w:pPr>
    </w:p>
    <w:p>
      <w:pPr>
        <w:ind w:left="520" w:hanging="259"/>
        <w:spacing w:after="0" w:line="238" w:lineRule="auto"/>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our ability, alone or with collaboration partners, to commercialize or obtain regulatory approval for tenapanor, or delays in commercializing or obtaining regulatory approval;</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announcements of regulatory approval, a complete response letter or a refuse to file letter to tenapanor, or specific label restrictions or patient populations for its use, or changes or delays in the regulatory review process;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announcements relating to our current or future collaboration partnerships;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announcements of therapeutic innovations or new products by us or our competitors;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3"/>
          <w:szCs w:val="13"/>
          <w:color w:val="231F20"/>
        </w:rPr>
      </w:pPr>
      <w:r>
        <w:rPr>
          <w:rFonts w:ascii="Arial" w:cs="Arial" w:eastAsia="Arial" w:hAnsi="Arial"/>
          <w:sz w:val="13"/>
          <w:szCs w:val="13"/>
          <w:color w:val="auto"/>
        </w:rPr>
        <w:t>adverse actions taken by regulatory agencies with respect to our clinical trials, manufacturing supply chain or sales and marketing activities;</w:t>
      </w:r>
    </w:p>
    <w:p>
      <w:pPr>
        <w:spacing w:after="0" w:line="160" w:lineRule="exact"/>
        <w:rPr>
          <w:rFonts w:ascii="Arial" w:cs="Arial" w:eastAsia="Arial" w:hAnsi="Arial"/>
          <w:sz w:val="13"/>
          <w:szCs w:val="13"/>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changes or developments in laws or regulations applicable to our product candidates;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the success of our testing and clinical trials;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failure to meet any of our projected timelines or goals with regard to the clinical development of any of our product candidates, including the Phase 3 clinical trial for tenapanor for hyperphosphatemia;</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failure to meet any of our projected timelines with regard to the filing of the NDA for tenapanor for IBS-C;</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the success of our efforts to acquire or license or discover additional product candidates;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any intellectual property infringement actions in which we may become involved;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the success of our efforts to obtain adequate intellectual property protection for our product candidates;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announcements concerning our competitors or the pharmaceutical industry in general;</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achievement of expected product sales and profitability;</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manufacture, supply or distribution shortages;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actual or anticipated fluctuations in our operating results;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FDA or other U.S. or foreign regulatory actions affecting us or our industry or other healthcare reform measures in the United States;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changes in financial estimates or recommendations by securities analysts;</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trading volume of our common stock;</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sales of our common stock by us, our executive officers and directors or our stockholders in the future;</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sales of debt securities and sales or licensing of assets;</w:t>
      </w:r>
    </w:p>
    <w:p>
      <w:pPr>
        <w:spacing w:after="0" w:line="149" w:lineRule="exact"/>
        <w:rPr>
          <w:sz w:val="20"/>
          <w:szCs w:val="20"/>
          <w:color w:val="auto"/>
        </w:rPr>
      </w:pPr>
    </w:p>
    <w:p>
      <w:pPr>
        <w:ind w:left="520" w:hanging="259"/>
        <w:spacing w:after="0"/>
        <w:tabs>
          <w:tab w:leader="none" w:pos="520" w:val="left"/>
        </w:tabs>
        <w:numPr>
          <w:ilvl w:val="0"/>
          <w:numId w:val="37"/>
        </w:numPr>
        <w:rPr>
          <w:rFonts w:ascii="Arial" w:cs="Arial" w:eastAsia="Arial" w:hAnsi="Arial"/>
          <w:sz w:val="14"/>
          <w:szCs w:val="14"/>
          <w:color w:val="231F20"/>
        </w:rPr>
      </w:pPr>
      <w:r>
        <w:rPr>
          <w:rFonts w:ascii="Arial" w:cs="Arial" w:eastAsia="Arial" w:hAnsi="Arial"/>
          <w:sz w:val="14"/>
          <w:szCs w:val="14"/>
          <w:color w:val="auto"/>
        </w:rPr>
        <w:t>general economic and market conditions and overall fluctuations in the United States equity markets; and</w:t>
      </w:r>
    </w:p>
    <w:p>
      <w:pPr>
        <w:spacing w:after="0" w:line="148" w:lineRule="exact"/>
        <w:rPr>
          <w:rFonts w:ascii="Arial" w:cs="Arial" w:eastAsia="Arial" w:hAnsi="Arial"/>
          <w:sz w:val="14"/>
          <w:szCs w:val="14"/>
          <w:color w:val="231F20"/>
        </w:rPr>
      </w:pPr>
    </w:p>
    <w:p>
      <w:pPr>
        <w:ind w:left="520" w:hanging="259"/>
        <w:spacing w:after="0"/>
        <w:tabs>
          <w:tab w:leader="none" w:pos="520" w:val="left"/>
        </w:tabs>
        <w:numPr>
          <w:ilvl w:val="0"/>
          <w:numId w:val="37"/>
        </w:numPr>
        <w:rPr>
          <w:rFonts w:ascii="Arial" w:cs="Arial" w:eastAsia="Arial" w:hAnsi="Arial"/>
          <w:sz w:val="14"/>
          <w:szCs w:val="14"/>
          <w:color w:val="231F20"/>
        </w:rPr>
      </w:pPr>
      <w:r>
        <w:rPr>
          <w:rFonts w:ascii="Arial" w:cs="Arial" w:eastAsia="Arial" w:hAnsi="Arial"/>
          <w:sz w:val="14"/>
          <w:szCs w:val="14"/>
          <w:color w:val="auto"/>
        </w:rPr>
        <w:t>the loss of any of our key scientific or management personnel.</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59" w:name="page60"/>
    <w:bookmarkEnd w:id="5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firstLine="256"/>
        <w:spacing w:after="0" w:line="217" w:lineRule="auto"/>
        <w:rPr>
          <w:sz w:val="20"/>
          <w:szCs w:val="20"/>
          <w:color w:val="auto"/>
        </w:rPr>
      </w:pPr>
      <w:r>
        <w:rPr>
          <w:rFonts w:ascii="Arial" w:cs="Arial" w:eastAsia="Arial" w:hAnsi="Arial"/>
          <w:sz w:val="14"/>
          <w:szCs w:val="14"/>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29" w:lineRule="exact"/>
        <w:rPr>
          <w:sz w:val="20"/>
          <w:szCs w:val="20"/>
          <w:color w:val="auto"/>
        </w:rPr>
      </w:pPr>
    </w:p>
    <w:p>
      <w:pPr>
        <w:jc w:val="both"/>
        <w:ind w:firstLine="256"/>
        <w:spacing w:after="0" w:line="231" w:lineRule="auto"/>
        <w:rPr>
          <w:sz w:val="20"/>
          <w:szCs w:val="20"/>
          <w:color w:val="auto"/>
        </w:rPr>
      </w:pPr>
      <w:r>
        <w:rPr>
          <w:rFonts w:ascii="Arial" w:cs="Arial" w:eastAsia="Arial" w:hAnsi="Arial"/>
          <w:sz w:val="13"/>
          <w:szCs w:val="13"/>
          <w:color w:val="auto"/>
        </w:rPr>
        <w:t>As of June 30, 2018, entities affiliated with New Enterprise Associates, or NEA, a venture capital fund associated with one of our directors, collectively beneficially owned approximately 26.4% of our common stock, and NEA together with our executive officers and directors beneficially owned approximately 29.0% of our capital stock, including outstanding restricted stock units that will vest within 60 days of June 30, 2018, and warrants and stock options exercisable for shares of our common stock within 60 days of June 30, 2018. Therefore, these stockholders may be able to determine all matters requiring stockholder approval, and the entities affiliated with NEA alone will have significant ability to influence decisions through their ownership position. For example, these stockholders may be able to influence or control elections of directors, amendments to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sell shares of our common stock in future financings, stockholders may experience immediate dilution and, as a result, our stock price may decline.</w:t>
      </w:r>
    </w:p>
    <w:p>
      <w:pPr>
        <w:spacing w:after="0" w:line="172"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in the public market could cause our stock price to fall.</w:t>
      </w:r>
    </w:p>
    <w:p>
      <w:pPr>
        <w:spacing w:after="0" w:line="149"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If our existing stockholders sell, or indicate an intention to sell, substantial amounts of our common stock in the public market, the trading price of our common stock could decline. As of June 30, 2018, we had 62,053,751 shares of common stock outstanding. Of those shares, approximately 15.7 million were held by current directors, executive officers and other affiliates, or may otherwise be subject to Rule 144 under the Securities Act of 1933, or the Securities Act.</w:t>
      </w:r>
    </w:p>
    <w:p>
      <w:pPr>
        <w:spacing w:after="0" w:line="130"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13"/>
          <w:szCs w:val="13"/>
          <w:color w:val="auto"/>
        </w:rPr>
        <w:t>As of June 30, 2018, approximately 0.6 million shares of common stock issuable upon vesting of outstanding restricted stock units and approximately 5.1 million shares of common stock issuable upon exercise of outstanding options were eligible for sale in the public market to the extent permitted by the provisions of the applicable vesting schedules, and Rule 144 and Rule 701 under the Securities Act. In addition, as of June 30, 2018,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30" w:lineRule="exact"/>
        <w:rPr>
          <w:sz w:val="20"/>
          <w:szCs w:val="20"/>
          <w:color w:val="auto"/>
        </w:rPr>
      </w:pPr>
    </w:p>
    <w:p>
      <w:pPr>
        <w:jc w:val="both"/>
        <w:ind w:firstLine="256"/>
        <w:spacing w:after="0" w:line="222" w:lineRule="auto"/>
        <w:rPr>
          <w:sz w:val="20"/>
          <w:szCs w:val="20"/>
          <w:color w:val="auto"/>
        </w:rPr>
      </w:pPr>
      <w:r>
        <w:rPr>
          <w:rFonts w:ascii="Arial" w:cs="Arial" w:eastAsia="Arial" w:hAnsi="Arial"/>
          <w:sz w:val="14"/>
          <w:szCs w:val="14"/>
          <w:color w:val="auto"/>
        </w:rPr>
        <w:t>As of June 30, 2018,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60" w:name="page61"/>
    <w:bookmarkEnd w:id="6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Provisions in our charter documents and under Delaware law could discourage a takeover that stockholders may consider favorable and may lead to entrenchment of management.</w:t>
      </w:r>
    </w:p>
    <w:p>
      <w:pPr>
        <w:spacing w:after="0" w:line="12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30" w:lineRule="exact"/>
        <w:rPr>
          <w:sz w:val="20"/>
          <w:szCs w:val="20"/>
          <w:color w:val="auto"/>
        </w:rPr>
      </w:pPr>
    </w:p>
    <w:p>
      <w:pPr>
        <w:ind w:left="520" w:hanging="259"/>
        <w:spacing w:after="0" w:line="238"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129" w:lineRule="exact"/>
        <w:rPr>
          <w:rFonts w:ascii="Arial" w:cs="Arial" w:eastAsia="Arial" w:hAnsi="Arial"/>
          <w:sz w:val="14"/>
          <w:szCs w:val="14"/>
          <w:color w:val="231F20"/>
        </w:rPr>
      </w:pPr>
    </w:p>
    <w:p>
      <w:pPr>
        <w:ind w:left="520" w:hanging="259"/>
        <w:spacing w:after="0"/>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no cumulative voting in the election of directors, which limits the ability of minority stockholders to elect director candidates;</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the required approval of at least two-thirds of the shares entitled to vote to remove a director for cause, and the prohibition on removal of directors without cause;</w:t>
      </w:r>
    </w:p>
    <w:p>
      <w:pPr>
        <w:spacing w:after="0" w:line="129" w:lineRule="exact"/>
        <w:rPr>
          <w:rFonts w:ascii="Arial" w:cs="Arial" w:eastAsia="Arial" w:hAnsi="Arial"/>
          <w:sz w:val="14"/>
          <w:szCs w:val="14"/>
          <w:color w:val="231F20"/>
        </w:rPr>
      </w:pPr>
    </w:p>
    <w:p>
      <w:pPr>
        <w:ind w:left="520" w:hanging="259"/>
        <w:spacing w:after="0" w:line="273" w:lineRule="auto"/>
        <w:tabs>
          <w:tab w:leader="none" w:pos="520" w:val="left"/>
        </w:tabs>
        <w:numPr>
          <w:ilvl w:val="0"/>
          <w:numId w:val="38"/>
        </w:numPr>
        <w:rPr>
          <w:rFonts w:ascii="Arial" w:cs="Arial" w:eastAsia="Arial" w:hAnsi="Arial"/>
          <w:sz w:val="13"/>
          <w:szCs w:val="13"/>
          <w:color w:val="231F20"/>
        </w:rPr>
      </w:pPr>
      <w:r>
        <w:rPr>
          <w:rFonts w:ascii="Arial" w:cs="Arial" w:eastAsia="Arial" w:hAnsi="Arial"/>
          <w:sz w:val="13"/>
          <w:szCs w:val="13"/>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08" w:lineRule="exact"/>
        <w:rPr>
          <w:rFonts w:ascii="Arial" w:cs="Arial" w:eastAsia="Arial" w:hAnsi="Arial"/>
          <w:sz w:val="13"/>
          <w:szCs w:val="13"/>
          <w:color w:val="231F20"/>
        </w:rPr>
      </w:pPr>
    </w:p>
    <w:p>
      <w:pPr>
        <w:ind w:left="520" w:hanging="259"/>
        <w:spacing w:after="0"/>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the ability of our board of directors to alter our bylaws without obtaining stockholder approval;</w:t>
      </w:r>
    </w:p>
    <w:p>
      <w:pPr>
        <w:spacing w:after="0" w:line="148"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a prohibition on stockholder action by written consent, which forces stockholder action to be taken at an annual or special meeting of our stockholders;</w:t>
      </w:r>
    </w:p>
    <w:p>
      <w:pPr>
        <w:spacing w:after="0" w:line="129"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30" w:lineRule="exact"/>
        <w:rPr>
          <w:rFonts w:ascii="Arial" w:cs="Arial" w:eastAsia="Arial" w:hAnsi="Arial"/>
          <w:sz w:val="14"/>
          <w:szCs w:val="14"/>
          <w:color w:val="231F20"/>
        </w:rPr>
      </w:pPr>
    </w:p>
    <w:p>
      <w:pPr>
        <w:jc w:val="both"/>
        <w:ind w:left="520" w:hanging="259"/>
        <w:spacing w:after="0" w:line="227" w:lineRule="auto"/>
        <w:tabs>
          <w:tab w:leader="none" w:pos="52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addition, these provisions would apply even if we were to receive an offer that some stockholders may consider beneficial.</w:t>
      </w:r>
    </w:p>
    <w:p>
      <w:pPr>
        <w:spacing w:after="0" w:line="149" w:lineRule="exact"/>
        <w:rPr>
          <w:sz w:val="20"/>
          <w:szCs w:val="20"/>
          <w:color w:val="auto"/>
        </w:rPr>
      </w:pPr>
    </w:p>
    <w:p>
      <w:pPr>
        <w:jc w:val="both"/>
        <w:ind w:firstLine="256"/>
        <w:spacing w:after="0" w:line="227" w:lineRule="auto"/>
        <w:rPr>
          <w:sz w:val="20"/>
          <w:szCs w:val="20"/>
          <w:color w:val="auto"/>
        </w:rPr>
      </w:pPr>
      <w:r>
        <w:rPr>
          <w:rFonts w:ascii="Arial" w:cs="Arial" w:eastAsia="Arial" w:hAnsi="Arial"/>
          <w:sz w:val="14"/>
          <w:szCs w:val="14"/>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61" w:name="page62"/>
    <w:bookmarkEnd w:id="6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29"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we will indemnify our directors and officers, in each case to the fullest extent permitted by Delaware law.</w:t>
      </w:r>
    </w:p>
    <w:p>
      <w:pPr>
        <w:spacing w:after="0" w:line="129"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29" w:lineRule="exact"/>
        <w:rPr>
          <w:sz w:val="20"/>
          <w:szCs w:val="20"/>
          <w:color w:val="auto"/>
        </w:rPr>
      </w:pPr>
    </w:p>
    <w:p>
      <w:pPr>
        <w:jc w:val="both"/>
        <w:ind w:left="520" w:hanging="259"/>
        <w:spacing w:after="0" w:line="222" w:lineRule="auto"/>
        <w:tabs>
          <w:tab w:leader="none" w:pos="520" w:val="left"/>
        </w:tabs>
        <w:numPr>
          <w:ilvl w:val="0"/>
          <w:numId w:val="39"/>
        </w:numPr>
        <w:rPr>
          <w:rFonts w:ascii="Arial" w:cs="Arial" w:eastAsia="Arial" w:hAnsi="Arial"/>
          <w:sz w:val="14"/>
          <w:szCs w:val="14"/>
          <w:color w:val="231F20"/>
        </w:rPr>
      </w:pPr>
      <w:r>
        <w:rPr>
          <w:rFonts w:ascii="Arial" w:cs="Arial" w:eastAsia="Arial" w:hAnsi="Arial"/>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0" w:lineRule="exact"/>
        <w:rPr>
          <w:rFonts w:ascii="Arial" w:cs="Arial" w:eastAsia="Arial" w:hAnsi="Arial"/>
          <w:sz w:val="14"/>
          <w:szCs w:val="14"/>
          <w:color w:val="231F20"/>
        </w:rPr>
      </w:pPr>
    </w:p>
    <w:p>
      <w:pPr>
        <w:ind w:left="520" w:hanging="259"/>
        <w:spacing w:after="0"/>
        <w:tabs>
          <w:tab w:leader="none" w:pos="520" w:val="left"/>
        </w:tabs>
        <w:numPr>
          <w:ilvl w:val="0"/>
          <w:numId w:val="39"/>
        </w:numPr>
        <w:rPr>
          <w:rFonts w:ascii="Arial" w:cs="Arial" w:eastAsia="Arial" w:hAnsi="Arial"/>
          <w:sz w:val="14"/>
          <w:szCs w:val="14"/>
          <w:color w:val="231F20"/>
        </w:rPr>
      </w:pPr>
      <w:r>
        <w:rPr>
          <w:rFonts w:ascii="Arial" w:cs="Arial" w:eastAsia="Arial" w:hAnsi="Arial"/>
          <w:sz w:val="14"/>
          <w:szCs w:val="14"/>
          <w:color w:val="auto"/>
        </w:rPr>
        <w:t>We may, in our discretion, indemnify employees and agents in those circumstances where indemnification is permitted by applicable law.</w:t>
      </w:r>
    </w:p>
    <w:p>
      <w:pPr>
        <w:spacing w:after="0" w:line="148" w:lineRule="exact"/>
        <w:rPr>
          <w:rFonts w:ascii="Arial" w:cs="Arial" w:eastAsia="Arial" w:hAnsi="Arial"/>
          <w:sz w:val="14"/>
          <w:szCs w:val="14"/>
          <w:color w:val="231F20"/>
        </w:rPr>
      </w:pPr>
    </w:p>
    <w:p>
      <w:pPr>
        <w:ind w:left="520" w:hanging="259"/>
        <w:spacing w:after="0" w:line="273" w:lineRule="auto"/>
        <w:tabs>
          <w:tab w:leader="none" w:pos="520" w:val="left"/>
        </w:tabs>
        <w:numPr>
          <w:ilvl w:val="0"/>
          <w:numId w:val="39"/>
        </w:numPr>
        <w:rPr>
          <w:rFonts w:ascii="Arial" w:cs="Arial" w:eastAsia="Arial" w:hAnsi="Arial"/>
          <w:sz w:val="13"/>
          <w:szCs w:val="13"/>
          <w:color w:val="231F20"/>
        </w:rPr>
      </w:pPr>
      <w:r>
        <w:rPr>
          <w:rFonts w:ascii="Arial" w:cs="Arial" w:eastAsia="Arial" w:hAnsi="Arial"/>
          <w:sz w:val="13"/>
          <w:szCs w:val="13"/>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8" w:lineRule="exact"/>
        <w:rPr>
          <w:rFonts w:ascii="Arial" w:cs="Arial" w:eastAsia="Arial" w:hAnsi="Arial"/>
          <w:sz w:val="13"/>
          <w:szCs w:val="13"/>
          <w:color w:val="231F20"/>
        </w:rPr>
      </w:pPr>
    </w:p>
    <w:p>
      <w:pPr>
        <w:jc w:val="both"/>
        <w:ind w:left="520" w:hanging="259"/>
        <w:spacing w:after="0" w:line="227" w:lineRule="auto"/>
        <w:tabs>
          <w:tab w:leader="none" w:pos="520" w:val="left"/>
        </w:tabs>
        <w:numPr>
          <w:ilvl w:val="0"/>
          <w:numId w:val="39"/>
        </w:numPr>
        <w:rPr>
          <w:rFonts w:ascii="Arial" w:cs="Arial" w:eastAsia="Arial" w:hAnsi="Arial"/>
          <w:sz w:val="14"/>
          <w:szCs w:val="14"/>
          <w:color w:val="231F20"/>
        </w:rPr>
      </w:pPr>
      <w:r>
        <w:rPr>
          <w:rFonts w:ascii="Arial" w:cs="Arial" w:eastAsia="Arial" w:hAnsi="Arial"/>
          <w:sz w:val="14"/>
          <w:szCs w:val="14"/>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30"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9"/>
        </w:numPr>
        <w:rPr>
          <w:rFonts w:ascii="Arial" w:cs="Arial" w:eastAsia="Arial" w:hAnsi="Arial"/>
          <w:sz w:val="14"/>
          <w:szCs w:val="14"/>
          <w:color w:val="231F20"/>
        </w:rPr>
      </w:pPr>
      <w:r>
        <w:rPr>
          <w:rFonts w:ascii="Arial" w:cs="Arial" w:eastAsia="Arial" w:hAnsi="Arial"/>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29" w:lineRule="exact"/>
        <w:rPr>
          <w:rFonts w:ascii="Arial" w:cs="Arial" w:eastAsia="Arial" w:hAnsi="Arial"/>
          <w:sz w:val="14"/>
          <w:szCs w:val="14"/>
          <w:color w:val="231F20"/>
        </w:rPr>
      </w:pPr>
    </w:p>
    <w:p>
      <w:pPr>
        <w:ind w:left="520" w:hanging="259"/>
        <w:spacing w:after="0" w:line="238" w:lineRule="auto"/>
        <w:tabs>
          <w:tab w:leader="none" w:pos="520" w:val="left"/>
        </w:tabs>
        <w:numPr>
          <w:ilvl w:val="0"/>
          <w:numId w:val="39"/>
        </w:numPr>
        <w:rPr>
          <w:rFonts w:ascii="Arial" w:cs="Arial" w:eastAsia="Arial" w:hAnsi="Arial"/>
          <w:sz w:val="14"/>
          <w:szCs w:val="14"/>
          <w:color w:val="231F20"/>
        </w:rPr>
      </w:pPr>
      <w:r>
        <w:rPr>
          <w:rFonts w:ascii="Arial" w:cs="Arial" w:eastAsia="Arial" w:hAnsi="Arial"/>
          <w:sz w:val="14"/>
          <w:szCs w:val="14"/>
          <w:color w:val="auto"/>
        </w:rPr>
        <w:t>We may not retroactively amend our amended and restated bylaw provisions to reduce our indemnification obligations to directors, officers, employees and agents.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29" w:lineRule="exact"/>
        <w:rPr>
          <w:sz w:val="20"/>
          <w:szCs w:val="20"/>
          <w:color w:val="auto"/>
        </w:rPr>
      </w:pPr>
    </w:p>
    <w:p>
      <w:pPr>
        <w:jc w:val="both"/>
        <w:ind w:firstLine="256"/>
        <w:spacing w:after="0" w:line="219" w:lineRule="auto"/>
        <w:rPr>
          <w:sz w:val="20"/>
          <w:szCs w:val="20"/>
          <w:color w:val="auto"/>
        </w:rPr>
      </w:pPr>
      <w:r>
        <w:rPr>
          <w:rFonts w:ascii="Arial" w:cs="Arial" w:eastAsia="Arial" w:hAnsi="Arial"/>
          <w:sz w:val="14"/>
          <w:szCs w:val="14"/>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26"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53" w:lineRule="exact"/>
        <w:rPr>
          <w:sz w:val="20"/>
          <w:szCs w:val="20"/>
          <w:color w:val="auto"/>
        </w:rPr>
      </w:pPr>
    </w:p>
    <w:p>
      <w:pPr>
        <w:jc w:val="both"/>
        <w:ind w:firstLine="256"/>
        <w:spacing w:after="0" w:line="247" w:lineRule="auto"/>
        <w:rPr>
          <w:sz w:val="20"/>
          <w:szCs w:val="20"/>
          <w:color w:val="auto"/>
        </w:rPr>
      </w:pPr>
      <w:r>
        <w:rPr>
          <w:rFonts w:ascii="Arial" w:cs="Arial" w:eastAsia="Arial" w:hAnsi="Arial"/>
          <w:sz w:val="13"/>
          <w:szCs w:val="13"/>
          <w:color w:val="auto"/>
        </w:rPr>
        <w:t>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5 in the notes to our unaudited interim condensed consolidated financial statements in Part I, Item 1 of this Quarterly Report on Form 10 Q.</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Unregistered Sales of Equity Securities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62" w:name="page63"/>
    <w:bookmarkEnd w:id="6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Purchases of Equity Securities by the Issuer and Affiliated Purchasers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DEFAULTS UPON SENIOR SECURITIES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78358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059"/>
          </w:cols>
          <w:pgMar w:left="1400" w:top="118" w:right="1440" w:bottom="1440" w:gutter="0" w:footer="0" w:header="0"/>
        </w:sectPr>
      </w:pPr>
    </w:p>
    <w:bookmarkStart w:id="63" w:name="page64"/>
    <w:bookmarkEnd w:id="6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ITEM 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gridSpan w:val="12"/>
          </w:tcPr>
          <w:p>
            <w:pPr>
              <w:ind w:left="20"/>
              <w:spacing w:after="0"/>
              <w:rPr>
                <w:sz w:val="20"/>
                <w:szCs w:val="20"/>
                <w:color w:val="auto"/>
              </w:rPr>
            </w:pPr>
            <w:r>
              <w:rPr>
                <w:rFonts w:ascii="Arial" w:cs="Arial" w:eastAsia="Arial" w:hAnsi="Arial"/>
                <w:sz w:val="14"/>
                <w:szCs w:val="14"/>
                <w:b w:val="1"/>
                <w:bCs w:val="1"/>
                <w:color w:val="auto"/>
              </w:rPr>
              <w:t>Exhibits</w:t>
            </w:r>
          </w:p>
        </w:tc>
        <w:tc>
          <w:tcPr>
            <w:tcW w:w="0" w:type="dxa"/>
            <w:vAlign w:val="bottom"/>
          </w:tcPr>
          <w:p>
            <w:pPr>
              <w:spacing w:after="0"/>
              <w:rPr>
                <w:sz w:val="1"/>
                <w:szCs w:val="1"/>
                <w:color w:val="auto"/>
              </w:rPr>
            </w:pPr>
          </w:p>
        </w:tc>
      </w:tr>
      <w:tr>
        <w:trPr>
          <w:trHeight w:val="353"/>
        </w:trPr>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20" w:type="dxa"/>
            <w:vAlign w:val="bottom"/>
            <w:gridSpan w:val="11"/>
            <w:vMerge w:val="restart"/>
          </w:tcPr>
          <w:p>
            <w:pPr>
              <w:ind w:left="140"/>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128"/>
        </w:trPr>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9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6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280" w:type="dxa"/>
            <w:vAlign w:val="bottom"/>
          </w:tcPr>
          <w:p>
            <w:pPr>
              <w:jc w:val="right"/>
              <w:spacing w:after="0" w:line="119" w:lineRule="exact"/>
              <w:rPr>
                <w:sz w:val="20"/>
                <w:szCs w:val="20"/>
                <w:color w:val="auto"/>
              </w:rPr>
            </w:pPr>
            <w:r>
              <w:rPr>
                <w:rFonts w:ascii="Arial" w:cs="Arial" w:eastAsia="Arial" w:hAnsi="Arial"/>
                <w:sz w:val="13"/>
                <w:szCs w:val="13"/>
                <w:color w:val="auto"/>
                <w:w w:val="86"/>
              </w:rPr>
              <w:t>10.1</w:t>
            </w:r>
          </w:p>
        </w:tc>
        <w:tc>
          <w:tcPr>
            <w:tcW w:w="2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560" w:type="dxa"/>
            <w:vAlign w:val="bottom"/>
            <w:gridSpan w:val="12"/>
          </w:tcPr>
          <w:p>
            <w:pPr>
              <w:spacing w:after="0" w:line="119" w:lineRule="exact"/>
              <w:rPr>
                <w:rFonts w:ascii="Arial" w:cs="Arial" w:eastAsia="Arial" w:hAnsi="Arial"/>
                <w:sz w:val="13"/>
                <w:szCs w:val="13"/>
                <w:color w:val="0000EE"/>
              </w:rPr>
            </w:pPr>
            <w:hyperlink w:anchor="page66">
              <w:r>
                <w:rPr>
                  <w:rFonts w:ascii="Arial" w:cs="Arial" w:eastAsia="Arial" w:hAnsi="Arial"/>
                  <w:sz w:val="13"/>
                  <w:szCs w:val="13"/>
                  <w:color w:val="0000EE"/>
                </w:rPr>
                <w:t>Loan and Security Agreement, dated May 16, 2018, by and between the</w:t>
              </w:r>
            </w:hyperlink>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80" w:type="dxa"/>
            <w:vAlign w:val="bottom"/>
            <w:tcBorders>
              <w:top w:val="single" w:sz="8" w:color="0000EE"/>
              <w:bottom w:val="single" w:sz="8" w:color="0000EE"/>
            </w:tcBorders>
            <w:gridSpan w:val="6"/>
          </w:tcPr>
          <w:p>
            <w:pPr>
              <w:spacing w:after="0" w:line="119" w:lineRule="exact"/>
              <w:rPr>
                <w:rFonts w:ascii="Arial" w:cs="Arial" w:eastAsia="Arial" w:hAnsi="Arial"/>
                <w:sz w:val="13"/>
                <w:szCs w:val="13"/>
                <w:color w:val="0000EE"/>
                <w:w w:val="99"/>
              </w:rPr>
            </w:pPr>
            <w:hyperlink w:anchor="page66">
              <w:r>
                <w:rPr>
                  <w:rFonts w:ascii="Arial" w:cs="Arial" w:eastAsia="Arial" w:hAnsi="Arial"/>
                  <w:sz w:val="13"/>
                  <w:szCs w:val="13"/>
                  <w:color w:val="0000EE"/>
                  <w:w w:val="99"/>
                </w:rPr>
                <w:t>Company and Solar Capital Ltd. and Western Alliance Bank.</w:t>
              </w:r>
            </w:hyperlink>
          </w:p>
        </w:tc>
        <w:tc>
          <w:tcPr>
            <w:tcW w:w="620" w:type="dxa"/>
            <w:vAlign w:val="bottom"/>
            <w:tcBorders>
              <w:top w:val="single" w:sz="8" w:color="0000EE"/>
            </w:tcBorders>
            <w:gridSpan w:val="3"/>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00" w:type="dxa"/>
            <w:vAlign w:val="bottom"/>
            <w:gridSpan w:val="2"/>
          </w:tcPr>
          <w:p>
            <w:pPr>
              <w:jc w:val="right"/>
              <w:spacing w:after="0"/>
              <w:rPr>
                <w:sz w:val="20"/>
                <w:szCs w:val="20"/>
                <w:color w:val="auto"/>
              </w:rPr>
            </w:pPr>
            <w:r>
              <w:rPr>
                <w:rFonts w:ascii="Arial" w:cs="Arial" w:eastAsia="Arial" w:hAnsi="Arial"/>
                <w:sz w:val="14"/>
                <w:szCs w:val="14"/>
                <w:color w:val="auto"/>
                <w:w w:val="87"/>
              </w:rPr>
              <w:t>10.2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580" w:type="dxa"/>
            <w:vAlign w:val="bottom"/>
            <w:gridSpan w:val="13"/>
          </w:tcPr>
          <w:p>
            <w:pPr>
              <w:spacing w:after="0"/>
              <w:rPr>
                <w:rFonts w:ascii="Arial" w:cs="Arial" w:eastAsia="Arial" w:hAnsi="Arial"/>
                <w:sz w:val="14"/>
                <w:szCs w:val="14"/>
                <w:color w:val="0000EE"/>
                <w:w w:val="95"/>
              </w:rPr>
            </w:pPr>
            <w:hyperlink w:anchor="page135">
              <w:r>
                <w:rPr>
                  <w:rFonts w:ascii="Arial" w:cs="Arial" w:eastAsia="Arial" w:hAnsi="Arial"/>
                  <w:sz w:val="14"/>
                  <w:szCs w:val="14"/>
                  <w:color w:val="0000EE"/>
                  <w:w w:val="95"/>
                </w:rPr>
                <w:t>Exit Fee Agreement, dated May 16, 2018, by and between the Company and</w:t>
              </w:r>
            </w:hyperlink>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360" w:type="dxa"/>
            <w:vAlign w:val="bottom"/>
            <w:tcBorders>
              <w:top w:val="single" w:sz="8" w:color="0000EE"/>
            </w:tcBorders>
            <w:gridSpan w:val="10"/>
          </w:tcPr>
          <w:p>
            <w:pPr>
              <w:spacing w:after="0" w:line="119" w:lineRule="exact"/>
              <w:rPr>
                <w:rFonts w:ascii="Arial" w:cs="Arial" w:eastAsia="Arial" w:hAnsi="Arial"/>
                <w:sz w:val="13"/>
                <w:szCs w:val="13"/>
                <w:color w:val="0000EE"/>
              </w:rPr>
            </w:pPr>
            <w:hyperlink w:anchor="page135">
              <w:r>
                <w:rPr>
                  <w:rFonts w:ascii="Arial" w:cs="Arial" w:eastAsia="Arial" w:hAnsi="Arial"/>
                  <w:sz w:val="13"/>
                  <w:szCs w:val="13"/>
                  <w:color w:val="0000EE"/>
                </w:rPr>
                <w:t>Solar Capital Ltd. and Western Alliance Bank.</w:t>
              </w:r>
            </w:hyperlink>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0" w:type="dxa"/>
            <w:vAlign w:val="bottom"/>
            <w:gridSpan w:val="2"/>
          </w:tcPr>
          <w:p>
            <w:pPr>
              <w:jc w:val="right"/>
              <w:spacing w:after="0"/>
              <w:rPr>
                <w:sz w:val="20"/>
                <w:szCs w:val="20"/>
                <w:color w:val="auto"/>
              </w:rPr>
            </w:pPr>
            <w:r>
              <w:rPr>
                <w:rFonts w:ascii="Arial" w:cs="Arial" w:eastAsia="Arial" w:hAnsi="Arial"/>
                <w:sz w:val="14"/>
                <w:szCs w:val="14"/>
                <w:color w:val="auto"/>
                <w:w w:val="87"/>
              </w:rPr>
              <w:t>10.3</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580" w:type="dxa"/>
            <w:vAlign w:val="bottom"/>
            <w:gridSpan w:val="13"/>
          </w:tcPr>
          <w:p>
            <w:pPr>
              <w:spacing w:after="0"/>
              <w:rPr>
                <w:rFonts w:ascii="Arial" w:cs="Arial" w:eastAsia="Arial" w:hAnsi="Arial"/>
                <w:sz w:val="14"/>
                <w:szCs w:val="14"/>
                <w:color w:val="0000EE"/>
                <w:w w:val="94"/>
              </w:rPr>
            </w:pPr>
            <w:hyperlink w:anchor="page141">
              <w:r>
                <w:rPr>
                  <w:rFonts w:ascii="Arial" w:cs="Arial" w:eastAsia="Arial" w:hAnsi="Arial"/>
                  <w:sz w:val="14"/>
                  <w:szCs w:val="14"/>
                  <w:color w:val="0000EE"/>
                  <w:w w:val="94"/>
                </w:rPr>
                <w:t>Transition and Separation Agreement dated July 8, 2018, by and between the</w:t>
              </w:r>
            </w:hyperlink>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3"/>
          </w:tcPr>
          <w:p>
            <w:pPr>
              <w:spacing w:after="0" w:line="119" w:lineRule="exact"/>
              <w:rPr>
                <w:rFonts w:ascii="Arial" w:cs="Arial" w:eastAsia="Arial" w:hAnsi="Arial"/>
                <w:sz w:val="13"/>
                <w:szCs w:val="13"/>
                <w:color w:val="0000EE"/>
                <w:w w:val="98"/>
              </w:rPr>
            </w:pPr>
            <w:hyperlink w:anchor="page141">
              <w:r>
                <w:rPr>
                  <w:rFonts w:ascii="Arial" w:cs="Arial" w:eastAsia="Arial" w:hAnsi="Arial"/>
                  <w:sz w:val="13"/>
                  <w:szCs w:val="13"/>
                  <w:color w:val="0000EE"/>
                  <w:w w:val="98"/>
                </w:rPr>
                <w:t>Company and Reginald Seeto, MBBS.</w:t>
              </w:r>
            </w:hyperlink>
          </w:p>
        </w:tc>
        <w:tc>
          <w:tcPr>
            <w:tcW w:w="2180" w:type="dxa"/>
            <w:vAlign w:val="bottom"/>
            <w:tcBorders>
              <w:top w:val="single" w:sz="8" w:color="0000EE"/>
            </w:tcBorders>
            <w:gridSpan w:val="8"/>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00" w:type="dxa"/>
            <w:vAlign w:val="bottom"/>
            <w:gridSpan w:val="2"/>
          </w:tcPr>
          <w:p>
            <w:pPr>
              <w:jc w:val="right"/>
              <w:spacing w:after="0"/>
              <w:rPr>
                <w:sz w:val="20"/>
                <w:szCs w:val="20"/>
                <w:color w:val="auto"/>
              </w:rPr>
            </w:pPr>
            <w:r>
              <w:rPr>
                <w:rFonts w:ascii="Arial" w:cs="Arial" w:eastAsia="Arial" w:hAnsi="Arial"/>
                <w:sz w:val="14"/>
                <w:szCs w:val="14"/>
                <w:color w:val="auto"/>
                <w:w w:val="87"/>
              </w:rPr>
              <w:t>31.1</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580" w:type="dxa"/>
            <w:vAlign w:val="bottom"/>
            <w:gridSpan w:val="13"/>
          </w:tcPr>
          <w:p>
            <w:pPr>
              <w:spacing w:after="0"/>
              <w:rPr>
                <w:rFonts w:ascii="Arial" w:cs="Arial" w:eastAsia="Arial" w:hAnsi="Arial"/>
                <w:sz w:val="14"/>
                <w:szCs w:val="14"/>
                <w:color w:val="0000EE"/>
              </w:rPr>
            </w:pPr>
            <w:hyperlink w:anchor="page150">
              <w:r>
                <w:rPr>
                  <w:rFonts w:ascii="Arial" w:cs="Arial" w:eastAsia="Arial" w:hAnsi="Arial"/>
                  <w:sz w:val="14"/>
                  <w:szCs w:val="14"/>
                  <w:color w:val="0000EE"/>
                </w:rPr>
                <w:t>Certification of Chief Executive Officer Pursuant to Section 302 of the</w:t>
              </w:r>
            </w:hyperlink>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40" w:type="dxa"/>
            <w:vAlign w:val="bottom"/>
            <w:tcBorders>
              <w:top w:val="single" w:sz="8" w:color="0000EE"/>
            </w:tcBorders>
            <w:gridSpan w:val="8"/>
          </w:tcPr>
          <w:p>
            <w:pPr>
              <w:spacing w:after="0" w:line="119" w:lineRule="exact"/>
              <w:rPr>
                <w:rFonts w:ascii="Arial" w:cs="Arial" w:eastAsia="Arial" w:hAnsi="Arial"/>
                <w:sz w:val="13"/>
                <w:szCs w:val="13"/>
                <w:color w:val="0000EE"/>
              </w:rPr>
            </w:pPr>
            <w:hyperlink w:anchor="page150">
              <w:r>
                <w:rPr>
                  <w:rFonts w:ascii="Arial" w:cs="Arial" w:eastAsia="Arial" w:hAnsi="Arial"/>
                  <w:sz w:val="13"/>
                  <w:szCs w:val="13"/>
                  <w:color w:val="0000EE"/>
                </w:rPr>
                <w:t>Sarbanes-Oxley Act of 2002.</w:t>
              </w:r>
            </w:hyperlink>
          </w:p>
        </w:tc>
        <w:tc>
          <w:tcPr>
            <w:tcW w:w="5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0" w:type="dxa"/>
            <w:vAlign w:val="bottom"/>
            <w:gridSpan w:val="2"/>
          </w:tcPr>
          <w:p>
            <w:pPr>
              <w:jc w:val="right"/>
              <w:spacing w:after="0"/>
              <w:rPr>
                <w:sz w:val="20"/>
                <w:szCs w:val="20"/>
                <w:color w:val="auto"/>
              </w:rPr>
            </w:pPr>
            <w:r>
              <w:rPr>
                <w:rFonts w:ascii="Arial" w:cs="Arial" w:eastAsia="Arial" w:hAnsi="Arial"/>
                <w:sz w:val="14"/>
                <w:szCs w:val="14"/>
                <w:color w:val="auto"/>
                <w:w w:val="87"/>
              </w:rPr>
              <w:t>31.2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580" w:type="dxa"/>
            <w:vAlign w:val="bottom"/>
            <w:gridSpan w:val="13"/>
          </w:tcPr>
          <w:p>
            <w:pPr>
              <w:spacing w:after="0"/>
              <w:rPr>
                <w:rFonts w:ascii="Arial" w:cs="Arial" w:eastAsia="Arial" w:hAnsi="Arial"/>
                <w:sz w:val="14"/>
                <w:szCs w:val="14"/>
                <w:color w:val="0000EE"/>
              </w:rPr>
            </w:pPr>
            <w:hyperlink w:anchor="page151">
              <w:r>
                <w:rPr>
                  <w:rFonts w:ascii="Arial" w:cs="Arial" w:eastAsia="Arial" w:hAnsi="Arial"/>
                  <w:sz w:val="14"/>
                  <w:szCs w:val="14"/>
                  <w:color w:val="0000EE"/>
                </w:rPr>
                <w:t>Certification of Chief Financial Officer Pursuant to Section 302 of the</w:t>
              </w:r>
            </w:hyperlink>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0" w:type="dxa"/>
            <w:vAlign w:val="bottom"/>
            <w:tcBorders>
              <w:top w:val="single" w:sz="8" w:color="0000EE"/>
            </w:tcBorders>
            <w:gridSpan w:val="7"/>
          </w:tcPr>
          <w:p>
            <w:pPr>
              <w:spacing w:after="0" w:line="119" w:lineRule="exact"/>
              <w:rPr>
                <w:rFonts w:ascii="Arial" w:cs="Arial" w:eastAsia="Arial" w:hAnsi="Arial"/>
                <w:sz w:val="13"/>
                <w:szCs w:val="13"/>
                <w:color w:val="0000EE"/>
              </w:rPr>
            </w:pPr>
            <w:hyperlink w:anchor="page151">
              <w:r>
                <w:rPr>
                  <w:rFonts w:ascii="Arial" w:cs="Arial" w:eastAsia="Arial" w:hAnsi="Arial"/>
                  <w:sz w:val="13"/>
                  <w:szCs w:val="13"/>
                  <w:color w:val="0000EE"/>
                </w:rPr>
                <w:t>Sarbanes-Oxley Act of 2002.</w:t>
              </w:r>
            </w:hyperlink>
          </w:p>
        </w:tc>
        <w:tc>
          <w:tcPr>
            <w:tcW w:w="56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0" w:type="dxa"/>
            <w:vAlign w:val="bottom"/>
            <w:gridSpan w:val="2"/>
          </w:tcPr>
          <w:p>
            <w:pPr>
              <w:jc w:val="right"/>
              <w:spacing w:after="0"/>
              <w:rPr>
                <w:sz w:val="20"/>
                <w:szCs w:val="20"/>
                <w:color w:val="auto"/>
              </w:rPr>
            </w:pPr>
            <w:r>
              <w:rPr>
                <w:rFonts w:ascii="Arial" w:cs="Arial" w:eastAsia="Arial" w:hAnsi="Arial"/>
                <w:sz w:val="14"/>
                <w:szCs w:val="14"/>
                <w:color w:val="auto"/>
                <w:w w:val="87"/>
              </w:rPr>
              <w:t>32.1</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580" w:type="dxa"/>
            <w:vAlign w:val="bottom"/>
            <w:gridSpan w:val="13"/>
          </w:tcPr>
          <w:p>
            <w:pPr>
              <w:spacing w:after="0"/>
              <w:rPr>
                <w:rFonts w:ascii="Arial" w:cs="Arial" w:eastAsia="Arial" w:hAnsi="Arial"/>
                <w:sz w:val="14"/>
                <w:szCs w:val="14"/>
                <w:color w:val="0000EE"/>
                <w:w w:val="94"/>
              </w:rPr>
            </w:pPr>
            <w:hyperlink w:anchor="page152">
              <w:r>
                <w:rPr>
                  <w:rFonts w:ascii="Arial" w:cs="Arial" w:eastAsia="Arial" w:hAnsi="Arial"/>
                  <w:sz w:val="14"/>
                  <w:szCs w:val="14"/>
                  <w:color w:val="0000EE"/>
                  <w:w w:val="94"/>
                </w:rPr>
                <w:t>Certification of Chief Executive Officer and Chief Financial Officer Pursuant to</w:t>
              </w:r>
            </w:hyperlink>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740" w:type="dxa"/>
            <w:vAlign w:val="bottom"/>
            <w:tcBorders>
              <w:top w:val="single" w:sz="8" w:color="0000EE"/>
              <w:bottom w:val="single" w:sz="8" w:color="0000EE"/>
            </w:tcBorders>
            <w:gridSpan w:val="5"/>
          </w:tcPr>
          <w:p>
            <w:pPr>
              <w:spacing w:after="0" w:line="119" w:lineRule="exact"/>
              <w:rPr>
                <w:rFonts w:ascii="Arial" w:cs="Arial" w:eastAsia="Arial" w:hAnsi="Arial"/>
                <w:sz w:val="13"/>
                <w:szCs w:val="13"/>
                <w:color w:val="0000EE"/>
                <w:w w:val="99"/>
              </w:rPr>
            </w:pPr>
            <w:hyperlink w:anchor="page152">
              <w:r>
                <w:rPr>
                  <w:rFonts w:ascii="Arial" w:cs="Arial" w:eastAsia="Arial" w:hAnsi="Arial"/>
                  <w:sz w:val="13"/>
                  <w:szCs w:val="13"/>
                  <w:color w:val="0000EE"/>
                  <w:w w:val="99"/>
                </w:rPr>
                <w:t>Section 906 of the Sarbanes-Oxley Act of 2002.</w:t>
              </w:r>
            </w:hyperlink>
          </w:p>
        </w:tc>
        <w:tc>
          <w:tcPr>
            <w:tcW w:w="1820" w:type="dxa"/>
            <w:vAlign w:val="bottom"/>
            <w:tcBorders>
              <w:top w:val="single" w:sz="8" w:color="0000EE"/>
            </w:tcBorders>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40" w:right="340" w:hanging="735"/>
        <w:spacing w:after="0" w:line="251" w:lineRule="auto"/>
        <w:tabs>
          <w:tab w:leader="none" w:pos="74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following financial statements, formatted in XBRL: (i) Condensed Consolidated Balance Sheets as of June 30, 2018 and December 31, 2017,</w:t>
      </w:r>
    </w:p>
    <w:p>
      <w:pPr>
        <w:ind w:left="740" w:right="280" w:firstLine="2"/>
        <w:spacing w:after="0" w:line="241" w:lineRule="auto"/>
        <w:tabs>
          <w:tab w:leader="none" w:pos="950" w:val="left"/>
        </w:tabs>
        <w:numPr>
          <w:ilvl w:val="2"/>
          <w:numId w:val="40"/>
        </w:numPr>
        <w:rPr>
          <w:rFonts w:ascii="Arial" w:cs="Arial" w:eastAsia="Arial" w:hAnsi="Arial"/>
          <w:sz w:val="12"/>
          <w:szCs w:val="12"/>
          <w:color w:val="auto"/>
        </w:rPr>
      </w:pPr>
      <w:r>
        <w:rPr>
          <w:rFonts w:ascii="Arial" w:cs="Arial" w:eastAsia="Arial" w:hAnsi="Arial"/>
          <w:sz w:val="12"/>
          <w:szCs w:val="12"/>
          <w:color w:val="auto"/>
        </w:rPr>
        <w:t>Condensed Consolidated Statements of Operations and Comprehensive Loss for the three and six months ended June 30, 2018 and 2017,</w:t>
      </w:r>
    </w:p>
    <w:p>
      <w:pPr>
        <w:ind w:left="740" w:right="300" w:firstLine="2"/>
        <w:spacing w:after="0" w:line="221" w:lineRule="auto"/>
        <w:tabs>
          <w:tab w:leader="none" w:pos="989" w:val="left"/>
        </w:tabs>
        <w:numPr>
          <w:ilvl w:val="2"/>
          <w:numId w:val="40"/>
        </w:numPr>
        <w:rPr>
          <w:rFonts w:ascii="Arial" w:cs="Arial" w:eastAsia="Arial" w:hAnsi="Arial"/>
          <w:sz w:val="14"/>
          <w:szCs w:val="14"/>
          <w:color w:val="auto"/>
        </w:rPr>
      </w:pPr>
      <w:r>
        <w:rPr>
          <w:rFonts w:ascii="Arial" w:cs="Arial" w:eastAsia="Arial" w:hAnsi="Arial"/>
          <w:sz w:val="14"/>
          <w:szCs w:val="14"/>
          <w:color w:val="auto"/>
        </w:rPr>
        <w:t>Condensed Consolidated Statements of Cash Flows for the six months ended June 30, 2018 and 2017; and (iv) Notes to Unaudited Condensed Consolidated Financial Statements.</w:t>
      </w:r>
    </w:p>
    <w:p>
      <w:pPr>
        <w:spacing w:after="0" w:line="141" w:lineRule="exact"/>
        <w:rPr>
          <w:rFonts w:ascii="Arial" w:cs="Arial" w:eastAsia="Arial" w:hAnsi="Arial"/>
          <w:sz w:val="14"/>
          <w:szCs w:val="14"/>
          <w:color w:val="auto"/>
        </w:rPr>
      </w:pPr>
    </w:p>
    <w:p>
      <w:pPr>
        <w:ind w:left="240" w:hanging="235"/>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4399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3990" cy="698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78358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auto"/>
        </w:rPr>
        <w:t>Incorporated by Reference</w:t>
      </w:r>
    </w:p>
    <w:tbl>
      <w:tblPr>
        <w:tblLayout w:type="fixed"/>
        <w:tblInd w:w="0" w:type="dxa"/>
        <w:tblCellMar>
          <w:top w:w="0" w:type="dxa"/>
          <w:left w:w="0" w:type="dxa"/>
          <w:bottom w:w="0" w:type="dxa"/>
          <w:right w:w="0" w:type="dxa"/>
        </w:tblCellMar>
      </w:tblPr>
      <w:tr>
        <w:trPr>
          <w:trHeight w:val="84"/>
        </w:trPr>
        <w:tc>
          <w:tcPr>
            <w:tcW w:w="96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1"/>
                <w:szCs w:val="11"/>
                <w:b w:val="1"/>
                <w:bCs w:val="1"/>
                <w:color w:val="auto"/>
              </w:rPr>
              <w:t>Form</w:t>
            </w:r>
          </w:p>
        </w:tc>
        <w:tc>
          <w:tcPr>
            <w:tcW w:w="96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1"/>
                <w:szCs w:val="11"/>
                <w:b w:val="1"/>
                <w:bCs w:val="1"/>
                <w:color w:val="auto"/>
              </w:rPr>
              <w:t>Date</w:t>
            </w:r>
          </w:p>
        </w:tc>
        <w:tc>
          <w:tcPr>
            <w:tcW w:w="9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Number</w:t>
            </w:r>
          </w:p>
        </w:tc>
        <w:tc>
          <w:tcPr>
            <w:tcW w:w="760" w:type="dxa"/>
            <w:vAlign w:val="bottom"/>
            <w:tcBorders>
              <w:top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rPr>
              <w:t>Filed</w:t>
            </w:r>
          </w:p>
        </w:tc>
        <w:tc>
          <w:tcPr>
            <w:tcW w:w="0" w:type="dxa"/>
            <w:vAlign w:val="bottom"/>
          </w:tcPr>
          <w:p>
            <w:pPr>
              <w:spacing w:after="0"/>
              <w:rPr>
                <w:sz w:val="1"/>
                <w:szCs w:val="1"/>
                <w:color w:val="auto"/>
              </w:rPr>
            </w:pPr>
          </w:p>
        </w:tc>
      </w:tr>
      <w:tr>
        <w:trPr>
          <w:trHeight w:val="128"/>
        </w:trPr>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129"/>
        </w:trPr>
        <w:tc>
          <w:tcPr>
            <w:tcW w:w="760" w:type="dxa"/>
            <w:vAlign w:val="bottom"/>
            <w:tcBorders>
              <w:top w:val="single" w:sz="8" w:color="auto"/>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ectPr>
          <w:pgSz w:w="11900" w:h="16838" w:orient="portrait"/>
          <w:cols w:equalWidth="0" w:num="2">
            <w:col w:w="5300" w:space="200"/>
            <w:col w:w="3600"/>
          </w:cols>
          <w:pgMar w:left="1400" w:top="118" w:right="1399" w:bottom="1440" w:gutter="0" w:footer="0" w:header="0"/>
        </w:sectPr>
      </w:pPr>
    </w:p>
    <w:bookmarkStart w:id="64" w:name="page65"/>
    <w:bookmarkEnd w:id="6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3" w:lineRule="exact"/>
        <w:rPr>
          <w:sz w:val="20"/>
          <w:szCs w:val="20"/>
          <w:color w:val="auto"/>
        </w:rPr>
      </w:pPr>
    </w:p>
    <w:p>
      <w:pPr>
        <w:ind w:firstLine="256"/>
        <w:spacing w:after="0" w:line="238"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6240" w:type="dxa"/>
            <w:vAlign w:val="bottom"/>
            <w:gridSpan w:val="2"/>
          </w:tcPr>
          <w:p>
            <w:pPr>
              <w:ind w:left="1660"/>
              <w:spacing w:after="0"/>
              <w:rPr>
                <w:sz w:val="20"/>
                <w:szCs w:val="20"/>
                <w:color w:val="auto"/>
              </w:rPr>
            </w:pPr>
            <w:r>
              <w:rPr>
                <w:rFonts w:ascii="Arial" w:cs="Arial" w:eastAsia="Arial" w:hAnsi="Arial"/>
                <w:sz w:val="14"/>
                <w:szCs w:val="14"/>
                <w:b w:val="1"/>
                <w:bCs w:val="1"/>
                <w:color w:val="auto"/>
              </w:rPr>
              <w:t>Ardelyx, Inc.</w:t>
            </w:r>
          </w:p>
        </w:tc>
      </w:tr>
      <w:tr>
        <w:trPr>
          <w:trHeight w:val="396"/>
        </w:trPr>
        <w:tc>
          <w:tcPr>
            <w:tcW w:w="2860" w:type="dxa"/>
            <w:vAlign w:val="bottom"/>
          </w:tcPr>
          <w:p>
            <w:pPr>
              <w:spacing w:after="0"/>
              <w:rPr>
                <w:sz w:val="20"/>
                <w:szCs w:val="20"/>
                <w:color w:val="auto"/>
              </w:rPr>
            </w:pPr>
            <w:r>
              <w:rPr>
                <w:rFonts w:ascii="Arial" w:cs="Arial" w:eastAsia="Arial" w:hAnsi="Arial"/>
                <w:sz w:val="14"/>
                <w:szCs w:val="14"/>
                <w:color w:val="auto"/>
              </w:rPr>
              <w:t>Date: August 7, 2018</w:t>
            </w:r>
          </w:p>
        </w:tc>
        <w:tc>
          <w:tcPr>
            <w:tcW w:w="6240" w:type="dxa"/>
            <w:vAlign w:val="bottom"/>
            <w:gridSpan w:val="2"/>
          </w:tcPr>
          <w:p>
            <w:pPr>
              <w:ind w:left="1660"/>
              <w:spacing w:after="0"/>
              <w:rPr>
                <w:sz w:val="20"/>
                <w:szCs w:val="20"/>
                <w:color w:val="auto"/>
              </w:rPr>
            </w:pPr>
            <w:r>
              <w:rPr>
                <w:rFonts w:ascii="Arial" w:cs="Arial" w:eastAsia="Arial" w:hAnsi="Arial"/>
                <w:sz w:val="14"/>
                <w:szCs w:val="14"/>
                <w:color w:val="auto"/>
              </w:rPr>
              <w:t>By: /s/ Mark Kaufmann</w:t>
            </w:r>
          </w:p>
        </w:tc>
      </w:tr>
      <w:tr>
        <w:trPr>
          <w:trHeight w:val="108"/>
        </w:trPr>
        <w:tc>
          <w:tcPr>
            <w:tcW w:w="2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32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b w:val="1"/>
                <w:bCs w:val="1"/>
                <w:color w:val="auto"/>
              </w:rPr>
              <w:t>Mark Kaufmann</w:t>
            </w:r>
          </w:p>
        </w:tc>
      </w:tr>
      <w:tr>
        <w:trPr>
          <w:trHeight w:val="139"/>
        </w:trPr>
        <w:tc>
          <w:tcPr>
            <w:tcW w:w="2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320" w:type="dxa"/>
            <w:vAlign w:val="bottom"/>
          </w:tcPr>
          <w:p>
            <w:pPr>
              <w:spacing w:after="0" w:line="139" w:lineRule="exact"/>
              <w:rPr>
                <w:sz w:val="20"/>
                <w:szCs w:val="20"/>
                <w:color w:val="auto"/>
              </w:rPr>
            </w:pPr>
            <w:r>
              <w:rPr>
                <w:rFonts w:ascii="Arial" w:cs="Arial" w:eastAsia="Arial" w:hAnsi="Arial"/>
                <w:sz w:val="14"/>
                <w:szCs w:val="14"/>
                <w:b w:val="1"/>
                <w:bCs w:val="1"/>
                <w:color w:val="auto"/>
              </w:rPr>
              <w:t>Chief Financial Officer</w:t>
            </w:r>
          </w:p>
        </w:tc>
      </w:tr>
      <w:tr>
        <w:trPr>
          <w:trHeight w:val="185"/>
        </w:trPr>
        <w:tc>
          <w:tcPr>
            <w:tcW w:w="2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(Principal Financial and Accounting Officer)</w:t>
            </w:r>
          </w:p>
        </w:tc>
      </w:tr>
      <w:tr>
        <w:trPr>
          <w:trHeight w:val="637"/>
        </w:trPr>
        <w:tc>
          <w:tcPr>
            <w:tcW w:w="2860" w:type="dxa"/>
            <w:vAlign w:val="bottom"/>
          </w:tcPr>
          <w:p>
            <w:pPr>
              <w:spacing w:after="0"/>
              <w:rPr>
                <w:sz w:val="24"/>
                <w:szCs w:val="24"/>
                <w:color w:val="auto"/>
              </w:rPr>
            </w:pPr>
          </w:p>
        </w:tc>
        <w:tc>
          <w:tcPr>
            <w:tcW w:w="1920" w:type="dxa"/>
            <w:vAlign w:val="bottom"/>
          </w:tcPr>
          <w:p>
            <w:pPr>
              <w:jc w:val="right"/>
              <w:ind w:right="89"/>
              <w:spacing w:after="0"/>
              <w:rPr>
                <w:sz w:val="20"/>
                <w:szCs w:val="20"/>
                <w:color w:val="auto"/>
              </w:rPr>
            </w:pPr>
            <w:r>
              <w:rPr>
                <w:rFonts w:ascii="Arial" w:cs="Arial" w:eastAsia="Arial" w:hAnsi="Arial"/>
                <w:sz w:val="14"/>
                <w:szCs w:val="14"/>
                <w:color w:val="auto"/>
              </w:rPr>
              <w:t>64</w:t>
            </w:r>
          </w:p>
        </w:tc>
        <w:tc>
          <w:tcPr>
            <w:tcW w:w="4320" w:type="dxa"/>
            <w:vAlign w:val="bottom"/>
          </w:tcPr>
          <w:p>
            <w:pPr>
              <w:spacing w:after="0"/>
              <w:rPr>
                <w:sz w:val="24"/>
                <w:szCs w:val="24"/>
                <w:color w:val="auto"/>
              </w:rPr>
            </w:pPr>
          </w:p>
        </w:tc>
      </w:tr>
      <w:tr>
        <w:trPr>
          <w:trHeight w:val="77"/>
        </w:trPr>
        <w:tc>
          <w:tcPr>
            <w:tcW w:w="286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tcPr>
          <w:p>
            <w:pPr>
              <w:spacing w:after="0"/>
              <w:rPr>
                <w:sz w:val="6"/>
                <w:szCs w:val="6"/>
                <w:color w:val="auto"/>
              </w:rPr>
            </w:pPr>
          </w:p>
        </w:tc>
      </w:tr>
    </w:tbl>
    <w:p>
      <w:pPr>
        <w:sectPr>
          <w:pgSz w:w="11900" w:h="16838" w:orient="portrait"/>
          <w:cols w:equalWidth="0" w:num="1">
            <w:col w:w="9100"/>
          </w:cols>
          <w:pgMar w:left="1400" w:top="118" w:right="1399" w:bottom="1440" w:gutter="0" w:footer="0" w:header="0"/>
        </w:sectPr>
      </w:pPr>
    </w:p>
    <w:bookmarkStart w:id="65" w:name="page66"/>
    <w:bookmarkEnd w:id="65"/>
    <w:p>
      <w:pPr>
        <w:ind w:left="9381"/>
        <w:spacing w:after="0"/>
        <w:rPr>
          <w:sz w:val="20"/>
          <w:szCs w:val="20"/>
          <w:color w:val="auto"/>
        </w:rPr>
      </w:pPr>
      <w:r>
        <w:rPr>
          <w:rFonts w:ascii="Arial" w:cs="Arial" w:eastAsia="Arial" w:hAnsi="Arial"/>
          <w:sz w:val="12"/>
          <w:szCs w:val="12"/>
          <w:b w:val="1"/>
          <w:bCs w:val="1"/>
          <w:color w:val="auto"/>
        </w:rPr>
        <w:t>Exhibit 10.1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LOAN AND SECURITY AGREEMENT</w:t>
      </w:r>
    </w:p>
    <w:p>
      <w:pPr>
        <w:spacing w:after="0" w:line="181" w:lineRule="exact"/>
        <w:rPr>
          <w:sz w:val="20"/>
          <w:szCs w:val="20"/>
          <w:color w:val="auto"/>
        </w:rPr>
      </w:pPr>
    </w:p>
    <w:p>
      <w:pPr>
        <w:jc w:val="both"/>
        <w:ind w:left="1" w:firstLine="513"/>
        <w:spacing w:after="0" w:line="285" w:lineRule="auto"/>
        <w:rPr>
          <w:sz w:val="20"/>
          <w:szCs w:val="20"/>
          <w:color w:val="auto"/>
        </w:rPr>
      </w:pPr>
      <w:r>
        <w:rPr>
          <w:rFonts w:ascii="Arial" w:cs="Arial" w:eastAsia="Arial" w:hAnsi="Arial"/>
          <w:sz w:val="13"/>
          <w:szCs w:val="13"/>
          <w:b w:val="1"/>
          <w:bCs w:val="1"/>
          <w:color w:val="auto"/>
        </w:rPr>
        <w:t xml:space="preserve">THIS LOAN AND SECURITY AGREEMENT </w:t>
      </w:r>
      <w:r>
        <w:rPr>
          <w:rFonts w:ascii="Arial" w:cs="Arial" w:eastAsia="Arial" w:hAnsi="Arial"/>
          <w:sz w:val="13"/>
          <w:szCs w:val="13"/>
          <w:color w:val="auto"/>
        </w:rPr>
        <w:t>(as the same may be amended, restated, modified, or supplemented from time to time, this “</w:t>
      </w:r>
      <w:r>
        <w:rPr>
          <w:rFonts w:ascii="Arial" w:cs="Arial" w:eastAsia="Arial" w:hAnsi="Arial"/>
          <w:sz w:val="13"/>
          <w:szCs w:val="13"/>
          <w:b w:val="1"/>
          <w:bCs w:val="1"/>
          <w:color w:val="auto"/>
        </w:rPr>
        <w:t>Agreement</w:t>
      </w:r>
      <w:r>
        <w:rPr>
          <w:rFonts w:ascii="Arial" w:cs="Arial" w:eastAsia="Arial" w:hAnsi="Arial"/>
          <w:sz w:val="13"/>
          <w:szCs w:val="13"/>
          <w:color w:val="auto"/>
        </w:rPr>
        <w:t>”) dated as of</w:t>
      </w:r>
      <w:r>
        <w:rPr>
          <w:rFonts w:ascii="Arial" w:cs="Arial" w:eastAsia="Arial" w:hAnsi="Arial"/>
          <w:sz w:val="13"/>
          <w:szCs w:val="13"/>
          <w:b w:val="1"/>
          <w:bCs w:val="1"/>
          <w:color w:val="auto"/>
        </w:rPr>
        <w:t xml:space="preserve"> </w:t>
      </w:r>
      <w:r>
        <w:rPr>
          <w:rFonts w:ascii="Arial" w:cs="Arial" w:eastAsia="Arial" w:hAnsi="Arial"/>
          <w:sz w:val="13"/>
          <w:szCs w:val="13"/>
          <w:color w:val="auto"/>
        </w:rPr>
        <w:t>May 16, 2018 (the “</w:t>
      </w:r>
      <w:r>
        <w:rPr>
          <w:rFonts w:ascii="Arial" w:cs="Arial" w:eastAsia="Arial" w:hAnsi="Arial"/>
          <w:sz w:val="13"/>
          <w:szCs w:val="13"/>
          <w:b w:val="1"/>
          <w:bCs w:val="1"/>
          <w:color w:val="auto"/>
        </w:rPr>
        <w:t>Effective Date</w:t>
      </w:r>
      <w:r>
        <w:rPr>
          <w:rFonts w:ascii="Arial" w:cs="Arial" w:eastAsia="Arial" w:hAnsi="Arial"/>
          <w:sz w:val="13"/>
          <w:szCs w:val="13"/>
          <w:color w:val="auto"/>
        </w:rPr>
        <w:t>”) among Solar Capital Ltd., a Maryland corporation with an office located at 500 Park Avenue, 3rd Floor, New York, NY 10022 (“</w:t>
      </w:r>
      <w:r>
        <w:rPr>
          <w:rFonts w:ascii="Arial" w:cs="Arial" w:eastAsia="Arial" w:hAnsi="Arial"/>
          <w:sz w:val="13"/>
          <w:szCs w:val="13"/>
          <w:b w:val="1"/>
          <w:bCs w:val="1"/>
          <w:color w:val="auto"/>
        </w:rPr>
        <w:t>Solar</w:t>
      </w:r>
      <w:r>
        <w:rPr>
          <w:rFonts w:ascii="Arial" w:cs="Arial" w:eastAsia="Arial" w:hAnsi="Arial"/>
          <w:sz w:val="13"/>
          <w:szCs w:val="13"/>
          <w:color w:val="auto"/>
        </w:rPr>
        <w:t>”), as collateral agent (in such capacity, together with its successors and assigns in such capacity, “</w:t>
      </w:r>
      <w:r>
        <w:rPr>
          <w:rFonts w:ascii="Arial" w:cs="Arial" w:eastAsia="Arial" w:hAnsi="Arial"/>
          <w:sz w:val="13"/>
          <w:szCs w:val="13"/>
          <w:b w:val="1"/>
          <w:bCs w:val="1"/>
          <w:color w:val="auto"/>
        </w:rPr>
        <w:t>Collateral Agent</w:t>
      </w:r>
      <w:r>
        <w:rPr>
          <w:rFonts w:ascii="Arial" w:cs="Arial" w:eastAsia="Arial" w:hAnsi="Arial"/>
          <w:sz w:val="13"/>
          <w:szCs w:val="13"/>
          <w:color w:val="auto"/>
        </w:rPr>
        <w:t xml:space="preserve">”), and the lenders listed on </w:t>
      </w:r>
      <w:r>
        <w:rPr>
          <w:rFonts w:ascii="Arial" w:cs="Arial" w:eastAsia="Arial" w:hAnsi="Arial"/>
          <w:sz w:val="13"/>
          <w:szCs w:val="13"/>
          <w:u w:val="single" w:color="auto"/>
          <w:color w:val="auto"/>
        </w:rPr>
        <w:t>Schedule 1.1</w:t>
      </w:r>
      <w:r>
        <w:rPr>
          <w:rFonts w:ascii="Arial" w:cs="Arial" w:eastAsia="Arial" w:hAnsi="Arial"/>
          <w:sz w:val="13"/>
          <w:szCs w:val="13"/>
          <w:color w:val="auto"/>
        </w:rPr>
        <w:t xml:space="preserve"> hereof or otherwise a party hereto from time to time including Solar and Western Alliance Bank, an Arizona corporation (“</w:t>
      </w:r>
      <w:r>
        <w:rPr>
          <w:rFonts w:ascii="Arial" w:cs="Arial" w:eastAsia="Arial" w:hAnsi="Arial"/>
          <w:sz w:val="13"/>
          <w:szCs w:val="13"/>
          <w:b w:val="1"/>
          <w:bCs w:val="1"/>
          <w:color w:val="auto"/>
        </w:rPr>
        <w:t>Western Alliance Bank</w:t>
      </w:r>
      <w:r>
        <w:rPr>
          <w:rFonts w:ascii="Arial" w:cs="Arial" w:eastAsia="Arial" w:hAnsi="Arial"/>
          <w:sz w:val="13"/>
          <w:szCs w:val="13"/>
          <w:color w:val="auto"/>
        </w:rPr>
        <w:t>”), each in its capacity as a lender (together with any other lenders party hereto, the “</w:t>
      </w:r>
      <w:r>
        <w:rPr>
          <w:rFonts w:ascii="Arial" w:cs="Arial" w:eastAsia="Arial" w:hAnsi="Arial"/>
          <w:sz w:val="13"/>
          <w:szCs w:val="13"/>
          <w:b w:val="1"/>
          <w:bCs w:val="1"/>
          <w:color w:val="auto"/>
        </w:rPr>
        <w:t>Lenders</w:t>
      </w:r>
      <w:r>
        <w:rPr>
          <w:rFonts w:ascii="Arial" w:cs="Arial" w:eastAsia="Arial" w:hAnsi="Arial"/>
          <w:sz w:val="13"/>
          <w:szCs w:val="13"/>
          <w:color w:val="auto"/>
        </w:rPr>
        <w:t>” and each, a “</w:t>
      </w:r>
      <w:r>
        <w:rPr>
          <w:rFonts w:ascii="Arial" w:cs="Arial" w:eastAsia="Arial" w:hAnsi="Arial"/>
          <w:sz w:val="13"/>
          <w:szCs w:val="13"/>
          <w:b w:val="1"/>
          <w:bCs w:val="1"/>
          <w:color w:val="auto"/>
        </w:rPr>
        <w:t>Lender</w:t>
      </w:r>
      <w:r>
        <w:rPr>
          <w:rFonts w:ascii="Arial" w:cs="Arial" w:eastAsia="Arial" w:hAnsi="Arial"/>
          <w:sz w:val="13"/>
          <w:szCs w:val="13"/>
          <w:color w:val="auto"/>
        </w:rPr>
        <w:t>”), and Ardelyx, Inc., a Delaware corporation with offices located at 34175 Ardenwood Blvd., Suite 200, Fremont, California 94555 (“</w:t>
      </w:r>
      <w:r>
        <w:rPr>
          <w:rFonts w:ascii="Arial" w:cs="Arial" w:eastAsia="Arial" w:hAnsi="Arial"/>
          <w:sz w:val="13"/>
          <w:szCs w:val="13"/>
          <w:b w:val="1"/>
          <w:bCs w:val="1"/>
          <w:color w:val="auto"/>
        </w:rPr>
        <w:t>Borrower</w:t>
      </w:r>
      <w:r>
        <w:rPr>
          <w:rFonts w:ascii="Arial" w:cs="Arial" w:eastAsia="Arial" w:hAnsi="Arial"/>
          <w:sz w:val="13"/>
          <w:szCs w:val="13"/>
          <w:color w:val="auto"/>
        </w:rPr>
        <w:t>”), provides the terms on which the Lenders shall lend to Borrower and Borrower shall repay the Lenders. The parties agree as follows:</w:t>
      </w:r>
    </w:p>
    <w:p>
      <w:pPr>
        <w:spacing w:after="0" w:line="131" w:lineRule="exact"/>
        <w:rPr>
          <w:sz w:val="20"/>
          <w:szCs w:val="20"/>
          <w:color w:val="auto"/>
        </w:rPr>
      </w:pPr>
    </w:p>
    <w:p>
      <w:pPr>
        <w:ind w:left="541" w:hanging="541"/>
        <w:spacing w:after="0"/>
        <w:tabs>
          <w:tab w:leader="none" w:pos="541"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DEFINITIONS AND OTHER TERMS</w:t>
      </w:r>
    </w:p>
    <w:p>
      <w:pPr>
        <w:spacing w:after="0" w:line="181" w:lineRule="exact"/>
        <w:rPr>
          <w:sz w:val="20"/>
          <w:szCs w:val="20"/>
          <w:color w:val="auto"/>
        </w:rPr>
      </w:pPr>
    </w:p>
    <w:p>
      <w:pPr>
        <w:jc w:val="both"/>
        <w:ind w:left="1" w:right="180" w:firstLine="513"/>
        <w:spacing w:after="0" w:line="302" w:lineRule="auto"/>
        <w:rPr>
          <w:sz w:val="20"/>
          <w:szCs w:val="20"/>
          <w:color w:val="auto"/>
        </w:rPr>
      </w:pPr>
      <w:r>
        <w:rPr>
          <w:rFonts w:ascii="Arial" w:cs="Arial" w:eastAsia="Arial" w:hAnsi="Arial"/>
          <w:sz w:val="13"/>
          <w:szCs w:val="13"/>
          <w:b w:val="1"/>
          <w:bCs w:val="1"/>
          <w:color w:val="auto"/>
        </w:rPr>
        <w:t xml:space="preserve">1.1 Terms. </w:t>
      </w:r>
      <w:r>
        <w:rPr>
          <w:rFonts w:ascii="Arial" w:cs="Arial" w:eastAsia="Arial" w:hAnsi="Arial"/>
          <w:sz w:val="13"/>
          <w:szCs w:val="13"/>
          <w:color w:val="auto"/>
        </w:rPr>
        <w:t>Capitalized terms used herein shall have the meanings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1.3</w:t>
      </w:r>
      <w:r>
        <w:rPr>
          <w:rFonts w:ascii="Arial" w:cs="Arial" w:eastAsia="Arial" w:hAnsi="Arial"/>
          <w:sz w:val="13"/>
          <w:szCs w:val="13"/>
          <w:b w:val="1"/>
          <w:bCs w:val="1"/>
          <w:color w:val="auto"/>
        </w:rPr>
        <w:t xml:space="preserve"> </w:t>
      </w:r>
      <w:r>
        <w:rPr>
          <w:rFonts w:ascii="Arial" w:cs="Arial" w:eastAsia="Arial" w:hAnsi="Arial"/>
          <w:sz w:val="13"/>
          <w:szCs w:val="13"/>
          <w:color w:val="auto"/>
        </w:rPr>
        <w:t>to the extent defined therein. All other capitalized terms used but not</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spacing w:after="0" w:line="119"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 xml:space="preserve">Section References. </w:t>
      </w:r>
      <w:r>
        <w:rPr>
          <w:rFonts w:ascii="Arial" w:cs="Arial" w:eastAsia="Arial" w:hAnsi="Arial"/>
          <w:sz w:val="12"/>
          <w:szCs w:val="12"/>
          <w:color w:val="auto"/>
        </w:rPr>
        <w:t>Any section, subsection, schedule or exhibit references are to this Agreement unless otherwise specified.</w:t>
      </w:r>
    </w:p>
    <w:p>
      <w:pPr>
        <w:spacing w:after="0" w:line="181"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Definitions</w:t>
      </w:r>
      <w:r>
        <w:rPr>
          <w:rFonts w:ascii="Arial" w:cs="Arial" w:eastAsia="Arial" w:hAnsi="Arial"/>
          <w:sz w:val="12"/>
          <w:szCs w:val="12"/>
          <w:color w:val="auto"/>
        </w:rPr>
        <w:t>. The following terms are defined in the Sections or subsections referenced opposite such terms:</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3620" w:type="dxa"/>
            <w:vAlign w:val="bottom"/>
          </w:tcPr>
          <w:p>
            <w:pPr>
              <w:ind w:left="1020"/>
              <w:spacing w:after="0"/>
              <w:rPr>
                <w:sz w:val="20"/>
                <w:szCs w:val="20"/>
                <w:color w:val="auto"/>
              </w:rPr>
            </w:pPr>
            <w:r>
              <w:rPr>
                <w:rFonts w:ascii="Arial" w:cs="Arial" w:eastAsia="Arial" w:hAnsi="Arial"/>
                <w:sz w:val="14"/>
                <w:szCs w:val="14"/>
                <w:b w:val="1"/>
                <w:bCs w:val="1"/>
                <w:color w:val="auto"/>
              </w:rPr>
              <w:t>“Aggregate Bank Services Amount”</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11</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Agreement</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Preamble</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Approved Lender</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12.1</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b w:val="1"/>
                <w:bCs w:val="1"/>
                <w:color w:val="auto"/>
              </w:rPr>
              <w:t>“Bank Services”</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11</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Borrower</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Preamble</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b w:val="1"/>
                <w:bCs w:val="1"/>
                <w:color w:val="auto"/>
              </w:rPr>
              <w:t>“Cash Collateral”</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11</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Claims</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12.2</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Fee</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2.4(a)</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Collateral Agent</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Preamble</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Collateral Agent Report</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5</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Communications</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10</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Costs</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6</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Default Rate</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2.3(b)</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b w:val="1"/>
                <w:bCs w:val="1"/>
                <w:color w:val="auto"/>
              </w:rPr>
              <w:t>“Deficiency”</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11</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Preamble</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b w:val="1"/>
                <w:bCs w:val="1"/>
                <w:color w:val="auto"/>
              </w:rPr>
              <w:t>“Enforcement Action”</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10(d)</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b w:val="1"/>
                <w:bCs w:val="1"/>
                <w:color w:val="auto"/>
              </w:rPr>
              <w:t>“Enforcing Lender”</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10(d)</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Event of Default</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8</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Domestic Subsidiary</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6.10</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Indemnified Person</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12.2</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Lender</w:t>
            </w:r>
            <w:r>
              <w:rPr>
                <w:rFonts w:ascii="Arial" w:cs="Arial" w:eastAsia="Arial" w:hAnsi="Arial"/>
                <w:sz w:val="14"/>
                <w:szCs w:val="14"/>
                <w:color w:val="auto"/>
              </w:rPr>
              <w:t>” and “</w:t>
            </w:r>
            <w:r>
              <w:rPr>
                <w:rFonts w:ascii="Arial" w:cs="Arial" w:eastAsia="Arial" w:hAnsi="Arial"/>
                <w:sz w:val="14"/>
                <w:szCs w:val="14"/>
                <w:b w:val="1"/>
                <w:bCs w:val="1"/>
                <w:color w:val="auto"/>
              </w:rPr>
              <w:t>Lenders</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Preamble</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Lender Transfer</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12.1</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New Subsidiary</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6.10</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Non-Funding Lender</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10(c)(ii)</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Lender</w:t>
            </w:r>
            <w:r>
              <w:rPr>
                <w:rFonts w:ascii="Arial" w:cs="Arial" w:eastAsia="Arial" w:hAnsi="Arial"/>
                <w:sz w:val="14"/>
                <w:szCs w:val="14"/>
                <w:color w:val="auto"/>
              </w:rPr>
              <w:t>”</w:t>
            </w:r>
          </w:p>
        </w:tc>
        <w:tc>
          <w:tcPr>
            <w:tcW w:w="6480" w:type="dxa"/>
            <w:vAlign w:val="bottom"/>
          </w:tcPr>
          <w:p>
            <w:pPr>
              <w:ind w:left="420"/>
              <w:spacing w:after="0"/>
              <w:rPr>
                <w:sz w:val="20"/>
                <w:szCs w:val="20"/>
                <w:color w:val="auto"/>
              </w:rPr>
            </w:pPr>
            <w:r>
              <w:rPr>
                <w:rFonts w:ascii="Arial" w:cs="Arial" w:eastAsia="Arial" w:hAnsi="Arial"/>
                <w:sz w:val="14"/>
                <w:szCs w:val="14"/>
                <w:color w:val="auto"/>
              </w:rPr>
              <w:t>Exhibit B, Section 10(c)(ii)</w:t>
            </w:r>
          </w:p>
        </w:tc>
      </w:tr>
      <w:tr>
        <w:trPr>
          <w:trHeight w:val="171"/>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Perfection Certificate</w:t>
            </w:r>
            <w:r>
              <w:rPr>
                <w:rFonts w:ascii="Arial" w:cs="Arial" w:eastAsia="Arial" w:hAnsi="Arial"/>
                <w:sz w:val="14"/>
                <w:szCs w:val="14"/>
                <w:color w:val="auto"/>
              </w:rPr>
              <w:t>” and</w:t>
            </w:r>
          </w:p>
        </w:tc>
        <w:tc>
          <w:tcPr>
            <w:tcW w:w="6480" w:type="dxa"/>
            <w:vAlign w:val="bottom"/>
          </w:tcPr>
          <w:p>
            <w:pPr>
              <w:ind w:left="420"/>
              <w:spacing w:after="0"/>
              <w:rPr>
                <w:sz w:val="20"/>
                <w:szCs w:val="20"/>
                <w:color w:val="auto"/>
              </w:rPr>
            </w:pPr>
            <w:r>
              <w:rPr>
                <w:rFonts w:ascii="Arial" w:cs="Arial" w:eastAsia="Arial" w:hAnsi="Arial"/>
                <w:sz w:val="14"/>
                <w:szCs w:val="14"/>
                <w:color w:val="auto"/>
              </w:rPr>
              <w:t>Section 5.1</w:t>
            </w:r>
          </w:p>
        </w:tc>
      </w:tr>
      <w:tr>
        <w:trPr>
          <w:trHeight w:val="185"/>
        </w:trPr>
        <w:tc>
          <w:tcPr>
            <w:tcW w:w="3620" w:type="dxa"/>
            <w:vAlign w:val="bottom"/>
          </w:tcPr>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Perfection Certificates</w:t>
            </w:r>
            <w:r>
              <w:rPr>
                <w:rFonts w:ascii="Arial" w:cs="Arial" w:eastAsia="Arial" w:hAnsi="Arial"/>
                <w:sz w:val="14"/>
                <w:szCs w:val="14"/>
                <w:color w:val="auto"/>
              </w:rPr>
              <w:t>”</w:t>
            </w:r>
          </w:p>
        </w:tc>
        <w:tc>
          <w:tcPr>
            <w:tcW w:w="6480" w:type="dxa"/>
            <w:vAlign w:val="bottom"/>
          </w:tcPr>
          <w:p>
            <w:pPr>
              <w:spacing w:after="0"/>
              <w:rPr>
                <w:sz w:val="16"/>
                <w:szCs w:val="16"/>
                <w:color w:val="auto"/>
              </w:rPr>
            </w:pPr>
          </w:p>
        </w:tc>
      </w:tr>
      <w:tr>
        <w:trPr>
          <w:trHeight w:val="683"/>
        </w:trPr>
        <w:tc>
          <w:tcPr>
            <w:tcW w:w="3620" w:type="dxa"/>
            <w:vAlign w:val="bottom"/>
          </w:tcPr>
          <w:p>
            <w:pPr>
              <w:spacing w:after="0"/>
              <w:rPr>
                <w:sz w:val="24"/>
                <w:szCs w:val="24"/>
                <w:color w:val="auto"/>
              </w:rPr>
            </w:pPr>
          </w:p>
        </w:tc>
        <w:tc>
          <w:tcPr>
            <w:tcW w:w="6480" w:type="dxa"/>
            <w:vAlign w:val="bottom"/>
          </w:tcPr>
          <w:p>
            <w:pPr>
              <w:ind w:left="1400"/>
              <w:spacing w:after="0"/>
              <w:rPr>
                <w:sz w:val="20"/>
                <w:szCs w:val="20"/>
                <w:color w:val="auto"/>
              </w:rPr>
            </w:pPr>
            <w:r>
              <w:rPr>
                <w:rFonts w:ascii="Arial" w:cs="Arial" w:eastAsia="Arial" w:hAnsi="Arial"/>
                <w:sz w:val="14"/>
                <w:szCs w:val="14"/>
                <w:color w:val="auto"/>
              </w:rPr>
              <w:t>1</w:t>
            </w:r>
          </w:p>
        </w:tc>
      </w:tr>
      <w:tr>
        <w:trPr>
          <w:trHeight w:val="98"/>
        </w:trPr>
        <w:tc>
          <w:tcPr>
            <w:tcW w:w="36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r>
    </w:tbl>
    <w:p>
      <w:pPr>
        <w:sectPr>
          <w:pgSz w:w="11900" w:h="16838" w:orient="portrait"/>
          <w:cols w:equalWidth="0" w:num="1">
            <w:col w:w="10101"/>
          </w:cols>
          <w:pgMar w:left="899" w:top="125" w:right="899" w:bottom="1440" w:gutter="0" w:footer="0" w:header="0"/>
        </w:sectPr>
      </w:pPr>
    </w:p>
    <w:bookmarkStart w:id="66" w:name="page67"/>
    <w:bookmarkEnd w:id="66"/>
    <w:p>
      <w:pPr>
        <w:ind w:left="1020"/>
        <w:spacing w:after="0"/>
        <w:rPr>
          <w:sz w:val="20"/>
          <w:szCs w:val="20"/>
          <w:color w:val="auto"/>
        </w:rPr>
      </w:pPr>
      <w:r>
        <w:rPr>
          <w:rFonts w:ascii="Arial" w:cs="Arial" w:eastAsia="Arial" w:hAnsi="Arial"/>
          <w:sz w:val="12"/>
          <w:szCs w:val="12"/>
          <w:b w:val="1"/>
          <w:bCs w:val="1"/>
          <w:color w:val="auto"/>
        </w:rPr>
        <w:t>“Reimbursement Obligations”</w:t>
      </w:r>
    </w:p>
    <w:p>
      <w:pPr>
        <w:spacing w:after="0" w:line="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Secured Promissory Note</w:t>
      </w:r>
      <w:r>
        <w:rPr>
          <w:rFonts w:ascii="Arial" w:cs="Arial" w:eastAsia="Arial" w:hAnsi="Arial"/>
          <w:sz w:val="14"/>
          <w:szCs w:val="14"/>
          <w:color w:val="auto"/>
        </w:rPr>
        <w:t>”</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Solar</w:t>
      </w:r>
      <w:r>
        <w:rPr>
          <w:rFonts w:ascii="Arial" w:cs="Arial" w:eastAsia="Arial" w:hAnsi="Arial"/>
          <w:sz w:val="14"/>
          <w:szCs w:val="14"/>
          <w:color w:val="auto"/>
        </w:rPr>
        <w:t>”</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Termination Date</w:t>
      </w:r>
      <w:r>
        <w:rPr>
          <w:rFonts w:ascii="Arial" w:cs="Arial" w:eastAsia="Arial" w:hAnsi="Arial"/>
          <w:sz w:val="14"/>
          <w:szCs w:val="14"/>
          <w:color w:val="auto"/>
        </w:rPr>
        <w:t>”</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w:t>
      </w:r>
      <w:r>
        <w:rPr>
          <w:rFonts w:ascii="Arial" w:cs="Arial" w:eastAsia="Arial" w:hAnsi="Arial"/>
          <w:sz w:val="14"/>
          <w:szCs w:val="14"/>
          <w:color w:val="auto"/>
        </w:rPr>
        <w:t>”</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Exhibit B ,Section 11</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Section 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Preamble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B, Section 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Section 2.2(a)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Section 7.1</w:t>
      </w:r>
    </w:p>
    <w:p>
      <w:pPr>
        <w:spacing w:after="0" w:line="171" w:lineRule="exact"/>
        <w:rPr>
          <w:sz w:val="20"/>
          <w:szCs w:val="20"/>
          <w:color w:val="auto"/>
        </w:rPr>
      </w:pPr>
    </w:p>
    <w:p>
      <w:pPr>
        <w:sectPr>
          <w:pgSz w:w="11900" w:h="16838" w:orient="portrait"/>
          <w:cols w:equalWidth="0" w:num="2">
            <w:col w:w="3320" w:space="720"/>
            <w:col w:w="6060"/>
          </w:cols>
          <w:pgMar w:left="900" w:top="125" w:right="899" w:bottom="1440" w:gutter="0" w:footer="0" w:header="0"/>
        </w:sectPr>
      </w:pPr>
    </w:p>
    <w:p>
      <w:pPr>
        <w:ind w:left="520"/>
        <w:spacing w:after="0"/>
        <w:rPr>
          <w:sz w:val="20"/>
          <w:szCs w:val="20"/>
          <w:color w:val="auto"/>
        </w:rPr>
      </w:pPr>
      <w:r>
        <w:rPr>
          <w:rFonts w:ascii="Arial" w:cs="Arial" w:eastAsia="Arial" w:hAnsi="Arial"/>
          <w:sz w:val="14"/>
          <w:szCs w:val="14"/>
          <w:color w:val="auto"/>
        </w:rPr>
        <w:t>In addition to the terms defined elsewhere in this Agreement, the following terms have the following meanings:</w:t>
      </w:r>
    </w:p>
    <w:p>
      <w:pPr>
        <w:spacing w:after="0" w:line="177"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w:t>
      </w:r>
      <w:r>
        <w:rPr>
          <w:rFonts w:ascii="Arial" w:cs="Arial" w:eastAsia="Arial" w:hAnsi="Arial"/>
          <w:sz w:val="14"/>
          <w:szCs w:val="14"/>
          <w:color w:val="auto"/>
        </w:rPr>
        <w:t>” is any “account” as defined in the Code with such additions to such term as may hereafter be made under the Code, and includes, without limitation, all accounts receivable and other sums owing to Borrower.</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 Debtor</w:t>
      </w:r>
      <w:r>
        <w:rPr>
          <w:rFonts w:ascii="Arial" w:cs="Arial" w:eastAsia="Arial" w:hAnsi="Arial"/>
          <w:sz w:val="14"/>
          <w:szCs w:val="14"/>
          <w:color w:val="auto"/>
        </w:rPr>
        <w:t>” is any “account debtor” as defined in the Code with such additions to such term as may hereafter be made under the Code.</w:t>
      </w:r>
    </w:p>
    <w:p>
      <w:pPr>
        <w:spacing w:after="0" w:line="181"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Acquisition Consideration</w:t>
      </w:r>
      <w:r>
        <w:rPr>
          <w:rFonts w:ascii="Arial" w:cs="Arial" w:eastAsia="Arial" w:hAnsi="Arial"/>
          <w:sz w:val="14"/>
          <w:szCs w:val="14"/>
          <w:color w:val="auto"/>
        </w:rPr>
        <w:t>” shall mean the purchase consideration for a Permitted Acquisition and all other payments, directly or indirectly, by Borrower or any of its Subsidiaries in exchange for, or as part of, or in connection with, a Permitted Acquisition, whether paid in cash or by exchange of equity interests or of properties or otherwise and whether payable at or prior to the consummation of a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provided that any such future payment that is subject to a contingency shall be considered Acquisition Consideration only to the extent of the reserve, if any, required under GAAP (as determined at the time of the consummation of such Permitted Acquisition) to be established in respect thereof by the Borrower or any of its Subsidiaries.</w:t>
      </w:r>
    </w:p>
    <w:p>
      <w:pPr>
        <w:spacing w:after="0" w:line="148" w:lineRule="exact"/>
        <w:rPr>
          <w:sz w:val="20"/>
          <w:szCs w:val="20"/>
          <w:color w:val="auto"/>
        </w:rPr>
      </w:pPr>
    </w:p>
    <w:p>
      <w:pPr>
        <w:jc w:val="both"/>
        <w:ind w:firstLine="513"/>
        <w:spacing w:after="0" w:line="37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Amortization Date</w:t>
      </w:r>
      <w:r>
        <w:rPr>
          <w:rFonts w:ascii="Arial" w:cs="Arial" w:eastAsia="Arial" w:hAnsi="Arial"/>
          <w:sz w:val="14"/>
          <w:szCs w:val="14"/>
          <w:color w:val="auto"/>
        </w:rPr>
        <w:t>” means:</w:t>
      </w:r>
    </w:p>
    <w:p>
      <w:pPr>
        <w:spacing w:after="0" w:line="185" w:lineRule="exact"/>
        <w:rPr>
          <w:sz w:val="20"/>
          <w:szCs w:val="20"/>
          <w:color w:val="auto"/>
        </w:rPr>
      </w:pPr>
    </w:p>
    <w:p>
      <w:pPr>
        <w:ind w:left="1040" w:hanging="272"/>
        <w:spacing w:after="0"/>
        <w:tabs>
          <w:tab w:leader="none" w:pos="10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December 1, 2020 if, prior to June 1, 2020, Borrower achieves (subject to evidence reasonably acceptable to the Collateral Agent) its Phase 3 Endpoint; or</w:t>
      </w:r>
    </w:p>
    <w:p>
      <w:pPr>
        <w:spacing w:after="0" w:line="192" w:lineRule="exact"/>
        <w:rPr>
          <w:rFonts w:ascii="Arial" w:cs="Arial" w:eastAsia="Arial" w:hAnsi="Arial"/>
          <w:sz w:val="13"/>
          <w:szCs w:val="13"/>
          <w:color w:val="auto"/>
        </w:rPr>
      </w:pPr>
    </w:p>
    <w:p>
      <w:pPr>
        <w:ind w:left="1040" w:hanging="272"/>
        <w:spacing w:after="0"/>
        <w:tabs>
          <w:tab w:leader="none" w:pos="10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June 1, 2020, otherwise.</w:t>
      </w:r>
    </w:p>
    <w:p>
      <w:pPr>
        <w:spacing w:after="0" w:line="177" w:lineRule="exact"/>
        <w:rPr>
          <w:sz w:val="20"/>
          <w:szCs w:val="20"/>
          <w:color w:val="auto"/>
        </w:rPr>
      </w:pPr>
    </w:p>
    <w:p>
      <w:pPr>
        <w:jc w:val="both"/>
        <w:ind w:firstLine="513"/>
        <w:spacing w:after="0" w:line="178"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Terrorism Laws</w:t>
      </w:r>
      <w:r>
        <w:rPr>
          <w:rFonts w:ascii="Arial" w:cs="Arial" w:eastAsia="Arial" w:hAnsi="Arial"/>
          <w:sz w:val="14"/>
          <w:szCs w:val="14"/>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57" w:lineRule="exact"/>
        <w:rPr>
          <w:sz w:val="20"/>
          <w:szCs w:val="20"/>
          <w:color w:val="auto"/>
        </w:rPr>
      </w:pPr>
    </w:p>
    <w:p>
      <w:pPr>
        <w:jc w:val="both"/>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FDA Threshold</w:t>
      </w:r>
      <w:r>
        <w:rPr>
          <w:rFonts w:ascii="Arial" w:cs="Arial" w:eastAsia="Arial" w:hAnsi="Arial"/>
          <w:sz w:val="13"/>
          <w:szCs w:val="13"/>
          <w:color w:val="auto"/>
        </w:rPr>
        <w:t>” means the greater of (a) Five Hundred Thousand Dollars ($500,000), and (b) as of any date of determination, five percent (5%) of the Borrower’s and its Subsidiaries’ consolidated revenues for the trailing twelve months ending as of the last day of the month immediately prior to such date of determination.</w:t>
      </w:r>
    </w:p>
    <w:p>
      <w:pPr>
        <w:spacing w:after="0" w:line="101"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Approved Fund</w:t>
      </w:r>
      <w:r>
        <w:rPr>
          <w:rFonts w:ascii="Arial" w:cs="Arial" w:eastAsia="Arial" w:hAnsi="Arial"/>
          <w:sz w:val="14"/>
          <w:szCs w:val="14"/>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auto"/>
        </w:rPr>
        <w:t>Person (other than a natural person) or an Affiliate of a Person (other than a natural person) that administers or manages a Lender.</w:t>
      </w:r>
    </w:p>
    <w:p>
      <w:pPr>
        <w:spacing w:after="0" w:line="177" w:lineRule="exact"/>
        <w:rPr>
          <w:sz w:val="20"/>
          <w:szCs w:val="20"/>
          <w:color w:val="auto"/>
        </w:rPr>
      </w:pPr>
    </w:p>
    <w:p>
      <w:pPr>
        <w:jc w:val="both"/>
        <w:ind w:firstLine="513"/>
        <w:spacing w:after="0" w:line="174"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Blocked Person</w:t>
      </w:r>
      <w:r>
        <w:rPr>
          <w:rFonts w:ascii="Arial" w:cs="Arial" w:eastAsia="Arial" w:hAnsi="Arial"/>
          <w:sz w:val="14"/>
          <w:szCs w:val="14"/>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w:t>
      </w:r>
      <w:r>
        <w:rPr>
          <w:rFonts w:ascii="MS PGothic" w:cs="MS PGothic" w:eastAsia="MS PGothic" w:hAnsi="MS PGothic"/>
          <w:sz w:val="14"/>
          <w:szCs w:val="14"/>
          <w:color w:val="auto"/>
        </w:rPr>
        <w:t>‑</w:t>
      </w:r>
      <w:r>
        <w:rPr>
          <w:rFonts w:ascii="Arial" w:cs="Arial" w:eastAsia="Arial" w:hAnsi="Arial"/>
          <w:sz w:val="14"/>
          <w:szCs w:val="14"/>
          <w:color w:val="auto"/>
        </w:rPr>
        <w:t>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0" w:lineRule="exact"/>
        <w:rPr>
          <w:sz w:val="20"/>
          <w:szCs w:val="20"/>
          <w:color w:val="auto"/>
        </w:rPr>
      </w:pPr>
    </w:p>
    <w:p>
      <w:pPr>
        <w:jc w:val="both"/>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Borrower’s Books</w:t>
      </w:r>
      <w:r>
        <w:rPr>
          <w:rFonts w:ascii="Arial" w:cs="Arial" w:eastAsia="Arial" w:hAnsi="Arial"/>
          <w:sz w:val="13"/>
          <w:szCs w:val="13"/>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is any day that is not a Saturday, Sunday or a day on which commercial banks in New York, New York are required or authorized to be closed.</w:t>
      </w:r>
    </w:p>
    <w:p>
      <w:pPr>
        <w:spacing w:after="0" w:line="192"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Cash Equivalents</w:t>
      </w:r>
      <w:r>
        <w:rPr>
          <w:rFonts w:ascii="Arial" w:cs="Arial" w:eastAsia="Arial" w:hAnsi="Arial"/>
          <w:sz w:val="13"/>
          <w:szCs w:val="13"/>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(d) any money market or similar funds under Borrower’s investment policy, as approved by Collateral Agent and the Lenders from time to time, and (e) money market or similar accounts held at Western Alliance Bank.</w:t>
      </w:r>
    </w:p>
    <w:p>
      <w:pPr>
        <w:spacing w:after="0" w:line="128" w:lineRule="exact"/>
        <w:rPr>
          <w:sz w:val="20"/>
          <w:szCs w:val="20"/>
          <w:color w:val="auto"/>
        </w:rPr>
      </w:pPr>
    </w:p>
    <w:p>
      <w:pPr>
        <w:jc w:val="both"/>
        <w:ind w:firstLine="513"/>
        <w:spacing w:after="0" w:line="28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Collateral</w:t>
      </w:r>
      <w:r>
        <w:rPr>
          <w:rFonts w:ascii="Arial" w:cs="Arial" w:eastAsia="Arial" w:hAnsi="Arial"/>
          <w:sz w:val="14"/>
          <w:szCs w:val="14"/>
          <w:color w:val="auto"/>
        </w:rPr>
        <w:t xml:space="preserve">” is any and all properties, rights and assets of Borrower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8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Collateral Account</w:t>
      </w:r>
      <w:r>
        <w:rPr>
          <w:rFonts w:ascii="Arial" w:cs="Arial" w:eastAsia="Arial" w:hAnsi="Arial"/>
          <w:sz w:val="14"/>
          <w:szCs w:val="14"/>
          <w:color w:val="auto"/>
        </w:rPr>
        <w:t>” is any Deposit Account, Securities Account, or Commodity Account, or any other bank account maintained by Borrower or any Subsidiary at any time.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Collateral Agent</w:t>
      </w:r>
      <w:r>
        <w:rPr>
          <w:rFonts w:ascii="Arial" w:cs="Arial" w:eastAsia="Arial" w:hAnsi="Arial"/>
          <w:sz w:val="13"/>
          <w:szCs w:val="13"/>
          <w:color w:val="auto"/>
        </w:rPr>
        <w:t>” is Solar, not in its individual capacity, but solely in its capacity as collateral agent on behalf of and for the ratable benefit of the Secured Parties.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Commitment Percentage</w:t>
      </w:r>
      <w:r>
        <w:rPr>
          <w:rFonts w:ascii="Arial" w:cs="Arial" w:eastAsia="Arial" w:hAnsi="Arial"/>
          <w:sz w:val="14"/>
          <w:szCs w:val="14"/>
          <w:color w:val="auto"/>
        </w:rPr>
        <w:t xml:space="preserve">” is set forth in </w:t>
      </w:r>
      <w:r>
        <w:rPr>
          <w:rFonts w:ascii="Arial" w:cs="Arial" w:eastAsia="Arial" w:hAnsi="Arial"/>
          <w:sz w:val="14"/>
          <w:szCs w:val="14"/>
          <w:u w:val="single" w:color="auto"/>
          <w:color w:val="auto"/>
        </w:rPr>
        <w:t>Schedule 1.1</w:t>
      </w:r>
      <w:r>
        <w:rPr>
          <w:rFonts w:ascii="Arial" w:cs="Arial" w:eastAsia="Arial" w:hAnsi="Arial"/>
          <w:sz w:val="14"/>
          <w:szCs w:val="14"/>
          <w:color w:val="auto"/>
        </w:rPr>
        <w:t>, as amended from time to time.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Commodity Account</w:t>
      </w:r>
      <w:r>
        <w:rPr>
          <w:rFonts w:ascii="Arial" w:cs="Arial" w:eastAsia="Arial" w:hAnsi="Arial"/>
          <w:sz w:val="14"/>
          <w:szCs w:val="14"/>
          <w:color w:val="auto"/>
        </w:rPr>
        <w:t>” is any “commodity account” as defined in the Code with such additions to such term as may hereafter be made under the Code.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Compliance Certificate</w:t>
      </w:r>
      <w:r>
        <w:rPr>
          <w:rFonts w:ascii="Arial" w:cs="Arial" w:eastAsia="Arial" w:hAnsi="Arial"/>
          <w:sz w:val="14"/>
          <w:szCs w:val="14"/>
          <w:color w:val="auto"/>
        </w:rPr>
        <w:t xml:space="preserve">” is that certain certificate in substantially the form attached hereto as </w:t>
      </w:r>
      <w:r>
        <w:rPr>
          <w:rFonts w:ascii="Arial" w:cs="Arial" w:eastAsia="Arial" w:hAnsi="Arial"/>
          <w:sz w:val="14"/>
          <w:szCs w:val="14"/>
          <w:u w:val="single" w:color="auto"/>
          <w:color w:val="auto"/>
        </w:rPr>
        <w:t>Exhibit D</w:t>
      </w:r>
      <w:r>
        <w:rPr>
          <w:rFonts w:ascii="Arial" w:cs="Arial" w:eastAsia="Arial" w:hAnsi="Arial"/>
          <w:sz w:val="14"/>
          <w:szCs w:val="14"/>
          <w:color w:val="auto"/>
        </w:rPr>
        <w:t>.</w:t>
      </w:r>
    </w:p>
    <w:p>
      <w:pPr>
        <w:spacing w:after="0" w:line="18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Contingent Obligation</w:t>
      </w:r>
      <w:r>
        <w:rPr>
          <w:rFonts w:ascii="Arial" w:cs="Arial" w:eastAsia="Arial" w:hAnsi="Arial"/>
          <w:sz w:val="14"/>
          <w:szCs w:val="14"/>
          <w:color w:val="auto"/>
        </w:rPr>
        <w:t>” is, for any Person, any direct or indirect liability, contingent or not, of that Person for (a) any indebtedness, lease, dividend, letter of credit or other obligation of another such as an obligation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68" w:name="page69"/>
    <w:bookmarkEnd w:id="68"/>
    <w:p>
      <w:pPr>
        <w:jc w:val="both"/>
        <w:spacing w:after="0" w:line="172" w:lineRule="exact"/>
        <w:rPr>
          <w:sz w:val="20"/>
          <w:szCs w:val="20"/>
          <w:color w:val="auto"/>
        </w:rPr>
      </w:pPr>
      <w:r>
        <w:rPr>
          <w:rFonts w:ascii="Arial" w:cs="Arial" w:eastAsia="Arial" w:hAnsi="Arial"/>
          <w:sz w:val="13"/>
          <w:szCs w:val="13"/>
          <w:color w:val="auto"/>
        </w:rPr>
        <w:t>directly or indirectly guaranteed, endorsed, co</w:t>
      </w:r>
      <w:r>
        <w:rPr>
          <w:rFonts w:ascii="MS PGothic" w:cs="MS PGothic" w:eastAsia="MS PGothic" w:hAnsi="MS PGothic"/>
          <w:sz w:val="13"/>
          <w:szCs w:val="13"/>
          <w:color w:val="auto"/>
        </w:rPr>
        <w:t>‑</w:t>
      </w:r>
      <w:r>
        <w:rPr>
          <w:rFonts w:ascii="Arial" w:cs="Arial" w:eastAsia="Arial" w:hAnsi="Arial"/>
          <w:sz w:val="13"/>
          <w:szCs w:val="13"/>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w:t>
      </w:r>
    </w:p>
    <w:p>
      <w:pPr>
        <w:spacing w:after="0" w:line="160"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Control Agreement</w:t>
      </w:r>
      <w:r>
        <w:rPr>
          <w:rFonts w:ascii="Arial" w:cs="Arial" w:eastAsia="Arial" w:hAnsi="Arial"/>
          <w:sz w:val="14"/>
          <w:szCs w:val="14"/>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Collateral Agent pursuant to which Collateral Agent, for the ratable benefit of the Secured Parties, obtains “control” (within the meaning of the Code) over such Deposit Account, Securities Account, or Commodity Account.</w:t>
      </w:r>
    </w:p>
    <w:p>
      <w:pPr>
        <w:spacing w:after="0" w:line="140"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Convertible Indebtedness</w:t>
      </w:r>
      <w:r>
        <w:rPr>
          <w:rFonts w:ascii="Arial" w:cs="Arial" w:eastAsia="Arial" w:hAnsi="Arial"/>
          <w:sz w:val="14"/>
          <w:szCs w:val="14"/>
          <w:color w:val="auto"/>
        </w:rPr>
        <w:t>” means Indebtedness of the Borrower that is (i) either (A) Subordinated Debt or (B) unsecured Indebtedness that is not-cross defaulted to the Obligations and (ii) convertible into equity securities of the Borrower.</w:t>
      </w:r>
    </w:p>
    <w:p>
      <w:pPr>
        <w:spacing w:after="0" w:line="123"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Copyrights</w:t>
      </w:r>
      <w:r>
        <w:rPr>
          <w:rFonts w:ascii="Arial" w:cs="Arial" w:eastAsia="Arial" w:hAnsi="Arial"/>
          <w:sz w:val="14"/>
          <w:szCs w:val="14"/>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Default</w:t>
      </w:r>
      <w:r>
        <w:rPr>
          <w:rFonts w:ascii="Arial" w:cs="Arial" w:eastAsia="Arial" w:hAnsi="Arial"/>
          <w:sz w:val="14"/>
          <w:szCs w:val="14"/>
          <w:color w:val="auto"/>
        </w:rPr>
        <w:t>” is any event that, with the giving of notice or passage of time or both, would constitute an Event of Default.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 Account</w:t>
      </w:r>
      <w:r>
        <w:rPr>
          <w:rFonts w:ascii="Arial" w:cs="Arial" w:eastAsia="Arial" w:hAnsi="Arial"/>
          <w:sz w:val="14"/>
          <w:szCs w:val="14"/>
          <w:color w:val="auto"/>
        </w:rPr>
        <w:t>” is any “deposit account” as defined in the Code with such additions to such term as may hereafter be made.</w:t>
      </w:r>
    </w:p>
    <w:p>
      <w:pPr>
        <w:spacing w:after="0" w:line="18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Disclosure Schedules</w:t>
      </w:r>
      <w:r>
        <w:rPr>
          <w:rFonts w:ascii="Arial" w:cs="Arial" w:eastAsia="Arial" w:hAnsi="Arial"/>
          <w:sz w:val="14"/>
          <w:szCs w:val="14"/>
          <w:color w:val="auto"/>
        </w:rPr>
        <w:t>” the disclosure schedules to this agreement, as amended or supplemented from time to time by Borrower with the written consent of the Required Lenders (or as supplemented by Borrower pursuant to the terms of the Loan Documents), delivered by Borrower to the Lenders.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Dollars</w:t>
      </w:r>
      <w:r>
        <w:rPr>
          <w:rFonts w:ascii="Arial" w:cs="Arial" w:eastAsia="Arial" w:hAnsi="Arial"/>
          <w:sz w:val="14"/>
          <w:szCs w:val="14"/>
          <w:i w:val="1"/>
          <w:iCs w:val="1"/>
          <w:color w:val="auto"/>
        </w:rPr>
        <w:t>,</w:t>
      </w:r>
      <w:r>
        <w:rPr>
          <w:rFonts w:ascii="Arial" w:cs="Arial" w:eastAsia="Arial" w:hAnsi="Arial"/>
          <w:sz w:val="14"/>
          <w:szCs w:val="14"/>
          <w:color w:val="auto"/>
        </w:rPr>
        <w:t>” “</w:t>
      </w:r>
      <w:r>
        <w:rPr>
          <w:rFonts w:ascii="Arial" w:cs="Arial" w:eastAsia="Arial" w:hAnsi="Arial"/>
          <w:sz w:val="14"/>
          <w:szCs w:val="14"/>
          <w:b w:val="1"/>
          <w:bCs w:val="1"/>
          <w:color w:val="auto"/>
        </w:rPr>
        <w:t>dollars</w:t>
      </w:r>
      <w:r>
        <w:rPr>
          <w:rFonts w:ascii="Arial" w:cs="Arial" w:eastAsia="Arial" w:hAnsi="Arial"/>
          <w:sz w:val="14"/>
          <w:szCs w:val="14"/>
          <w:color w:val="auto"/>
        </w:rPr>
        <w:t>” and “$” each mean lawful money of the United States.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Domestic Subsidiary</w:t>
      </w:r>
      <w:r>
        <w:rPr>
          <w:rFonts w:ascii="Arial" w:cs="Arial" w:eastAsia="Arial" w:hAnsi="Arial"/>
          <w:sz w:val="14"/>
          <w:szCs w:val="14"/>
          <w:color w:val="auto"/>
        </w:rPr>
        <w:t>” is any Subsidiary that is not a Foreign Subsidiary.</w:t>
      </w:r>
    </w:p>
    <w:p>
      <w:pPr>
        <w:spacing w:after="0" w:line="181"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Eligible Assignee</w:t>
      </w:r>
      <w:r>
        <w:rPr>
          <w:rFonts w:ascii="Arial" w:cs="Arial" w:eastAsia="Arial" w:hAnsi="Arial"/>
          <w:sz w:val="13"/>
          <w:szCs w:val="13"/>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Two Billion Five Hundred Million Dollars ($2,500,000,000.00),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in its reasonable discretion. Notwithstanding the foregoing, (x) in connection with any assignment made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69" w:name="page70"/>
    <w:bookmarkEnd w:id="69"/>
    <w:p>
      <w:pPr>
        <w:jc w:val="both"/>
        <w:ind w:left="1"/>
        <w:spacing w:after="0" w:line="262" w:lineRule="auto"/>
        <w:rPr>
          <w:sz w:val="20"/>
          <w:szCs w:val="20"/>
          <w:color w:val="auto"/>
        </w:rPr>
      </w:pPr>
      <w:r>
        <w:rPr>
          <w:rFonts w:ascii="Arial" w:cs="Arial" w:eastAsia="Arial" w:hAnsi="Arial"/>
          <w:sz w:val="14"/>
          <w:szCs w:val="14"/>
          <w:color w:val="auto"/>
        </w:rPr>
        <w:t>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42"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Equipment</w:t>
      </w:r>
      <w:r>
        <w:rPr>
          <w:rFonts w:ascii="Arial" w:cs="Arial" w:eastAsia="Arial" w:hAnsi="Arial"/>
          <w:sz w:val="14"/>
          <w:szCs w:val="14"/>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23"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ERISA</w:t>
      </w:r>
      <w:r>
        <w:rPr>
          <w:rFonts w:ascii="Arial" w:cs="Arial" w:eastAsia="Arial" w:hAnsi="Arial"/>
          <w:sz w:val="14"/>
          <w:szCs w:val="14"/>
          <w:color w:val="auto"/>
        </w:rPr>
        <w:t>” is the Employee Retirement Income Security Act of 1974, as amended, and its regulations.</w:t>
      </w:r>
    </w:p>
    <w:p>
      <w:pPr>
        <w:spacing w:after="0" w:line="181" w:lineRule="exact"/>
        <w:rPr>
          <w:sz w:val="20"/>
          <w:szCs w:val="20"/>
          <w:color w:val="auto"/>
        </w:rPr>
      </w:pPr>
    </w:p>
    <w:p>
      <w:pPr>
        <w:ind w:left="5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Excluded Taxes</w:t>
      </w:r>
      <w:r>
        <w:rPr>
          <w:rFonts w:ascii="Arial" w:cs="Arial" w:eastAsia="Arial" w:hAnsi="Arial"/>
          <w:sz w:val="13"/>
          <w:szCs w:val="13"/>
          <w:color w:val="auto"/>
        </w:rPr>
        <w:t>” means any of the following Taxes imposed on or with respect to a Recipient or required to be withheld or deducted from a payment to a Recipient,</w:t>
      </w:r>
    </w:p>
    <w:p>
      <w:pPr>
        <w:spacing w:after="0" w:line="35" w:lineRule="exact"/>
        <w:rPr>
          <w:sz w:val="20"/>
          <w:szCs w:val="20"/>
          <w:color w:val="auto"/>
        </w:rPr>
      </w:pPr>
    </w:p>
    <w:p>
      <w:pPr>
        <w:jc w:val="both"/>
        <w:ind w:left="1" w:hanging="1"/>
        <w:spacing w:after="0" w:line="279" w:lineRule="auto"/>
        <w:tabs>
          <w:tab w:leader="none" w:pos="195" w:val="left"/>
        </w:tabs>
        <w:numPr>
          <w:ilvl w:val="0"/>
          <w:numId w:val="43"/>
        </w:numPr>
        <w:rPr>
          <w:rFonts w:ascii="Arial" w:cs="Arial" w:eastAsia="Arial" w:hAnsi="Arial"/>
          <w:sz w:val="13"/>
          <w:szCs w:val="13"/>
          <w:color w:val="auto"/>
        </w:rPr>
      </w:pPr>
      <w:r>
        <w:rPr>
          <w:rFonts w:ascii="Arial" w:cs="Arial" w:eastAsia="Arial" w:hAnsi="Arial"/>
          <w:sz w:val="13"/>
          <w:szCs w:val="13"/>
          <w:color w:val="auto"/>
        </w:rPr>
        <w:t>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Term Loan Commitment pursuant to a law in effect on the date on which (i) such Lender acquires such interest in the Loan or Term Loan Commitment or (ii) such Lender changes its lending office, except in each case to the extent that, pursuant to Section 2.5, amounts with respect to such Taxes were payable either to such Lender's assignor immediately before such Lender became a party hereto or to such Lender immediately before it changed its lending office, (c) Taxes attributable to such Recipient’s failure to comply with Section 2.5(e) and (d) any U.S. federal withholding Taxes imposed under FATCA.</w:t>
      </w:r>
    </w:p>
    <w:p>
      <w:pPr>
        <w:spacing w:after="0" w:line="136" w:lineRule="exact"/>
        <w:rPr>
          <w:sz w:val="20"/>
          <w:szCs w:val="20"/>
          <w:color w:val="auto"/>
        </w:rPr>
      </w:pPr>
    </w:p>
    <w:p>
      <w:pPr>
        <w:jc w:val="both"/>
        <w:ind w:left="1"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Exigent Circumstance</w:t>
      </w:r>
      <w:r>
        <w:rPr>
          <w:rFonts w:ascii="Arial" w:cs="Arial" w:eastAsia="Arial" w:hAnsi="Arial"/>
          <w:sz w:val="14"/>
          <w:szCs w:val="14"/>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40"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Exit Fee Agreement</w:t>
      </w:r>
      <w:r>
        <w:rPr>
          <w:rFonts w:ascii="Arial" w:cs="Arial" w:eastAsia="Arial" w:hAnsi="Arial"/>
          <w:sz w:val="14"/>
          <w:szCs w:val="14"/>
          <w:color w:val="auto"/>
        </w:rPr>
        <w:t>” means that certain Exit Fee agreement, entered into on May 16, 2018 by and between Lenders and Borrower.</w:t>
      </w:r>
    </w:p>
    <w:p>
      <w:pPr>
        <w:spacing w:after="0" w:line="181" w:lineRule="exact"/>
        <w:rPr>
          <w:sz w:val="20"/>
          <w:szCs w:val="20"/>
          <w:color w:val="auto"/>
        </w:rPr>
      </w:pPr>
    </w:p>
    <w:p>
      <w:pPr>
        <w:jc w:val="both"/>
        <w:ind w:left="1"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FATCA</w:t>
      </w:r>
      <w:r>
        <w:rPr>
          <w:rFonts w:ascii="Arial" w:cs="Arial" w:eastAsia="Arial" w:hAnsi="Arial"/>
          <w:sz w:val="14"/>
          <w:szCs w:val="14"/>
          <w:color w:val="auto"/>
        </w:rPr>
        <w:t>” means Sections 1471 through 1474 of the IRC,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IRC, any intergovernmental agreement entered into in connection with the implementation of such Sections of the IRC and any fiscal or regulatory legislation, rules or practices adopted pursuant to such intergovernmental agreement.</w:t>
      </w:r>
    </w:p>
    <w:p>
      <w:pPr>
        <w:spacing w:after="0" w:line="140"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FDA</w:t>
      </w:r>
      <w:r>
        <w:rPr>
          <w:rFonts w:ascii="Arial" w:cs="Arial" w:eastAsia="Arial" w:hAnsi="Arial"/>
          <w:sz w:val="14"/>
          <w:szCs w:val="14"/>
          <w:color w:val="auto"/>
        </w:rPr>
        <w:t>” means the U.S. Food and Drug Administration or any successor thereto or any other comparable Governmental Authority.</w:t>
      </w:r>
    </w:p>
    <w:p>
      <w:pPr>
        <w:spacing w:after="0" w:line="181" w:lineRule="exact"/>
        <w:rPr>
          <w:sz w:val="20"/>
          <w:szCs w:val="20"/>
          <w:color w:val="auto"/>
        </w:rPr>
      </w:pPr>
    </w:p>
    <w:p>
      <w:pPr>
        <w:ind w:left="5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Fee</w:t>
      </w:r>
      <w:r>
        <w:rPr>
          <w:rFonts w:ascii="Arial" w:cs="Arial" w:eastAsia="Arial" w:hAnsi="Arial"/>
          <w:sz w:val="13"/>
          <w:szCs w:val="13"/>
          <w:color w:val="auto"/>
        </w:rPr>
        <w:t>” is a payment (in addition to and not a substitution for the regular monthly payments of principal plus accrued interest or any other fee payable hereunder)</w:t>
      </w:r>
    </w:p>
    <w:p>
      <w:pPr>
        <w:spacing w:after="0" w:line="35" w:lineRule="exact"/>
        <w:rPr>
          <w:sz w:val="20"/>
          <w:szCs w:val="20"/>
          <w:color w:val="auto"/>
        </w:rPr>
      </w:pPr>
    </w:p>
    <w:p>
      <w:pPr>
        <w:ind w:left="201" w:hanging="201"/>
        <w:spacing w:after="0"/>
        <w:tabs>
          <w:tab w:leader="none" w:pos="201" w:val="left"/>
        </w:tabs>
        <w:numPr>
          <w:ilvl w:val="0"/>
          <w:numId w:val="44"/>
        </w:numPr>
        <w:rPr>
          <w:rFonts w:ascii="Arial" w:cs="Arial" w:eastAsia="Arial" w:hAnsi="Arial"/>
          <w:sz w:val="13"/>
          <w:szCs w:val="13"/>
          <w:color w:val="auto"/>
        </w:rPr>
      </w:pPr>
      <w:r>
        <w:rPr>
          <w:rFonts w:ascii="Arial" w:cs="Arial" w:eastAsia="Arial" w:hAnsi="Arial"/>
          <w:sz w:val="13"/>
          <w:szCs w:val="13"/>
          <w:color w:val="auto"/>
        </w:rPr>
        <w:t>due on the earliest to occur of (i) the Maturity Date, (ii) the acceleration of the Term Loan, and (iii) the prepayment of the Term Loan pursuant to Section 2.2(c) or (d), and</w:t>
      </w:r>
    </w:p>
    <w:p>
      <w:pPr>
        <w:spacing w:after="0" w:line="21" w:lineRule="exact"/>
        <w:rPr>
          <w:rFonts w:ascii="Arial" w:cs="Arial" w:eastAsia="Arial" w:hAnsi="Arial"/>
          <w:sz w:val="13"/>
          <w:szCs w:val="13"/>
          <w:color w:val="auto"/>
        </w:rPr>
      </w:pPr>
    </w:p>
    <w:p>
      <w:pPr>
        <w:ind w:left="1" w:hanging="1"/>
        <w:spacing w:after="0" w:line="269" w:lineRule="auto"/>
        <w:tabs>
          <w:tab w:leader="none" w:pos="206" w:val="left"/>
        </w:tabs>
        <w:numPr>
          <w:ilvl w:val="0"/>
          <w:numId w:val="44"/>
        </w:numPr>
        <w:rPr>
          <w:rFonts w:ascii="Arial" w:cs="Arial" w:eastAsia="Arial" w:hAnsi="Arial"/>
          <w:sz w:val="14"/>
          <w:szCs w:val="14"/>
          <w:color w:val="auto"/>
        </w:rPr>
      </w:pPr>
      <w:r>
        <w:rPr>
          <w:rFonts w:ascii="Arial" w:cs="Arial" w:eastAsia="Arial" w:hAnsi="Arial"/>
          <w:sz w:val="14"/>
          <w:szCs w:val="14"/>
          <w:color w:val="auto"/>
        </w:rPr>
        <w:t>equal to three and ninety-five hundredths of a percent (3.95%) of the aggregate principal amount of the Term Loan advanced hereunder. The Final Fee shall be fully earned on the date so paid, non-refundable for any reason and payable ninety percent (90%) to Solar and ten percent (10%) to Western Alliance Bank.</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70" w:name="page71"/>
    <w:bookmarkEnd w:id="70"/>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Financing Proposal</w:t>
      </w:r>
      <w:r>
        <w:rPr>
          <w:rFonts w:ascii="Arial" w:cs="Arial" w:eastAsia="Arial" w:hAnsi="Arial"/>
          <w:sz w:val="14"/>
          <w:szCs w:val="14"/>
          <w:color w:val="auto"/>
        </w:rPr>
        <w:t>” means that certain letter agreement, dated April 19, 2018, by and between Solar, Western Alliance Bank and the Borrower.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Currency</w:t>
      </w:r>
      <w:r>
        <w:rPr>
          <w:rFonts w:ascii="Arial" w:cs="Arial" w:eastAsia="Arial" w:hAnsi="Arial"/>
          <w:sz w:val="14"/>
          <w:szCs w:val="14"/>
          <w:color w:val="auto"/>
        </w:rPr>
        <w:t>” means lawful money of a country other than the United States.</w:t>
      </w:r>
    </w:p>
    <w:p>
      <w:pPr>
        <w:spacing w:after="0" w:line="18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b w:val="1"/>
          <w:bCs w:val="1"/>
          <w:color w:val="auto"/>
        </w:rPr>
        <w:t xml:space="preserve">“Foreign Lender” </w:t>
      </w:r>
      <w:r>
        <w:rPr>
          <w:rFonts w:ascii="Arial" w:cs="Arial" w:eastAsia="Arial" w:hAnsi="Arial"/>
          <w:sz w:val="14"/>
          <w:szCs w:val="14"/>
          <w:color w:val="auto"/>
        </w:rPr>
        <w:t>means (a) if the Borrower is a U.S. Person, a Lender that is not a U.S. Person, and (b) if the Borrower is not a U.S. Person, a Lender that is resident</w:t>
      </w:r>
      <w:r>
        <w:rPr>
          <w:rFonts w:ascii="Arial" w:cs="Arial" w:eastAsia="Arial" w:hAnsi="Arial"/>
          <w:sz w:val="14"/>
          <w:szCs w:val="14"/>
          <w:b w:val="1"/>
          <w:bCs w:val="1"/>
          <w:color w:val="auto"/>
        </w:rPr>
        <w:t xml:space="preserve"> </w:t>
      </w:r>
      <w:r>
        <w:rPr>
          <w:rFonts w:ascii="Arial" w:cs="Arial" w:eastAsia="Arial" w:hAnsi="Arial"/>
          <w:sz w:val="14"/>
          <w:szCs w:val="14"/>
          <w:color w:val="auto"/>
        </w:rPr>
        <w:t>or organized under the laws of a jurisdiction other than that in which the Borrower is resident for Tax purposes.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Subsidiary</w:t>
      </w:r>
      <w:r>
        <w:rPr>
          <w:rFonts w:ascii="Arial" w:cs="Arial" w:eastAsia="Arial" w:hAnsi="Arial"/>
          <w:sz w:val="14"/>
          <w:szCs w:val="14"/>
          <w:color w:val="auto"/>
        </w:rPr>
        <w:t>” is a Subsidiary that is not an entity organized under the laws of the United States or any state thereof or the District of Columbia.</w:t>
      </w:r>
    </w:p>
    <w:p>
      <w:pPr>
        <w:spacing w:after="0" w:line="181"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provided that for purposes of the defined term “Permitted Indebtedness,” GAAP shall be GAAP as in effect on the Effective Date.</w:t>
      </w:r>
    </w:p>
    <w:p>
      <w:pPr>
        <w:spacing w:after="0" w:line="140" w:lineRule="exact"/>
        <w:rPr>
          <w:sz w:val="20"/>
          <w:szCs w:val="20"/>
          <w:color w:val="auto"/>
        </w:rPr>
      </w:pPr>
    </w:p>
    <w:p>
      <w:pPr>
        <w:jc w:val="both"/>
        <w:ind w:firstLine="513"/>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General Intangibles</w:t>
      </w:r>
      <w:r>
        <w:rPr>
          <w:rFonts w:ascii="Arial" w:cs="Arial" w:eastAsia="Arial" w:hAnsi="Arial"/>
          <w:sz w:val="13"/>
          <w:szCs w:val="13"/>
          <w:color w:val="auto"/>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33"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Approval</w:t>
      </w:r>
      <w:r>
        <w:rPr>
          <w:rFonts w:ascii="Arial" w:cs="Arial" w:eastAsia="Arial" w:hAnsi="Arial"/>
          <w:sz w:val="14"/>
          <w:szCs w:val="14"/>
          <w:color w:val="auto"/>
        </w:rPr>
        <w:t>” is any consent, authorization, approval, order, license, franchise, permit, certificate, accreditation, registration, filing or notice, of, issued by, from or to, or other act by or in respect of, any Governmental Authority.</w:t>
      </w:r>
    </w:p>
    <w:p>
      <w:pPr>
        <w:spacing w:after="0" w:line="123" w:lineRule="exact"/>
        <w:rPr>
          <w:sz w:val="20"/>
          <w:szCs w:val="20"/>
          <w:color w:val="auto"/>
        </w:rPr>
      </w:pPr>
    </w:p>
    <w:p>
      <w:pPr>
        <w:jc w:val="both"/>
        <w:ind w:firstLine="513"/>
        <w:spacing w:after="0" w:line="176"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Authority</w:t>
      </w:r>
      <w:r>
        <w:rPr>
          <w:rFonts w:ascii="Arial" w:cs="Arial" w:eastAsia="Arial" w:hAnsi="Arial"/>
          <w:sz w:val="14"/>
          <w:szCs w:val="14"/>
          <w:color w:val="auto"/>
        </w:rPr>
        <w:t>” is any nation or government, any state or other political subdivision thereof, any agency, authority, instrumentality, regulatory body (including, without limitation, the FDA), court, central bank or other entity exercising executive, legislative, judicial, taxing, regulatory or administrative functions of or pertaining to government, any securities exchange and any self</w:t>
      </w:r>
      <w:r>
        <w:rPr>
          <w:rFonts w:ascii="MS PGothic" w:cs="MS PGothic" w:eastAsia="MS PGothic" w:hAnsi="MS PGothic"/>
          <w:sz w:val="14"/>
          <w:szCs w:val="14"/>
          <w:color w:val="auto"/>
        </w:rPr>
        <w:t>‑</w:t>
      </w:r>
      <w:r>
        <w:rPr>
          <w:rFonts w:ascii="Arial" w:cs="Arial" w:eastAsia="Arial" w:hAnsi="Arial"/>
          <w:sz w:val="14"/>
          <w:szCs w:val="14"/>
          <w:color w:val="auto"/>
        </w:rPr>
        <w:t>regulatory organization.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Guarantor</w:t>
      </w:r>
      <w:r>
        <w:rPr>
          <w:rFonts w:ascii="Arial" w:cs="Arial" w:eastAsia="Arial" w:hAnsi="Arial"/>
          <w:sz w:val="13"/>
          <w:szCs w:val="13"/>
          <w:color w:val="auto"/>
        </w:rPr>
        <w:t>” is any Person providing a Guaranty in favor of Collateral Agent for the benefit of the Secured Parties (including without limitation pursuant to Section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6.10).</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Guaranty</w:t>
      </w:r>
      <w:r>
        <w:rPr>
          <w:rFonts w:ascii="Arial" w:cs="Arial" w:eastAsia="Arial" w:hAnsi="Arial"/>
          <w:sz w:val="13"/>
          <w:szCs w:val="13"/>
          <w:color w:val="auto"/>
        </w:rPr>
        <w:t>” is any guarantee of all or any part of the Obligations, as the same may from time to time be amended, restated, modified or otherwise supplemented.</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Hyperphosphatemia</w:t>
      </w:r>
      <w:r>
        <w:rPr>
          <w:rFonts w:ascii="Arial" w:cs="Arial" w:eastAsia="Arial" w:hAnsi="Arial"/>
          <w:sz w:val="14"/>
          <w:szCs w:val="14"/>
          <w:color w:val="auto"/>
        </w:rPr>
        <w:t>” means elevated serum phosphorus.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Immaterial Subsidiary</w:t>
      </w:r>
      <w:r>
        <w:rPr>
          <w:rFonts w:ascii="Arial" w:cs="Arial" w:eastAsia="Arial" w:hAnsi="Arial"/>
          <w:sz w:val="14"/>
          <w:szCs w:val="14"/>
          <w:color w:val="auto"/>
        </w:rPr>
        <w:t>” is any Foreign Subsidiary that holds assets worth less than One Hundred Thousand Dollars ($100,000) in book value.</w:t>
      </w:r>
    </w:p>
    <w:p>
      <w:pPr>
        <w:spacing w:after="0" w:line="181" w:lineRule="exact"/>
        <w:rPr>
          <w:sz w:val="20"/>
          <w:szCs w:val="20"/>
          <w:color w:val="auto"/>
        </w:rPr>
      </w:pPr>
    </w:p>
    <w:p>
      <w:pPr>
        <w:jc w:val="both"/>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1" w:name="page72"/>
    <w:bookmarkEnd w:id="71"/>
    <w:p>
      <w:pPr>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Indemnified Taxes</w:t>
      </w:r>
      <w:r>
        <w:rPr>
          <w:rFonts w:ascii="Arial" w:cs="Arial" w:eastAsia="Arial" w:hAnsi="Arial"/>
          <w:sz w:val="14"/>
          <w:szCs w:val="14"/>
          <w:color w:val="auto"/>
        </w:rPr>
        <w:t>” means (a) Taxes, other than Excluded Taxes, imposed on or with respect to any payment made by or on account of any obligation of Borrower under any Loan Document and (b) to the extent not otherwise described in (a), Other Taxes.</w:t>
      </w:r>
    </w:p>
    <w:p>
      <w:pPr>
        <w:spacing w:after="0" w:line="123" w:lineRule="exact"/>
        <w:rPr>
          <w:sz w:val="20"/>
          <w:szCs w:val="20"/>
          <w:color w:val="auto"/>
        </w:rPr>
      </w:pPr>
    </w:p>
    <w:p>
      <w:pPr>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w:t>
      </w:r>
      <w:r>
        <w:rPr>
          <w:rFonts w:ascii="Arial" w:cs="Arial" w:eastAsia="Arial" w:hAnsi="Arial"/>
          <w:sz w:val="14"/>
          <w:szCs w:val="14"/>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Insolvent</w:t>
      </w:r>
      <w:r>
        <w:rPr>
          <w:rFonts w:ascii="Arial" w:cs="Arial" w:eastAsia="Arial" w:hAnsi="Arial"/>
          <w:sz w:val="14"/>
          <w:szCs w:val="14"/>
          <w:color w:val="auto"/>
        </w:rPr>
        <w:t>” means not Solvent.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all of Borrower’s or any of its Subsidiaries’ right, title and interest in and to the following:</w:t>
      </w:r>
    </w:p>
    <w:p>
      <w:pPr>
        <w:spacing w:after="0" w:line="185" w:lineRule="exact"/>
        <w:rPr>
          <w:sz w:val="20"/>
          <w:szCs w:val="20"/>
          <w:color w:val="auto"/>
        </w:rPr>
      </w:pPr>
    </w:p>
    <w:p>
      <w:pPr>
        <w:ind w:left="1540" w:hanging="516"/>
        <w:spacing w:after="0"/>
        <w:tabs>
          <w:tab w:leader="none" w:pos="1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its Copyrights, Trademarks and Patents;</w:t>
      </w:r>
    </w:p>
    <w:p>
      <w:pPr>
        <w:spacing w:after="0" w:line="180" w:lineRule="exact"/>
        <w:rPr>
          <w:rFonts w:ascii="Arial" w:cs="Arial" w:eastAsia="Arial" w:hAnsi="Arial"/>
          <w:sz w:val="14"/>
          <w:szCs w:val="14"/>
          <w:color w:val="auto"/>
        </w:rPr>
      </w:pPr>
    </w:p>
    <w:p>
      <w:pPr>
        <w:ind w:left="1540" w:hanging="516"/>
        <w:spacing w:after="0" w:line="150" w:lineRule="exact"/>
        <w:tabs>
          <w:tab w:leader="none" w:pos="15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any and all trade secrets and trade secret rights, including, without limitation, any rights to unpatented inventions, know</w:t>
      </w:r>
      <w:r>
        <w:rPr>
          <w:rFonts w:ascii="MS PGothic" w:cs="MS PGothic" w:eastAsia="MS PGothic" w:hAnsi="MS PGothic"/>
          <w:sz w:val="13"/>
          <w:szCs w:val="13"/>
          <w:color w:val="auto"/>
        </w:rPr>
        <w:t>‑</w:t>
      </w:r>
      <w:r>
        <w:rPr>
          <w:rFonts w:ascii="Arial" w:cs="Arial" w:eastAsia="Arial" w:hAnsi="Arial"/>
          <w:sz w:val="13"/>
          <w:szCs w:val="13"/>
          <w:color w:val="auto"/>
        </w:rPr>
        <w:t>how, operating manuals;</w:t>
      </w:r>
    </w:p>
    <w:p>
      <w:pPr>
        <w:spacing w:after="0" w:line="192" w:lineRule="exact"/>
        <w:rPr>
          <w:rFonts w:ascii="Arial" w:cs="Arial" w:eastAsia="Arial" w:hAnsi="Arial"/>
          <w:sz w:val="13"/>
          <w:szCs w:val="13"/>
          <w:color w:val="auto"/>
        </w:rPr>
      </w:pPr>
    </w:p>
    <w:p>
      <w:pPr>
        <w:ind w:left="1540" w:hanging="516"/>
        <w:spacing w:after="0"/>
        <w:tabs>
          <w:tab w:leader="none" w:pos="1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and all source code;</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and all design rights which may be available to Borrower;</w:t>
      </w:r>
    </w:p>
    <w:p>
      <w:pPr>
        <w:spacing w:after="0" w:line="180" w:lineRule="exact"/>
        <w:rPr>
          <w:rFonts w:ascii="Arial" w:cs="Arial" w:eastAsia="Arial" w:hAnsi="Arial"/>
          <w:sz w:val="14"/>
          <w:szCs w:val="14"/>
          <w:color w:val="auto"/>
        </w:rPr>
      </w:pPr>
    </w:p>
    <w:p>
      <w:pPr>
        <w:ind w:right="180" w:firstLine="1024"/>
        <w:spacing w:after="0" w:line="284" w:lineRule="auto"/>
        <w:tabs>
          <w:tab w:leader="none" w:pos="1539"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31" w:lineRule="exact"/>
        <w:rPr>
          <w:rFonts w:ascii="Arial" w:cs="Arial" w:eastAsia="Arial" w:hAnsi="Arial"/>
          <w:sz w:val="14"/>
          <w:szCs w:val="14"/>
          <w:color w:val="auto"/>
        </w:rPr>
      </w:pPr>
    </w:p>
    <w:p>
      <w:pPr>
        <w:ind w:left="1560" w:hanging="536"/>
        <w:spacing w:after="0"/>
        <w:tabs>
          <w:tab w:leader="none" w:pos="1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amendments, renewals and extensions of any of the Copyrights, Trademarks or Patents.</w:t>
      </w:r>
    </w:p>
    <w:p>
      <w:pPr>
        <w:spacing w:after="0" w:line="177"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Inventory</w:t>
      </w:r>
      <w:r>
        <w:rPr>
          <w:rFonts w:ascii="Arial" w:cs="Arial" w:eastAsia="Arial" w:hAnsi="Arial"/>
          <w:sz w:val="14"/>
          <w:szCs w:val="14"/>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40"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Investment</w:t>
      </w:r>
      <w:r>
        <w:rPr>
          <w:rFonts w:ascii="Arial" w:cs="Arial" w:eastAsia="Arial" w:hAnsi="Arial"/>
          <w:sz w:val="14"/>
          <w:szCs w:val="14"/>
          <w:color w:val="auto"/>
        </w:rPr>
        <w:t>” is any beneficial ownership interest in any Person (including stock, partnership interest or other securities), and any loan, advance or capital contribution to any Person.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IRC</w:t>
      </w:r>
      <w:r>
        <w:rPr>
          <w:rFonts w:ascii="Arial" w:cs="Arial" w:eastAsia="Arial" w:hAnsi="Arial"/>
          <w:sz w:val="14"/>
          <w:szCs w:val="14"/>
          <w:color w:val="auto"/>
        </w:rPr>
        <w:t>” means the Internal Revenue Code of 1986, as amended, and the Treasury Regulations adopted thereunder.</w:t>
      </w:r>
    </w:p>
    <w:p>
      <w:pPr>
        <w:spacing w:after="0" w:line="18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Key Person</w:t>
      </w:r>
      <w:r>
        <w:rPr>
          <w:rFonts w:ascii="Arial" w:cs="Arial" w:eastAsia="Arial" w:hAnsi="Arial"/>
          <w:sz w:val="14"/>
          <w:szCs w:val="14"/>
          <w:color w:val="auto"/>
        </w:rPr>
        <w:t>” is each of Borrower’s (i) Chief Executive Officer, who is Mike Raab as of the Effective Date and (ii) Chief Financial Officer, who is Mark Kaufmann as of the Effective Date.</w:t>
      </w:r>
    </w:p>
    <w:p>
      <w:pPr>
        <w:spacing w:after="0" w:line="123" w:lineRule="exact"/>
        <w:rPr>
          <w:sz w:val="20"/>
          <w:szCs w:val="20"/>
          <w:color w:val="auto"/>
        </w:rPr>
      </w:pPr>
    </w:p>
    <w:p>
      <w:pPr>
        <w:ind w:left="520" w:right="280"/>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Knowledge</w:t>
      </w:r>
      <w:r>
        <w:rPr>
          <w:rFonts w:ascii="Arial" w:cs="Arial" w:eastAsia="Arial" w:hAnsi="Arial"/>
          <w:sz w:val="14"/>
          <w:szCs w:val="14"/>
          <w:color w:val="auto"/>
        </w:rPr>
        <w:t>” means to the “best of” Borrower’s knowledge, or with a similar qualification, knowledge or awareness means the actual knowledge, after reasonable investigation, of the Responsible Officers.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Lender</w:t>
      </w:r>
      <w:r>
        <w:rPr>
          <w:rFonts w:ascii="Arial" w:cs="Arial" w:eastAsia="Arial" w:hAnsi="Arial"/>
          <w:sz w:val="14"/>
          <w:szCs w:val="14"/>
          <w:color w:val="auto"/>
        </w:rPr>
        <w:t>” is any one of the Lenders.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Lenders</w:t>
      </w:r>
      <w:r>
        <w:rPr>
          <w:rFonts w:ascii="Arial" w:cs="Arial" w:eastAsia="Arial" w:hAnsi="Arial"/>
          <w:sz w:val="14"/>
          <w:szCs w:val="14"/>
          <w:color w:val="auto"/>
        </w:rPr>
        <w:t xml:space="preserve">” are the Persons identified on </w:t>
      </w:r>
      <w:r>
        <w:rPr>
          <w:rFonts w:ascii="Arial" w:cs="Arial" w:eastAsia="Arial" w:hAnsi="Arial"/>
          <w:sz w:val="14"/>
          <w:szCs w:val="14"/>
          <w:u w:val="single" w:color="auto"/>
          <w:color w:val="auto"/>
        </w:rPr>
        <w:t>Schedule 1.1</w:t>
      </w:r>
      <w:r>
        <w:rPr>
          <w:rFonts w:ascii="Arial" w:cs="Arial" w:eastAsia="Arial" w:hAnsi="Arial"/>
          <w:sz w:val="14"/>
          <w:szCs w:val="14"/>
          <w:color w:val="auto"/>
        </w:rPr>
        <w:t xml:space="preserve"> hereto and each assignee that becomes a party to this Agreement pursuant to Section 12.1.</w:t>
      </w:r>
    </w:p>
    <w:p>
      <w:pPr>
        <w:spacing w:after="0" w:line="181" w:lineRule="exact"/>
        <w:rPr>
          <w:sz w:val="20"/>
          <w:szCs w:val="20"/>
          <w:color w:val="auto"/>
        </w:rPr>
      </w:pPr>
    </w:p>
    <w:p>
      <w:pPr>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Lenders’ Expenses</w:t>
      </w:r>
      <w:r>
        <w:rPr>
          <w:rFonts w:ascii="Arial" w:cs="Arial" w:eastAsia="Arial" w:hAnsi="Arial"/>
          <w:sz w:val="13"/>
          <w:szCs w:val="13"/>
          <w:color w:val="auto"/>
        </w:rPr>
        <w:t>” are (a) all reasonable audit fees and expenses, costs, and expenses (including reasonable attorneys’ fees and expenses, as well as appraisal fees, fees incurred on account of lien searches, inspection fees, and filing fees) for preparing, amending, negotiating and administering the Loan Documents, and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2" w:name="page73"/>
    <w:bookmarkEnd w:id="72"/>
    <w:p>
      <w:pPr>
        <w:jc w:val="both"/>
        <w:ind w:left="1" w:hanging="1"/>
        <w:spacing w:after="0" w:line="291" w:lineRule="auto"/>
        <w:tabs>
          <w:tab w:leader="none" w:pos="221" w:val="left"/>
        </w:tabs>
        <w:numPr>
          <w:ilvl w:val="0"/>
          <w:numId w:val="46"/>
        </w:numPr>
        <w:rPr>
          <w:rFonts w:ascii="Arial" w:cs="Arial" w:eastAsia="Arial" w:hAnsi="Arial"/>
          <w:sz w:val="13"/>
          <w:szCs w:val="13"/>
          <w:color w:val="auto"/>
        </w:rPr>
      </w:pPr>
      <w:r>
        <w:rPr>
          <w:rFonts w:ascii="Arial" w:cs="Arial" w:eastAsia="Arial" w:hAnsi="Arial"/>
          <w:sz w:val="13"/>
          <w:szCs w:val="13"/>
          <w:color w:val="auto"/>
        </w:rPr>
        <w:t>all fees and expenses (including attorneys’ fees and expenses , as well as appraisal fees, fees incurred on account of lien searches, inspection fees, and filing fees) for defending and enforcing the Loan Documents (including, without limitation, those incurred in connection with appeals or Insolvency Proceedings) or otherwise incurred by Collateral Agent and/or the Lenders in connection with the Loan Documents. The Diligence Deposit (as defined in the Financing Proposal) paid by the Borrower to the Collateral Agent prior to the Effective Date shall be applied to the Lenders’ Expenses, subject to the conditions set forth in the Financing Proposal.</w:t>
      </w:r>
    </w:p>
    <w:p>
      <w:pPr>
        <w:spacing w:after="0" w:line="125" w:lineRule="exact"/>
        <w:rPr>
          <w:sz w:val="20"/>
          <w:szCs w:val="20"/>
          <w:color w:val="auto"/>
        </w:rPr>
      </w:pPr>
    </w:p>
    <w:p>
      <w:pPr>
        <w:jc w:val="both"/>
        <w:ind w:left="1" w:firstLine="513"/>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LIBOR Rate</w:t>
      </w:r>
      <w:r>
        <w:rPr>
          <w:rFonts w:ascii="Arial" w:cs="Arial" w:eastAsia="Arial" w:hAnsi="Arial"/>
          <w:sz w:val="14"/>
          <w:szCs w:val="14"/>
          <w:color w:val="auto"/>
        </w:rPr>
        <w:t>” means the rate per annum rate published by the Intercontinental Exchange Benchmark Administration Ltd. (the “</w:t>
      </w:r>
      <w:r>
        <w:rPr>
          <w:rFonts w:ascii="Arial" w:cs="Arial" w:eastAsia="Arial" w:hAnsi="Arial"/>
          <w:sz w:val="14"/>
          <w:szCs w:val="14"/>
          <w:b w:val="1"/>
          <w:bCs w:val="1"/>
          <w:color w:val="auto"/>
        </w:rPr>
        <w:t>Service</w:t>
      </w:r>
      <w:r>
        <w:rPr>
          <w:rFonts w:ascii="Arial" w:cs="Arial" w:eastAsia="Arial" w:hAnsi="Arial"/>
          <w:sz w:val="14"/>
          <w:szCs w:val="14"/>
          <w:color w:val="auto"/>
        </w:rPr>
        <w:t>”) (or on any successor or substitute page of such Service, or any successor to or substitute for such Service) for a term of one (1) month, which determination by Collateral Agent shall be conclusive in the absence of manifest error.</w:t>
      </w:r>
    </w:p>
    <w:p>
      <w:pPr>
        <w:spacing w:after="0" w:line="136"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Lien</w:t>
      </w:r>
      <w:r>
        <w:rPr>
          <w:rFonts w:ascii="Arial" w:cs="Arial" w:eastAsia="Arial" w:hAnsi="Arial"/>
          <w:sz w:val="14"/>
          <w:szCs w:val="14"/>
          <w:color w:val="auto"/>
        </w:rPr>
        <w:t>” is a claim, mortgage, deed of trust, levy, charge, pledge, security interest, or other encumbrance of any kind, whether voluntarily incurred or arising by operation of law or otherwise against any property.</w:t>
      </w:r>
    </w:p>
    <w:p>
      <w:pPr>
        <w:spacing w:after="0" w:line="123" w:lineRule="exact"/>
        <w:rPr>
          <w:sz w:val="20"/>
          <w:szCs w:val="20"/>
          <w:color w:val="auto"/>
        </w:rPr>
      </w:pPr>
    </w:p>
    <w:p>
      <w:pPr>
        <w:jc w:val="both"/>
        <w:ind w:left="1" w:firstLine="513"/>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Documents</w:t>
      </w:r>
      <w:r>
        <w:rPr>
          <w:rFonts w:ascii="Arial" w:cs="Arial" w:eastAsia="Arial" w:hAnsi="Arial"/>
          <w:sz w:val="14"/>
          <w:szCs w:val="14"/>
          <w:color w:val="auto"/>
        </w:rPr>
        <w:t>” are, collectively, this Agreement, the Exit Fee Agreement, the Perfection Certificates, the Disclosure Schedules, each Compliance Certificate, each Loan Payment Request Form, any Guarantees, any subordination agreements, any note, or notes or guaranties executed by Borrower or any other Person, any agreements creating or perfecting rights in the Collateral (including all insurance certificates and endorsements, landlord consents and bailee consents) and any other present or future agreement entered into by Borrower, any Guarantor or any other Person for the benefit of the Lenders and Collateral Agent, as applicable, in connection with this Agreement; all as amended, restated, or otherwise modified.</w:t>
      </w:r>
    </w:p>
    <w:p>
      <w:pPr>
        <w:spacing w:after="0" w:line="143"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Payment Request Form</w:t>
      </w:r>
      <w:r>
        <w:rPr>
          <w:rFonts w:ascii="Arial" w:cs="Arial" w:eastAsia="Arial" w:hAnsi="Arial"/>
          <w:sz w:val="14"/>
          <w:szCs w:val="14"/>
          <w:color w:val="auto"/>
        </w:rPr>
        <w:t xml:space="preserve">” is that certain form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81" w:lineRule="exact"/>
        <w:rPr>
          <w:sz w:val="20"/>
          <w:szCs w:val="20"/>
          <w:color w:val="auto"/>
        </w:rPr>
      </w:pPr>
    </w:p>
    <w:p>
      <w:pPr>
        <w:jc w:val="both"/>
        <w:ind w:left="1" w:firstLine="513"/>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Adverse Change</w:t>
      </w:r>
      <w:r>
        <w:rPr>
          <w:rFonts w:ascii="Arial" w:cs="Arial" w:eastAsia="Arial" w:hAnsi="Arial"/>
          <w:sz w:val="14"/>
          <w:szCs w:val="14"/>
          <w:color w:val="auto"/>
        </w:rPr>
        <w:t>” is (a) a material adverse change in the business, operations or condition (financial or otherwise) of Borrower and its Subsidiaries, when taken as a whole; or (b) a material impairment of (i) the prospect of repayment of any portion of the Obligations, (ii) the legality, validity or enforceability of any Loan Document, (iii) the rights and remedies of Collateral Agent or Lenders under any Loan Document except as the result of the action or inaction of the Collateral Agent or Lenders or (iv) the validity, perfection or priority of any Lien in favor of Collateral Agent for the benefit of the Secured Parties on any of the Collateral except as the result of the action or inaction of the Collateral Agent or Lenders.</w:t>
      </w:r>
    </w:p>
    <w:p>
      <w:pPr>
        <w:spacing w:after="0" w:line="143" w:lineRule="exact"/>
        <w:rPr>
          <w:sz w:val="20"/>
          <w:szCs w:val="20"/>
          <w:color w:val="auto"/>
        </w:rPr>
      </w:pPr>
    </w:p>
    <w:p>
      <w:pPr>
        <w:jc w:val="both"/>
        <w:ind w:left="1" w:firstLine="513"/>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Agreement</w:t>
      </w:r>
      <w:r>
        <w:rPr>
          <w:rFonts w:ascii="Arial" w:cs="Arial" w:eastAsia="Arial" w:hAnsi="Arial"/>
          <w:sz w:val="14"/>
          <w:szCs w:val="14"/>
          <w:color w:val="auto"/>
        </w:rPr>
        <w:t>” is (i) as long as Borrower is a publicly reporting entity under the Securities Exchange Act of 1934, any license, agreement or other contractual arrangement required to be disclosed (including amendments thereto) under regulations promulgated under the Securities Act of 1933 or Securities Exchange Act of 1934, as each may be amended, or (ii) if Borrower is not such a publicly reporting entity, any license, agreement or other contractual arrangement whereby Borrower or any of its Subsidiaries is reasonably likely to be required to transfer, either in-kind or in cash, prior to the Maturity Date, assets or property valued (book or market) at more than One Million Dollars ($1,000,000) per year.</w:t>
      </w:r>
    </w:p>
    <w:p>
      <w:pPr>
        <w:spacing w:after="0" w:line="143"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Maturity Date</w:t>
      </w:r>
      <w:r>
        <w:rPr>
          <w:rFonts w:ascii="Arial" w:cs="Arial" w:eastAsia="Arial" w:hAnsi="Arial"/>
          <w:sz w:val="14"/>
          <w:szCs w:val="14"/>
          <w:color w:val="auto"/>
        </w:rPr>
        <w:t>” is November 1, 2022 .</w:t>
      </w:r>
    </w:p>
    <w:p>
      <w:pPr>
        <w:spacing w:after="0" w:line="181" w:lineRule="exact"/>
        <w:rPr>
          <w:sz w:val="20"/>
          <w:szCs w:val="20"/>
          <w:color w:val="auto"/>
        </w:rPr>
      </w:pPr>
    </w:p>
    <w:p>
      <w:pPr>
        <w:jc w:val="both"/>
        <w:ind w:left="1" w:firstLine="513"/>
        <w:spacing w:after="0" w:line="31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Obligations</w:t>
      </w:r>
      <w:r>
        <w:rPr>
          <w:rFonts w:ascii="Arial" w:cs="Arial" w:eastAsia="Arial" w:hAnsi="Arial"/>
          <w:sz w:val="12"/>
          <w:szCs w:val="12"/>
          <w:color w:val="auto"/>
        </w:rPr>
        <w:t>” are all of Borrower’s obligations to pay when due any debts, principal, interest, Lenders’ Expenses, the Prepayment Premium, the Final Fee, and any other amounts Borrower owes the Collateral Agent or the Lenders now or later, in connection with, related to, following, or arising from, out of or under, this Agreement or, the other Loan Documents (other than the Exit Fee Agreement and any fees payable thereunder), and including interest accruing after Insolvency Proceedings begin (whether or not allowed) and debts, liabilities, or obligations of Borrower assigned to the Lenders and/or Collateral Agent in connection with this Agreement and the other Loan Documents (other than the Exit Fee Agreement), and the performance of Borrower’s duties under the Loan Documents (other than the Exit Fee Agreement and any fees payable thereunder).</w:t>
      </w:r>
    </w:p>
    <w:p>
      <w:pPr>
        <w:spacing w:after="0" w:line="114"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OFAC</w:t>
      </w:r>
      <w:r>
        <w:rPr>
          <w:rFonts w:ascii="Arial" w:cs="Arial" w:eastAsia="Arial" w:hAnsi="Arial"/>
          <w:sz w:val="14"/>
          <w:szCs w:val="14"/>
          <w:color w:val="auto"/>
        </w:rPr>
        <w:t>” is the U.S. Department of Treasury Office of Foreign Assets Control.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73" w:name="page74"/>
    <w:bookmarkEnd w:id="73"/>
    <w:p>
      <w:pPr>
        <w:jc w:val="both"/>
        <w:ind w:firstLine="513"/>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OFAC Lists</w:t>
      </w:r>
      <w:r>
        <w:rPr>
          <w:rFonts w:ascii="Arial" w:cs="Arial" w:eastAsia="Arial" w:hAnsi="Arial"/>
          <w:sz w:val="14"/>
          <w:szCs w:val="14"/>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36"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Operating Documents</w:t>
      </w:r>
      <w:r>
        <w:rPr>
          <w:rFonts w:ascii="Arial" w:cs="Arial" w:eastAsia="Arial" w:hAnsi="Arial"/>
          <w:sz w:val="14"/>
          <w:szCs w:val="14"/>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40"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Connection Taxes</w:t>
      </w:r>
      <w:r>
        <w:rPr>
          <w:rFonts w:ascii="Arial" w:cs="Arial" w:eastAsia="Arial" w:hAnsi="Arial"/>
          <w:sz w:val="14"/>
          <w:szCs w:val="14"/>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0"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Taxes</w:t>
      </w:r>
      <w:r>
        <w:rPr>
          <w:rFonts w:ascii="Arial" w:cs="Arial" w:eastAsia="Arial" w:hAnsi="Arial"/>
          <w:sz w:val="14"/>
          <w:szCs w:val="14"/>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36"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Patents</w:t>
      </w:r>
      <w:r>
        <w:rPr>
          <w:rFonts w:ascii="Arial" w:cs="Arial" w:eastAsia="Arial" w:hAnsi="Arial"/>
          <w:sz w:val="14"/>
          <w:szCs w:val="14"/>
          <w:color w:val="auto"/>
        </w:rPr>
        <w:t>” means all patents, patent applications and like protections including without limitation improvements, divisions, continuations, renewals, reissues, extensions and continuations-in-part of the same.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Payment Date</w:t>
      </w:r>
      <w:r>
        <w:rPr>
          <w:rFonts w:ascii="Arial" w:cs="Arial" w:eastAsia="Arial" w:hAnsi="Arial"/>
          <w:sz w:val="14"/>
          <w:szCs w:val="14"/>
          <w:color w:val="auto"/>
        </w:rPr>
        <w:t>” is the first (1</w:t>
      </w:r>
      <w:r>
        <w:rPr>
          <w:rFonts w:ascii="Arial" w:cs="Arial" w:eastAsia="Arial" w:hAnsi="Arial"/>
          <w:sz w:val="7"/>
          <w:szCs w:val="7"/>
          <w:color w:val="auto"/>
        </w:rPr>
        <w:t>st</w:t>
      </w:r>
      <w:r>
        <w:rPr>
          <w:rFonts w:ascii="Arial" w:cs="Arial" w:eastAsia="Arial" w:hAnsi="Arial"/>
          <w:sz w:val="14"/>
          <w:szCs w:val="14"/>
          <w:color w:val="auto"/>
        </w:rPr>
        <w:t>) calendar day of each calendar month, commencing on June 1, 2018.</w:t>
      </w:r>
    </w:p>
    <w:p>
      <w:pPr>
        <w:spacing w:after="0" w:line="181"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Acquisition</w:t>
      </w:r>
      <w:r>
        <w:rPr>
          <w:rFonts w:ascii="Arial" w:cs="Arial" w:eastAsia="Arial" w:hAnsi="Arial"/>
          <w:sz w:val="14"/>
          <w:szCs w:val="14"/>
          <w:color w:val="auto"/>
        </w:rPr>
        <w:t>” means any consensual transaction or series of related transactions for the direct or indirect (a) acquisition of all or substantially all of the property of any Person, or of any business or division of any Person, (b) acquisition of greater than ninety percent (90.0%) of the equity interests of any Person, and otherwise causing such person to become a Subsidiary of such Person, (c) merger or consolidation or any other combination with any Person or (d) the acquisition of any Intellectual Property and related ancillary rights or assets of any person, if each of the following conditions is met:</w:t>
      </w:r>
    </w:p>
    <w:p>
      <w:pPr>
        <w:spacing w:after="0" w:line="144" w:lineRule="exact"/>
        <w:rPr>
          <w:sz w:val="20"/>
          <w:szCs w:val="20"/>
          <w:color w:val="auto"/>
        </w:rPr>
      </w:pPr>
    </w:p>
    <w:p>
      <w:pPr>
        <w:ind w:left="1200" w:hanging="176"/>
        <w:spacing w:after="0"/>
        <w:tabs>
          <w:tab w:leader="none" w:pos="1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 Default or Event of Default exists immediately prior thereto, and no Default or Event of Default would immediately result therefrom;</w:t>
      </w:r>
    </w:p>
    <w:p>
      <w:pPr>
        <w:spacing w:after="0" w:line="180" w:lineRule="exact"/>
        <w:rPr>
          <w:rFonts w:ascii="Arial" w:cs="Arial" w:eastAsia="Arial" w:hAnsi="Arial"/>
          <w:sz w:val="14"/>
          <w:szCs w:val="14"/>
          <w:color w:val="auto"/>
        </w:rPr>
      </w:pPr>
    </w:p>
    <w:p>
      <w:pPr>
        <w:jc w:val="both"/>
        <w:ind w:left="520" w:firstLine="504"/>
        <w:spacing w:after="0" w:line="299" w:lineRule="auto"/>
        <w:tabs>
          <w:tab w:leader="none" w:pos="1245"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Person, business or asset to be acquired (other than non-core assets, if any, with respect to such acquisition) shall be, or shall be engaged in, a business of the type that the Borrower is then permitted to be engaged in and the property acquired in connection with any such transaction shall be made subject to the Lien of the Loan Documents to the extent required in accordance with Section 6.10 and shall be free and clear of any Liens (other than Permitted Liens);</w:t>
      </w:r>
    </w:p>
    <w:p>
      <w:pPr>
        <w:spacing w:after="0" w:line="124" w:lineRule="exact"/>
        <w:rPr>
          <w:rFonts w:ascii="Arial" w:cs="Arial" w:eastAsia="Arial" w:hAnsi="Arial"/>
          <w:sz w:val="13"/>
          <w:szCs w:val="13"/>
          <w:color w:val="auto"/>
        </w:rPr>
      </w:pPr>
    </w:p>
    <w:p>
      <w:pPr>
        <w:ind w:left="1280" w:hanging="256"/>
        <w:spacing w:after="0"/>
        <w:tabs>
          <w:tab w:leader="none" w:pos="1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Borrower shall be, after taking into account the payment of the Acquisition Consideration, in compliance with Section 7.13;</w:t>
      </w:r>
    </w:p>
    <w:p>
      <w:pPr>
        <w:spacing w:after="0" w:line="180" w:lineRule="exact"/>
        <w:rPr>
          <w:rFonts w:ascii="Arial" w:cs="Arial" w:eastAsia="Arial" w:hAnsi="Arial"/>
          <w:sz w:val="14"/>
          <w:szCs w:val="14"/>
          <w:color w:val="auto"/>
        </w:rPr>
      </w:pPr>
    </w:p>
    <w:p>
      <w:pPr>
        <w:ind w:left="520" w:firstLine="504"/>
        <w:spacing w:after="0" w:line="284" w:lineRule="auto"/>
        <w:tabs>
          <w:tab w:leader="none" w:pos="1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Board of Directors or other governing body of the Person to be acquired shall not have indicated its opposition to the consummation of such acquisition (which opposition has not been publicly withdrawn);</w:t>
      </w:r>
    </w:p>
    <w:p>
      <w:pPr>
        <w:spacing w:after="0" w:line="131" w:lineRule="exact"/>
        <w:rPr>
          <w:rFonts w:ascii="Arial" w:cs="Arial" w:eastAsia="Arial" w:hAnsi="Arial"/>
          <w:sz w:val="14"/>
          <w:szCs w:val="14"/>
          <w:color w:val="auto"/>
        </w:rPr>
      </w:pPr>
    </w:p>
    <w:p>
      <w:pPr>
        <w:ind w:left="520" w:firstLine="504"/>
        <w:spacing w:after="0" w:line="284" w:lineRule="auto"/>
        <w:tabs>
          <w:tab w:leader="none" w:pos="12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Acquisition Consideration in respect of such acquisition is funded with cash or Permitted Investments of the Borrower or the proceeds of a cash equity contribution to any Borrower;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4" w:name="page75"/>
    <w:bookmarkEnd w:id="74"/>
    <w:p>
      <w:pPr>
        <w:ind w:left="520" w:firstLine="504"/>
        <w:spacing w:after="0" w:line="284" w:lineRule="auto"/>
        <w:tabs>
          <w:tab w:leader="none" w:pos="128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Acquisition Consideration shall not exceed Five Million Dollars ($5,000,000) in the aggregate for all such acquisitions, unless, in each case, funded with the proceeds of an equity contribution or convertible Indebtedness permitted hereunder received by the Borrower;</w:t>
      </w:r>
    </w:p>
    <w:p>
      <w:pPr>
        <w:spacing w:after="0" w:line="131" w:lineRule="exact"/>
        <w:rPr>
          <w:rFonts w:ascii="Arial" w:cs="Arial" w:eastAsia="Arial" w:hAnsi="Arial"/>
          <w:sz w:val="14"/>
          <w:szCs w:val="14"/>
          <w:color w:val="auto"/>
        </w:rPr>
      </w:pPr>
    </w:p>
    <w:p>
      <w:pPr>
        <w:jc w:val="both"/>
        <w:ind w:left="520" w:firstLine="504"/>
        <w:spacing w:after="0" w:line="264" w:lineRule="auto"/>
        <w:tabs>
          <w:tab w:leader="none" w:pos="1319"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a consolidated basis, the Borrower’s and its Subsidiaries’ rate of usage of cash and Cash Equivalents shall not increase as a result of such transaction by more than five percent (5%) over the forecasted rate of usage of cash and Cash Equivalents approved by the Lenders as of the Effective Date; provided that the amount of such increase shall be determined net of any proceeds of equity contributions over the succeeding twenty-four (24) months raised in connection with such acquisition; and</w:t>
      </w:r>
    </w:p>
    <w:p>
      <w:pPr>
        <w:spacing w:after="0" w:line="145" w:lineRule="exact"/>
        <w:rPr>
          <w:rFonts w:ascii="Arial" w:cs="Arial" w:eastAsia="Arial" w:hAnsi="Arial"/>
          <w:sz w:val="14"/>
          <w:szCs w:val="14"/>
          <w:color w:val="auto"/>
        </w:rPr>
      </w:pPr>
    </w:p>
    <w:p>
      <w:pPr>
        <w:ind w:left="520" w:firstLine="504"/>
        <w:spacing w:after="0" w:line="284" w:lineRule="auto"/>
        <w:tabs>
          <w:tab w:leader="none" w:pos="1371"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or prior to the proposed date of consummation of such transaction, the Borrower shall have delivered to the Collateral Agent and the Lenders a certificate of a Responsible Officer of the Borrower certifying that such transaction complies with this definition.</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Indebtedness</w:t>
      </w:r>
      <w:r>
        <w:rPr>
          <w:rFonts w:ascii="Arial" w:cs="Arial" w:eastAsia="Arial" w:hAnsi="Arial"/>
          <w:sz w:val="14"/>
          <w:szCs w:val="14"/>
          <w:color w:val="auto"/>
        </w:rPr>
        <w:t>” is:</w:t>
      </w:r>
    </w:p>
    <w:p>
      <w:pPr>
        <w:spacing w:after="0" w:line="185" w:lineRule="exact"/>
        <w:rPr>
          <w:sz w:val="20"/>
          <w:szCs w:val="20"/>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Borrower’s Indebtedness to the Lenders and Collateral Agent under this Agreement and the other Loan Documents;</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Indebtedness existing on the Effective Date and disclosed on the Disclosure Schedules;</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Subordinated Debt;</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unsecured Indebtedness to trade creditors incurred in the ordinary course of business;</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unsecured Indebtedness in connection with credit cards incurred in the ordinary course of business;</w:t>
      </w:r>
    </w:p>
    <w:p>
      <w:pPr>
        <w:spacing w:after="0" w:line="180" w:lineRule="exact"/>
        <w:rPr>
          <w:rFonts w:ascii="Arial" w:cs="Arial" w:eastAsia="Arial" w:hAnsi="Arial"/>
          <w:sz w:val="14"/>
          <w:szCs w:val="14"/>
          <w:color w:val="auto"/>
        </w:rPr>
      </w:pPr>
    </w:p>
    <w:p>
      <w:pPr>
        <w:jc w:val="both"/>
        <w:ind w:firstLine="1024"/>
        <w:spacing w:after="0" w:line="262" w:lineRule="auto"/>
        <w:tabs>
          <w:tab w:leader="none" w:pos="1801"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Seven Hundred Fifty Thousand Dollars ($750,000)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46" w:lineRule="exact"/>
        <w:rPr>
          <w:rFonts w:ascii="Arial" w:cs="Arial" w:eastAsia="Arial" w:hAnsi="Arial"/>
          <w:sz w:val="14"/>
          <w:szCs w:val="14"/>
          <w:color w:val="auto"/>
        </w:rPr>
      </w:pPr>
    </w:p>
    <w:p>
      <w:pPr>
        <w:ind w:left="1540" w:hanging="516"/>
        <w:spacing w:after="0"/>
        <w:tabs>
          <w:tab w:leader="none" w:pos="15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Indebtedness consisting of the obligation to pay rent when due under real property leases entered into in the ordinary course of Borrower’s business;</w:t>
      </w:r>
    </w:p>
    <w:p>
      <w:pPr>
        <w:spacing w:after="0" w:line="192" w:lineRule="exact"/>
        <w:rPr>
          <w:rFonts w:ascii="Arial" w:cs="Arial" w:eastAsia="Arial" w:hAnsi="Arial"/>
          <w:sz w:val="13"/>
          <w:szCs w:val="13"/>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 unsecured Indebtedness at any time not to exceed Three Hundred Seventy Five Thousand Dollars ($375,000) in the aggregate;</w:t>
      </w:r>
    </w:p>
    <w:p>
      <w:pPr>
        <w:spacing w:after="0" w:line="180" w:lineRule="exact"/>
        <w:rPr>
          <w:rFonts w:ascii="Arial" w:cs="Arial" w:eastAsia="Arial" w:hAnsi="Arial"/>
          <w:sz w:val="14"/>
          <w:szCs w:val="14"/>
          <w:color w:val="auto"/>
        </w:rPr>
      </w:pPr>
    </w:p>
    <w:p>
      <w:pPr>
        <w:jc w:val="both"/>
        <w:ind w:firstLine="1024"/>
        <w:spacing w:after="0" w:line="269" w:lineRule="auto"/>
        <w:tabs>
          <w:tab w:leader="none" w:pos="1683"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reimbursement obligations in respect of letters of credit in the aggregate amount not to exceed (1) One Million Five Hundred Thousand Dollars ($1,500,000) at any time for any letters of credit with a maturity date of six (6) months or less, and (2) Five Hundred Thousand Dollars ($500,000) at any time for any letters of credit with a maturity date of six (6) months or more, in each case as incurred in the ordinary course of business;</w:t>
      </w:r>
    </w:p>
    <w:p>
      <w:pPr>
        <w:spacing w:after="0" w:line="142" w:lineRule="exact"/>
        <w:rPr>
          <w:rFonts w:ascii="Arial" w:cs="Arial" w:eastAsia="Arial" w:hAnsi="Arial"/>
          <w:sz w:val="14"/>
          <w:szCs w:val="14"/>
          <w:color w:val="auto"/>
        </w:rPr>
      </w:pPr>
    </w:p>
    <w:p>
      <w:pPr>
        <w:ind w:left="1560" w:hanging="536"/>
        <w:spacing w:after="0"/>
        <w:tabs>
          <w:tab w:leader="none" w:pos="1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Indebtedness incurred as a result of endorsing negotiable instruments received in the ordinary course of Borrower’s business;</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Convertible Indebtedness in the aggregate amount not to exceed Two Hundred Million Dollars ($200,000,000) at any time;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75" w:name="page76"/>
    <w:bookmarkEnd w:id="75"/>
    <w:p>
      <w:pPr>
        <w:ind w:left="1560" w:hanging="536"/>
        <w:spacing w:after="0"/>
        <w:tabs>
          <w:tab w:leader="none" w:pos="15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and similar transactions with respect to currency risk entered into in the ordinary course of business and not for speculative purposes;</w:t>
      </w:r>
    </w:p>
    <w:p>
      <w:pPr>
        <w:spacing w:after="0" w:line="192" w:lineRule="exact"/>
        <w:rPr>
          <w:rFonts w:ascii="Arial" w:cs="Arial" w:eastAsia="Arial" w:hAnsi="Arial"/>
          <w:sz w:val="13"/>
          <w:szCs w:val="13"/>
          <w:color w:val="auto"/>
        </w:rPr>
      </w:pPr>
    </w:p>
    <w:p>
      <w:pPr>
        <w:ind w:firstLine="1024"/>
        <w:spacing w:after="0" w:line="284" w:lineRule="auto"/>
        <w:tabs>
          <w:tab w:leader="none" w:pos="1585"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Surety bonds and similar Indebtedness entered into in the ordinary course of business and in an amount not exceeding Two Hundred Fifty Thousand Dollars ($250,000) outstanding at any time; and</w:t>
      </w:r>
    </w:p>
    <w:p>
      <w:pPr>
        <w:spacing w:after="0" w:line="131" w:lineRule="exact"/>
        <w:rPr>
          <w:rFonts w:ascii="Arial" w:cs="Arial" w:eastAsia="Arial" w:hAnsi="Arial"/>
          <w:sz w:val="14"/>
          <w:szCs w:val="14"/>
          <w:color w:val="auto"/>
        </w:rPr>
      </w:pPr>
    </w:p>
    <w:p>
      <w:pPr>
        <w:jc w:val="both"/>
        <w:ind w:firstLine="1024"/>
        <w:spacing w:after="0" w:line="269" w:lineRule="auto"/>
        <w:tabs>
          <w:tab w:leader="none" w:pos="1547"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extensions, refinancings, modifications, amendments and restatements of any items of Permitted Indebtedness (a) through (h) above, provided that the principal amount thereof is not increased or the terms thereof are not modified to impose materially more burdensome terms upon Borrower, or its Subsidiary, as the case may be.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Investments</w:t>
      </w:r>
      <w:r>
        <w:rPr>
          <w:rFonts w:ascii="Arial" w:cs="Arial" w:eastAsia="Arial" w:hAnsi="Arial"/>
          <w:sz w:val="14"/>
          <w:szCs w:val="14"/>
          <w:color w:val="auto"/>
        </w:rPr>
        <w:t>” are:</w:t>
      </w:r>
    </w:p>
    <w:p>
      <w:pPr>
        <w:spacing w:after="0" w:line="185" w:lineRule="exact"/>
        <w:rPr>
          <w:sz w:val="20"/>
          <w:szCs w:val="20"/>
          <w:color w:val="auto"/>
        </w:rPr>
      </w:pPr>
    </w:p>
    <w:p>
      <w:pPr>
        <w:ind w:left="1540" w:hanging="516"/>
        <w:spacing w:after="0"/>
        <w:tabs>
          <w:tab w:leader="none" w:pos="1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disclosed on the Disclosure Schedules and existing on the Effective Date;</w:t>
      </w:r>
    </w:p>
    <w:p>
      <w:pPr>
        <w:spacing w:after="0" w:line="180" w:lineRule="exact"/>
        <w:rPr>
          <w:rFonts w:ascii="Arial" w:cs="Arial" w:eastAsia="Arial" w:hAnsi="Arial"/>
          <w:sz w:val="14"/>
          <w:szCs w:val="14"/>
          <w:color w:val="auto"/>
        </w:rPr>
      </w:pPr>
    </w:p>
    <w:p>
      <w:pPr>
        <w:ind w:firstLine="1024"/>
        <w:spacing w:after="0" w:line="284" w:lineRule="auto"/>
        <w:tabs>
          <w:tab w:leader="none" w:pos="1582" w:val="left"/>
        </w:tabs>
        <w:numPr>
          <w:ilvl w:val="0"/>
          <w:numId w:val="51"/>
        </w:numPr>
        <w:rPr>
          <w:rFonts w:ascii="Arial" w:cs="Arial" w:eastAsia="Arial" w:hAnsi="Arial"/>
          <w:sz w:val="14"/>
          <w:szCs w:val="14"/>
          <w:color w:val="auto"/>
        </w:rPr>
      </w:pPr>
      <w:r>
        <w:rPr>
          <w:rFonts w:ascii="Arial" w:cs="Arial" w:eastAsia="Arial" w:hAnsi="Arial"/>
          <w:sz w:val="14"/>
          <w:szCs w:val="14"/>
          <w:color w:val="auto"/>
        </w:rPr>
        <w:t>(i)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31" w:lineRule="exact"/>
        <w:rPr>
          <w:rFonts w:ascii="Arial" w:cs="Arial" w:eastAsia="Arial" w:hAnsi="Arial"/>
          <w:sz w:val="14"/>
          <w:szCs w:val="14"/>
          <w:color w:val="auto"/>
        </w:rPr>
      </w:pPr>
    </w:p>
    <w:p>
      <w:pPr>
        <w:ind w:left="1720" w:hanging="696"/>
        <w:spacing w:after="0"/>
        <w:tabs>
          <w:tab w:leader="none" w:pos="17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Investments consisting of the endorsement of negotiable instruments for deposit or collection or similar transactions in the ordinary course of</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Borrower;</w:t>
      </w:r>
    </w:p>
    <w:p>
      <w:pPr>
        <w:spacing w:after="0" w:line="170" w:lineRule="exact"/>
        <w:rPr>
          <w:rFonts w:ascii="Arial" w:cs="Arial" w:eastAsia="Arial" w:hAnsi="Arial"/>
          <w:sz w:val="13"/>
          <w:szCs w:val="13"/>
          <w:color w:val="auto"/>
        </w:rPr>
      </w:pPr>
    </w:p>
    <w:p>
      <w:pPr>
        <w:ind w:firstLine="1024"/>
        <w:spacing w:after="0" w:line="284" w:lineRule="auto"/>
        <w:tabs>
          <w:tab w:leader="none" w:pos="1614"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consisting of Deposit Accounts in which Collateral Agent has a perfected Lien (subject to the terms of this Agreement) for the ratable benefit of the Secured Parties;</w:t>
      </w:r>
    </w:p>
    <w:p>
      <w:pPr>
        <w:spacing w:after="0" w:line="131" w:lineRule="exact"/>
        <w:rPr>
          <w:rFonts w:ascii="Arial" w:cs="Arial" w:eastAsia="Arial" w:hAnsi="Arial"/>
          <w:sz w:val="14"/>
          <w:szCs w:val="14"/>
          <w:color w:val="auto"/>
        </w:rPr>
      </w:pPr>
    </w:p>
    <w:p>
      <w:pPr>
        <w:ind w:left="1540" w:hanging="516"/>
        <w:spacing w:after="0"/>
        <w:tabs>
          <w:tab w:leader="none" w:pos="1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in connection with Permitted Indebtedness, Permitted Liens and with Transfers permitted by Section 7.1;</w:t>
      </w:r>
    </w:p>
    <w:p>
      <w:pPr>
        <w:spacing w:after="0" w:line="180" w:lineRule="exact"/>
        <w:rPr>
          <w:rFonts w:ascii="Arial" w:cs="Arial" w:eastAsia="Arial" w:hAnsi="Arial"/>
          <w:sz w:val="14"/>
          <w:szCs w:val="14"/>
          <w:color w:val="auto"/>
        </w:rPr>
      </w:pPr>
    </w:p>
    <w:p>
      <w:pPr>
        <w:jc w:val="both"/>
        <w:ind w:firstLine="1024"/>
        <w:spacing w:after="0" w:line="299" w:lineRule="auto"/>
        <w:tabs>
          <w:tab w:leader="none" w:pos="1741"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Thousand Dollars ($200,000) in the aggregate for (i) and (ii) in any fiscal year;</w:t>
      </w:r>
    </w:p>
    <w:p>
      <w:pPr>
        <w:spacing w:after="0" w:line="124" w:lineRule="exact"/>
        <w:rPr>
          <w:rFonts w:ascii="Arial" w:cs="Arial" w:eastAsia="Arial" w:hAnsi="Arial"/>
          <w:sz w:val="13"/>
          <w:szCs w:val="13"/>
          <w:color w:val="auto"/>
        </w:rPr>
      </w:pPr>
    </w:p>
    <w:p>
      <w:pPr>
        <w:ind w:firstLine="1024"/>
        <w:spacing w:after="0" w:line="284" w:lineRule="auto"/>
        <w:tabs>
          <w:tab w:leader="none" w:pos="158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31" w:lineRule="exact"/>
        <w:rPr>
          <w:rFonts w:ascii="Arial" w:cs="Arial" w:eastAsia="Arial" w:hAnsi="Arial"/>
          <w:sz w:val="14"/>
          <w:szCs w:val="14"/>
          <w:color w:val="auto"/>
        </w:rPr>
      </w:pPr>
    </w:p>
    <w:p>
      <w:pPr>
        <w:ind w:firstLine="1024"/>
        <w:spacing w:after="0" w:line="284" w:lineRule="auto"/>
        <w:tabs>
          <w:tab w:leader="none" w:pos="15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31" w:lineRule="exact"/>
        <w:rPr>
          <w:rFonts w:ascii="Arial" w:cs="Arial" w:eastAsia="Arial" w:hAnsi="Arial"/>
          <w:sz w:val="14"/>
          <w:szCs w:val="14"/>
          <w:color w:val="auto"/>
        </w:rPr>
      </w:pPr>
    </w:p>
    <w:p>
      <w:pPr>
        <w:ind w:left="1560" w:hanging="536"/>
        <w:spacing w:after="0"/>
        <w:tabs>
          <w:tab w:leader="none" w:pos="15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in Subsidiaries that are Guarantors;</w:t>
      </w:r>
    </w:p>
    <w:p>
      <w:pPr>
        <w:spacing w:after="0" w:line="180" w:lineRule="exact"/>
        <w:rPr>
          <w:rFonts w:ascii="Arial" w:cs="Arial" w:eastAsia="Arial" w:hAnsi="Arial"/>
          <w:sz w:val="14"/>
          <w:szCs w:val="14"/>
          <w:color w:val="auto"/>
        </w:rPr>
      </w:pPr>
    </w:p>
    <w:p>
      <w:pPr>
        <w:ind w:left="1580" w:hanging="556"/>
        <w:spacing w:after="0"/>
        <w:tabs>
          <w:tab w:leader="none" w:pos="1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Investments in Subsidiaries that are not Guarantors, the aggregate of which shall not to exceed One Hundred Thousand Dollars ($100,000) per fiscal</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year;</w:t>
      </w:r>
    </w:p>
    <w:p>
      <w:pPr>
        <w:spacing w:after="0" w:line="170" w:lineRule="exact"/>
        <w:rPr>
          <w:rFonts w:ascii="Arial" w:cs="Arial" w:eastAsia="Arial" w:hAnsi="Arial"/>
          <w:sz w:val="12"/>
          <w:szCs w:val="12"/>
          <w:color w:val="auto"/>
        </w:rPr>
      </w:pPr>
    </w:p>
    <w:p>
      <w:pPr>
        <w:ind w:left="1540" w:hanging="516"/>
        <w:spacing w:after="0"/>
        <w:tabs>
          <w:tab w:leader="none" w:pos="1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Permitted Acquisitions; and</w:t>
      </w:r>
    </w:p>
    <w:p>
      <w:pPr>
        <w:spacing w:after="0" w:line="180" w:lineRule="exact"/>
        <w:rPr>
          <w:rFonts w:ascii="Arial" w:cs="Arial" w:eastAsia="Arial" w:hAnsi="Arial"/>
          <w:sz w:val="14"/>
          <w:szCs w:val="14"/>
          <w:color w:val="auto"/>
        </w:rPr>
      </w:pPr>
    </w:p>
    <w:p>
      <w:pPr>
        <w:jc w:val="both"/>
        <w:ind w:firstLine="1024"/>
        <w:spacing w:after="0" w:line="264" w:lineRule="auto"/>
        <w:tabs>
          <w:tab w:leader="none" w:pos="157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Investments in joint ventures, corporate collaborations, or strategic alliances in the ordinary course of Borrower’s business consisting of the licensing of technology (in compliance with the definition of “Permitted Licenses”), the development of technology or the providing of technical support and provided that the aggregate amount for cash consideration for all such Investments cannot exceed Two Hundred Fifty Thousand Dollars ($250,000) per year and Seven Hundred Fifty Thousand Dollars ($750,000) in the aggregate.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76" w:name="page77"/>
    <w:bookmarkEnd w:id="76"/>
    <w:p>
      <w:pPr>
        <w:jc w:val="both"/>
        <w:ind w:firstLine="513"/>
        <w:spacing w:after="0" w:line="172"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Licenses</w:t>
      </w:r>
      <w:r>
        <w:rPr>
          <w:rFonts w:ascii="Arial" w:cs="Arial" w:eastAsia="Arial" w:hAnsi="Arial"/>
          <w:sz w:val="13"/>
          <w:szCs w:val="13"/>
          <w:color w:val="auto"/>
        </w:rPr>
        <w:t>” are (A) licenses of over-the-counter software that is commercially available to the public, (B) non</w:t>
      </w:r>
      <w:r>
        <w:rPr>
          <w:rFonts w:ascii="MS PGothic" w:cs="MS PGothic" w:eastAsia="MS PGothic" w:hAnsi="MS PGothic"/>
          <w:sz w:val="13"/>
          <w:szCs w:val="13"/>
          <w:color w:val="auto"/>
        </w:rPr>
        <w:t>‑</w:t>
      </w:r>
      <w:r>
        <w:rPr>
          <w:rFonts w:ascii="Arial" w:cs="Arial" w:eastAsia="Arial" w:hAnsi="Arial"/>
          <w:sz w:val="13"/>
          <w:szCs w:val="13"/>
          <w:color w:val="auto"/>
        </w:rPr>
        <w:t xml:space="preserve">exclusive licenses for the use of the Intellectual Property of Borrower or any of its Subsidiaries entered into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each such license described in clause (B), the license constitutes an arms</w:t>
      </w:r>
      <w:r>
        <w:rPr>
          <w:rFonts w:ascii="MS PGothic" w:cs="MS PGothic" w:eastAsia="MS PGothic" w:hAnsi="MS PGothic"/>
          <w:sz w:val="13"/>
          <w:szCs w:val="13"/>
          <w:color w:val="auto"/>
        </w:rPr>
        <w:t>‑</w:t>
      </w:r>
      <w:r>
        <w:rPr>
          <w:rFonts w:ascii="Arial" w:cs="Arial" w:eastAsia="Arial" w:hAnsi="Arial"/>
          <w:sz w:val="13"/>
          <w:szCs w:val="13"/>
          <w:color w:val="auto"/>
        </w:rPr>
        <w:t xml:space="preserve">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(C) exclusive licenses for the use of the Intellectual Property of Borrower or any of its Subsidiaries entered into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each such license described in this clause (C), the license (i) constitutes an arms</w:t>
      </w:r>
      <w:r>
        <w:rPr>
          <w:rFonts w:ascii="MS PGothic" w:cs="MS PGothic" w:eastAsia="MS PGothic" w:hAnsi="MS PGothic"/>
          <w:sz w:val="13"/>
          <w:szCs w:val="13"/>
          <w:color w:val="auto"/>
        </w:rPr>
        <w:t>‑</w:t>
      </w:r>
      <w:r>
        <w:rPr>
          <w:rFonts w:ascii="Arial" w:cs="Arial" w:eastAsia="Arial" w:hAnsi="Arial"/>
          <w:sz w:val="13"/>
          <w:szCs w:val="13"/>
          <w:color w:val="auto"/>
        </w:rPr>
        <w:t xml:space="preserve">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is limited in territory with respect to a specific geographic country or region (i.e. Japan, Germany, northern China) outside of the United States, and (iii) Borrower has used commercially reasonable efforts to obtain the consent and acknowledgment of the counterparty to such license for the collateral assignment of such license to the Collateral Agent for the benefit of the Lenders, (D) exclusive licenses for the use of the Intellectual Property of Borrower or any of its Subsidiaries (excluding such Intellectual Property related to treatment of Hyperphosphatemia) in the United States entered into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each such license described in this clause (D), the license (i) constitutes an arms</w:t>
      </w:r>
      <w:r>
        <w:rPr>
          <w:rFonts w:ascii="MS PGothic" w:cs="MS PGothic" w:eastAsia="MS PGothic" w:hAnsi="MS PGothic"/>
          <w:sz w:val="13"/>
          <w:szCs w:val="13"/>
          <w:color w:val="auto"/>
        </w:rPr>
        <w:t>‑</w:t>
      </w:r>
      <w:r>
        <w:rPr>
          <w:rFonts w:ascii="Arial" w:cs="Arial" w:eastAsia="Arial" w:hAnsi="Arial"/>
          <w:sz w:val="13"/>
          <w:szCs w:val="13"/>
          <w:color w:val="auto"/>
        </w:rPr>
        <w:t xml:space="preserve">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Borrower has used commercially reasonable efforts to obtain the consent and acknowledgment of the counterparty to such license for the collateral assignment of such license to the Collateral Agent for the benefit of the Lenders, (iii) either (x) the Borrower shall have obtained the prior written consent of the Required Lenders to enter into such license or (y) the Borrower maintains cash and Cash Equivalents in an amount equal to or greater than Fifty Million Dollars ($50,000,000) until the Borrower achieves (subject to evidence reasonably acceptable to the Collateral Agent) its Phase 3 Endpoint, (E) exclusive licenses for the use in the United States of the Intellectual Property of Borrower or any of its Subsidiaries related to treatment of Hyperphosphatemia entered into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each such license described in this clause (E), the Borrower shall have obtained the prior written consent of the Required Lenders to enter into such license, and (F) licenses in connection with the Borrower’s TGR5 and FXR programs.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are:</w:t>
      </w:r>
    </w:p>
    <w:p>
      <w:pPr>
        <w:spacing w:after="0" w:line="185" w:lineRule="exact"/>
        <w:rPr>
          <w:sz w:val="20"/>
          <w:szCs w:val="20"/>
          <w:color w:val="auto"/>
        </w:rPr>
      </w:pPr>
    </w:p>
    <w:p>
      <w:pPr>
        <w:ind w:left="1540" w:hanging="516"/>
        <w:spacing w:after="0"/>
        <w:tabs>
          <w:tab w:leader="none" w:pos="1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Liens existing on the Effective Date and disclosed on the Disclosure Schedules or arising under this Agreement and the other Loan Documents;</w:t>
      </w:r>
    </w:p>
    <w:p>
      <w:pPr>
        <w:spacing w:after="0" w:line="192" w:lineRule="exact"/>
        <w:rPr>
          <w:rFonts w:ascii="Arial" w:cs="Arial" w:eastAsia="Arial" w:hAnsi="Arial"/>
          <w:sz w:val="13"/>
          <w:szCs w:val="13"/>
          <w:color w:val="auto"/>
        </w:rPr>
      </w:pPr>
    </w:p>
    <w:p>
      <w:pPr>
        <w:jc w:val="both"/>
        <w:ind w:firstLine="1024"/>
        <w:spacing w:after="0" w:line="269" w:lineRule="auto"/>
        <w:tabs>
          <w:tab w:leader="none" w:pos="1611"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Liens for taxes, fees, assessments or other government charges or levies, either (i) not due and payable or (ii) being contested in good faith and for which Borrower maintains adequate reserves on its Books in accordance with GAAP, provided that no notice of any such Lien has been filed or recorded in favor of the United States Treasury in accordance with the applicable provisions of the IRC;</w:t>
      </w:r>
    </w:p>
    <w:p>
      <w:pPr>
        <w:spacing w:after="0" w:line="142" w:lineRule="exact"/>
        <w:rPr>
          <w:rFonts w:ascii="Arial" w:cs="Arial" w:eastAsia="Arial" w:hAnsi="Arial"/>
          <w:sz w:val="14"/>
          <w:szCs w:val="14"/>
          <w:color w:val="auto"/>
        </w:rPr>
      </w:pPr>
    </w:p>
    <w:p>
      <w:pPr>
        <w:jc w:val="both"/>
        <w:ind w:firstLine="1024"/>
        <w:spacing w:after="0" w:line="264" w:lineRule="auto"/>
        <w:tabs>
          <w:tab w:leader="none" w:pos="1628"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Liens securing Indebtedness permitted under clause (f)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45" w:lineRule="exact"/>
        <w:rPr>
          <w:rFonts w:ascii="Arial" w:cs="Arial" w:eastAsia="Arial" w:hAnsi="Arial"/>
          <w:sz w:val="14"/>
          <w:szCs w:val="14"/>
          <w:color w:val="auto"/>
        </w:rPr>
      </w:pPr>
    </w:p>
    <w:p>
      <w:pPr>
        <w:jc w:val="both"/>
        <w:ind w:firstLine="1024"/>
        <w:spacing w:after="0" w:line="264" w:lineRule="auto"/>
        <w:tabs>
          <w:tab w:leader="none" w:pos="1605"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7" w:name="page78"/>
    <w:bookmarkEnd w:id="77"/>
    <w:p>
      <w:pPr>
        <w:ind w:firstLine="1024"/>
        <w:spacing w:after="0" w:line="176" w:lineRule="exact"/>
        <w:tabs>
          <w:tab w:leader="none" w:pos="1546" w:val="left"/>
        </w:tabs>
        <w:numPr>
          <w:ilvl w:val="0"/>
          <w:numId w:val="53"/>
        </w:numPr>
        <w:rPr>
          <w:rFonts w:ascii="Arial" w:cs="Arial" w:eastAsia="Arial" w:hAnsi="Arial"/>
          <w:sz w:val="14"/>
          <w:szCs w:val="14"/>
          <w:color w:val="auto"/>
        </w:rPr>
      </w:pPr>
      <w:r>
        <w:rPr>
          <w:rFonts w:ascii="Arial" w:cs="Arial" w:eastAsia="Arial" w:hAnsi="Arial"/>
          <w:sz w:val="14"/>
          <w:szCs w:val="14"/>
          <w:color w:val="auto"/>
        </w:rPr>
        <w:t>Liens to secure payment of workers’ compensation, employment insurance, old</w:t>
      </w:r>
      <w:r>
        <w:rPr>
          <w:rFonts w:ascii="MS PGothic" w:cs="MS PGothic" w:eastAsia="MS PGothic" w:hAnsi="MS PGothic"/>
          <w:sz w:val="14"/>
          <w:szCs w:val="14"/>
          <w:color w:val="auto"/>
        </w:rPr>
        <w:t>‑</w:t>
      </w:r>
      <w:r>
        <w:rPr>
          <w:rFonts w:ascii="Arial" w:cs="Arial" w:eastAsia="Arial" w:hAnsi="Arial"/>
          <w:sz w:val="14"/>
          <w:szCs w:val="14"/>
          <w:color w:val="auto"/>
        </w:rPr>
        <w:t>age pensions, social security and other like obligations incurred in the ordinary course of business (other than Liens imposed by ERISA);</w:t>
      </w:r>
    </w:p>
    <w:p>
      <w:pPr>
        <w:spacing w:after="0" w:line="161" w:lineRule="exact"/>
        <w:rPr>
          <w:rFonts w:ascii="Arial" w:cs="Arial" w:eastAsia="Arial" w:hAnsi="Arial"/>
          <w:sz w:val="14"/>
          <w:szCs w:val="14"/>
          <w:color w:val="auto"/>
        </w:rPr>
      </w:pPr>
    </w:p>
    <w:p>
      <w:pPr>
        <w:ind w:firstLine="1024"/>
        <w:spacing w:after="0" w:line="324" w:lineRule="auto"/>
        <w:tabs>
          <w:tab w:leader="none" w:pos="1594"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Liens incurred in the extension, renewal or refinancing of the indebtedness secured by Liens described in (a) through (c), </w:t>
      </w:r>
      <w:r>
        <w:rPr>
          <w:rFonts w:ascii="Arial" w:cs="Arial" w:eastAsia="Arial" w:hAnsi="Arial"/>
          <w:sz w:val="13"/>
          <w:szCs w:val="13"/>
          <w:u w:val="single" w:color="auto"/>
          <w:color w:val="auto"/>
        </w:rPr>
        <w:t>but</w:t>
      </w:r>
      <w:r>
        <w:rPr>
          <w:rFonts w:ascii="Arial" w:cs="Arial" w:eastAsia="Arial" w:hAnsi="Arial"/>
          <w:sz w:val="13"/>
          <w:szCs w:val="13"/>
          <w:color w:val="auto"/>
        </w:rPr>
        <w:t xml:space="preserve"> any extension, renewal or replacement Lien must be limited to the property encumbered by the existing Lien and the principal amount of the indebtedness may not increase;</w:t>
      </w:r>
    </w:p>
    <w:p>
      <w:pPr>
        <w:spacing w:after="0" w:line="108" w:lineRule="exact"/>
        <w:rPr>
          <w:rFonts w:ascii="Arial" w:cs="Arial" w:eastAsia="Arial" w:hAnsi="Arial"/>
          <w:sz w:val="13"/>
          <w:szCs w:val="13"/>
          <w:color w:val="auto"/>
        </w:rPr>
      </w:pPr>
    </w:p>
    <w:p>
      <w:pPr>
        <w:jc w:val="both"/>
        <w:ind w:firstLine="1024"/>
        <w:spacing w:after="0" w:line="174" w:lineRule="exact"/>
        <w:tabs>
          <w:tab w:leader="none" w:pos="15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leases or subleases of real property granted in the ordinary course of Borrower’s business (or, if referring to another Person, in the ordinary course of such Person’s business), and leases, subleases, non</w:t>
      </w:r>
      <w:r>
        <w:rPr>
          <w:rFonts w:ascii="MS PGothic" w:cs="MS PGothic" w:eastAsia="MS PGothic" w:hAnsi="MS PGothic"/>
          <w:sz w:val="14"/>
          <w:szCs w:val="14"/>
          <w:color w:val="auto"/>
        </w:rPr>
        <w:t>‑</w:t>
      </w:r>
      <w:r>
        <w:rPr>
          <w:rFonts w:ascii="Arial" w:cs="Arial" w:eastAsia="Arial" w:hAnsi="Arial"/>
          <w:sz w:val="14"/>
          <w:szCs w:val="14"/>
          <w:color w:val="auto"/>
        </w:rPr>
        <w:t>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61" w:lineRule="exact"/>
        <w:rPr>
          <w:rFonts w:ascii="Arial" w:cs="Arial" w:eastAsia="Arial" w:hAnsi="Arial"/>
          <w:sz w:val="14"/>
          <w:szCs w:val="14"/>
          <w:color w:val="auto"/>
        </w:rPr>
      </w:pPr>
    </w:p>
    <w:p>
      <w:pPr>
        <w:jc w:val="both"/>
        <w:ind w:firstLine="1024"/>
        <w:spacing w:after="0" w:line="269" w:lineRule="auto"/>
        <w:tabs>
          <w:tab w:leader="none" w:pos="1687"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6.6(a) hereof;</w:t>
      </w:r>
    </w:p>
    <w:p>
      <w:pPr>
        <w:spacing w:after="0" w:line="142" w:lineRule="exact"/>
        <w:rPr>
          <w:rFonts w:ascii="Arial" w:cs="Arial" w:eastAsia="Arial" w:hAnsi="Arial"/>
          <w:sz w:val="14"/>
          <w:szCs w:val="14"/>
          <w:color w:val="auto"/>
        </w:rPr>
      </w:pPr>
    </w:p>
    <w:p>
      <w:pPr>
        <w:ind w:left="1560" w:hanging="536"/>
        <w:spacing w:after="0"/>
        <w:tabs>
          <w:tab w:leader="none" w:pos="1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Liens arising from judgments, decrees or attachments in circumstances not constituting an Event of Default under Section 8.4 or 8.7;</w:t>
      </w:r>
    </w:p>
    <w:p>
      <w:pPr>
        <w:spacing w:after="0" w:line="180" w:lineRule="exact"/>
        <w:rPr>
          <w:rFonts w:ascii="Arial" w:cs="Arial" w:eastAsia="Arial" w:hAnsi="Arial"/>
          <w:sz w:val="14"/>
          <w:szCs w:val="14"/>
          <w:color w:val="auto"/>
        </w:rPr>
      </w:pPr>
    </w:p>
    <w:p>
      <w:pPr>
        <w:ind w:firstLine="1024"/>
        <w:spacing w:after="0" w:line="284" w:lineRule="auto"/>
        <w:tabs>
          <w:tab w:leader="none" w:pos="1622" w:val="left"/>
        </w:tabs>
        <w:numPr>
          <w:ilvl w:val="0"/>
          <w:numId w:val="53"/>
        </w:numPr>
        <w:rPr>
          <w:rFonts w:ascii="Arial" w:cs="Arial" w:eastAsia="Arial" w:hAnsi="Arial"/>
          <w:sz w:val="14"/>
          <w:szCs w:val="14"/>
          <w:color w:val="auto"/>
        </w:rPr>
      </w:pPr>
      <w:r>
        <w:rPr>
          <w:rFonts w:ascii="Arial" w:cs="Arial" w:eastAsia="Arial" w:hAnsi="Arial"/>
          <w:sz w:val="14"/>
          <w:szCs w:val="14"/>
          <w:color w:val="auto"/>
        </w:rPr>
        <w:t>Liens on cash that stand as security for letter of credit reimbursement obligations and cash management obligations in the aggregate amount not to exceed Five Hundred Thousand Dollars ($500,000); and</w:t>
      </w:r>
    </w:p>
    <w:p>
      <w:pPr>
        <w:spacing w:after="0" w:line="131" w:lineRule="exact"/>
        <w:rPr>
          <w:rFonts w:ascii="Arial" w:cs="Arial" w:eastAsia="Arial" w:hAnsi="Arial"/>
          <w:sz w:val="14"/>
          <w:szCs w:val="14"/>
          <w:color w:val="auto"/>
        </w:rPr>
      </w:pPr>
    </w:p>
    <w:p>
      <w:pPr>
        <w:ind w:left="1540" w:hanging="516"/>
        <w:spacing w:after="0"/>
        <w:tabs>
          <w:tab w:leader="none" w:pos="1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Permitted Licenses.</w:t>
      </w:r>
    </w:p>
    <w:p>
      <w:pPr>
        <w:spacing w:after="0" w:line="177" w:lineRule="exact"/>
        <w:rPr>
          <w:sz w:val="20"/>
          <w:szCs w:val="20"/>
          <w:color w:val="auto"/>
        </w:rPr>
      </w:pPr>
    </w:p>
    <w:p>
      <w:pPr>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23" w:lineRule="exact"/>
        <w:rPr>
          <w:sz w:val="20"/>
          <w:szCs w:val="20"/>
          <w:color w:val="auto"/>
        </w:rPr>
      </w:pPr>
    </w:p>
    <w:p>
      <w:pPr>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Phase 3 Endpoint</w:t>
      </w:r>
      <w:r>
        <w:rPr>
          <w:rFonts w:ascii="Arial" w:cs="Arial" w:eastAsia="Arial" w:hAnsi="Arial"/>
          <w:sz w:val="13"/>
          <w:szCs w:val="13"/>
          <w:color w:val="auto"/>
        </w:rPr>
        <w:t>” means the primary endpoint in the Phase 3 study of tenapanor for the treatment of Hyperphosphatemia in End-Stage Renal Disease Patients on Dialysis (ESRD-HD), namely the change in serum phosphorus levels during placebo controlled randomized withdrawal period in the responder population.</w:t>
      </w:r>
    </w:p>
    <w:p>
      <w:pPr>
        <w:spacing w:after="0" w:line="101" w:lineRule="exact"/>
        <w:rPr>
          <w:sz w:val="20"/>
          <w:szCs w:val="20"/>
          <w:color w:val="auto"/>
        </w:rPr>
      </w:pPr>
    </w:p>
    <w:p>
      <w:pPr>
        <w:ind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Prepayment Premium</w:t>
      </w:r>
      <w:r>
        <w:rPr>
          <w:rFonts w:ascii="Arial" w:cs="Arial" w:eastAsia="Arial" w:hAnsi="Arial"/>
          <w:sz w:val="14"/>
          <w:szCs w:val="14"/>
          <w:color w:val="auto"/>
        </w:rPr>
        <w:t>” is, with respect to the Term Loan subject to prepayment prior to the Maturity Date, whether by mandatory or voluntary prepayment, acceleration or otherwise, an additional fee payable to the Lenders in amount equal to:</w:t>
      </w:r>
    </w:p>
    <w:p>
      <w:pPr>
        <w:spacing w:after="0" w:line="127" w:lineRule="exact"/>
        <w:rPr>
          <w:sz w:val="20"/>
          <w:szCs w:val="20"/>
          <w:color w:val="auto"/>
        </w:rPr>
      </w:pPr>
    </w:p>
    <w:p>
      <w:pPr>
        <w:ind w:left="200" w:firstLine="1529"/>
        <w:spacing w:after="0" w:line="284" w:lineRule="auto"/>
        <w:tabs>
          <w:tab w:leader="none" w:pos="2381"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a prepayment made on or after the Effective Date through and including the first anniversary of the Effective Date, three percent (3.00%) of the principal amount of the Term Loan prepaid;</w:t>
      </w:r>
    </w:p>
    <w:p>
      <w:pPr>
        <w:spacing w:after="0" w:line="131" w:lineRule="exact"/>
        <w:rPr>
          <w:rFonts w:ascii="Arial" w:cs="Arial" w:eastAsia="Arial" w:hAnsi="Arial"/>
          <w:sz w:val="14"/>
          <w:szCs w:val="14"/>
          <w:color w:val="auto"/>
        </w:rPr>
      </w:pPr>
    </w:p>
    <w:p>
      <w:pPr>
        <w:ind w:left="200" w:firstLine="1529"/>
        <w:spacing w:after="0" w:line="284" w:lineRule="auto"/>
        <w:tabs>
          <w:tab w:leader="none" w:pos="2464"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a prepayment made after the date which is after the first anniversary of the Effective Date through and including the second anniversary of the Effective Date, two percent (2.00%) of the principal amount of the Term Loan prepaid; and</w:t>
      </w:r>
    </w:p>
    <w:p>
      <w:pPr>
        <w:spacing w:after="0" w:line="131" w:lineRule="exact"/>
        <w:rPr>
          <w:rFonts w:ascii="Arial" w:cs="Arial" w:eastAsia="Arial" w:hAnsi="Arial"/>
          <w:sz w:val="14"/>
          <w:szCs w:val="14"/>
          <w:color w:val="auto"/>
        </w:rPr>
      </w:pPr>
    </w:p>
    <w:p>
      <w:pPr>
        <w:ind w:left="200" w:firstLine="1529"/>
        <w:spacing w:after="0" w:line="284" w:lineRule="auto"/>
        <w:tabs>
          <w:tab w:leader="none" w:pos="237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a prepayment made after the date which is after the second anniversary of the Effective Date and prior to the Maturity Date, one percent (1.00%) of the principal amount of the Term Loan prepaid.</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Property</w:t>
      </w:r>
      <w:r>
        <w:rPr>
          <w:rFonts w:ascii="Arial" w:cs="Arial" w:eastAsia="Arial" w:hAnsi="Arial"/>
          <w:sz w:val="14"/>
          <w:szCs w:val="14"/>
          <w:color w:val="auto"/>
        </w:rPr>
        <w:t>” means any interest in any kind of property or asset, whether real, personal or mixed, and whether tangible or intangible.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78" w:name="page79"/>
    <w:bookmarkEnd w:id="78"/>
    <w:p>
      <w:pPr>
        <w:jc w:val="both"/>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 Rata Share</w:t>
      </w:r>
      <w:r>
        <w:rPr>
          <w:rFonts w:ascii="Arial" w:cs="Arial" w:eastAsia="Arial" w:hAnsi="Arial"/>
          <w:sz w:val="13"/>
          <w:szCs w:val="13"/>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Recipient</w:t>
      </w:r>
      <w:r>
        <w:rPr>
          <w:rFonts w:ascii="Arial" w:cs="Arial" w:eastAsia="Arial" w:hAnsi="Arial"/>
          <w:sz w:val="14"/>
          <w:szCs w:val="14"/>
          <w:color w:val="auto"/>
        </w:rPr>
        <w:t>” means the Collateral Agent or any Lender, as applicable.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Registered Organization</w:t>
      </w:r>
      <w:r>
        <w:rPr>
          <w:rFonts w:ascii="Arial" w:cs="Arial" w:eastAsia="Arial" w:hAnsi="Arial"/>
          <w:sz w:val="13"/>
          <w:szCs w:val="13"/>
          <w:color w:val="auto"/>
        </w:rPr>
        <w:t>” is any “registered organization” as defined in the Code with such additions to such term as may hereafter be made under the Code.</w:t>
      </w:r>
    </w:p>
    <w:p>
      <w:pPr>
        <w:spacing w:after="0" w:line="192"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Registration</w:t>
      </w:r>
      <w:r>
        <w:rPr>
          <w:rFonts w:ascii="Arial" w:cs="Arial" w:eastAsia="Arial" w:hAnsi="Arial"/>
          <w:sz w:val="14"/>
          <w:szCs w:val="14"/>
          <w:color w:val="auto"/>
        </w:rPr>
        <w:t>” means any registration, authorization, approval, license, permit, clearance, certificate, and exemption issued or allowed by the FDA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43"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Regulatory Action</w:t>
      </w:r>
      <w:r>
        <w:rPr>
          <w:rFonts w:ascii="Arial" w:cs="Arial" w:eastAsia="Arial" w:hAnsi="Arial"/>
          <w:sz w:val="14"/>
          <w:szCs w:val="14"/>
          <w:color w:val="auto"/>
        </w:rPr>
        <w:t>” means an administrative or regulatory enforcement action, proceeding, investigation or inspection, FDA Form 483 notice of inspectional observation, warning letter, untitled letter, other notice of violation letter, recall, seizure, Section 305 notice or other similar written communication, or consent decree, issued by the FDA.</w:t>
      </w:r>
    </w:p>
    <w:p>
      <w:pPr>
        <w:spacing w:after="0" w:line="136" w:lineRule="exact"/>
        <w:rPr>
          <w:sz w:val="20"/>
          <w:szCs w:val="20"/>
          <w:color w:val="auto"/>
        </w:rPr>
      </w:pPr>
    </w:p>
    <w:p>
      <w:pPr>
        <w:jc w:val="both"/>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Related Persons</w:t>
      </w:r>
      <w:r>
        <w:rPr>
          <w:rFonts w:ascii="Arial" w:cs="Arial" w:eastAsia="Arial" w:hAnsi="Arial"/>
          <w:sz w:val="13"/>
          <w:szCs w:val="13"/>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01" w:lineRule="exact"/>
        <w:rPr>
          <w:sz w:val="20"/>
          <w:szCs w:val="20"/>
          <w:color w:val="auto"/>
        </w:rPr>
      </w:pPr>
    </w:p>
    <w:p>
      <w:pPr>
        <w:jc w:val="both"/>
        <w:ind w:firstLine="513"/>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Required Lenders</w:t>
      </w:r>
      <w:r>
        <w:rPr>
          <w:rFonts w:ascii="Arial" w:cs="Arial" w:eastAsia="Arial" w:hAnsi="Arial"/>
          <w:sz w:val="13"/>
          <w:szCs w:val="13"/>
          <w:color w:val="auto"/>
        </w:rPr>
        <w:t>” means (i) for so long as all of the Persons that are Lenders on the Effective Date (each an “</w:t>
      </w:r>
      <w:r>
        <w:rPr>
          <w:rFonts w:ascii="Arial" w:cs="Arial" w:eastAsia="Arial" w:hAnsi="Arial"/>
          <w:sz w:val="13"/>
          <w:szCs w:val="13"/>
          <w:b w:val="1"/>
          <w:bCs w:val="1"/>
          <w:color w:val="auto"/>
        </w:rPr>
        <w:t>Original Lender</w:t>
      </w:r>
      <w:r>
        <w:rPr>
          <w:rFonts w:ascii="Arial" w:cs="Arial" w:eastAsia="Arial" w:hAnsi="Arial"/>
          <w:sz w:val="13"/>
          <w:szCs w:val="13"/>
          <w:color w:val="auto"/>
        </w:rPr>
        <w:t>”) have not assigned or transferred any of their interests in their Term Loan other than to an Affiliate of such Lender, Lenders holding one hundred percent (100%) of the aggregate outstanding principal balance of the Term Loan, or (ii) at any time from and after any Original Lender has assigned or transferred any interest in its Term Loan, Lenders holding at least sixty six and two thirds percent (66.67%)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33"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Requirement of Law</w:t>
      </w:r>
      <w:r>
        <w:rPr>
          <w:rFonts w:ascii="Arial" w:cs="Arial" w:eastAsia="Arial" w:hAnsi="Arial"/>
          <w:sz w:val="14"/>
          <w:szCs w:val="14"/>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Responsible Officer</w:t>
      </w:r>
      <w:r>
        <w:rPr>
          <w:rFonts w:ascii="Arial" w:cs="Arial" w:eastAsia="Arial" w:hAnsi="Arial"/>
          <w:sz w:val="14"/>
          <w:szCs w:val="14"/>
          <w:color w:val="auto"/>
        </w:rPr>
        <w:t>” is any of the President, Chief Executive Officer, or Chief Financial Officer of Borrower acting alone.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Secured Parties</w:t>
      </w:r>
      <w:r>
        <w:rPr>
          <w:rFonts w:ascii="Arial" w:cs="Arial" w:eastAsia="Arial" w:hAnsi="Arial"/>
          <w:sz w:val="14"/>
          <w:szCs w:val="14"/>
          <w:color w:val="auto"/>
        </w:rPr>
        <w:t>” means the Collateral Agent and the Lenders.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Account</w:t>
      </w:r>
      <w:r>
        <w:rPr>
          <w:rFonts w:ascii="Arial" w:cs="Arial" w:eastAsia="Arial" w:hAnsi="Arial"/>
          <w:sz w:val="14"/>
          <w:szCs w:val="14"/>
          <w:color w:val="auto"/>
        </w:rPr>
        <w:t>” is any “securities account” as defined in the Code with such additions to such term as may hereafter be made under the Code.</w:t>
      </w:r>
    </w:p>
    <w:p>
      <w:pPr>
        <w:spacing w:after="0" w:line="181" w:lineRule="exact"/>
        <w:rPr>
          <w:sz w:val="20"/>
          <w:szCs w:val="20"/>
          <w:color w:val="auto"/>
        </w:rPr>
      </w:pPr>
    </w:p>
    <w:p>
      <w:pPr>
        <w:jc w:val="both"/>
        <w:ind w:firstLine="513"/>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Solvent</w:t>
      </w:r>
      <w:r>
        <w:rPr>
          <w:rFonts w:ascii="Arial" w:cs="Arial" w:eastAsia="Arial" w:hAnsi="Arial"/>
          <w:sz w:val="13"/>
          <w:szCs w:val="13"/>
          <w:color w:val="auto"/>
        </w:rPr>
        <w:t>” means, with respect to any Person, that (a) the fair salable value of such Person’s consolidated assets (including goodwill minus disposition costs) exceeds the fair value of such Person’s liabilities, (b) such Person is not left with unreasonably small capital after giving effect to the transactions contemplated by this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79" w:name="page80"/>
    <w:bookmarkEnd w:id="79"/>
    <w:p>
      <w:pPr>
        <w:ind w:left="1"/>
        <w:spacing w:after="0"/>
        <w:rPr>
          <w:sz w:val="20"/>
          <w:szCs w:val="20"/>
          <w:color w:val="auto"/>
        </w:rPr>
      </w:pPr>
      <w:r>
        <w:rPr>
          <w:rFonts w:ascii="Arial" w:cs="Arial" w:eastAsia="Arial" w:hAnsi="Arial"/>
          <w:sz w:val="14"/>
          <w:szCs w:val="14"/>
          <w:color w:val="auto"/>
        </w:rPr>
        <w:t>Agreement and the other Loan Documents, and (c) such Person is able to pay its debts (including trade debts) as they mature in the ordinary course.</w:t>
      </w:r>
    </w:p>
    <w:p>
      <w:pPr>
        <w:spacing w:after="0" w:line="177" w:lineRule="exact"/>
        <w:rPr>
          <w:sz w:val="20"/>
          <w:szCs w:val="20"/>
          <w:color w:val="auto"/>
        </w:rPr>
      </w:pPr>
    </w:p>
    <w:p>
      <w:pPr>
        <w:jc w:val="both"/>
        <w:ind w:left="1" w:firstLine="513"/>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Subordinated Debt</w:t>
      </w:r>
      <w:r>
        <w:rPr>
          <w:rFonts w:ascii="Arial" w:cs="Arial" w:eastAsia="Arial" w:hAnsi="Arial"/>
          <w:sz w:val="14"/>
          <w:szCs w:val="14"/>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Required Lenders entered into between Collateral Agent, Borrower, and/or any of its Subsidiaries, and the other creditor).</w:t>
      </w:r>
    </w:p>
    <w:p>
      <w:pPr>
        <w:spacing w:after="0" w:line="136"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23"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Taxes</w:t>
      </w:r>
      <w:r>
        <w:rPr>
          <w:rFonts w:ascii="Arial" w:cs="Arial" w:eastAsia="Arial" w:hAnsi="Arial"/>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3"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Tenapanor</w:t>
      </w:r>
      <w:r>
        <w:rPr>
          <w:rFonts w:ascii="Arial" w:cs="Arial" w:eastAsia="Arial" w:hAnsi="Arial"/>
          <w:sz w:val="14"/>
          <w:szCs w:val="14"/>
          <w:color w:val="auto"/>
        </w:rPr>
        <w:t>” is an inhibitor of NHE3 with the chemical name (S)-N,N'-(10,17-dioxo-3,6,21,24-tetraoxa-9,11,16,18-tetraazahexacosane-1,26-diyl)bis(3-((S)-6,8-dichloro-2-methyl-1,2,3,4-tetrahydroisoquinolin-4-yl)benzenesulfonamide) dihydrochloride.</w:t>
      </w:r>
    </w:p>
    <w:p>
      <w:pPr>
        <w:spacing w:after="0" w:line="123"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Commitment</w:t>
      </w:r>
      <w:r>
        <w:rPr>
          <w:rFonts w:ascii="Arial" w:cs="Arial" w:eastAsia="Arial" w:hAnsi="Arial"/>
          <w:sz w:val="14"/>
          <w:szCs w:val="14"/>
          <w:color w:val="auto"/>
        </w:rPr>
        <w:t xml:space="preserve">” is, for any Lender, the obligation of such Lender to make a Term Loan, up to the principal amount shown on </w:t>
      </w:r>
      <w:r>
        <w:rPr>
          <w:rFonts w:ascii="Arial" w:cs="Arial" w:eastAsia="Arial" w:hAnsi="Arial"/>
          <w:sz w:val="14"/>
          <w:szCs w:val="14"/>
          <w:u w:val="single" w:color="auto"/>
          <w:color w:val="auto"/>
        </w:rPr>
        <w:t>Schedule 1.1</w:t>
      </w:r>
      <w:r>
        <w:rPr>
          <w:rFonts w:ascii="Arial" w:cs="Arial" w:eastAsia="Arial" w:hAnsi="Arial"/>
          <w:sz w:val="14"/>
          <w:szCs w:val="14"/>
          <w:b w:val="1"/>
          <w:bCs w:val="1"/>
          <w:color w:val="auto"/>
        </w:rPr>
        <w:t>.</w:t>
      </w:r>
    </w:p>
    <w:p>
      <w:pPr>
        <w:spacing w:after="0" w:line="181"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Commitments</w:t>
      </w:r>
      <w:r>
        <w:rPr>
          <w:rFonts w:ascii="Arial" w:cs="Arial" w:eastAsia="Arial" w:hAnsi="Arial"/>
          <w:sz w:val="14"/>
          <w:szCs w:val="14"/>
          <w:color w:val="auto"/>
        </w:rPr>
        <w:t>” means the aggregate amount of such commitments of all Lenders.</w:t>
      </w:r>
    </w:p>
    <w:p>
      <w:pPr>
        <w:spacing w:after="0" w:line="181"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Trademarks</w:t>
      </w:r>
      <w:r>
        <w:rPr>
          <w:rFonts w:ascii="Arial" w:cs="Arial" w:eastAsia="Arial" w:hAnsi="Arial"/>
          <w:sz w:val="14"/>
          <w:szCs w:val="14"/>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23" w:lineRule="exact"/>
        <w:rPr>
          <w:sz w:val="20"/>
          <w:szCs w:val="20"/>
          <w:color w:val="auto"/>
        </w:rPr>
      </w:pPr>
    </w:p>
    <w:p>
      <w:pPr>
        <w:ind w:left="52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Withholding Agent</w:t>
      </w:r>
      <w:r>
        <w:rPr>
          <w:rFonts w:ascii="Arial" w:cs="Arial" w:eastAsia="Arial" w:hAnsi="Arial"/>
          <w:sz w:val="14"/>
          <w:szCs w:val="14"/>
          <w:color w:val="auto"/>
        </w:rPr>
        <w:t>” means the Borrower and the Collateral Agent.</w:t>
      </w:r>
    </w:p>
    <w:p>
      <w:pPr>
        <w:spacing w:after="0" w:line="181" w:lineRule="exact"/>
        <w:rPr>
          <w:sz w:val="20"/>
          <w:szCs w:val="20"/>
          <w:color w:val="auto"/>
        </w:rPr>
      </w:pPr>
    </w:p>
    <w:p>
      <w:pPr>
        <w:ind w:left="541" w:hanging="541"/>
        <w:spacing w:after="0"/>
        <w:tabs>
          <w:tab w:leader="none" w:pos="541"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LOANS AND TERMS OF PAYMENT</w:t>
      </w:r>
    </w:p>
    <w:p>
      <w:pPr>
        <w:spacing w:after="0" w:line="181" w:lineRule="exact"/>
        <w:rPr>
          <w:sz w:val="20"/>
          <w:szCs w:val="20"/>
          <w:color w:val="auto"/>
        </w:rPr>
      </w:pPr>
    </w:p>
    <w:p>
      <w:pPr>
        <w:ind w:left="1" w:firstLine="513"/>
        <w:spacing w:after="0" w:line="290" w:lineRule="auto"/>
        <w:rPr>
          <w:sz w:val="20"/>
          <w:szCs w:val="20"/>
          <w:color w:val="auto"/>
        </w:rPr>
      </w:pPr>
      <w:r>
        <w:rPr>
          <w:rFonts w:ascii="Arial" w:cs="Arial" w:eastAsia="Arial" w:hAnsi="Arial"/>
          <w:sz w:val="14"/>
          <w:szCs w:val="14"/>
          <w:b w:val="1"/>
          <w:bCs w:val="1"/>
          <w:color w:val="auto"/>
        </w:rPr>
        <w:t xml:space="preserve">2.1 Promise to Pay. </w:t>
      </w:r>
      <w:r>
        <w:rPr>
          <w:rFonts w:ascii="Arial" w:cs="Arial" w:eastAsia="Arial" w:hAnsi="Arial"/>
          <w:sz w:val="14"/>
          <w:szCs w:val="14"/>
          <w:color w:val="auto"/>
        </w:rPr>
        <w:t>Borrower hereby unconditionally promises to pay each Lender, the outstanding principal amount of the Term Loan advanced to Borrower by</w:t>
      </w:r>
      <w:r>
        <w:rPr>
          <w:rFonts w:ascii="Arial" w:cs="Arial" w:eastAsia="Arial" w:hAnsi="Arial"/>
          <w:sz w:val="14"/>
          <w:szCs w:val="14"/>
          <w:b w:val="1"/>
          <w:bCs w:val="1"/>
          <w:color w:val="auto"/>
        </w:rPr>
        <w:t xml:space="preserve"> </w:t>
      </w:r>
      <w:r>
        <w:rPr>
          <w:rFonts w:ascii="Arial" w:cs="Arial" w:eastAsia="Arial" w:hAnsi="Arial"/>
          <w:sz w:val="14"/>
          <w:szCs w:val="14"/>
          <w:color w:val="auto"/>
        </w:rPr>
        <w:t>such Lender and accrued and unpaid interest thereon and any other amounts due hereunder as and when due in accordance with this Agreement.</w:t>
      </w:r>
    </w:p>
    <w:p>
      <w:pPr>
        <w:spacing w:after="0" w:line="123"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3"/>
          <w:szCs w:val="13"/>
          <w:b w:val="1"/>
          <w:bCs w:val="1"/>
          <w:color w:val="auto"/>
        </w:rPr>
        <w:t>Term Loans.</w:t>
      </w:r>
    </w:p>
    <w:p>
      <w:pPr>
        <w:spacing w:after="0" w:line="185" w:lineRule="exact"/>
        <w:rPr>
          <w:sz w:val="20"/>
          <w:szCs w:val="20"/>
          <w:color w:val="auto"/>
        </w:rPr>
      </w:pPr>
    </w:p>
    <w:p>
      <w:pPr>
        <w:jc w:val="both"/>
        <w:ind w:left="1" w:firstLine="1024"/>
        <w:spacing w:after="0" w:line="174" w:lineRule="exact"/>
        <w:tabs>
          <w:tab w:leader="none" w:pos="1572"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Availability</w:t>
      </w:r>
      <w:r>
        <w:rPr>
          <w:rFonts w:ascii="Arial" w:cs="Arial" w:eastAsia="Arial" w:hAnsi="Arial"/>
          <w:sz w:val="13"/>
          <w:szCs w:val="13"/>
          <w:color w:val="auto"/>
        </w:rPr>
        <w:t xml:space="preserve">. Subject to the terms and conditions of this Agreement, the Lenders agree, severally and not jointly, to make term loans to Borrower on the Effective Date in an aggregate principal amount of Fifty Million Dollars ($50,000,000) according to each Lender’s Term Loan Commitment as set forth on </w:t>
      </w:r>
      <w:r>
        <w:rPr>
          <w:rFonts w:ascii="Arial" w:cs="Arial" w:eastAsia="Arial" w:hAnsi="Arial"/>
          <w:sz w:val="13"/>
          <w:szCs w:val="13"/>
          <w:u w:val="single" w:color="auto"/>
          <w:color w:val="auto"/>
        </w:rPr>
        <w:t>Schedule 1.1</w:t>
      </w:r>
      <w:r>
        <w:rPr>
          <w:rFonts w:ascii="Arial" w:cs="Arial" w:eastAsia="Arial" w:hAnsi="Arial"/>
          <w:sz w:val="13"/>
          <w:szCs w:val="13"/>
          <w:color w:val="auto"/>
        </w:rPr>
        <w:t xml:space="preserve"> hereto (such term loans are hereinafter referred to singly as a “</w:t>
      </w:r>
      <w:r>
        <w:rPr>
          <w:rFonts w:ascii="Arial" w:cs="Arial" w:eastAsia="Arial" w:hAnsi="Arial"/>
          <w:sz w:val="13"/>
          <w:szCs w:val="13"/>
          <w:b w:val="1"/>
          <w:bCs w:val="1"/>
          <w:color w:val="auto"/>
        </w:rPr>
        <w:t>Term Loan</w:t>
      </w:r>
      <w:r>
        <w:rPr>
          <w:rFonts w:ascii="Arial" w:cs="Arial" w:eastAsia="Arial" w:hAnsi="Arial"/>
          <w:sz w:val="13"/>
          <w:szCs w:val="13"/>
          <w:color w:val="auto"/>
        </w:rPr>
        <w:t>” and collectively as the “</w:t>
      </w:r>
      <w:r>
        <w:rPr>
          <w:rFonts w:ascii="Arial" w:cs="Arial" w:eastAsia="Arial" w:hAnsi="Arial"/>
          <w:sz w:val="13"/>
          <w:szCs w:val="13"/>
          <w:b w:val="1"/>
          <w:bCs w:val="1"/>
          <w:color w:val="auto"/>
        </w:rPr>
        <w:t>Term Loans</w:t>
      </w:r>
      <w:r>
        <w:rPr>
          <w:rFonts w:ascii="Arial" w:cs="Arial" w:eastAsia="Arial" w:hAnsi="Arial"/>
          <w:sz w:val="13"/>
          <w:szCs w:val="13"/>
          <w:color w:val="auto"/>
        </w:rPr>
        <w:t>”). After repayment, no Term Loan may be re</w:t>
      </w:r>
      <w:r>
        <w:rPr>
          <w:rFonts w:ascii="MS PGothic" w:cs="MS PGothic" w:eastAsia="MS PGothic" w:hAnsi="MS PGothic"/>
          <w:sz w:val="13"/>
          <w:szCs w:val="13"/>
          <w:color w:val="auto"/>
        </w:rPr>
        <w:t>‑</w:t>
      </w:r>
      <w:r>
        <w:rPr>
          <w:rFonts w:ascii="Arial" w:cs="Arial" w:eastAsia="Arial" w:hAnsi="Arial"/>
          <w:sz w:val="13"/>
          <w:szCs w:val="13"/>
          <w:color w:val="auto"/>
        </w:rPr>
        <w:t>borrowed.</w:t>
      </w:r>
    </w:p>
    <w:p>
      <w:pPr>
        <w:spacing w:after="0" w:line="162" w:lineRule="exact"/>
        <w:rPr>
          <w:rFonts w:ascii="Arial" w:cs="Arial" w:eastAsia="Arial" w:hAnsi="Arial"/>
          <w:sz w:val="13"/>
          <w:szCs w:val="13"/>
          <w:color w:val="auto"/>
        </w:rPr>
      </w:pPr>
    </w:p>
    <w:p>
      <w:pPr>
        <w:ind w:left="1541" w:hanging="516"/>
        <w:spacing w:after="0"/>
        <w:tabs>
          <w:tab w:leader="none" w:pos="1541"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Repayment.</w:t>
      </w:r>
    </w:p>
    <w:p>
      <w:pPr>
        <w:spacing w:after="0" w:line="180" w:lineRule="exact"/>
        <w:rPr>
          <w:rFonts w:ascii="Arial" w:cs="Arial" w:eastAsia="Arial" w:hAnsi="Arial"/>
          <w:sz w:val="14"/>
          <w:szCs w:val="14"/>
          <w:color w:val="auto"/>
        </w:rPr>
      </w:pPr>
    </w:p>
    <w:p>
      <w:pPr>
        <w:ind w:left="1" w:firstLine="1537"/>
        <w:spacing w:after="0" w:line="284" w:lineRule="auto"/>
        <w:tabs>
          <w:tab w:leader="none" w:pos="2192" w:val="left"/>
        </w:tabs>
        <w:numPr>
          <w:ilvl w:val="1"/>
          <w:numId w:val="56"/>
        </w:numPr>
        <w:rPr>
          <w:rFonts w:ascii="Arial" w:cs="Arial" w:eastAsia="Arial" w:hAnsi="Arial"/>
          <w:sz w:val="14"/>
          <w:szCs w:val="14"/>
          <w:color w:val="auto"/>
        </w:rPr>
      </w:pPr>
      <w:r>
        <w:rPr>
          <w:rFonts w:ascii="Arial" w:cs="Arial" w:eastAsia="Arial" w:hAnsi="Arial"/>
          <w:sz w:val="14"/>
          <w:szCs w:val="14"/>
          <w:u w:val="single" w:color="auto"/>
          <w:color w:val="auto"/>
        </w:rPr>
        <w:t>Interest-Only Payments</w:t>
      </w:r>
      <w:r>
        <w:rPr>
          <w:rFonts w:ascii="Arial" w:cs="Arial" w:eastAsia="Arial" w:hAnsi="Arial"/>
          <w:sz w:val="14"/>
          <w:szCs w:val="14"/>
          <w:color w:val="auto"/>
        </w:rPr>
        <w:t>. Borrower shall make monthly payments of interest only commencing on the first Payment Date following the Effective Date, and on each Payment Date thereafter prior to the Amortization Date.</w:t>
      </w:r>
    </w:p>
    <w:p>
      <w:pPr>
        <w:spacing w:after="0" w:line="131" w:lineRule="exact"/>
        <w:rPr>
          <w:rFonts w:ascii="Arial" w:cs="Arial" w:eastAsia="Arial" w:hAnsi="Arial"/>
          <w:sz w:val="14"/>
          <w:szCs w:val="14"/>
          <w:color w:val="auto"/>
        </w:rPr>
      </w:pPr>
    </w:p>
    <w:p>
      <w:pPr>
        <w:jc w:val="both"/>
        <w:ind w:left="1" w:firstLine="1537"/>
        <w:spacing w:after="0" w:line="269" w:lineRule="auto"/>
        <w:tabs>
          <w:tab w:leader="none" w:pos="2160" w:val="left"/>
        </w:tabs>
        <w:numPr>
          <w:ilvl w:val="1"/>
          <w:numId w:val="56"/>
        </w:numPr>
        <w:rPr>
          <w:rFonts w:ascii="Arial" w:cs="Arial" w:eastAsia="Arial" w:hAnsi="Arial"/>
          <w:sz w:val="14"/>
          <w:szCs w:val="14"/>
          <w:color w:val="auto"/>
        </w:rPr>
      </w:pPr>
      <w:r>
        <w:rPr>
          <w:rFonts w:ascii="Arial" w:cs="Arial" w:eastAsia="Arial" w:hAnsi="Arial"/>
          <w:sz w:val="14"/>
          <w:szCs w:val="14"/>
          <w:color w:val="auto"/>
        </w:rPr>
        <w:t>Commencing on the Amortization Date, and continuing on the Payment Date of each month thereafter, Borrower shall (i) make monthly payments of interest to the respective Lender to which such payments are owed in accordance with their respective Pro Rata Shares, as calculated by Collateral Agent (which calculations shall be deemed correct absent manifest error) based upon the effective rate of interest applicable to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80" w:name="page81"/>
    <w:bookmarkEnd w:id="80"/>
    <w:p>
      <w:pPr>
        <w:jc w:val="both"/>
        <w:ind w:left="1"/>
        <w:spacing w:after="0" w:line="260" w:lineRule="auto"/>
        <w:rPr>
          <w:sz w:val="20"/>
          <w:szCs w:val="20"/>
          <w:color w:val="auto"/>
        </w:rPr>
      </w:pPr>
      <w:r>
        <w:rPr>
          <w:rFonts w:ascii="Arial" w:cs="Arial" w:eastAsia="Arial" w:hAnsi="Arial"/>
          <w:sz w:val="14"/>
          <w:szCs w:val="14"/>
          <w:color w:val="auto"/>
        </w:rPr>
        <w:t>Term Loan, as determined in Section 2.3(a) plus (ii) make consecutive equal monthly payments of principal to the respective Lender to which such payments are owed in accordance with their respective Pro Rata Shares, as calculated by Collateral Agent (which calculations shall be deemed correct absent manifest error) based upon: (A) the respective principal amounts of such Lender’s Term Loan outstanding, and (B) a repayment schedule equal to (a) if the Amortization Date shall be determined by reference to clause (a) of the definition thereof, twenty-four (24) months; and (b) if the Amortization Date shall be determined by reference to clause (b) of the definition thereof, thirty (30) months. All unpaid principal and accrued and unpaid interest with respect to each such Term Loan is due and payable in full on the Maturity Date. The Term Loan may only be prepaid in accordance with Sections 2.2(c) and 2.2(d).</w:t>
      </w:r>
    </w:p>
    <w:p>
      <w:pPr>
        <w:spacing w:after="0" w:line="149" w:lineRule="exact"/>
        <w:rPr>
          <w:sz w:val="20"/>
          <w:szCs w:val="20"/>
          <w:color w:val="auto"/>
        </w:rPr>
      </w:pPr>
    </w:p>
    <w:p>
      <w:pPr>
        <w:jc w:val="both"/>
        <w:ind w:left="1" w:firstLine="1024"/>
        <w:spacing w:after="0" w:line="260" w:lineRule="auto"/>
        <w:tabs>
          <w:tab w:leader="none" w:pos="1689" w:val="left"/>
        </w:tabs>
        <w:numPr>
          <w:ilvl w:val="1"/>
          <w:numId w:val="57"/>
        </w:numPr>
        <w:rPr>
          <w:rFonts w:ascii="Arial" w:cs="Arial" w:eastAsia="Arial" w:hAnsi="Arial"/>
          <w:sz w:val="14"/>
          <w:szCs w:val="14"/>
          <w:color w:val="auto"/>
        </w:rPr>
      </w:pPr>
      <w:r>
        <w:rPr>
          <w:rFonts w:ascii="Arial" w:cs="Arial" w:eastAsia="Arial" w:hAnsi="Arial"/>
          <w:sz w:val="14"/>
          <w:szCs w:val="14"/>
          <w:u w:val="single" w:color="auto"/>
          <w:color w:val="auto"/>
        </w:rPr>
        <w:t>Mandatory Prepayments</w:t>
      </w:r>
      <w:r>
        <w:rPr>
          <w:rFonts w:ascii="Arial" w:cs="Arial" w:eastAsia="Arial" w:hAnsi="Arial"/>
          <w:sz w:val="14"/>
          <w:szCs w:val="14"/>
          <w:color w:val="auto"/>
        </w:rPr>
        <w:t>. If the Term Loan is accelerated following the occurrence of an Event of Default, Borrower shall immediately pay to Lenders, payable to each Lender in accordance with its respective Pro Rata Share, an amount equal to the sum of: (i) all outstanding principal of the Term Loan plus accrued and unpaid interest thereon through the prepayment date, (ii) the applicable Final Fee, (iii) the Prepayment Premium plus (iv) all other Obligations that are due and payable, including Lenders’ Expenses and interest at the Default Rate (if any) with respect to any past due amounts. Notwithstanding (but without duplication with) the foregoing, on the Maturity Date, if the Final Fee had not previously been paid in full in connection with the prepayment of the Term Loan in full, Borrower shall pay to the respective Lender to which such payments are owed, the Final Fee in respect of the Term Loan.</w:t>
      </w:r>
    </w:p>
    <w:p>
      <w:pPr>
        <w:spacing w:after="0" w:line="149" w:lineRule="exact"/>
        <w:rPr>
          <w:rFonts w:ascii="Arial" w:cs="Arial" w:eastAsia="Arial" w:hAnsi="Arial"/>
          <w:sz w:val="14"/>
          <w:szCs w:val="14"/>
          <w:color w:val="auto"/>
        </w:rPr>
      </w:pPr>
    </w:p>
    <w:p>
      <w:pPr>
        <w:jc w:val="both"/>
        <w:ind w:left="1" w:firstLine="1024"/>
        <w:spacing w:after="0" w:line="282" w:lineRule="auto"/>
        <w:tabs>
          <w:tab w:leader="none" w:pos="1601"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Permitted Prepayment of Term Loan</w:t>
      </w:r>
      <w:r>
        <w:rPr>
          <w:rFonts w:ascii="Arial" w:cs="Arial" w:eastAsia="Arial" w:hAnsi="Arial"/>
          <w:sz w:val="13"/>
          <w:szCs w:val="13"/>
          <w:color w:val="auto"/>
        </w:rPr>
        <w:t>. Borrower shall have the option to prepay all, but not less than all, of the outstanding principal balance of the Term Loan advanced by the Lenders under this Agreement, provided Borrower (i) provides written notice to Collateral Agent of its election to prepay the Term Loan at least five</w:t>
      </w:r>
    </w:p>
    <w:p>
      <w:pPr>
        <w:jc w:val="both"/>
        <w:ind w:left="1" w:hanging="1"/>
        <w:spacing w:after="0" w:line="259" w:lineRule="auto"/>
        <w:tabs>
          <w:tab w:leader="none" w:pos="207" w:val="left"/>
        </w:tabs>
        <w:numPr>
          <w:ilvl w:val="0"/>
          <w:numId w:val="58"/>
        </w:numPr>
        <w:rPr>
          <w:rFonts w:ascii="Arial" w:cs="Arial" w:eastAsia="Arial" w:hAnsi="Arial"/>
          <w:sz w:val="14"/>
          <w:szCs w:val="14"/>
          <w:color w:val="auto"/>
        </w:rPr>
      </w:pPr>
      <w:r>
        <w:rPr>
          <w:rFonts w:ascii="Arial" w:cs="Arial" w:eastAsia="Arial" w:hAnsi="Arial"/>
          <w:sz w:val="14"/>
          <w:szCs w:val="14"/>
          <w:color w:val="auto"/>
        </w:rPr>
        <w:t>Business Days prior to such prepayment, and (ii) pays to the Lenders on the date of such prepayment, payable to the respective Lender to which such payments are owed in accordance with their respective Pro Rata Shares, an amount equal to the sum of (A) the outstanding principal of the Term Loan plus accrued and unpaid interest thereon through the prepayment date, (B) the Final Fee, (C) the Prepayment Premium, plus (D) all other Obligations that are due and payable on such prepayment date, including any Lenders’ Expenses and interest at the Default Rate (if any) with respect to any past due amounts.</w:t>
      </w:r>
    </w:p>
    <w:p>
      <w:pPr>
        <w:spacing w:after="0" w:line="145"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2"/>
          <w:szCs w:val="12"/>
          <w:b w:val="1"/>
          <w:bCs w:val="1"/>
          <w:color w:val="auto"/>
        </w:rPr>
        <w:t>Payment of Interest on the Term Loan.</w:t>
      </w:r>
    </w:p>
    <w:p>
      <w:pPr>
        <w:spacing w:after="0" w:line="185" w:lineRule="exact"/>
        <w:rPr>
          <w:sz w:val="20"/>
          <w:szCs w:val="20"/>
          <w:color w:val="auto"/>
        </w:rPr>
      </w:pPr>
    </w:p>
    <w:p>
      <w:pPr>
        <w:jc w:val="both"/>
        <w:ind w:left="1" w:firstLine="1024"/>
        <w:spacing w:after="0" w:line="260" w:lineRule="auto"/>
        <w:tabs>
          <w:tab w:leader="none" w:pos="1540"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Interest Rate.</w:t>
      </w:r>
      <w:r>
        <w:rPr>
          <w:rFonts w:ascii="Arial" w:cs="Arial" w:eastAsia="Arial" w:hAnsi="Arial"/>
          <w:sz w:val="14"/>
          <w:szCs w:val="14"/>
          <w:color w:val="auto"/>
        </w:rPr>
        <w:t xml:space="preserve"> Subject to Section 2.3(b), the principal amount outstanding under the Term Loan shall accrue interest at a floating per annum rate equal to the LIBOR Rate in effect from time to time </w:t>
      </w:r>
      <w:r>
        <w:rPr>
          <w:rFonts w:ascii="Arial" w:cs="Arial" w:eastAsia="Arial" w:hAnsi="Arial"/>
          <w:sz w:val="14"/>
          <w:szCs w:val="14"/>
          <w:i w:val="1"/>
          <w:iCs w:val="1"/>
          <w:color w:val="auto"/>
        </w:rPr>
        <w:t>plus</w:t>
      </w:r>
      <w:r>
        <w:rPr>
          <w:rFonts w:ascii="Arial" w:cs="Arial" w:eastAsia="Arial" w:hAnsi="Arial"/>
          <w:sz w:val="14"/>
          <w:szCs w:val="14"/>
          <w:color w:val="auto"/>
        </w:rPr>
        <w:t xml:space="preserve"> 7.45%, which aggregate interest rate shall be determined by Collateral Agent in accordance with the definition of “LIBOR Rate” on the third Business Day prior to the Effective Date and on the date occurring on the first Business Day of the month prior to each Payment Date occurring thereafter, which interest shall be payable monthly in arrears in accordance with Sections 2.2(b) and 2.3(e). Except as set forth in Section 2.2(b), such interest shall accrue on the Term Loan commencing on, and including, the Effective Date, and shall accrue on the principal amount outstanding under such Term Loan through and including the day on which such Term Loan is paid in full (or any payment is made hereunder).</w:t>
      </w:r>
    </w:p>
    <w:p>
      <w:pPr>
        <w:spacing w:after="0" w:line="149" w:lineRule="exact"/>
        <w:rPr>
          <w:rFonts w:ascii="Arial" w:cs="Arial" w:eastAsia="Arial" w:hAnsi="Arial"/>
          <w:sz w:val="14"/>
          <w:szCs w:val="14"/>
          <w:color w:val="auto"/>
        </w:rPr>
      </w:pPr>
    </w:p>
    <w:p>
      <w:pPr>
        <w:jc w:val="both"/>
        <w:ind w:left="1" w:firstLine="1024"/>
        <w:spacing w:after="0" w:line="264"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Default Rate</w:t>
      </w:r>
      <w:r>
        <w:rPr>
          <w:rFonts w:ascii="Arial" w:cs="Arial" w:eastAsia="Arial" w:hAnsi="Arial"/>
          <w:sz w:val="14"/>
          <w:szCs w:val="14"/>
          <w:color w:val="auto"/>
        </w:rPr>
        <w:t>. Immediately upon the occurrence and during the continuance of an Event of Default, all Obligations shall accrue interest at a fixed per annum rate equal to the rate that is otherwise applicable thereto plus four percentage points (4%) (the “</w:t>
      </w:r>
      <w:r>
        <w:rPr>
          <w:rFonts w:ascii="Arial" w:cs="Arial" w:eastAsia="Arial" w:hAnsi="Arial"/>
          <w:sz w:val="14"/>
          <w:szCs w:val="14"/>
          <w:b w:val="1"/>
          <w:bCs w:val="1"/>
          <w:color w:val="auto"/>
        </w:rPr>
        <w:t>Default Rate</w:t>
      </w:r>
      <w:r>
        <w:rPr>
          <w:rFonts w:ascii="Arial" w:cs="Arial" w:eastAsia="Arial" w:hAnsi="Arial"/>
          <w:sz w:val="14"/>
          <w:szCs w:val="14"/>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45" w:lineRule="exact"/>
        <w:rPr>
          <w:rFonts w:ascii="Arial" w:cs="Arial" w:eastAsia="Arial" w:hAnsi="Arial"/>
          <w:sz w:val="14"/>
          <w:szCs w:val="14"/>
          <w:color w:val="auto"/>
        </w:rPr>
      </w:pPr>
    </w:p>
    <w:p>
      <w:pPr>
        <w:ind w:left="1541" w:hanging="516"/>
        <w:spacing w:after="0" w:line="161" w:lineRule="exact"/>
        <w:tabs>
          <w:tab w:leader="none" w:pos="1541"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360</w:t>
      </w:r>
      <w:r>
        <w:rPr>
          <w:rFonts w:ascii="MS PGothic" w:cs="MS PGothic" w:eastAsia="MS PGothic" w:hAnsi="MS PGothic"/>
          <w:sz w:val="14"/>
          <w:szCs w:val="14"/>
          <w:u w:val="single" w:color="auto"/>
          <w:color w:val="auto"/>
        </w:rPr>
        <w:t>‑</w:t>
      </w:r>
      <w:r>
        <w:rPr>
          <w:rFonts w:ascii="Arial" w:cs="Arial" w:eastAsia="Arial" w:hAnsi="Arial"/>
          <w:sz w:val="14"/>
          <w:szCs w:val="14"/>
          <w:u w:val="single" w:color="auto"/>
          <w:color w:val="auto"/>
        </w:rPr>
        <w:t>Day Year</w:t>
      </w:r>
      <w:r>
        <w:rPr>
          <w:rFonts w:ascii="Arial" w:cs="Arial" w:eastAsia="Arial" w:hAnsi="Arial"/>
          <w:sz w:val="14"/>
          <w:szCs w:val="14"/>
          <w:color w:val="auto"/>
        </w:rPr>
        <w:t>. Interest shall be computed on the basis of a three hundred sixty (360) day year for the actual number of days elapsed.</w:t>
      </w:r>
    </w:p>
    <w:p>
      <w:pPr>
        <w:spacing w:after="0" w:line="180" w:lineRule="exact"/>
        <w:rPr>
          <w:rFonts w:ascii="Arial" w:cs="Arial" w:eastAsia="Arial" w:hAnsi="Arial"/>
          <w:sz w:val="14"/>
          <w:szCs w:val="14"/>
          <w:color w:val="auto"/>
        </w:rPr>
      </w:pPr>
    </w:p>
    <w:p>
      <w:pPr>
        <w:jc w:val="both"/>
        <w:ind w:left="1" w:firstLine="1024"/>
        <w:spacing w:after="0" w:line="174" w:lineRule="exact"/>
        <w:tabs>
          <w:tab w:leader="none" w:pos="1676"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Debit of Accounts</w:t>
      </w:r>
      <w:r>
        <w:rPr>
          <w:rFonts w:ascii="Arial" w:cs="Arial" w:eastAsia="Arial" w:hAnsi="Arial"/>
          <w:sz w:val="14"/>
          <w:szCs w:val="14"/>
          <w:color w:val="auto"/>
        </w:rPr>
        <w:t>. Collateral Agent and each Lender (if no more than two Lenders) may debit (or ACH) any deposit accounts, maintained by Borrower or any of its Subsidiaries for principal and interest payments or any other amounts Borrower owes the Lenders under the Loan Documents when due. Any such debits (or ACH activity) shall not constitute a set</w:t>
      </w:r>
      <w:r>
        <w:rPr>
          <w:rFonts w:ascii="MS PGothic" w:cs="MS PGothic" w:eastAsia="MS PGothic" w:hAnsi="MS PGothic"/>
          <w:sz w:val="14"/>
          <w:szCs w:val="14"/>
          <w:color w:val="auto"/>
        </w:rPr>
        <w:t>‑</w:t>
      </w:r>
      <w:r>
        <w:rPr>
          <w:rFonts w:ascii="Arial" w:cs="Arial" w:eastAsia="Arial" w:hAnsi="Arial"/>
          <w:sz w:val="14"/>
          <w:szCs w:val="14"/>
          <w:color w:val="auto"/>
        </w:rPr>
        <w:t>off.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81" w:name="page82"/>
    <w:bookmarkEnd w:id="81"/>
    <w:p>
      <w:pPr>
        <w:jc w:val="both"/>
        <w:ind w:firstLine="1024"/>
        <w:spacing w:after="0" w:line="173" w:lineRule="exact"/>
        <w:tabs>
          <w:tab w:leader="none" w:pos="1646"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Payments</w:t>
      </w:r>
      <w:r>
        <w:rPr>
          <w:rFonts w:ascii="Arial" w:cs="Arial" w:eastAsia="Arial" w:hAnsi="Arial"/>
          <w:sz w:val="12"/>
          <w:szCs w:val="12"/>
          <w:color w:val="auto"/>
        </w:rPr>
        <w:t>. Except as otherwise expressly provided herein, all payments by Borrower under the Loan Documents shall be made to the respective Lender to which such payments are owed, at such Person’s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w:t>
      </w:r>
      <w:r>
        <w:rPr>
          <w:rFonts w:ascii="MS PGothic" w:cs="MS PGothic" w:eastAsia="MS PGothic" w:hAnsi="MS PGothic"/>
          <w:sz w:val="12"/>
          <w:szCs w:val="12"/>
          <w:color w:val="auto"/>
        </w:rPr>
        <w:t>‑</w:t>
      </w:r>
      <w:r>
        <w:rPr>
          <w:rFonts w:ascii="Arial" w:cs="Arial" w:eastAsia="Arial" w:hAnsi="Arial"/>
          <w:sz w:val="12"/>
          <w:szCs w:val="12"/>
          <w:color w:val="auto"/>
        </w:rPr>
        <w:t>off, recoupment or counterclaim, in lawful money of the United States and in immediately available funds.</w:t>
      </w:r>
    </w:p>
    <w:p>
      <w:pPr>
        <w:spacing w:after="0" w:line="157"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3"/>
          <w:szCs w:val="13"/>
          <w:b w:val="1"/>
          <w:bCs w:val="1"/>
          <w:color w:val="auto"/>
        </w:rPr>
        <w:t xml:space="preserve">Fees. </w:t>
      </w:r>
      <w:r>
        <w:rPr>
          <w:rFonts w:ascii="Arial" w:cs="Arial" w:eastAsia="Arial" w:hAnsi="Arial"/>
          <w:sz w:val="13"/>
          <w:szCs w:val="13"/>
          <w:color w:val="auto"/>
        </w:rPr>
        <w:t>Borrower shall pay to Collateral Agent:</w:t>
      </w:r>
    </w:p>
    <w:p>
      <w:pPr>
        <w:spacing w:after="0" w:line="181" w:lineRule="exact"/>
        <w:rPr>
          <w:sz w:val="20"/>
          <w:szCs w:val="20"/>
          <w:color w:val="auto"/>
        </w:rPr>
      </w:pPr>
    </w:p>
    <w:p>
      <w:pPr>
        <w:ind w:firstLine="1024"/>
        <w:spacing w:after="0" w:line="290" w:lineRule="auto"/>
        <w:tabs>
          <w:tab w:leader="none" w:pos="1614"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Closing Fee</w:t>
      </w:r>
      <w:r>
        <w:rPr>
          <w:rFonts w:ascii="Arial" w:cs="Arial" w:eastAsia="Arial" w:hAnsi="Arial"/>
          <w:sz w:val="14"/>
          <w:szCs w:val="14"/>
          <w:color w:val="auto"/>
        </w:rPr>
        <w:t>. A fully-earned, non-refundable closing fee in the amount of Five Hundred Thousand Dollars ($500,000) (the “</w:t>
      </w:r>
      <w:r>
        <w:rPr>
          <w:rFonts w:ascii="Arial" w:cs="Arial" w:eastAsia="Arial" w:hAnsi="Arial"/>
          <w:sz w:val="14"/>
          <w:szCs w:val="14"/>
          <w:b w:val="1"/>
          <w:bCs w:val="1"/>
          <w:color w:val="auto"/>
        </w:rPr>
        <w:t>Closing Fee</w:t>
      </w:r>
      <w:r>
        <w:rPr>
          <w:rFonts w:ascii="Arial" w:cs="Arial" w:eastAsia="Arial" w:hAnsi="Arial"/>
          <w:sz w:val="14"/>
          <w:szCs w:val="14"/>
          <w:color w:val="auto"/>
        </w:rPr>
        <w:t>”), which shall be due on the Effective Date, to be shared between the Lenders ninety percent (90%) to Solar and ten percent (10%) to Western Alliance Bank;</w:t>
      </w:r>
    </w:p>
    <w:p>
      <w:pPr>
        <w:spacing w:after="0" w:line="127" w:lineRule="exact"/>
        <w:rPr>
          <w:rFonts w:ascii="Arial" w:cs="Arial" w:eastAsia="Arial" w:hAnsi="Arial"/>
          <w:sz w:val="14"/>
          <w:szCs w:val="14"/>
          <w:color w:val="auto"/>
        </w:rPr>
      </w:pPr>
    </w:p>
    <w:p>
      <w:pPr>
        <w:ind w:left="1540" w:hanging="516"/>
        <w:spacing w:after="0"/>
        <w:tabs>
          <w:tab w:leader="none" w:pos="1540"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Final Fee</w:t>
      </w:r>
      <w:r>
        <w:rPr>
          <w:rFonts w:ascii="Arial" w:cs="Arial" w:eastAsia="Arial" w:hAnsi="Arial"/>
          <w:sz w:val="14"/>
          <w:szCs w:val="14"/>
          <w:color w:val="auto"/>
        </w:rPr>
        <w:t>. The Final Fee, when due hereunder, ninety percent (90%) to Solar and ten percent (10%) to Western Alliance Bank;</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Prepayment Premium</w:t>
      </w:r>
      <w:r>
        <w:rPr>
          <w:rFonts w:ascii="Arial" w:cs="Arial" w:eastAsia="Arial" w:hAnsi="Arial"/>
          <w:sz w:val="12"/>
          <w:szCs w:val="12"/>
          <w:color w:val="auto"/>
        </w:rPr>
        <w:t>. The Prepayment Premium, when due hereunder, to be shared between the Lenders in accordance with their respective Pro Rata</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Shares; and</w:t>
      </w:r>
    </w:p>
    <w:p>
      <w:pPr>
        <w:spacing w:after="0" w:line="170" w:lineRule="exact"/>
        <w:rPr>
          <w:rFonts w:ascii="Arial" w:cs="Arial" w:eastAsia="Arial" w:hAnsi="Arial"/>
          <w:sz w:val="12"/>
          <w:szCs w:val="12"/>
          <w:color w:val="auto"/>
        </w:rPr>
      </w:pPr>
    </w:p>
    <w:p>
      <w:pPr>
        <w:ind w:firstLine="1024"/>
        <w:spacing w:after="0" w:line="284" w:lineRule="auto"/>
        <w:tabs>
          <w:tab w:leader="none" w:pos="1558"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Lenders’ Expenses</w:t>
      </w:r>
      <w:r>
        <w:rPr>
          <w:rFonts w:ascii="Arial" w:cs="Arial" w:eastAsia="Arial" w:hAnsi="Arial"/>
          <w:sz w:val="14"/>
          <w:szCs w:val="14"/>
          <w:color w:val="auto"/>
        </w:rPr>
        <w:t>. All Lenders’ Expenses (including reasonable attorneys’ fees and expenses for documentation and negotiation of this Agreement) incurred through and after the Effective Date, when due.</w:t>
      </w:r>
    </w:p>
    <w:p>
      <w:pPr>
        <w:spacing w:after="0" w:line="12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2"/>
          <w:szCs w:val="12"/>
          <w:b w:val="1"/>
          <w:bCs w:val="1"/>
          <w:color w:val="auto"/>
        </w:rPr>
        <w:t>Taxes.</w:t>
      </w:r>
    </w:p>
    <w:p>
      <w:pPr>
        <w:spacing w:after="0" w:line="185" w:lineRule="exact"/>
        <w:rPr>
          <w:sz w:val="20"/>
          <w:szCs w:val="20"/>
          <w:color w:val="auto"/>
        </w:rPr>
      </w:pPr>
    </w:p>
    <w:p>
      <w:pPr>
        <w:jc w:val="both"/>
        <w:ind w:firstLine="1024"/>
        <w:spacing w:after="0" w:line="259" w:lineRule="auto"/>
        <w:tabs>
          <w:tab w:leader="none" w:pos="156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Payments Free of Taxes</w:t>
      </w:r>
      <w:r>
        <w:rPr>
          <w:rFonts w:ascii="Arial" w:cs="Arial" w:eastAsia="Arial" w:hAnsi="Arial"/>
          <w:sz w:val="14"/>
          <w:szCs w:val="14"/>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50" w:lineRule="exact"/>
        <w:rPr>
          <w:rFonts w:ascii="Arial" w:cs="Arial" w:eastAsia="Arial" w:hAnsi="Arial"/>
          <w:sz w:val="14"/>
          <w:szCs w:val="14"/>
          <w:color w:val="auto"/>
        </w:rPr>
      </w:pPr>
    </w:p>
    <w:p>
      <w:pPr>
        <w:ind w:firstLine="1024"/>
        <w:spacing w:after="0" w:line="284" w:lineRule="auto"/>
        <w:tabs>
          <w:tab w:leader="none" w:pos="1568"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Payment of Other Taxes by the Borrower</w:t>
      </w:r>
      <w:r>
        <w:rPr>
          <w:rFonts w:ascii="Arial" w:cs="Arial" w:eastAsia="Arial" w:hAnsi="Arial"/>
          <w:sz w:val="14"/>
          <w:szCs w:val="14"/>
          <w:color w:val="auto"/>
        </w:rPr>
        <w:t>. The Borrower shall timely pay to the relevant Governmental Authority in accordance with applicable law, or at the option of the Lender timely reimburse it for the payment of, any Other Taxes.</w:t>
      </w:r>
    </w:p>
    <w:p>
      <w:pPr>
        <w:spacing w:after="0" w:line="131" w:lineRule="exact"/>
        <w:rPr>
          <w:rFonts w:ascii="Arial" w:cs="Arial" w:eastAsia="Arial" w:hAnsi="Arial"/>
          <w:sz w:val="14"/>
          <w:szCs w:val="14"/>
          <w:color w:val="auto"/>
        </w:rPr>
      </w:pPr>
    </w:p>
    <w:p>
      <w:pPr>
        <w:jc w:val="both"/>
        <w:ind w:firstLine="1024"/>
        <w:spacing w:after="0" w:line="286" w:lineRule="auto"/>
        <w:tabs>
          <w:tab w:leader="none" w:pos="1624"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w:t>
      </w:r>
      <w:r>
        <w:rPr>
          <w:rFonts w:ascii="Arial" w:cs="Arial" w:eastAsia="Arial" w:hAnsi="Arial"/>
          <w:sz w:val="13"/>
          <w:szCs w:val="13"/>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Collateral Agent), or by the Collateral Agent on its own behalf or on behalf of a Lender, shall be conclusive absent manifest error.</w:t>
      </w:r>
    </w:p>
    <w:p>
      <w:pPr>
        <w:spacing w:after="0" w:line="134" w:lineRule="exact"/>
        <w:rPr>
          <w:rFonts w:ascii="Arial" w:cs="Arial" w:eastAsia="Arial" w:hAnsi="Arial"/>
          <w:sz w:val="13"/>
          <w:szCs w:val="13"/>
          <w:color w:val="auto"/>
        </w:rPr>
      </w:pPr>
    </w:p>
    <w:p>
      <w:pPr>
        <w:ind w:firstLine="1024"/>
        <w:spacing w:after="0" w:line="284" w:lineRule="auto"/>
        <w:tabs>
          <w:tab w:leader="none" w:pos="1558"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Evidence of Payments</w:t>
      </w:r>
      <w:r>
        <w:rPr>
          <w:rFonts w:ascii="Arial" w:cs="Arial" w:eastAsia="Arial" w:hAnsi="Arial"/>
          <w:sz w:val="14"/>
          <w:szCs w:val="14"/>
          <w:color w:val="auto"/>
        </w:rPr>
        <w:t>. As soon as practicable after any payment of Taxes by the Borrower to a Governmental Authority pursuant to this Section 2.5, the Borrower shall deliver to the Collateral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82" w:name="page83"/>
    <w:bookmarkEnd w:id="82"/>
    <w:p>
      <w:pPr>
        <w:spacing w:after="0" w:line="284" w:lineRule="auto"/>
        <w:rPr>
          <w:sz w:val="20"/>
          <w:szCs w:val="20"/>
          <w:color w:val="auto"/>
        </w:rPr>
      </w:pPr>
      <w:r>
        <w:rPr>
          <w:rFonts w:ascii="Arial" w:cs="Arial" w:eastAsia="Arial" w:hAnsi="Arial"/>
          <w:sz w:val="14"/>
          <w:szCs w:val="14"/>
          <w:color w:val="auto"/>
        </w:rPr>
        <w:t>Agent the original or a certified copy of a receipt issued by such Governmental Authority evidencing such payment, a copy of the return reporting such payment or other evidence of such payment reasonably satisfactory to the Collateral Agent.</w:t>
      </w:r>
    </w:p>
    <w:p>
      <w:pPr>
        <w:spacing w:after="0" w:line="132" w:lineRule="exact"/>
        <w:rPr>
          <w:sz w:val="20"/>
          <w:szCs w:val="20"/>
          <w:color w:val="auto"/>
        </w:rPr>
      </w:pPr>
    </w:p>
    <w:p>
      <w:pPr>
        <w:ind w:left="1540" w:hanging="516"/>
        <w:spacing w:after="0"/>
        <w:tabs>
          <w:tab w:leader="none" w:pos="1540"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Status of Lenders.</w:t>
      </w:r>
    </w:p>
    <w:p>
      <w:pPr>
        <w:spacing w:after="0" w:line="180" w:lineRule="exact"/>
        <w:rPr>
          <w:rFonts w:ascii="Arial" w:cs="Arial" w:eastAsia="Arial" w:hAnsi="Arial"/>
          <w:sz w:val="14"/>
          <w:szCs w:val="14"/>
          <w:color w:val="auto"/>
        </w:rPr>
      </w:pPr>
    </w:p>
    <w:p>
      <w:pPr>
        <w:jc w:val="both"/>
        <w:ind w:firstLine="1537"/>
        <w:spacing w:after="0" w:line="282" w:lineRule="auto"/>
        <w:tabs>
          <w:tab w:leader="none" w:pos="2073"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Lender that is entitled to an exemption from or reduction of withholding Tax with respect to payments made under any Loan Document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7" w:lineRule="exact"/>
        <w:rPr>
          <w:rFonts w:ascii="Arial" w:cs="Arial" w:eastAsia="Arial" w:hAnsi="Arial"/>
          <w:sz w:val="13"/>
          <w:szCs w:val="13"/>
          <w:color w:val="auto"/>
        </w:rPr>
      </w:pPr>
    </w:p>
    <w:p>
      <w:pPr>
        <w:ind w:left="2060" w:hanging="523"/>
        <w:spacing w:after="0"/>
        <w:tabs>
          <w:tab w:leader="none" w:pos="2060" w:val="left"/>
        </w:tabs>
        <w:numPr>
          <w:ilvl w:val="1"/>
          <w:numId w:val="63"/>
        </w:numPr>
        <w:rPr>
          <w:rFonts w:ascii="Arial" w:cs="Arial" w:eastAsia="Arial" w:hAnsi="Arial"/>
          <w:sz w:val="14"/>
          <w:szCs w:val="14"/>
          <w:color w:val="auto"/>
        </w:rPr>
      </w:pPr>
      <w:r>
        <w:rPr>
          <w:rFonts w:ascii="Arial" w:cs="Arial" w:eastAsia="Arial" w:hAnsi="Arial"/>
          <w:sz w:val="14"/>
          <w:szCs w:val="14"/>
          <w:color w:val="auto"/>
        </w:rPr>
        <w:t>Without limiting the generality of the foregoing, in the event that the Borrower is a U.S. Borrower,</w:t>
      </w:r>
    </w:p>
    <w:p>
      <w:pPr>
        <w:spacing w:after="0" w:line="180" w:lineRule="exact"/>
        <w:rPr>
          <w:rFonts w:ascii="Arial" w:cs="Arial" w:eastAsia="Arial" w:hAnsi="Arial"/>
          <w:sz w:val="14"/>
          <w:szCs w:val="14"/>
          <w:color w:val="auto"/>
        </w:rPr>
      </w:pPr>
    </w:p>
    <w:p>
      <w:pPr>
        <w:jc w:val="both"/>
        <w:ind w:firstLine="2049"/>
        <w:spacing w:after="0" w:line="269" w:lineRule="auto"/>
        <w:tabs>
          <w:tab w:leader="none" w:pos="2581" w:val="left"/>
        </w:tabs>
        <w:numPr>
          <w:ilvl w:val="2"/>
          <w:numId w:val="63"/>
        </w:numPr>
        <w:rPr>
          <w:rFonts w:ascii="Arial" w:cs="Arial" w:eastAsia="Arial" w:hAnsi="Arial"/>
          <w:sz w:val="14"/>
          <w:szCs w:val="14"/>
          <w:color w:val="auto"/>
        </w:rPr>
      </w:pPr>
      <w:r>
        <w:rPr>
          <w:rFonts w:ascii="Arial" w:cs="Arial" w:eastAsia="Arial" w:hAnsi="Arial"/>
          <w:sz w:val="14"/>
          <w:szCs w:val="14"/>
          <w:color w:val="auto"/>
        </w:rPr>
        <w:t>any Lender that is a U.S. Person shall deliver to the Borrower on or prior to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142" w:lineRule="exact"/>
        <w:rPr>
          <w:rFonts w:ascii="Arial" w:cs="Arial" w:eastAsia="Arial" w:hAnsi="Arial"/>
          <w:sz w:val="14"/>
          <w:szCs w:val="14"/>
          <w:color w:val="auto"/>
        </w:rPr>
      </w:pPr>
    </w:p>
    <w:p>
      <w:pPr>
        <w:jc w:val="both"/>
        <w:ind w:firstLine="2049"/>
        <w:spacing w:after="0" w:line="269" w:lineRule="auto"/>
        <w:tabs>
          <w:tab w:leader="none" w:pos="2621" w:val="left"/>
        </w:tabs>
        <w:numPr>
          <w:ilvl w:val="2"/>
          <w:numId w:val="63"/>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whichever of the following is applicable:</w:t>
      </w:r>
    </w:p>
    <w:p>
      <w:pPr>
        <w:spacing w:after="0" w:line="142" w:lineRule="exact"/>
        <w:rPr>
          <w:rFonts w:ascii="Arial" w:cs="Arial" w:eastAsia="Arial" w:hAnsi="Arial"/>
          <w:sz w:val="14"/>
          <w:szCs w:val="14"/>
          <w:color w:val="auto"/>
        </w:rPr>
      </w:pPr>
    </w:p>
    <w:p>
      <w:pPr>
        <w:jc w:val="both"/>
        <w:ind w:firstLine="2562"/>
        <w:spacing w:after="0" w:line="291" w:lineRule="auto"/>
        <w:tabs>
          <w:tab w:leader="none" w:pos="3117" w:val="left"/>
        </w:tabs>
        <w:numPr>
          <w:ilvl w:val="3"/>
          <w:numId w:val="63"/>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29" w:lineRule="exact"/>
        <w:rPr>
          <w:rFonts w:ascii="Arial" w:cs="Arial" w:eastAsia="Arial" w:hAnsi="Arial"/>
          <w:sz w:val="13"/>
          <w:szCs w:val="13"/>
          <w:color w:val="auto"/>
        </w:rPr>
      </w:pPr>
    </w:p>
    <w:p>
      <w:pPr>
        <w:ind w:left="3100" w:hanging="538"/>
        <w:spacing w:after="0"/>
        <w:tabs>
          <w:tab w:leader="none" w:pos="3100" w:val="left"/>
        </w:tabs>
        <w:numPr>
          <w:ilvl w:val="3"/>
          <w:numId w:val="63"/>
        </w:numPr>
        <w:rPr>
          <w:rFonts w:ascii="Arial" w:cs="Arial" w:eastAsia="Arial" w:hAnsi="Arial"/>
          <w:sz w:val="14"/>
          <w:szCs w:val="14"/>
          <w:color w:val="auto"/>
        </w:rPr>
      </w:pPr>
      <w:r>
        <w:rPr>
          <w:rFonts w:ascii="Arial" w:cs="Arial" w:eastAsia="Arial" w:hAnsi="Arial"/>
          <w:sz w:val="14"/>
          <w:szCs w:val="14"/>
          <w:color w:val="auto"/>
        </w:rPr>
        <w:t>executed copies of IRS Form W-8ECI;</w:t>
      </w:r>
    </w:p>
    <w:p>
      <w:pPr>
        <w:spacing w:after="0" w:line="180" w:lineRule="exact"/>
        <w:rPr>
          <w:rFonts w:ascii="Arial" w:cs="Arial" w:eastAsia="Arial" w:hAnsi="Arial"/>
          <w:sz w:val="14"/>
          <w:szCs w:val="14"/>
          <w:color w:val="auto"/>
        </w:rPr>
      </w:pPr>
    </w:p>
    <w:p>
      <w:pPr>
        <w:jc w:val="both"/>
        <w:ind w:firstLine="2562"/>
        <w:spacing w:after="0" w:line="264" w:lineRule="auto"/>
        <w:tabs>
          <w:tab w:leader="none" w:pos="3177" w:val="left"/>
        </w:tabs>
        <w:numPr>
          <w:ilvl w:val="3"/>
          <w:numId w:val="63"/>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the exemption for portfolio interest under Section 881(c) of the IRC, (x) a certificate substantially in the form of Exhibit G-1 to the effect that such Foreign Lender is not a “bank” within the meaning of Section 881(c)(3)(A) of the IRC, a “10 percent shareholder” of the Borrower within the meaning of Section 881(c)(3)(B) of the IRC, or a “controlled foreign corporation” described in Section 881(c)(3)(C) of the IRC (a “U.S. Tax Compliance Certificate”) and (y) executed copies of IRS Form W-8BEN or W-8BEN-E; or</w:t>
      </w:r>
    </w:p>
    <w:p>
      <w:pPr>
        <w:spacing w:after="0" w:line="145" w:lineRule="exact"/>
        <w:rPr>
          <w:rFonts w:ascii="Arial" w:cs="Arial" w:eastAsia="Arial" w:hAnsi="Arial"/>
          <w:sz w:val="14"/>
          <w:szCs w:val="14"/>
          <w:color w:val="auto"/>
        </w:rPr>
      </w:pPr>
    </w:p>
    <w:p>
      <w:pPr>
        <w:jc w:val="both"/>
        <w:ind w:firstLine="2562"/>
        <w:spacing w:after="0" w:line="262" w:lineRule="auto"/>
        <w:tabs>
          <w:tab w:leader="none" w:pos="3183" w:val="left"/>
        </w:tabs>
        <w:numPr>
          <w:ilvl w:val="3"/>
          <w:numId w:val="63"/>
        </w:numPr>
        <w:rPr>
          <w:rFonts w:ascii="Arial" w:cs="Arial" w:eastAsia="Arial" w:hAnsi="Arial"/>
          <w:sz w:val="14"/>
          <w:szCs w:val="14"/>
          <w:color w:val="auto"/>
        </w:rPr>
      </w:pPr>
      <w:r>
        <w:rPr>
          <w:rFonts w:ascii="Arial" w:cs="Arial" w:eastAsia="Arial" w:hAnsi="Arial"/>
          <w:sz w:val="14"/>
          <w:szCs w:val="14"/>
          <w:color w:val="auto"/>
        </w:rPr>
        <w:t xml:space="preserve">to the extent a Foreign Lender is not the beneficial owner, executed copies of IRS Form W-8IMY, accompanied by IRS Form W-8ECI, IRS Form W-8BEN, W-8BEN-E, a U.S. Tax Compliance Certificate substantially in the form of Exhibit G-2 or Exhibit G-3, IRS Form W-9, and/or other certification documents from each beneficial owner,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83" w:name="page84"/>
    <w:bookmarkEnd w:id="83"/>
    <w:p>
      <w:pPr>
        <w:jc w:val="both"/>
        <w:ind w:firstLine="2049"/>
        <w:spacing w:after="0" w:line="262" w:lineRule="auto"/>
        <w:tabs>
          <w:tab w:leader="none" w:pos="2621"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146" w:lineRule="exact"/>
        <w:rPr>
          <w:rFonts w:ascii="Arial" w:cs="Arial" w:eastAsia="Arial" w:hAnsi="Arial"/>
          <w:sz w:val="14"/>
          <w:szCs w:val="14"/>
          <w:color w:val="auto"/>
        </w:rPr>
      </w:pPr>
    </w:p>
    <w:p>
      <w:pPr>
        <w:jc w:val="both"/>
        <w:ind w:firstLine="2049"/>
        <w:spacing w:after="0" w:line="259" w:lineRule="auto"/>
        <w:tabs>
          <w:tab w:leader="none" w:pos="260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the Borrower at the time or times prescribed by law and at such time or times reasonably requested by the Borrower such documentation prescribed by applicable law (including as prescribed by Section 1471(b)(3)(C)(i) of the IRC) and such additional documentation reasonably requested by the Borrower as may be necessary for the Borrower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Each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28" w:lineRule="exact"/>
        <w:rPr>
          <w:sz w:val="20"/>
          <w:szCs w:val="20"/>
          <w:color w:val="auto"/>
        </w:rPr>
      </w:pPr>
    </w:p>
    <w:p>
      <w:pPr>
        <w:jc w:val="both"/>
        <w:ind w:firstLine="1024"/>
        <w:spacing w:after="0" w:line="272" w:lineRule="auto"/>
        <w:tabs>
          <w:tab w:leader="none" w:pos="1623"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b w:val="1"/>
          <w:bCs w:val="1"/>
          <w:color w:val="auto"/>
        </w:rPr>
        <w:t>.</w:t>
      </w:r>
      <w:r>
        <w:rPr>
          <w:rFonts w:ascii="Arial" w:cs="Arial" w:eastAsia="Arial" w:hAnsi="Arial"/>
          <w:sz w:val="14"/>
          <w:szCs w:val="14"/>
          <w:color w:val="auto"/>
        </w:rPr>
        <w:t xml:space="preserve"> Each party’s obligations under this Section 2.5 shall survive the resignation or replacement of the Collateral Agent or any assignment of rights by, or the replacement of, a Lender, the termination of the Term Loan Commitments and the repayment, satisfaction or discharge of all obligations under any Loan Document.</w:t>
      </w:r>
    </w:p>
    <w:p>
      <w:pPr>
        <w:spacing w:after="0" w:line="136" w:lineRule="exact"/>
        <w:rPr>
          <w:sz w:val="20"/>
          <w:szCs w:val="20"/>
          <w:color w:val="auto"/>
        </w:rPr>
      </w:pPr>
    </w:p>
    <w:p>
      <w:pPr>
        <w:jc w:val="both"/>
        <w:ind w:firstLine="513"/>
        <w:spacing w:after="0" w:line="281" w:lineRule="auto"/>
        <w:rPr>
          <w:sz w:val="20"/>
          <w:szCs w:val="20"/>
          <w:color w:val="auto"/>
        </w:rPr>
      </w:pPr>
      <w:r>
        <w:rPr>
          <w:rFonts w:ascii="Arial" w:cs="Arial" w:eastAsia="Arial" w:hAnsi="Arial"/>
          <w:sz w:val="13"/>
          <w:szCs w:val="13"/>
          <w:b w:val="1"/>
          <w:bCs w:val="1"/>
          <w:color w:val="auto"/>
        </w:rPr>
        <w:t>2.6 Secured Promissory Notes</w:t>
      </w:r>
      <w:r>
        <w:rPr>
          <w:rFonts w:ascii="Arial" w:cs="Arial" w:eastAsia="Arial" w:hAnsi="Arial"/>
          <w:sz w:val="13"/>
          <w:szCs w:val="13"/>
          <w:color w:val="auto"/>
        </w:rPr>
        <w:t>. If requested by a Lender, the Term Loans shall be evidenced by a Secured Promissory Note or Notes in the form attached as</w:t>
      </w:r>
      <w:r>
        <w:rPr>
          <w:rFonts w:ascii="Arial" w:cs="Arial" w:eastAsia="Arial" w:hAnsi="Arial"/>
          <w:sz w:val="13"/>
          <w:szCs w:val="13"/>
          <w:b w:val="1"/>
          <w:bCs w:val="1"/>
          <w:color w:val="auto"/>
        </w:rPr>
        <w:t xml:space="preserve"> </w:t>
      </w:r>
      <w:r>
        <w:rPr>
          <w:rFonts w:ascii="Arial" w:cs="Arial" w:eastAsia="Arial" w:hAnsi="Arial"/>
          <w:sz w:val="13"/>
          <w:szCs w:val="13"/>
          <w:color w:val="auto"/>
        </w:rPr>
        <w:t>Exhibit F hereto (each a “</w:t>
      </w:r>
      <w:r>
        <w:rPr>
          <w:rFonts w:ascii="Arial" w:cs="Arial" w:eastAsia="Arial" w:hAnsi="Arial"/>
          <w:sz w:val="13"/>
          <w:szCs w:val="13"/>
          <w:b w:val="1"/>
          <w:bCs w:val="1"/>
          <w:color w:val="auto"/>
        </w:rPr>
        <w:t>Secured Promissory Note</w:t>
      </w:r>
      <w:r>
        <w:rPr>
          <w:rFonts w:ascii="Arial" w:cs="Arial" w:eastAsia="Arial" w:hAnsi="Arial"/>
          <w:sz w:val="13"/>
          <w:szCs w:val="13"/>
          <w:color w:val="auto"/>
        </w:rPr>
        <w:t>”), and shall be repayable as set forth in this Agreement. Borrower irrevocably authorizes each Lender to make or cause to be made, on or about the Effective Date of the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the Term Loan set forth on such Lender’s Secured Promissory Note Record shall be, absent manifest error,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33"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CONDITIONS OF LOANS</w:t>
      </w:r>
    </w:p>
    <w:p>
      <w:pPr>
        <w:spacing w:after="0" w:line="181"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4"/>
          <w:szCs w:val="14"/>
          <w:b w:val="1"/>
          <w:bCs w:val="1"/>
          <w:color w:val="auto"/>
        </w:rPr>
        <w:t xml:space="preserve">3.1 Conditions Precedent to the Term Loan. </w:t>
      </w:r>
      <w:r>
        <w:rPr>
          <w:rFonts w:ascii="Arial" w:cs="Arial" w:eastAsia="Arial" w:hAnsi="Arial"/>
          <w:sz w:val="14"/>
          <w:szCs w:val="14"/>
          <w:color w:val="auto"/>
        </w:rPr>
        <w:t>Each Lender’s obligation to make a Term Loan is subject to the condition precedent that Collateral Agent and each</w:t>
      </w:r>
      <w:r>
        <w:rPr>
          <w:rFonts w:ascii="Arial" w:cs="Arial" w:eastAsia="Arial" w:hAnsi="Arial"/>
          <w:sz w:val="14"/>
          <w:szCs w:val="14"/>
          <w:b w:val="1"/>
          <w:bCs w:val="1"/>
          <w:color w:val="auto"/>
        </w:rPr>
        <w:t xml:space="preserve"> </w:t>
      </w:r>
      <w:r>
        <w:rPr>
          <w:rFonts w:ascii="Arial" w:cs="Arial" w:eastAsia="Arial" w:hAnsi="Arial"/>
          <w:sz w:val="14"/>
          <w:szCs w:val="14"/>
          <w:color w:val="auto"/>
        </w:rPr>
        <w:t>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40" w:lineRule="exact"/>
        <w:rPr>
          <w:sz w:val="20"/>
          <w:szCs w:val="20"/>
          <w:color w:val="auto"/>
        </w:rPr>
      </w:pPr>
    </w:p>
    <w:p>
      <w:pPr>
        <w:ind w:left="1540" w:hanging="516"/>
        <w:spacing w:after="0"/>
        <w:tabs>
          <w:tab w:leader="none" w:pos="1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original Loan Documents, each duly executed by Borrower and each Subsidiary, as applicable;</w:t>
      </w:r>
    </w:p>
    <w:p>
      <w:pPr>
        <w:spacing w:after="0" w:line="180" w:lineRule="exact"/>
        <w:rPr>
          <w:rFonts w:ascii="Arial" w:cs="Arial" w:eastAsia="Arial" w:hAnsi="Arial"/>
          <w:sz w:val="14"/>
          <w:szCs w:val="14"/>
          <w:color w:val="auto"/>
        </w:rPr>
      </w:pPr>
    </w:p>
    <w:p>
      <w:pPr>
        <w:ind w:left="1540" w:hanging="516"/>
        <w:spacing w:after="0"/>
        <w:tabs>
          <w:tab w:leader="none" w:pos="1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completed Perfection Certificate and Disclosure Schedules for Borrower and each of its Subsidiaries;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84" w:name="page85"/>
    <w:bookmarkEnd w:id="84"/>
    <w:p>
      <w:pPr>
        <w:ind w:firstLine="1024"/>
        <w:spacing w:after="0" w:line="284" w:lineRule="auto"/>
        <w:tabs>
          <w:tab w:leader="none" w:pos="1685" w:val="left"/>
        </w:tabs>
        <w:numPr>
          <w:ilvl w:val="0"/>
          <w:numId w:val="67"/>
        </w:numPr>
        <w:rPr>
          <w:rFonts w:ascii="Arial" w:cs="Arial" w:eastAsia="Arial" w:hAnsi="Arial"/>
          <w:sz w:val="14"/>
          <w:szCs w:val="14"/>
          <w:color w:val="auto"/>
        </w:rPr>
      </w:pPr>
      <w:r>
        <w:rPr>
          <w:rFonts w:ascii="Arial" w:cs="Arial" w:eastAsia="Arial" w:hAnsi="Arial"/>
          <w:sz w:val="14"/>
          <w:szCs w:val="14"/>
          <w:color w:val="auto"/>
        </w:rPr>
        <w:t>duly executed original Control Agreements with respect to Collateral Accounts maintained by Borrower or any of its Subsidiaries which in the aggregate contain at least than Fifty Five Million Dollars ($55,000,000) on the Effective Date;</w:t>
      </w:r>
    </w:p>
    <w:p>
      <w:pPr>
        <w:spacing w:after="0" w:line="131" w:lineRule="exact"/>
        <w:rPr>
          <w:rFonts w:ascii="Arial" w:cs="Arial" w:eastAsia="Arial" w:hAnsi="Arial"/>
          <w:sz w:val="14"/>
          <w:szCs w:val="14"/>
          <w:color w:val="auto"/>
        </w:rPr>
      </w:pPr>
    </w:p>
    <w:p>
      <w:pPr>
        <w:jc w:val="both"/>
        <w:ind w:firstLine="1024"/>
        <w:spacing w:after="0" w:line="269" w:lineRule="auto"/>
        <w:tabs>
          <w:tab w:leader="none" w:pos="1568"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4"/>
          <w:szCs w:val="14"/>
          <w:b w:val="1"/>
          <w:bCs w:val="1"/>
          <w:color w:val="auto"/>
        </w:rPr>
        <w:t>;</w:t>
      </w:r>
    </w:p>
    <w:p>
      <w:pPr>
        <w:spacing w:after="0" w:line="142" w:lineRule="exact"/>
        <w:rPr>
          <w:rFonts w:ascii="Arial" w:cs="Arial" w:eastAsia="Arial" w:hAnsi="Arial"/>
          <w:sz w:val="14"/>
          <w:szCs w:val="14"/>
          <w:color w:val="auto"/>
        </w:rPr>
      </w:pPr>
    </w:p>
    <w:p>
      <w:pPr>
        <w:jc w:val="both"/>
        <w:ind w:firstLine="1024"/>
        <w:spacing w:after="0" w:line="264" w:lineRule="auto"/>
        <w:tabs>
          <w:tab w:leader="none" w:pos="1709"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certificate of Borrower in substantially the form of Exhibit E hereto executed by the Secretary of Borrower with appropriate insertions and attachments, including with respect to (i) the Operating Documents of such Person (which Certificate of Incorporation or Certificate of Formation of such Person shall be certified by the Secretary of State of the State of Delaware) and (ii) the resolutions adopted by such Person’s board of directors or other governing body for the purpose of approving the transactions contemplated by the Loan Documents;</w:t>
      </w:r>
    </w:p>
    <w:p>
      <w:pPr>
        <w:spacing w:after="0" w:line="145" w:lineRule="exact"/>
        <w:rPr>
          <w:rFonts w:ascii="Arial" w:cs="Arial" w:eastAsia="Arial" w:hAnsi="Arial"/>
          <w:sz w:val="14"/>
          <w:szCs w:val="14"/>
          <w:color w:val="auto"/>
        </w:rPr>
      </w:pPr>
    </w:p>
    <w:p>
      <w:pPr>
        <w:jc w:val="both"/>
        <w:ind w:firstLine="1024"/>
        <w:spacing w:after="0" w:line="269" w:lineRule="auto"/>
        <w:tabs>
          <w:tab w:leader="none" w:pos="158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Term Loan, will be terminated or released;</w:t>
      </w:r>
    </w:p>
    <w:p>
      <w:pPr>
        <w:spacing w:after="0" w:line="142" w:lineRule="exact"/>
        <w:rPr>
          <w:rFonts w:ascii="Arial" w:cs="Arial" w:eastAsia="Arial" w:hAnsi="Arial"/>
          <w:sz w:val="14"/>
          <w:szCs w:val="14"/>
          <w:color w:val="auto"/>
        </w:rPr>
      </w:pPr>
    </w:p>
    <w:p>
      <w:pPr>
        <w:ind w:left="1540" w:hanging="516"/>
        <w:spacing w:after="0"/>
        <w:tabs>
          <w:tab w:leader="none" w:pos="1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duly executed legal opinion of counsel to Borrower dated the Effective Date;</w:t>
      </w:r>
    </w:p>
    <w:p>
      <w:pPr>
        <w:spacing w:after="0" w:line="180" w:lineRule="exact"/>
        <w:rPr>
          <w:rFonts w:ascii="Arial" w:cs="Arial" w:eastAsia="Arial" w:hAnsi="Arial"/>
          <w:sz w:val="14"/>
          <w:szCs w:val="14"/>
          <w:color w:val="auto"/>
        </w:rPr>
      </w:pPr>
    </w:p>
    <w:p>
      <w:pPr>
        <w:jc w:val="both"/>
        <w:ind w:firstLine="1024"/>
        <w:spacing w:after="0" w:line="269" w:lineRule="auto"/>
        <w:tabs>
          <w:tab w:leader="none" w:pos="169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Secured Parties;</w:t>
      </w:r>
    </w:p>
    <w:p>
      <w:pPr>
        <w:spacing w:after="0" w:line="142" w:lineRule="exact"/>
        <w:rPr>
          <w:rFonts w:ascii="Arial" w:cs="Arial" w:eastAsia="Arial" w:hAnsi="Arial"/>
          <w:sz w:val="14"/>
          <w:szCs w:val="14"/>
          <w:color w:val="auto"/>
        </w:rPr>
      </w:pPr>
    </w:p>
    <w:p>
      <w:pPr>
        <w:ind w:left="1560" w:hanging="536"/>
        <w:spacing w:after="0"/>
        <w:tabs>
          <w:tab w:leader="none" w:pos="1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duly executed Exit Fee Agreement;</w:t>
      </w:r>
    </w:p>
    <w:p>
      <w:pPr>
        <w:spacing w:after="0" w:line="180" w:lineRule="exact"/>
        <w:rPr>
          <w:rFonts w:ascii="Arial" w:cs="Arial" w:eastAsia="Arial" w:hAnsi="Arial"/>
          <w:sz w:val="14"/>
          <w:szCs w:val="14"/>
          <w:color w:val="auto"/>
        </w:rPr>
      </w:pPr>
    </w:p>
    <w:p>
      <w:pPr>
        <w:ind w:left="1560" w:hanging="536"/>
        <w:spacing w:after="0"/>
        <w:tabs>
          <w:tab w:leader="none" w:pos="1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payment of the Closing Fee and Lenders’ Expenses then due as specified in Section 2.4 hereof;</w:t>
      </w:r>
    </w:p>
    <w:p>
      <w:pPr>
        <w:spacing w:after="0" w:line="180" w:lineRule="exact"/>
        <w:rPr>
          <w:rFonts w:ascii="Arial" w:cs="Arial" w:eastAsia="Arial" w:hAnsi="Arial"/>
          <w:sz w:val="14"/>
          <w:szCs w:val="14"/>
          <w:color w:val="auto"/>
        </w:rPr>
      </w:pPr>
    </w:p>
    <w:p>
      <w:pPr>
        <w:ind w:left="1680" w:hanging="656"/>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landlord’s consent duly executed in favor of Collateral Agent in respect of the Borrower’s leased location located at 34175 Ardenwood Blvd,</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Fremont, CA 94555; and</w:t>
      </w:r>
    </w:p>
    <w:p>
      <w:pPr>
        <w:spacing w:after="0" w:line="170" w:lineRule="exact"/>
        <w:rPr>
          <w:rFonts w:ascii="Arial" w:cs="Arial" w:eastAsia="Arial" w:hAnsi="Arial"/>
          <w:sz w:val="13"/>
          <w:szCs w:val="13"/>
          <w:color w:val="auto"/>
        </w:rPr>
      </w:pPr>
    </w:p>
    <w:p>
      <w:pPr>
        <w:ind w:left="1560" w:hanging="536"/>
        <w:spacing w:after="0"/>
        <w:tabs>
          <w:tab w:leader="none" w:pos="1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bailee waivers duly executed in favor of Collateral Agent in respect of each of the following third party bailee locations:</w:t>
      </w:r>
    </w:p>
    <w:p>
      <w:pPr>
        <w:spacing w:after="0" w:line="180" w:lineRule="exact"/>
        <w:rPr>
          <w:rFonts w:ascii="Arial" w:cs="Arial" w:eastAsia="Arial" w:hAnsi="Arial"/>
          <w:sz w:val="14"/>
          <w:szCs w:val="14"/>
          <w:color w:val="auto"/>
        </w:rPr>
      </w:pPr>
    </w:p>
    <w:p>
      <w:pPr>
        <w:ind w:left="2060" w:hanging="523"/>
        <w:spacing w:after="0"/>
        <w:tabs>
          <w:tab w:leader="none" w:pos="20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Patheon, located at 2110 E Galbraith Rd, Cincinnati, OH 45237;</w:t>
      </w:r>
    </w:p>
    <w:p>
      <w:pPr>
        <w:spacing w:after="0" w:line="180" w:lineRule="exact"/>
        <w:rPr>
          <w:rFonts w:ascii="Arial" w:cs="Arial" w:eastAsia="Arial" w:hAnsi="Arial"/>
          <w:sz w:val="14"/>
          <w:szCs w:val="14"/>
          <w:color w:val="auto"/>
        </w:rPr>
      </w:pPr>
    </w:p>
    <w:p>
      <w:pPr>
        <w:ind w:left="2060" w:hanging="523"/>
        <w:spacing w:after="0"/>
        <w:tabs>
          <w:tab w:leader="none" w:pos="20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Sherpa Clinical Packaging, located at 6166 Nancy Ridge Dr, San Diego, CA 92121; and</w:t>
      </w:r>
    </w:p>
    <w:p>
      <w:pPr>
        <w:spacing w:after="0" w:line="180" w:lineRule="exact"/>
        <w:rPr>
          <w:rFonts w:ascii="Arial" w:cs="Arial" w:eastAsia="Arial" w:hAnsi="Arial"/>
          <w:sz w:val="14"/>
          <w:szCs w:val="14"/>
          <w:color w:val="auto"/>
        </w:rPr>
      </w:pPr>
    </w:p>
    <w:p>
      <w:pPr>
        <w:ind w:left="2080" w:hanging="543"/>
        <w:spacing w:after="0"/>
        <w:tabs>
          <w:tab w:leader="none" w:pos="20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Bellwyck Clinical Services Bellwyck Packaging Solutions Inc, located at 8946 Global Way West Chester Township, OH 45069.</w:t>
      </w:r>
    </w:p>
    <w:p>
      <w:pPr>
        <w:spacing w:after="0" w:line="177" w:lineRule="exact"/>
        <w:rPr>
          <w:sz w:val="20"/>
          <w:szCs w:val="20"/>
          <w:color w:val="auto"/>
        </w:rPr>
      </w:pPr>
    </w:p>
    <w:p>
      <w:pPr>
        <w:ind w:firstLine="513"/>
        <w:spacing w:after="0" w:line="290" w:lineRule="auto"/>
        <w:rPr>
          <w:sz w:val="20"/>
          <w:szCs w:val="20"/>
          <w:color w:val="auto"/>
        </w:rPr>
      </w:pPr>
      <w:r>
        <w:rPr>
          <w:rFonts w:ascii="Arial" w:cs="Arial" w:eastAsia="Arial" w:hAnsi="Arial"/>
          <w:sz w:val="14"/>
          <w:szCs w:val="14"/>
          <w:b w:val="1"/>
          <w:bCs w:val="1"/>
          <w:color w:val="auto"/>
        </w:rPr>
        <w:t xml:space="preserve">3.2 Conditions Precedent to the Term Loans. </w:t>
      </w:r>
      <w:r>
        <w:rPr>
          <w:rFonts w:ascii="Arial" w:cs="Arial" w:eastAsia="Arial" w:hAnsi="Arial"/>
          <w:sz w:val="14"/>
          <w:szCs w:val="14"/>
          <w:color w:val="auto"/>
        </w:rPr>
        <w:t>The obligation of each Lender to extend the Term Loan is subject to the following additional conditions</w:t>
      </w:r>
      <w:r>
        <w:rPr>
          <w:rFonts w:ascii="Arial" w:cs="Arial" w:eastAsia="Arial" w:hAnsi="Arial"/>
          <w:sz w:val="14"/>
          <w:szCs w:val="14"/>
          <w:b w:val="1"/>
          <w:bCs w:val="1"/>
          <w:color w:val="auto"/>
        </w:rPr>
        <w:t xml:space="preserve"> </w:t>
      </w:r>
      <w:r>
        <w:rPr>
          <w:rFonts w:ascii="Arial" w:cs="Arial" w:eastAsia="Arial" w:hAnsi="Arial"/>
          <w:sz w:val="14"/>
          <w:szCs w:val="14"/>
          <w:color w:val="auto"/>
        </w:rPr>
        <w:t>precedent:</w:t>
      </w:r>
    </w:p>
    <w:p>
      <w:pPr>
        <w:spacing w:after="0" w:line="127" w:lineRule="exact"/>
        <w:rPr>
          <w:sz w:val="20"/>
          <w:szCs w:val="20"/>
          <w:color w:val="auto"/>
        </w:rPr>
      </w:pPr>
    </w:p>
    <w:p>
      <w:pPr>
        <w:ind w:left="1540" w:hanging="516"/>
        <w:spacing w:after="0"/>
        <w:tabs>
          <w:tab w:leader="none" w:pos="1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receipt by Collateral Agent of an executed Loan Payment Request Form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attached hereto;</w:t>
      </w:r>
    </w:p>
    <w:p>
      <w:pPr>
        <w:spacing w:after="0" w:line="180" w:lineRule="exact"/>
        <w:rPr>
          <w:rFonts w:ascii="Arial" w:cs="Arial" w:eastAsia="Arial" w:hAnsi="Arial"/>
          <w:sz w:val="14"/>
          <w:szCs w:val="14"/>
          <w:color w:val="auto"/>
        </w:rPr>
      </w:pPr>
    </w:p>
    <w:p>
      <w:pPr>
        <w:ind w:firstLine="1024"/>
        <w:spacing w:after="0" w:line="284" w:lineRule="auto"/>
        <w:tabs>
          <w:tab w:leader="none" w:pos="1624"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representations and warranties in Section 5 hereof shall be true, accurate and complete in all material respects on the Effective Date; provided, however, that such materiality qualifier shall not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85" w:name="page86"/>
    <w:bookmarkEnd w:id="85"/>
    <w:p>
      <w:pPr>
        <w:jc w:val="both"/>
        <w:ind w:left="1"/>
        <w:spacing w:after="0" w:line="269" w:lineRule="auto"/>
        <w:rPr>
          <w:sz w:val="20"/>
          <w:szCs w:val="20"/>
          <w:color w:val="auto"/>
        </w:rPr>
      </w:pPr>
      <w:r>
        <w:rPr>
          <w:rFonts w:ascii="Arial" w:cs="Arial" w:eastAsia="Arial" w:hAnsi="Arial"/>
          <w:sz w:val="14"/>
          <w:szCs w:val="14"/>
          <w:color w:val="auto"/>
        </w:rPr>
        <w:t>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42" w:lineRule="exact"/>
        <w:rPr>
          <w:sz w:val="20"/>
          <w:szCs w:val="20"/>
          <w:color w:val="auto"/>
        </w:rPr>
      </w:pPr>
    </w:p>
    <w:p>
      <w:pPr>
        <w:ind w:left="1541" w:hanging="516"/>
        <w:spacing w:after="0"/>
        <w:tabs>
          <w:tab w:leader="none" w:pos="15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such Lender’s reasonable discretion, there has not been any Material Adverse Change;</w:t>
      </w:r>
    </w:p>
    <w:p>
      <w:pPr>
        <w:spacing w:after="0" w:line="180" w:lineRule="exact"/>
        <w:rPr>
          <w:rFonts w:ascii="Arial" w:cs="Arial" w:eastAsia="Arial" w:hAnsi="Arial"/>
          <w:sz w:val="14"/>
          <w:szCs w:val="14"/>
          <w:color w:val="auto"/>
        </w:rPr>
      </w:pPr>
    </w:p>
    <w:p>
      <w:pPr>
        <w:ind w:left="1541" w:hanging="516"/>
        <w:spacing w:after="0"/>
        <w:tabs>
          <w:tab w:leader="none" w:pos="15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Event of Default or Default, shall exist; and</w:t>
      </w:r>
    </w:p>
    <w:p>
      <w:pPr>
        <w:spacing w:after="0" w:line="180" w:lineRule="exact"/>
        <w:rPr>
          <w:rFonts w:ascii="Arial" w:cs="Arial" w:eastAsia="Arial" w:hAnsi="Arial"/>
          <w:sz w:val="14"/>
          <w:szCs w:val="14"/>
          <w:color w:val="auto"/>
        </w:rPr>
      </w:pPr>
    </w:p>
    <w:p>
      <w:pPr>
        <w:ind w:left="1541" w:hanging="516"/>
        <w:spacing w:after="0"/>
        <w:tabs>
          <w:tab w:leader="none" w:pos="15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payment of the fees and Lenders’ Expenses then due as specified in Section 2.4 hereof.</w:t>
      </w:r>
    </w:p>
    <w:p>
      <w:pPr>
        <w:spacing w:after="0" w:line="177" w:lineRule="exact"/>
        <w:rPr>
          <w:sz w:val="20"/>
          <w:szCs w:val="20"/>
          <w:color w:val="auto"/>
        </w:rPr>
      </w:pPr>
    </w:p>
    <w:p>
      <w:pPr>
        <w:jc w:val="both"/>
        <w:ind w:left="1" w:firstLine="513"/>
        <w:spacing w:after="0" w:line="266" w:lineRule="auto"/>
        <w:rPr>
          <w:sz w:val="20"/>
          <w:szCs w:val="20"/>
          <w:color w:val="auto"/>
        </w:rPr>
      </w:pPr>
      <w:r>
        <w:rPr>
          <w:rFonts w:ascii="Arial" w:cs="Arial" w:eastAsia="Arial" w:hAnsi="Arial"/>
          <w:sz w:val="14"/>
          <w:szCs w:val="14"/>
          <w:b w:val="1"/>
          <w:bCs w:val="1"/>
          <w:color w:val="auto"/>
        </w:rPr>
        <w:t xml:space="preserve">3.3 Covenant to Deliver. </w:t>
      </w:r>
      <w:r>
        <w:rPr>
          <w:rFonts w:ascii="Arial" w:cs="Arial" w:eastAsia="Arial" w:hAnsi="Arial"/>
          <w:sz w:val="14"/>
          <w:szCs w:val="14"/>
          <w:color w:val="auto"/>
        </w:rPr>
        <w:t>Borrower agrees to deliver to Collateral Agent and the Lenders each item required to be delivered to Collateral Agent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as a condition precedent to the funding of the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40" w:lineRule="exact"/>
        <w:rPr>
          <w:sz w:val="20"/>
          <w:szCs w:val="20"/>
          <w:color w:val="auto"/>
        </w:rPr>
      </w:pPr>
    </w:p>
    <w:p>
      <w:pPr>
        <w:jc w:val="both"/>
        <w:ind w:left="1" w:firstLine="513"/>
        <w:spacing w:after="0" w:line="260" w:lineRule="auto"/>
        <w:rPr>
          <w:sz w:val="20"/>
          <w:szCs w:val="20"/>
          <w:color w:val="auto"/>
        </w:rPr>
      </w:pPr>
      <w:r>
        <w:rPr>
          <w:rFonts w:ascii="Arial" w:cs="Arial" w:eastAsia="Arial" w:hAnsi="Arial"/>
          <w:sz w:val="14"/>
          <w:szCs w:val="14"/>
          <w:b w:val="1"/>
          <w:bCs w:val="1"/>
          <w:color w:val="auto"/>
        </w:rPr>
        <w:t xml:space="preserve">3.4 Procedures for Borrowing. </w:t>
      </w:r>
      <w:r>
        <w:rPr>
          <w:rFonts w:ascii="Arial" w:cs="Arial" w:eastAsia="Arial" w:hAnsi="Arial"/>
          <w:sz w:val="14"/>
          <w:szCs w:val="14"/>
          <w:color w:val="auto"/>
        </w:rPr>
        <w:t>Subject to the prior satisfaction of all other applicable conditions to the making of a Term Loan set forth in this Agreement, to</w:t>
      </w:r>
      <w:r>
        <w:rPr>
          <w:rFonts w:ascii="Arial" w:cs="Arial" w:eastAsia="Arial" w:hAnsi="Arial"/>
          <w:sz w:val="14"/>
          <w:szCs w:val="14"/>
          <w:b w:val="1"/>
          <w:bCs w:val="1"/>
          <w:color w:val="auto"/>
        </w:rPr>
        <w:t xml:space="preserve"> </w:t>
      </w:r>
      <w:r>
        <w:rPr>
          <w:rFonts w:ascii="Arial" w:cs="Arial" w:eastAsia="Arial" w:hAnsi="Arial"/>
          <w:sz w:val="14"/>
          <w:szCs w:val="14"/>
          <w:color w:val="auto"/>
        </w:rPr>
        <w:t>obtain a Term Loan (other than the Term Loan funded on the Effective Date), Borrower shall notify the Lenders (which notice shall be irrevocable) by electronic mail, facsimile, or telephone by 2:00 p.m. New York City time three (3)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 On the Effective Date, each Lender shall credit and/or transfer (as applicable) to accounts designated by Borrower and agreed to by the Lenders, in an amount equal to its Term Loan Commitment in respect of such Term Loan.</w:t>
      </w:r>
    </w:p>
    <w:p>
      <w:pPr>
        <w:spacing w:after="0" w:line="146" w:lineRule="exact"/>
        <w:rPr>
          <w:sz w:val="20"/>
          <w:szCs w:val="20"/>
          <w:color w:val="auto"/>
        </w:rPr>
      </w:pPr>
    </w:p>
    <w:p>
      <w:pPr>
        <w:ind w:left="541" w:hanging="541"/>
        <w:spacing w:after="0"/>
        <w:tabs>
          <w:tab w:leader="none" w:pos="541"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CREATION OF SECURITY INTEREST</w:t>
      </w:r>
    </w:p>
    <w:p>
      <w:pPr>
        <w:spacing w:after="0" w:line="181" w:lineRule="exact"/>
        <w:rPr>
          <w:sz w:val="20"/>
          <w:szCs w:val="20"/>
          <w:color w:val="auto"/>
        </w:rPr>
      </w:pPr>
    </w:p>
    <w:p>
      <w:pPr>
        <w:jc w:val="both"/>
        <w:ind w:left="1" w:firstLine="513"/>
        <w:spacing w:after="0" w:line="259" w:lineRule="auto"/>
        <w:rPr>
          <w:sz w:val="20"/>
          <w:szCs w:val="20"/>
          <w:color w:val="auto"/>
        </w:rPr>
      </w:pPr>
      <w:r>
        <w:rPr>
          <w:rFonts w:ascii="Arial" w:cs="Arial" w:eastAsia="Arial" w:hAnsi="Arial"/>
          <w:sz w:val="14"/>
          <w:szCs w:val="14"/>
          <w:b w:val="1"/>
          <w:bCs w:val="1"/>
          <w:color w:val="auto"/>
        </w:rPr>
        <w:t xml:space="preserve">4.1 Grant of Security Interest. </w:t>
      </w:r>
      <w:r>
        <w:rPr>
          <w:rFonts w:ascii="Arial" w:cs="Arial" w:eastAsia="Arial" w:hAnsi="Arial"/>
          <w:sz w:val="14"/>
          <w:szCs w:val="14"/>
          <w:color w:val="auto"/>
        </w:rPr>
        <w:t>Borrower hereby grants Collateral Agent, for the ratable benefit of the Secured Parties, to secure the payment and performance in</w:t>
      </w:r>
      <w:r>
        <w:rPr>
          <w:rFonts w:ascii="Arial" w:cs="Arial" w:eastAsia="Arial" w:hAnsi="Arial"/>
          <w:sz w:val="14"/>
          <w:szCs w:val="14"/>
          <w:b w:val="1"/>
          <w:bCs w:val="1"/>
          <w:color w:val="auto"/>
        </w:rPr>
        <w:t xml:space="preserve"> </w:t>
      </w:r>
      <w:r>
        <w:rPr>
          <w:rFonts w:ascii="Arial" w:cs="Arial" w:eastAsia="Arial" w:hAnsi="Arial"/>
          <w:sz w:val="14"/>
          <w:szCs w:val="14"/>
          <w:color w:val="auto"/>
        </w:rPr>
        <w:t>full of all of the Obligations in full and, until payment in cash of all Obligations (other than (a) inchoate indemnity obligations and (b) other obligations that survive termination of this Agreement, in each case, for which no claim has been made) and the Exit Fee (as defined in the Exit Fee Agreement), a continuing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 If Borrower shall acquire any commercial tort claim (as defined in the Code) in an amount greater than Fifty Thousand Dollars ($50,000), Borrower shall grant to Collateral Agent, for the ratable benefit of the Secured Parties, a security interest therein and in the proceeds and products and supporting obligations (as defined in the Code) thereof, all upon the terms of this Agreement, with such writing to be in form and substance reasonably satisfactory to Collateral Agent.</w:t>
      </w:r>
    </w:p>
    <w:p>
      <w:pPr>
        <w:spacing w:after="0" w:line="152" w:lineRule="exact"/>
        <w:rPr>
          <w:sz w:val="20"/>
          <w:szCs w:val="20"/>
          <w:color w:val="auto"/>
        </w:rPr>
      </w:pPr>
    </w:p>
    <w:p>
      <w:pPr>
        <w:jc w:val="both"/>
        <w:ind w:left="1" w:firstLine="513"/>
        <w:spacing w:after="0" w:line="286" w:lineRule="auto"/>
        <w:rPr>
          <w:sz w:val="20"/>
          <w:szCs w:val="20"/>
          <w:color w:val="auto"/>
        </w:rPr>
      </w:pPr>
      <w:r>
        <w:rPr>
          <w:rFonts w:ascii="Arial" w:cs="Arial" w:eastAsia="Arial" w:hAnsi="Arial"/>
          <w:sz w:val="13"/>
          <w:szCs w:val="13"/>
          <w:color w:val="auto"/>
        </w:rPr>
        <w:t>If this Agreement is terminated, Collateral Agent’s Lien in the Collateral shall continue until the Obligations (other than (a) inchoate indemnity obligations and (b) other obligations that survive termination of this Agreement, in each case, for which no claim has been made) are repaid in full in cash. Upon payment in full in cash of the Obligations (other than (a) inchoate indemnity obligations and (b) other obligations that survive termination of this Agreement, in each case, for which no claim has been made) and at such time as the Lenders’ obligation to extend Term Loans has terminated, Collateral Agent shall, at the sole cost and expense of Borrower, release its Liens in the Collateral (and enter into any documentation reasonably requested by Borrower) and all rights therein shall revert to Borrower.</w:t>
      </w:r>
    </w:p>
    <w:p>
      <w:pPr>
        <w:spacing w:after="0" w:line="130" w:lineRule="exact"/>
        <w:rPr>
          <w:sz w:val="20"/>
          <w:szCs w:val="20"/>
          <w:color w:val="auto"/>
        </w:rPr>
      </w:pPr>
    </w:p>
    <w:p>
      <w:pPr>
        <w:jc w:val="both"/>
        <w:ind w:left="1" w:firstLine="513"/>
        <w:spacing w:after="0" w:line="330" w:lineRule="auto"/>
        <w:rPr>
          <w:sz w:val="20"/>
          <w:szCs w:val="20"/>
          <w:color w:val="auto"/>
        </w:rPr>
      </w:pPr>
      <w:r>
        <w:rPr>
          <w:rFonts w:ascii="Arial" w:cs="Arial" w:eastAsia="Arial" w:hAnsi="Arial"/>
          <w:sz w:val="13"/>
          <w:szCs w:val="13"/>
          <w:b w:val="1"/>
          <w:bCs w:val="1"/>
          <w:color w:val="auto"/>
        </w:rPr>
        <w:t xml:space="preserve">4.2 Authorization to File Financing Statements. </w:t>
      </w:r>
      <w:r>
        <w:rPr>
          <w:rFonts w:ascii="Arial" w:cs="Arial" w:eastAsia="Arial" w:hAnsi="Arial"/>
          <w:sz w:val="13"/>
          <w:szCs w:val="13"/>
          <w:color w:val="auto"/>
        </w:rPr>
        <w:t>Borrower hereby authorizes Collateral Agent to file financing statements or take any other action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perfect Collateral Agent’s security interests in the Collateral (held for the ratable benefit of the Secured Parties), without notice to Borrower, with all appropriate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86" w:name="page87"/>
    <w:bookmarkEnd w:id="86"/>
    <w:p>
      <w:pPr>
        <w:jc w:val="both"/>
        <w:ind w:left="1"/>
        <w:spacing w:after="0" w:line="269" w:lineRule="auto"/>
        <w:rPr>
          <w:sz w:val="20"/>
          <w:szCs w:val="20"/>
          <w:color w:val="auto"/>
        </w:rPr>
      </w:pPr>
      <w:r>
        <w:rPr>
          <w:rFonts w:ascii="Arial" w:cs="Arial" w:eastAsia="Arial" w:hAnsi="Arial"/>
          <w:sz w:val="14"/>
          <w:szCs w:val="14"/>
          <w:color w:val="auto"/>
        </w:rPr>
        <w:t>jurisdictions to perfect or protect Collateral Agent’s interest or rights under the Loan Documents; provided, however, that Borrower shall have no obligation to deliver to Collateral Agent share certificates with respect to its security interests in any Immaterial Subsidiary unless and until the first to occur of (a) an Event of Default or (b) the value of such Immaterial Subsidiary, on a book value, equals or exceeds One Hundred Thousand Dollars ($100,000).</w:t>
      </w:r>
    </w:p>
    <w:p>
      <w:pPr>
        <w:spacing w:after="0" w:line="138" w:lineRule="exact"/>
        <w:rPr>
          <w:sz w:val="20"/>
          <w:szCs w:val="20"/>
          <w:color w:val="auto"/>
        </w:rPr>
      </w:pPr>
    </w:p>
    <w:p>
      <w:pPr>
        <w:ind w:left="541" w:hanging="541"/>
        <w:spacing w:after="0"/>
        <w:tabs>
          <w:tab w:leader="none" w:pos="541"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w:t>
      </w:r>
    </w:p>
    <w:p>
      <w:pPr>
        <w:spacing w:after="0" w:line="185" w:lineRule="exact"/>
        <w:rPr>
          <w:sz w:val="20"/>
          <w:szCs w:val="20"/>
          <w:color w:val="auto"/>
        </w:rPr>
      </w:pPr>
    </w:p>
    <w:p>
      <w:pPr>
        <w:ind w:left="521"/>
        <w:spacing w:after="0"/>
        <w:rPr>
          <w:sz w:val="20"/>
          <w:szCs w:val="20"/>
          <w:color w:val="auto"/>
        </w:rPr>
      </w:pPr>
      <w:r>
        <w:rPr>
          <w:rFonts w:ascii="Arial" w:cs="Arial" w:eastAsia="Arial" w:hAnsi="Arial"/>
          <w:sz w:val="14"/>
          <w:szCs w:val="14"/>
          <w:color w:val="auto"/>
        </w:rPr>
        <w:t>Borrower represents and warrants to Collateral Agent and the Lenders as follows:</w:t>
      </w:r>
    </w:p>
    <w:p>
      <w:pPr>
        <w:spacing w:after="0" w:line="177" w:lineRule="exact"/>
        <w:rPr>
          <w:sz w:val="20"/>
          <w:szCs w:val="20"/>
          <w:color w:val="auto"/>
        </w:rPr>
      </w:pPr>
    </w:p>
    <w:p>
      <w:pPr>
        <w:jc w:val="both"/>
        <w:ind w:left="1" w:firstLine="513"/>
        <w:spacing w:after="0" w:line="260" w:lineRule="auto"/>
        <w:rPr>
          <w:sz w:val="20"/>
          <w:szCs w:val="20"/>
          <w:color w:val="auto"/>
        </w:rPr>
      </w:pPr>
      <w:r>
        <w:rPr>
          <w:rFonts w:ascii="Arial" w:cs="Arial" w:eastAsia="Arial" w:hAnsi="Arial"/>
          <w:sz w:val="14"/>
          <w:szCs w:val="14"/>
          <w:b w:val="1"/>
          <w:bCs w:val="1"/>
          <w:color w:val="auto"/>
        </w:rPr>
        <w:t xml:space="preserve">5.1 Due Organization, Authorization: Power and Authority. </w:t>
      </w:r>
      <w:r>
        <w:rPr>
          <w:rFonts w:ascii="Arial" w:cs="Arial" w:eastAsia="Arial" w:hAnsi="Arial"/>
          <w:sz w:val="14"/>
          <w:szCs w:val="14"/>
          <w:color w:val="auto"/>
        </w:rPr>
        <w:t>Borrower and each of its Subsidiaries is duly existing and in good standing as a Registered</w:t>
      </w:r>
      <w:r>
        <w:rPr>
          <w:rFonts w:ascii="Arial" w:cs="Arial" w:eastAsia="Arial" w:hAnsi="Arial"/>
          <w:sz w:val="14"/>
          <w:szCs w:val="14"/>
          <w:b w:val="1"/>
          <w:bCs w:val="1"/>
          <w:color w:val="auto"/>
        </w:rPr>
        <w:t xml:space="preserve"> </w:t>
      </w:r>
      <w:r>
        <w:rPr>
          <w:rFonts w:ascii="Arial" w:cs="Arial" w:eastAsia="Arial" w:hAnsi="Arial"/>
          <w:sz w:val="14"/>
          <w:szCs w:val="14"/>
          <w:color w:val="auto"/>
        </w:rPr>
        <w:t>Organization in its jurisdictions of organization or formation and Borrower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before or after the Effective Date (each a “</w:t>
      </w:r>
      <w:r>
        <w:rPr>
          <w:rFonts w:ascii="Arial" w:cs="Arial" w:eastAsia="Arial" w:hAnsi="Arial"/>
          <w:sz w:val="14"/>
          <w:szCs w:val="14"/>
          <w:b w:val="1"/>
          <w:bCs w:val="1"/>
          <w:color w:val="auto"/>
        </w:rPr>
        <w:t>Perfection Certificate</w:t>
      </w:r>
      <w:r>
        <w:rPr>
          <w:rFonts w:ascii="Arial" w:cs="Arial" w:eastAsia="Arial" w:hAnsi="Arial"/>
          <w:sz w:val="14"/>
          <w:szCs w:val="14"/>
          <w:color w:val="auto"/>
        </w:rPr>
        <w:t>” and collectively, the “</w:t>
      </w:r>
      <w:r>
        <w:rPr>
          <w:rFonts w:ascii="Arial" w:cs="Arial" w:eastAsia="Arial" w:hAnsi="Arial"/>
          <w:sz w:val="14"/>
          <w:szCs w:val="14"/>
          <w:b w:val="1"/>
          <w:bCs w:val="1"/>
          <w:color w:val="auto"/>
        </w:rPr>
        <w:t>Perfection</w:t>
      </w:r>
      <w:r>
        <w:rPr>
          <w:rFonts w:ascii="Arial" w:cs="Arial" w:eastAsia="Arial" w:hAnsi="Arial"/>
          <w:sz w:val="14"/>
          <w:szCs w:val="14"/>
          <w:color w:val="auto"/>
        </w:rPr>
        <w:t xml:space="preserve"> </w:t>
      </w:r>
      <w:r>
        <w:rPr>
          <w:rFonts w:ascii="Arial" w:cs="Arial" w:eastAsia="Arial" w:hAnsi="Arial"/>
          <w:sz w:val="14"/>
          <w:szCs w:val="14"/>
          <w:b w:val="1"/>
          <w:bCs w:val="1"/>
          <w:color w:val="auto"/>
        </w:rPr>
        <w:t>Certificates</w:t>
      </w:r>
      <w:r>
        <w:rPr>
          <w:rFonts w:ascii="Arial" w:cs="Arial" w:eastAsia="Arial" w:hAnsi="Arial"/>
          <w:sz w:val="14"/>
          <w:szCs w:val="14"/>
          <w:color w:val="auto"/>
        </w:rPr>
        <w:t>”). Borrower represents and warrants that all the information set forth on the Perfection Certificates pertaining to Borrower and each of its Subsidiaries is accurate</w:t>
      </w:r>
      <w:r>
        <w:rPr>
          <w:rFonts w:ascii="Arial" w:cs="Arial" w:eastAsia="Arial" w:hAnsi="Arial"/>
          <w:sz w:val="14"/>
          <w:szCs w:val="14"/>
          <w:b w:val="1"/>
          <w:bCs w:val="1"/>
          <w:color w:val="auto"/>
        </w:rPr>
        <w:t xml:space="preserve"> </w:t>
      </w:r>
      <w:r>
        <w:rPr>
          <w:rFonts w:ascii="Arial" w:cs="Arial" w:eastAsia="Arial" w:hAnsi="Arial"/>
          <w:sz w:val="14"/>
          <w:szCs w:val="14"/>
          <w:color w:val="auto"/>
        </w:rPr>
        <w:t>and complete (other than clerical mistakes in addresses and other contact information).</w:t>
      </w:r>
    </w:p>
    <w:p>
      <w:pPr>
        <w:spacing w:after="0" w:line="150" w:lineRule="exact"/>
        <w:rPr>
          <w:sz w:val="20"/>
          <w:szCs w:val="20"/>
          <w:color w:val="auto"/>
        </w:rPr>
      </w:pPr>
    </w:p>
    <w:p>
      <w:pPr>
        <w:jc w:val="both"/>
        <w:ind w:left="1" w:firstLine="513"/>
        <w:spacing w:after="0" w:line="281" w:lineRule="auto"/>
        <w:rPr>
          <w:sz w:val="20"/>
          <w:szCs w:val="20"/>
          <w:color w:val="auto"/>
        </w:rPr>
      </w:pPr>
      <w:r>
        <w:rPr>
          <w:rFonts w:ascii="Arial" w:cs="Arial" w:eastAsia="Arial" w:hAnsi="Arial"/>
          <w:sz w:val="13"/>
          <w:szCs w:val="13"/>
          <w:color w:val="auto"/>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any of its Subsidiaries or any of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33"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3"/>
          <w:szCs w:val="13"/>
          <w:b w:val="1"/>
          <w:bCs w:val="1"/>
          <w:color w:val="auto"/>
        </w:rPr>
        <w:t>Collateral.</w:t>
      </w:r>
    </w:p>
    <w:p>
      <w:pPr>
        <w:spacing w:after="0" w:line="185" w:lineRule="exact"/>
        <w:rPr>
          <w:sz w:val="20"/>
          <w:szCs w:val="20"/>
          <w:color w:val="auto"/>
        </w:rPr>
      </w:pPr>
    </w:p>
    <w:p>
      <w:pPr>
        <w:jc w:val="both"/>
        <w:ind w:left="1" w:firstLine="1024"/>
        <w:spacing w:after="0" w:line="260" w:lineRule="auto"/>
        <w:tabs>
          <w:tab w:leader="none" w:pos="1593" w:val="left"/>
        </w:tabs>
        <w:numPr>
          <w:ilvl w:val="0"/>
          <w:numId w:val="72"/>
        </w:numPr>
        <w:rPr>
          <w:rFonts w:ascii="Arial" w:cs="Arial" w:eastAsia="Arial" w:hAnsi="Arial"/>
          <w:sz w:val="14"/>
          <w:szCs w:val="14"/>
          <w:color w:val="auto"/>
        </w:rPr>
      </w:pPr>
      <w:r>
        <w:rPr>
          <w:rFonts w:ascii="Arial" w:cs="Arial" w:eastAsia="Arial" w:hAnsi="Arial"/>
          <w:sz w:val="14"/>
          <w:szCs w:val="14"/>
          <w:color w:val="auto"/>
        </w:rPr>
        <w:t>Borrower and each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in respect of which Borrower or such Subsidiary has given Collateral Agent notice and taken such actions as are necessary to give Collateral Agent a perfected security interest therein as required under this Agreement. The Accounts are bona fide, existing obligations of the Account Debtors.</w:t>
      </w:r>
    </w:p>
    <w:p>
      <w:pPr>
        <w:spacing w:after="0" w:line="149" w:lineRule="exact"/>
        <w:rPr>
          <w:rFonts w:ascii="Arial" w:cs="Arial" w:eastAsia="Arial" w:hAnsi="Arial"/>
          <w:sz w:val="14"/>
          <w:szCs w:val="14"/>
          <w:color w:val="auto"/>
        </w:rPr>
      </w:pPr>
    </w:p>
    <w:p>
      <w:pPr>
        <w:ind w:left="1" w:firstLine="1024"/>
        <w:spacing w:after="0" w:line="284" w:lineRule="auto"/>
        <w:tabs>
          <w:tab w:leader="none" w:pos="1594"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security interest granted herein is and shall at all times continue to be a first priority perfected security interest in the Collateral, subject only to Permitted Liens that, under applicable law, have priority over Collateral Agent’s Lien.</w:t>
      </w:r>
    </w:p>
    <w:p>
      <w:pPr>
        <w:spacing w:after="0" w:line="131" w:lineRule="exact"/>
        <w:rPr>
          <w:rFonts w:ascii="Arial" w:cs="Arial" w:eastAsia="Arial" w:hAnsi="Arial"/>
          <w:sz w:val="14"/>
          <w:szCs w:val="14"/>
          <w:color w:val="auto"/>
        </w:rPr>
      </w:pPr>
    </w:p>
    <w:p>
      <w:pPr>
        <w:ind w:left="1" w:right="20" w:firstLine="1024"/>
        <w:spacing w:after="0" w:line="284" w:lineRule="auto"/>
        <w:tabs>
          <w:tab w:leader="none" w:pos="1549" w:val="left"/>
        </w:tabs>
        <w:numPr>
          <w:ilvl w:val="0"/>
          <w:numId w:val="72"/>
        </w:numPr>
        <w:rPr>
          <w:rFonts w:ascii="Arial" w:cs="Arial" w:eastAsia="Arial" w:hAnsi="Arial"/>
          <w:sz w:val="14"/>
          <w:szCs w:val="14"/>
          <w:color w:val="auto"/>
        </w:rPr>
      </w:pPr>
      <w:r>
        <w:rPr>
          <w:rFonts w:ascii="Arial" w:cs="Arial" w:eastAsia="Arial" w:hAnsi="Arial"/>
          <w:sz w:val="14"/>
          <w:szCs w:val="14"/>
          <w:color w:val="auto"/>
        </w:rPr>
        <w:t>On the Effective Date, and except as disclosed on the Disclosure Schedules (i) the Collateral is not in the possession of any third party bailee, and (ii) no such third party bailee possesses components of the Collateral in excess of Five Hundred Thousand Dollars ($500,000) in book value.</w:t>
      </w:r>
    </w:p>
    <w:p>
      <w:pPr>
        <w:spacing w:after="0" w:line="131" w:lineRule="exact"/>
        <w:rPr>
          <w:rFonts w:ascii="Arial" w:cs="Arial" w:eastAsia="Arial" w:hAnsi="Arial"/>
          <w:sz w:val="14"/>
          <w:szCs w:val="14"/>
          <w:color w:val="auto"/>
        </w:rPr>
      </w:pPr>
    </w:p>
    <w:p>
      <w:pPr>
        <w:ind w:left="1541" w:hanging="516"/>
        <w:spacing w:after="0"/>
        <w:tabs>
          <w:tab w:leader="none" w:pos="1541" w:val="left"/>
        </w:tabs>
        <w:numPr>
          <w:ilvl w:val="0"/>
          <w:numId w:val="72"/>
        </w:numPr>
        <w:rPr>
          <w:rFonts w:ascii="Arial" w:cs="Arial" w:eastAsia="Arial" w:hAnsi="Arial"/>
          <w:sz w:val="14"/>
          <w:szCs w:val="14"/>
          <w:color w:val="auto"/>
        </w:rPr>
      </w:pPr>
      <w:r>
        <w:rPr>
          <w:rFonts w:ascii="Arial" w:cs="Arial" w:eastAsia="Arial" w:hAnsi="Arial"/>
          <w:sz w:val="14"/>
          <w:szCs w:val="14"/>
          <w:color w:val="auto"/>
        </w:rPr>
        <w:t>All Inventory and Equipment is in all material respects of good and marketable quality, free from material defects.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87" w:name="page88"/>
    <w:bookmarkEnd w:id="87"/>
    <w:p>
      <w:pPr>
        <w:jc w:val="both"/>
        <w:ind w:firstLine="1024"/>
        <w:spacing w:after="0" w:line="264" w:lineRule="auto"/>
        <w:tabs>
          <w:tab w:leader="none" w:pos="1554" w:val="left"/>
        </w:tabs>
        <w:numPr>
          <w:ilvl w:val="0"/>
          <w:numId w:val="73"/>
        </w:numPr>
        <w:rPr>
          <w:rFonts w:ascii="Arial" w:cs="Arial" w:eastAsia="Arial" w:hAnsi="Arial"/>
          <w:sz w:val="14"/>
          <w:szCs w:val="14"/>
          <w:color w:val="auto"/>
        </w:rPr>
      </w:pPr>
      <w:r>
        <w:rPr>
          <w:rFonts w:ascii="Arial" w:cs="Arial" w:eastAsia="Arial" w:hAnsi="Arial"/>
          <w:sz w:val="14"/>
          <w:szCs w:val="14"/>
          <w:color w:val="auto"/>
        </w:rPr>
        <w:t>Borrower and each of its Subsidiaries is the sole owner of the Intellectual Property each respectively purports to own, free and clear of all Liens other than Permitted Liens. Except as noted on the Disclosure Schedules (which shall be updated within 45 days after the end of each fiscal quarter to reflect the consummation of any transaction not prohibited by this Agreement) or to be included in the next-delivered Compliance Certificate, neither Borrower nor any of its Subsidiaries is a party to, nor is bound by, any material license or other Material Agreement.</w:t>
      </w:r>
    </w:p>
    <w:p>
      <w:pPr>
        <w:spacing w:after="0" w:line="142"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4"/>
          <w:szCs w:val="14"/>
          <w:b w:val="1"/>
          <w:bCs w:val="1"/>
          <w:color w:val="auto"/>
        </w:rPr>
        <w:t xml:space="preserve">5.3 Litigation. </w:t>
      </w:r>
      <w:r>
        <w:rPr>
          <w:rFonts w:ascii="Arial" w:cs="Arial" w:eastAsia="Arial" w:hAnsi="Arial"/>
          <w:sz w:val="14"/>
          <w:szCs w:val="14"/>
          <w:color w:val="auto"/>
        </w:rPr>
        <w:t>Except as disclosed on the Perfection Certificate or with respect to which Borrower has provided notice as required hereunder, there are no</w:t>
      </w:r>
      <w:r>
        <w:rPr>
          <w:rFonts w:ascii="Arial" w:cs="Arial" w:eastAsia="Arial" w:hAnsi="Arial"/>
          <w:sz w:val="14"/>
          <w:szCs w:val="14"/>
          <w:b w:val="1"/>
          <w:bCs w:val="1"/>
          <w:color w:val="auto"/>
        </w:rPr>
        <w:t xml:space="preserve"> </w:t>
      </w:r>
      <w:r>
        <w:rPr>
          <w:rFonts w:ascii="Arial" w:cs="Arial" w:eastAsia="Arial" w:hAnsi="Arial"/>
          <w:sz w:val="14"/>
          <w:szCs w:val="14"/>
          <w:color w:val="auto"/>
        </w:rPr>
        <w:t>actions, suits, investigations, or proceedings pending or, to the knowledge of the Responsible Officers, threatened in writing by or against Borrower or any of its Subsidiaries involving more than Two Hundred Fifty Thousand Dollars ($250,000).</w:t>
      </w:r>
    </w:p>
    <w:p>
      <w:pPr>
        <w:spacing w:after="0" w:line="136" w:lineRule="exact"/>
        <w:rPr>
          <w:sz w:val="20"/>
          <w:szCs w:val="20"/>
          <w:color w:val="auto"/>
        </w:rPr>
      </w:pPr>
    </w:p>
    <w:p>
      <w:pPr>
        <w:jc w:val="both"/>
        <w:ind w:firstLine="513"/>
        <w:spacing w:after="0" w:line="302" w:lineRule="auto"/>
        <w:rPr>
          <w:sz w:val="20"/>
          <w:szCs w:val="20"/>
          <w:color w:val="auto"/>
        </w:rPr>
      </w:pPr>
      <w:r>
        <w:rPr>
          <w:rFonts w:ascii="Arial" w:cs="Arial" w:eastAsia="Arial" w:hAnsi="Arial"/>
          <w:sz w:val="13"/>
          <w:szCs w:val="13"/>
          <w:b w:val="1"/>
          <w:bCs w:val="1"/>
          <w:color w:val="auto"/>
        </w:rPr>
        <w:t xml:space="preserve">5.4 No Material Adverse Change; Financial Statements. </w:t>
      </w:r>
      <w:r>
        <w:rPr>
          <w:rFonts w:ascii="Arial" w:cs="Arial" w:eastAsia="Arial" w:hAnsi="Arial"/>
          <w:sz w:val="13"/>
          <w:szCs w:val="13"/>
          <w:color w:val="auto"/>
        </w:rPr>
        <w:t>All consolidated financial statements for Borrower and its consolidated Subsidiaries, delivered to</w:t>
      </w:r>
      <w:r>
        <w:rPr>
          <w:rFonts w:ascii="Arial" w:cs="Arial" w:eastAsia="Arial" w:hAnsi="Arial"/>
          <w:sz w:val="13"/>
          <w:szCs w:val="13"/>
          <w:b w:val="1"/>
          <w:bCs w:val="1"/>
          <w:color w:val="auto"/>
        </w:rPr>
        <w:t xml:space="preserve"> </w:t>
      </w:r>
      <w:r>
        <w:rPr>
          <w:rFonts w:ascii="Arial" w:cs="Arial" w:eastAsia="Arial" w:hAnsi="Arial"/>
          <w:sz w:val="13"/>
          <w:szCs w:val="13"/>
          <w:color w:val="auto"/>
        </w:rPr>
        <w:t>Collateral Agent fairly present, in conformity with GAAP, and in all material respects the consolidated financial condition of Borrower and its consolidated Subsidiaries, and the consolidated results of operations of Borrower and its consolidated Subsidiaries. Since December 31, 2017, there has not been a Material Adverse Change.</w:t>
      </w:r>
    </w:p>
    <w:p>
      <w:pPr>
        <w:spacing w:after="0" w:line="11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2"/>
          <w:szCs w:val="12"/>
          <w:b w:val="1"/>
          <w:bCs w:val="1"/>
          <w:color w:val="auto"/>
        </w:rPr>
        <w:t xml:space="preserve">Solvency. </w:t>
      </w:r>
      <w:r>
        <w:rPr>
          <w:rFonts w:ascii="Arial" w:cs="Arial" w:eastAsia="Arial" w:hAnsi="Arial"/>
          <w:sz w:val="12"/>
          <w:szCs w:val="12"/>
          <w:color w:val="auto"/>
        </w:rPr>
        <w:t>Borrower is Solvent. Borrower and each of its Subsidiaries, when taken as a whole, is Solvent.</w:t>
      </w:r>
    </w:p>
    <w:p>
      <w:pPr>
        <w:spacing w:after="0" w:line="181" w:lineRule="exact"/>
        <w:rPr>
          <w:sz w:val="20"/>
          <w:szCs w:val="20"/>
          <w:color w:val="auto"/>
        </w:rPr>
      </w:pPr>
    </w:p>
    <w:p>
      <w:pPr>
        <w:jc w:val="both"/>
        <w:ind w:firstLine="513"/>
        <w:spacing w:after="0" w:line="281" w:lineRule="auto"/>
        <w:rPr>
          <w:sz w:val="20"/>
          <w:szCs w:val="20"/>
          <w:color w:val="auto"/>
        </w:rPr>
      </w:pPr>
      <w:r>
        <w:rPr>
          <w:rFonts w:ascii="Arial" w:cs="Arial" w:eastAsia="Arial" w:hAnsi="Arial"/>
          <w:sz w:val="13"/>
          <w:szCs w:val="13"/>
          <w:b w:val="1"/>
          <w:bCs w:val="1"/>
          <w:color w:val="auto"/>
        </w:rPr>
        <w:t xml:space="preserve">5.6 Regulatory Compliance. </w:t>
      </w:r>
      <w:r>
        <w:rPr>
          <w:rFonts w:ascii="Arial" w:cs="Arial" w:eastAsia="Arial" w:hAnsi="Arial"/>
          <w:sz w:val="13"/>
          <w:szCs w:val="13"/>
          <w:color w:val="auto"/>
        </w:rPr>
        <w:t>Neither Borrower nor any of its Subsidiaries is an “investment company” or a company “controlled” by an “investment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37" w:lineRule="exact"/>
        <w:rPr>
          <w:sz w:val="20"/>
          <w:szCs w:val="20"/>
          <w:color w:val="auto"/>
        </w:rPr>
      </w:pPr>
    </w:p>
    <w:p>
      <w:pPr>
        <w:jc w:val="both"/>
        <w:ind w:firstLine="513"/>
        <w:spacing w:after="0" w:line="172" w:lineRule="exact"/>
        <w:rPr>
          <w:sz w:val="20"/>
          <w:szCs w:val="20"/>
          <w:color w:val="auto"/>
        </w:rPr>
      </w:pPr>
      <w:r>
        <w:rPr>
          <w:rFonts w:ascii="Arial" w:cs="Arial" w:eastAsia="Arial" w:hAnsi="Arial"/>
          <w:sz w:val="14"/>
          <w:szCs w:val="14"/>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w:t>
      </w:r>
      <w:r>
        <w:rPr>
          <w:rFonts w:ascii="MS PGothic" w:cs="MS PGothic" w:eastAsia="MS PGothic" w:hAnsi="MS PGothic"/>
          <w:sz w:val="14"/>
          <w:szCs w:val="14"/>
          <w:color w:val="auto"/>
        </w:rPr>
        <w:t>‑</w:t>
      </w:r>
      <w:r>
        <w:rPr>
          <w:rFonts w:ascii="Arial" w:cs="Arial" w:eastAsia="Arial" w:hAnsi="Arial"/>
          <w:sz w:val="14"/>
          <w:szCs w:val="14"/>
          <w:color w:val="auto"/>
        </w:rPr>
        <w:t>Terrorism Law, (ii) engaging in or conspiring to engage in any transaction that evades or avoids, or has the purpose of evading or avoiding or attempts to violate, any of the prohibitions set forth in any Anti</w:t>
      </w:r>
      <w:r>
        <w:rPr>
          <w:rFonts w:ascii="MS PGothic" w:cs="MS PGothic" w:eastAsia="MS PGothic" w:hAnsi="MS PGothic"/>
          <w:sz w:val="14"/>
          <w:szCs w:val="14"/>
          <w:color w:val="auto"/>
        </w:rPr>
        <w:t>‑</w:t>
      </w:r>
      <w:r>
        <w:rPr>
          <w:rFonts w:ascii="Arial" w:cs="Arial" w:eastAsia="Arial" w:hAnsi="Arial"/>
          <w:sz w:val="14"/>
          <w:szCs w:val="14"/>
          <w:color w:val="auto"/>
        </w:rPr>
        <w:t>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w:t>
      </w:r>
      <w:r>
        <w:rPr>
          <w:rFonts w:ascii="MS PGothic" w:cs="MS PGothic" w:eastAsia="MS PGothic" w:hAnsi="MS PGothic"/>
          <w:sz w:val="14"/>
          <w:szCs w:val="14"/>
          <w:color w:val="auto"/>
        </w:rPr>
        <w:t>‑</w:t>
      </w:r>
      <w:r>
        <w:rPr>
          <w:rFonts w:ascii="Arial" w:cs="Arial" w:eastAsia="Arial" w:hAnsi="Arial"/>
          <w:sz w:val="14"/>
          <w:szCs w:val="14"/>
          <w:color w:val="auto"/>
        </w:rPr>
        <w:t>Terrorism Law.</w:t>
      </w:r>
    </w:p>
    <w:p>
      <w:pPr>
        <w:spacing w:after="0" w:line="16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b w:val="1"/>
          <w:bCs w:val="1"/>
          <w:color w:val="auto"/>
        </w:rPr>
        <w:t xml:space="preserve">5.7 Investments. </w:t>
      </w:r>
      <w:r>
        <w:rPr>
          <w:rFonts w:ascii="Arial" w:cs="Arial" w:eastAsia="Arial" w:hAnsi="Arial"/>
          <w:sz w:val="14"/>
          <w:szCs w:val="14"/>
          <w:color w:val="auto"/>
        </w:rPr>
        <w:t>Neither Borrower nor any of its Subsidiaries owns any stock, shares, partnership interests or other equity securities except for Permitted</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w:t>
      </w:r>
    </w:p>
    <w:p>
      <w:pPr>
        <w:spacing w:after="0" w:line="123" w:lineRule="exact"/>
        <w:rPr>
          <w:sz w:val="20"/>
          <w:szCs w:val="20"/>
          <w:color w:val="auto"/>
        </w:rPr>
      </w:pPr>
    </w:p>
    <w:p>
      <w:pPr>
        <w:jc w:val="both"/>
        <w:ind w:firstLine="513"/>
        <w:spacing w:after="0" w:line="293" w:lineRule="auto"/>
        <w:rPr>
          <w:sz w:val="20"/>
          <w:szCs w:val="20"/>
          <w:color w:val="auto"/>
        </w:rPr>
      </w:pPr>
      <w:r>
        <w:rPr>
          <w:rFonts w:ascii="Arial" w:cs="Arial" w:eastAsia="Arial" w:hAnsi="Arial"/>
          <w:sz w:val="13"/>
          <w:szCs w:val="13"/>
          <w:b w:val="1"/>
          <w:bCs w:val="1"/>
          <w:color w:val="auto"/>
        </w:rPr>
        <w:t xml:space="preserve">5.8 Tax Returns and Payments; Pension Contributions. </w:t>
      </w:r>
      <w:r>
        <w:rPr>
          <w:rFonts w:ascii="Arial" w:cs="Arial" w:eastAsia="Arial" w:hAnsi="Arial"/>
          <w:sz w:val="13"/>
          <w:szCs w:val="13"/>
          <w:color w:val="auto"/>
        </w:rPr>
        <w:t>Borrower and each of its Subsidiaries has timely filed all required tax returns and reports, each such</w:t>
      </w:r>
      <w:r>
        <w:rPr>
          <w:rFonts w:ascii="Arial" w:cs="Arial" w:eastAsia="Arial" w:hAnsi="Arial"/>
          <w:sz w:val="13"/>
          <w:szCs w:val="13"/>
          <w:b w:val="1"/>
          <w:bCs w:val="1"/>
          <w:color w:val="auto"/>
        </w:rPr>
        <w:t xml:space="preserve"> </w:t>
      </w:r>
      <w:r>
        <w:rPr>
          <w:rFonts w:ascii="Arial" w:cs="Arial" w:eastAsia="Arial" w:hAnsi="Arial"/>
          <w:sz w:val="13"/>
          <w:szCs w:val="13"/>
          <w:color w:val="auto"/>
        </w:rPr>
        <w:t>tax return is true, correct and complete in all material respects, and Borrower and each of its Subsidiaries, has timely paid all foreign, federal, state, and local taxes, assessments, deposits and contributions owed by Borrower and such Subsidiaries in an amount greater than Fifty Thousand Dollars ($50,000), in all jurisdictions in which Borrower or any such Subsidiary is subject to taxes, including the United States, unless such taxes are being contested in accordance with the next sentence. Borrower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88" w:name="page89"/>
    <w:bookmarkEnd w:id="88"/>
    <w:p>
      <w:pPr>
        <w:jc w:val="both"/>
        <w:ind w:left="1"/>
        <w:spacing w:after="0" w:line="280" w:lineRule="auto"/>
        <w:rPr>
          <w:sz w:val="20"/>
          <w:szCs w:val="20"/>
          <w:color w:val="auto"/>
        </w:rPr>
      </w:pPr>
      <w:r>
        <w:rPr>
          <w:rFonts w:ascii="Arial" w:cs="Arial" w:eastAsia="Arial" w:hAnsi="Arial"/>
          <w:sz w:val="13"/>
          <w:szCs w:val="13"/>
          <w:color w:val="auto"/>
        </w:rPr>
        <w:t>and each of its Subsidiaries, may defer payment of any contested taxes, provided that Borrower or such Subsidiary, (a) in good faith contests its obligation to pay the taxes by appropriate proceedings promptly and diligently instituted and conducted; (b) notifies Collateral Agent of the commencement of, and any material development in, the proceeding; and (c) adequate reserves or other appropriate provisions are maintained on the books of such Borrower or Subsidiary, as applicable, in accordance with GAAP and which do not involve, in the reasonable judgment of the Collateral Agent, any risk of the sale, forfeiture or loss of any material portion of the Collateral.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35"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b w:val="1"/>
          <w:bCs w:val="1"/>
          <w:color w:val="auto"/>
        </w:rPr>
        <w:t xml:space="preserve">5.9 Use of Proceeds. </w:t>
      </w:r>
      <w:r>
        <w:rPr>
          <w:rFonts w:ascii="Arial" w:cs="Arial" w:eastAsia="Arial" w:hAnsi="Arial"/>
          <w:sz w:val="14"/>
          <w:szCs w:val="14"/>
          <w:color w:val="auto"/>
        </w:rPr>
        <w:t>Borrower shall use the proceeds of the Term Loan as working capital and to fund its general business requirements, and not for personal,</w:t>
      </w:r>
      <w:r>
        <w:rPr>
          <w:rFonts w:ascii="Arial" w:cs="Arial" w:eastAsia="Arial" w:hAnsi="Arial"/>
          <w:sz w:val="14"/>
          <w:szCs w:val="14"/>
          <w:b w:val="1"/>
          <w:bCs w:val="1"/>
          <w:color w:val="auto"/>
        </w:rPr>
        <w:t xml:space="preserve"> </w:t>
      </w:r>
      <w:r>
        <w:rPr>
          <w:rFonts w:ascii="Arial" w:cs="Arial" w:eastAsia="Arial" w:hAnsi="Arial"/>
          <w:sz w:val="14"/>
          <w:szCs w:val="14"/>
          <w:color w:val="auto"/>
        </w:rPr>
        <w:t>family, household or agricultural purposes.</w:t>
      </w:r>
    </w:p>
    <w:p>
      <w:pPr>
        <w:spacing w:after="0" w:line="123" w:lineRule="exact"/>
        <w:rPr>
          <w:sz w:val="20"/>
          <w:szCs w:val="20"/>
          <w:color w:val="auto"/>
        </w:rPr>
      </w:pPr>
    </w:p>
    <w:p>
      <w:pPr>
        <w:jc w:val="both"/>
        <w:ind w:left="1" w:firstLine="513"/>
        <w:spacing w:after="0" w:line="261" w:lineRule="auto"/>
        <w:rPr>
          <w:sz w:val="20"/>
          <w:szCs w:val="20"/>
          <w:color w:val="auto"/>
        </w:rPr>
      </w:pPr>
      <w:r>
        <w:rPr>
          <w:rFonts w:ascii="Arial" w:cs="Arial" w:eastAsia="Arial" w:hAnsi="Arial"/>
          <w:sz w:val="14"/>
          <w:szCs w:val="14"/>
          <w:b w:val="1"/>
          <w:bCs w:val="1"/>
          <w:color w:val="auto"/>
        </w:rPr>
        <w:t xml:space="preserve">5.10 Full Disclosure. </w:t>
      </w:r>
      <w:r>
        <w:rPr>
          <w:rFonts w:ascii="Arial" w:cs="Arial" w:eastAsia="Arial" w:hAnsi="Arial"/>
          <w:sz w:val="14"/>
          <w:szCs w:val="14"/>
          <w:color w:val="auto"/>
        </w:rPr>
        <w:t>No written representation, warranty or other statement of Borrower or any of its Subsidiaries in any certificate or written statement, when</w:t>
      </w:r>
      <w:r>
        <w:rPr>
          <w:rFonts w:ascii="Arial" w:cs="Arial" w:eastAsia="Arial" w:hAnsi="Arial"/>
          <w:sz w:val="14"/>
          <w:szCs w:val="14"/>
          <w:b w:val="1"/>
          <w:bCs w:val="1"/>
          <w:color w:val="auto"/>
        </w:rPr>
        <w:t xml:space="preserve"> </w:t>
      </w:r>
      <w:r>
        <w:rPr>
          <w:rFonts w:ascii="Arial" w:cs="Arial" w:eastAsia="Arial" w:hAnsi="Arial"/>
          <w:sz w:val="14"/>
          <w:szCs w:val="14"/>
          <w:color w:val="auto"/>
        </w:rPr>
        <w:t>taken as a whole,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45" w:lineRule="exact"/>
        <w:rPr>
          <w:sz w:val="20"/>
          <w:szCs w:val="20"/>
          <w:color w:val="auto"/>
        </w:rPr>
      </w:pPr>
    </w:p>
    <w:p>
      <w:pPr>
        <w:ind w:left="541" w:hanging="541"/>
        <w:spacing w:after="0"/>
        <w:tabs>
          <w:tab w:leader="none" w:pos="541"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AFFIRMATIVE COVENANTS</w:t>
      </w:r>
    </w:p>
    <w:p>
      <w:pPr>
        <w:spacing w:after="0" w:line="185" w:lineRule="exact"/>
        <w:rPr>
          <w:sz w:val="20"/>
          <w:szCs w:val="20"/>
          <w:color w:val="auto"/>
        </w:rPr>
      </w:pPr>
    </w:p>
    <w:p>
      <w:pPr>
        <w:ind w:left="521"/>
        <w:spacing w:after="0"/>
        <w:rPr>
          <w:sz w:val="20"/>
          <w:szCs w:val="20"/>
          <w:color w:val="auto"/>
        </w:rPr>
      </w:pPr>
      <w:r>
        <w:rPr>
          <w:rFonts w:ascii="Arial" w:cs="Arial" w:eastAsia="Arial" w:hAnsi="Arial"/>
          <w:sz w:val="14"/>
          <w:szCs w:val="14"/>
          <w:color w:val="auto"/>
        </w:rPr>
        <w:t>Borrower shall, and shall cause each of its Subsidiaries to, do all of the following:</w:t>
      </w:r>
    </w:p>
    <w:p>
      <w:pPr>
        <w:spacing w:after="0" w:line="177"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3"/>
          <w:szCs w:val="13"/>
          <w:b w:val="1"/>
          <w:bCs w:val="1"/>
          <w:color w:val="auto"/>
        </w:rPr>
        <w:t>Government Compliance.</w:t>
      </w:r>
    </w:p>
    <w:p>
      <w:pPr>
        <w:spacing w:after="0" w:line="185" w:lineRule="exact"/>
        <w:rPr>
          <w:sz w:val="20"/>
          <w:szCs w:val="20"/>
          <w:color w:val="auto"/>
        </w:rPr>
      </w:pPr>
    </w:p>
    <w:p>
      <w:pPr>
        <w:jc w:val="both"/>
        <w:ind w:left="1" w:firstLine="1024"/>
        <w:spacing w:after="0" w:line="264" w:lineRule="auto"/>
        <w:tabs>
          <w:tab w:leader="none" w:pos="1565" w:val="left"/>
        </w:tabs>
        <w:numPr>
          <w:ilvl w:val="0"/>
          <w:numId w:val="75"/>
        </w:numPr>
        <w:rPr>
          <w:rFonts w:ascii="Arial" w:cs="Arial" w:eastAsia="Arial" w:hAnsi="Arial"/>
          <w:sz w:val="14"/>
          <w:szCs w:val="14"/>
          <w:color w:val="auto"/>
        </w:rPr>
      </w:pPr>
      <w:r>
        <w:rPr>
          <w:rFonts w:ascii="Arial" w:cs="Arial" w:eastAsia="Arial" w:hAnsi="Arial"/>
          <w:sz w:val="14"/>
          <w:szCs w:val="14"/>
          <w:color w:val="auto"/>
        </w:rPr>
        <w:t>Other than specifically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45" w:lineRule="exact"/>
        <w:rPr>
          <w:rFonts w:ascii="Arial" w:cs="Arial" w:eastAsia="Arial" w:hAnsi="Arial"/>
          <w:sz w:val="14"/>
          <w:szCs w:val="14"/>
          <w:color w:val="auto"/>
        </w:rPr>
      </w:pPr>
    </w:p>
    <w:p>
      <w:pPr>
        <w:jc w:val="both"/>
        <w:ind w:left="1" w:firstLine="1024"/>
        <w:spacing w:after="0" w:line="269" w:lineRule="auto"/>
        <w:tabs>
          <w:tab w:leader="none" w:pos="1581" w:val="left"/>
        </w:tabs>
        <w:numPr>
          <w:ilvl w:val="0"/>
          <w:numId w:val="75"/>
        </w:numPr>
        <w:rPr>
          <w:rFonts w:ascii="Arial" w:cs="Arial" w:eastAsia="Arial" w:hAnsi="Arial"/>
          <w:sz w:val="14"/>
          <w:szCs w:val="14"/>
          <w:color w:val="auto"/>
        </w:rPr>
      </w:pPr>
      <w:r>
        <w:rPr>
          <w:rFonts w:ascii="Arial" w:cs="Arial" w:eastAsia="Arial" w:hAnsi="Arial"/>
          <w:sz w:val="14"/>
          <w:szCs w:val="14"/>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Secured Parties, in all of the Collateral.</w:t>
      </w:r>
    </w:p>
    <w:p>
      <w:pPr>
        <w:spacing w:after="0" w:line="138"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2"/>
          <w:szCs w:val="12"/>
          <w:b w:val="1"/>
          <w:bCs w:val="1"/>
          <w:color w:val="auto"/>
        </w:rPr>
        <w:t>Financial Statements, Reports, Certificates; Notices.</w:t>
      </w:r>
    </w:p>
    <w:p>
      <w:pPr>
        <w:spacing w:after="0" w:line="185" w:lineRule="exact"/>
        <w:rPr>
          <w:sz w:val="20"/>
          <w:szCs w:val="20"/>
          <w:color w:val="auto"/>
        </w:rPr>
      </w:pPr>
    </w:p>
    <w:p>
      <w:pPr>
        <w:ind w:left="1541" w:hanging="516"/>
        <w:spacing w:after="0"/>
        <w:tabs>
          <w:tab w:leader="none" w:pos="1541" w:val="left"/>
        </w:tabs>
        <w:numPr>
          <w:ilvl w:val="0"/>
          <w:numId w:val="76"/>
        </w:numPr>
        <w:rPr>
          <w:rFonts w:ascii="Arial" w:cs="Arial" w:eastAsia="Arial" w:hAnsi="Arial"/>
          <w:sz w:val="14"/>
          <w:szCs w:val="14"/>
          <w:color w:val="auto"/>
        </w:rPr>
      </w:pPr>
      <w:r>
        <w:rPr>
          <w:rFonts w:ascii="Arial" w:cs="Arial" w:eastAsia="Arial" w:hAnsi="Arial"/>
          <w:sz w:val="14"/>
          <w:szCs w:val="14"/>
          <w:color w:val="auto"/>
        </w:rPr>
        <w:t>Deliver to Collateral Agent:</w:t>
      </w:r>
    </w:p>
    <w:p>
      <w:pPr>
        <w:spacing w:after="0" w:line="180" w:lineRule="exact"/>
        <w:rPr>
          <w:rFonts w:ascii="Arial" w:cs="Arial" w:eastAsia="Arial" w:hAnsi="Arial"/>
          <w:sz w:val="14"/>
          <w:szCs w:val="14"/>
          <w:color w:val="auto"/>
        </w:rPr>
      </w:pPr>
    </w:p>
    <w:p>
      <w:pPr>
        <w:jc w:val="both"/>
        <w:ind w:left="1" w:firstLine="1537"/>
        <w:spacing w:after="0" w:line="264" w:lineRule="auto"/>
        <w:tabs>
          <w:tab w:leader="none" w:pos="2129" w:val="left"/>
        </w:tabs>
        <w:numPr>
          <w:ilvl w:val="1"/>
          <w:numId w:val="76"/>
        </w:numPr>
        <w:rPr>
          <w:rFonts w:ascii="Arial" w:cs="Arial" w:eastAsia="Arial" w:hAnsi="Arial"/>
          <w:sz w:val="14"/>
          <w:szCs w:val="14"/>
          <w:color w:val="auto"/>
        </w:rPr>
      </w:pPr>
      <w:r>
        <w:rPr>
          <w:rFonts w:ascii="Arial" w:cs="Arial" w:eastAsia="Arial" w:hAnsi="Arial"/>
          <w:sz w:val="14"/>
          <w:szCs w:val="14"/>
          <w:color w:val="auto"/>
        </w:rPr>
        <w:t>commencing with the month ending May 31, 2018, as soon as available, but no later than thirty (30) days after the last day of each month (forty-five (45) days after the last day of the final month of each quarter), a company prepared consolidated and, if prepared by Borrower or if reasonably requested by the Lenders, consolidating balance sheet, income statement and cash flow statement covering the consolidated operations of Borrower and its consolidated Subsidiaries for such month certified by a Responsible Officer and in a form reasonably acceptable to the Collateral Agent;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89" w:name="page90"/>
    <w:bookmarkEnd w:id="89"/>
    <w:p>
      <w:pPr>
        <w:jc w:val="both"/>
        <w:ind w:left="1" w:firstLine="1537"/>
        <w:spacing w:after="0" w:line="291" w:lineRule="auto"/>
        <w:tabs>
          <w:tab w:leader="none" w:pos="2071" w:val="left"/>
        </w:tabs>
        <w:numPr>
          <w:ilvl w:val="1"/>
          <w:numId w:val="77"/>
        </w:numPr>
        <w:rPr>
          <w:rFonts w:ascii="Arial" w:cs="Arial" w:eastAsia="Arial" w:hAnsi="Arial"/>
          <w:sz w:val="13"/>
          <w:szCs w:val="13"/>
          <w:color w:val="auto"/>
        </w:rPr>
      </w:pPr>
      <w:r>
        <w:rPr>
          <w:rFonts w:ascii="Arial" w:cs="Arial" w:eastAsia="Arial" w:hAnsi="Arial"/>
          <w:sz w:val="13"/>
          <w:szCs w:val="13"/>
          <w:color w:val="auto"/>
        </w:rPr>
        <w:t>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(other than with respect to a going concern limitation based solely on the amount of cash and Cash Equivalents held by Borrower) on the financial statements from an independent certified public accounting firm acceptable to Collateral Agent in its reasonable discretion;</w:t>
      </w:r>
    </w:p>
    <w:p>
      <w:pPr>
        <w:spacing w:after="0" w:line="129" w:lineRule="exact"/>
        <w:rPr>
          <w:rFonts w:ascii="Arial" w:cs="Arial" w:eastAsia="Arial" w:hAnsi="Arial"/>
          <w:sz w:val="13"/>
          <w:szCs w:val="13"/>
          <w:color w:val="auto"/>
        </w:rPr>
      </w:pPr>
    </w:p>
    <w:p>
      <w:pPr>
        <w:jc w:val="both"/>
        <w:ind w:left="1" w:firstLine="1537"/>
        <w:spacing w:after="0" w:line="299" w:lineRule="auto"/>
        <w:tabs>
          <w:tab w:leader="none" w:pos="2211" w:val="left"/>
        </w:tabs>
        <w:numPr>
          <w:ilvl w:val="1"/>
          <w:numId w:val="77"/>
        </w:numPr>
        <w:rPr>
          <w:rFonts w:ascii="Arial" w:cs="Arial" w:eastAsia="Arial" w:hAnsi="Arial"/>
          <w:sz w:val="13"/>
          <w:szCs w:val="13"/>
          <w:color w:val="auto"/>
        </w:rPr>
      </w:pPr>
      <w:r>
        <w:rPr>
          <w:rFonts w:ascii="Arial" w:cs="Arial" w:eastAsia="Arial" w:hAnsi="Arial"/>
          <w:sz w:val="13"/>
          <w:szCs w:val="13"/>
          <w:color w:val="auto"/>
        </w:rPr>
        <w:t>no later than sixty (60) days after the last day of Borrower’s fiscal year, but no later than ten (10) days’ after approval thereof by the Borrower’s board of directors, Borrower’s annual financial projections for the entire current fiscal year as approved by Borrower’s board of directors; provided that, any revisions to such projections approved by Borrower’s board of directors shall be delivered to Collateral Agent and the Lenders no later than seven (7) days after such approval);</w:t>
      </w:r>
    </w:p>
    <w:p>
      <w:pPr>
        <w:spacing w:after="0" w:line="124" w:lineRule="exact"/>
        <w:rPr>
          <w:rFonts w:ascii="Arial" w:cs="Arial" w:eastAsia="Arial" w:hAnsi="Arial"/>
          <w:sz w:val="13"/>
          <w:szCs w:val="13"/>
          <w:color w:val="auto"/>
        </w:rPr>
      </w:pPr>
    </w:p>
    <w:p>
      <w:pPr>
        <w:jc w:val="both"/>
        <w:ind w:left="1" w:firstLine="1537"/>
        <w:spacing w:after="0" w:line="291" w:lineRule="auto"/>
        <w:tabs>
          <w:tab w:leader="none" w:pos="2185" w:val="left"/>
        </w:tabs>
        <w:numPr>
          <w:ilvl w:val="1"/>
          <w:numId w:val="77"/>
        </w:numPr>
        <w:rPr>
          <w:rFonts w:ascii="Arial" w:cs="Arial" w:eastAsia="Arial" w:hAnsi="Arial"/>
          <w:sz w:val="13"/>
          <w:szCs w:val="13"/>
          <w:color w:val="auto"/>
        </w:rPr>
      </w:pPr>
      <w:r>
        <w:rPr>
          <w:rFonts w:ascii="Arial" w:cs="Arial" w:eastAsia="Arial" w:hAnsi="Arial"/>
          <w:sz w:val="13"/>
          <w:szCs w:val="13"/>
          <w:color w:val="auto"/>
        </w:rPr>
        <w:t>together with the delivery of the Compliance Certificate, copies of all non-ministerial statements, reports and notices made available to Borrower’s security holders or holders of Subordinated Debt (except as otherwise required to be delivered hereunder, other than materials provided to members of Borrower’s board of directors solely in their capacities as board members or management of Borrower) or holders of Subordinated Debt (except as otherwise required to be delivered hereunder, other than materials provided to members of Borrower’s board of directors solely in their capacities as board members or management of Borrower);</w:t>
      </w:r>
    </w:p>
    <w:p>
      <w:pPr>
        <w:spacing w:after="0" w:line="129" w:lineRule="exact"/>
        <w:rPr>
          <w:rFonts w:ascii="Arial" w:cs="Arial" w:eastAsia="Arial" w:hAnsi="Arial"/>
          <w:sz w:val="13"/>
          <w:szCs w:val="13"/>
          <w:color w:val="auto"/>
        </w:rPr>
      </w:pPr>
    </w:p>
    <w:p>
      <w:pPr>
        <w:ind w:left="1" w:firstLine="1537"/>
        <w:spacing w:after="0" w:line="176" w:lineRule="exact"/>
        <w:tabs>
          <w:tab w:leader="none" w:pos="2136" w:val="left"/>
        </w:tabs>
        <w:numPr>
          <w:ilvl w:val="1"/>
          <w:numId w:val="77"/>
        </w:numPr>
        <w:rPr>
          <w:rFonts w:ascii="Arial" w:cs="Arial" w:eastAsia="Arial" w:hAnsi="Arial"/>
          <w:sz w:val="14"/>
          <w:szCs w:val="14"/>
          <w:color w:val="auto"/>
        </w:rPr>
      </w:pPr>
      <w:r>
        <w:rPr>
          <w:rFonts w:ascii="Arial" w:cs="Arial" w:eastAsia="Arial" w:hAnsi="Arial"/>
          <w:sz w:val="14"/>
          <w:szCs w:val="14"/>
          <w:color w:val="auto"/>
        </w:rPr>
        <w:t>with each Compliance Certificate, copies of the month</w:t>
      </w:r>
      <w:r>
        <w:rPr>
          <w:rFonts w:ascii="MS PGothic" w:cs="MS PGothic" w:eastAsia="MS PGothic" w:hAnsi="MS PGothic"/>
          <w:sz w:val="14"/>
          <w:szCs w:val="14"/>
          <w:color w:val="auto"/>
        </w:rPr>
        <w:t>‑</w:t>
      </w:r>
      <w:r>
        <w:rPr>
          <w:rFonts w:ascii="Arial" w:cs="Arial" w:eastAsia="Arial" w:hAnsi="Arial"/>
          <w:sz w:val="14"/>
          <w:szCs w:val="14"/>
          <w:color w:val="auto"/>
        </w:rPr>
        <w:t>end account statements for each Collateral Account maintained by Borrower or its Subsidiaries, which statements may be provided to Collateral Agent and each Lender by Borrower or directly from the applicable institution(s);</w:t>
      </w:r>
    </w:p>
    <w:p>
      <w:pPr>
        <w:spacing w:after="0" w:line="161" w:lineRule="exact"/>
        <w:rPr>
          <w:rFonts w:ascii="Arial" w:cs="Arial" w:eastAsia="Arial" w:hAnsi="Arial"/>
          <w:sz w:val="14"/>
          <w:szCs w:val="14"/>
          <w:color w:val="auto"/>
        </w:rPr>
      </w:pPr>
    </w:p>
    <w:p>
      <w:pPr>
        <w:jc w:val="both"/>
        <w:ind w:left="1" w:firstLine="1537"/>
        <w:spacing w:after="0" w:line="269" w:lineRule="auto"/>
        <w:tabs>
          <w:tab w:leader="none" w:pos="2094" w:val="left"/>
        </w:tabs>
        <w:numPr>
          <w:ilvl w:val="1"/>
          <w:numId w:val="77"/>
        </w:numPr>
        <w:rPr>
          <w:rFonts w:ascii="Arial" w:cs="Arial" w:eastAsia="Arial" w:hAnsi="Arial"/>
          <w:sz w:val="14"/>
          <w:szCs w:val="14"/>
          <w:color w:val="auto"/>
        </w:rPr>
      </w:pPr>
      <w:r>
        <w:rPr>
          <w:rFonts w:ascii="Arial" w:cs="Arial" w:eastAsia="Arial" w:hAnsi="Arial"/>
          <w:sz w:val="14"/>
          <w:szCs w:val="14"/>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spacing w:after="0" w:line="142" w:lineRule="exact"/>
        <w:rPr>
          <w:rFonts w:ascii="Arial" w:cs="Arial" w:eastAsia="Arial" w:hAnsi="Arial"/>
          <w:sz w:val="14"/>
          <w:szCs w:val="14"/>
          <w:color w:val="auto"/>
        </w:rPr>
      </w:pPr>
    </w:p>
    <w:p>
      <w:pPr>
        <w:ind w:left="2101" w:hanging="563"/>
        <w:spacing w:after="0"/>
        <w:tabs>
          <w:tab w:leader="none" w:pos="2101" w:val="left"/>
        </w:tabs>
        <w:numPr>
          <w:ilvl w:val="1"/>
          <w:numId w:val="77"/>
        </w:numPr>
        <w:rPr>
          <w:rFonts w:ascii="Arial" w:cs="Arial" w:eastAsia="Arial" w:hAnsi="Arial"/>
          <w:sz w:val="13"/>
          <w:szCs w:val="13"/>
          <w:color w:val="auto"/>
        </w:rPr>
      </w:pPr>
      <w:r>
        <w:rPr>
          <w:rFonts w:ascii="Arial" w:cs="Arial" w:eastAsia="Arial" w:hAnsi="Arial"/>
          <w:sz w:val="13"/>
          <w:szCs w:val="13"/>
          <w:color w:val="auto"/>
        </w:rPr>
        <w:t>prompt notice of any event that (A) could reasonably be expected to materially and adversely affect the value of the Intellectual Property or</w:t>
      </w:r>
    </w:p>
    <w:p>
      <w:pPr>
        <w:spacing w:after="0" w:line="31" w:lineRule="exact"/>
        <w:rPr>
          <w:rFonts w:ascii="Arial" w:cs="Arial" w:eastAsia="Arial" w:hAnsi="Arial"/>
          <w:sz w:val="13"/>
          <w:szCs w:val="13"/>
          <w:color w:val="auto"/>
        </w:rPr>
      </w:pPr>
    </w:p>
    <w:p>
      <w:pPr>
        <w:ind w:left="221" w:hanging="221"/>
        <w:spacing w:after="0"/>
        <w:tabs>
          <w:tab w:leader="none" w:pos="221"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could reasonably be expected to result in a Material Adverse Change;</w:t>
      </w:r>
    </w:p>
    <w:p>
      <w:pPr>
        <w:spacing w:after="0" w:line="170" w:lineRule="exact"/>
        <w:rPr>
          <w:rFonts w:ascii="Arial" w:cs="Arial" w:eastAsia="Arial" w:hAnsi="Arial"/>
          <w:sz w:val="14"/>
          <w:szCs w:val="14"/>
          <w:color w:val="auto"/>
        </w:rPr>
      </w:pPr>
    </w:p>
    <w:p>
      <w:pPr>
        <w:ind w:left="2081" w:hanging="543"/>
        <w:spacing w:after="0"/>
        <w:tabs>
          <w:tab w:leader="none" w:pos="2081" w:val="left"/>
        </w:tabs>
        <w:numPr>
          <w:ilvl w:val="1"/>
          <w:numId w:val="78"/>
        </w:numPr>
        <w:rPr>
          <w:rFonts w:ascii="Arial" w:cs="Arial" w:eastAsia="Arial" w:hAnsi="Arial"/>
          <w:sz w:val="13"/>
          <w:szCs w:val="13"/>
          <w:color w:val="auto"/>
        </w:rPr>
      </w:pPr>
      <w:r>
        <w:rPr>
          <w:rFonts w:ascii="Arial" w:cs="Arial" w:eastAsia="Arial" w:hAnsi="Arial"/>
          <w:sz w:val="13"/>
          <w:szCs w:val="13"/>
          <w:color w:val="auto"/>
        </w:rPr>
        <w:t>written notice delivered at least five (5) days’ prior to Borrower’s creation of a New Subsidiary in accordance with the terms of Section 6.10;</w:t>
      </w:r>
    </w:p>
    <w:p>
      <w:pPr>
        <w:spacing w:after="0" w:line="192" w:lineRule="exact"/>
        <w:rPr>
          <w:rFonts w:ascii="Arial" w:cs="Arial" w:eastAsia="Arial" w:hAnsi="Arial"/>
          <w:sz w:val="13"/>
          <w:szCs w:val="13"/>
          <w:color w:val="auto"/>
        </w:rPr>
      </w:pPr>
    </w:p>
    <w:p>
      <w:pPr>
        <w:jc w:val="both"/>
        <w:ind w:left="1" w:firstLine="1537"/>
        <w:spacing w:after="0" w:line="264" w:lineRule="auto"/>
        <w:tabs>
          <w:tab w:leader="none" w:pos="2274" w:val="left"/>
        </w:tabs>
        <w:numPr>
          <w:ilvl w:val="1"/>
          <w:numId w:val="78"/>
        </w:numPr>
        <w:rPr>
          <w:rFonts w:ascii="Arial" w:cs="Arial" w:eastAsia="Arial" w:hAnsi="Arial"/>
          <w:sz w:val="14"/>
          <w:szCs w:val="14"/>
          <w:color w:val="auto"/>
        </w:rPr>
      </w:pPr>
      <w:r>
        <w:rPr>
          <w:rFonts w:ascii="Arial" w:cs="Arial" w:eastAsia="Arial" w:hAnsi="Arial"/>
          <w:sz w:val="14"/>
          <w:szCs w:val="14"/>
          <w:color w:val="auto"/>
        </w:rPr>
        <w:t>written notice delivered at least twenty (20) days’ prior to Borrower’s (A) adding any new offices or business locations, including warehouses (unless such new offices or business locations contain less than Five Hundred Thousand Dollars ($500,000) in assets or property of Borrower or any of its Subsidiaries), (B) changing its respective jurisdiction of organization, (C) changing its organizational structure or type, (D) changing its respective legal name, or (E) changing any organizational number(s) (if any) assigned by its respective jurisdiction of organization;</w:t>
      </w:r>
    </w:p>
    <w:p>
      <w:pPr>
        <w:spacing w:after="0" w:line="145" w:lineRule="exact"/>
        <w:rPr>
          <w:rFonts w:ascii="Arial" w:cs="Arial" w:eastAsia="Arial" w:hAnsi="Arial"/>
          <w:sz w:val="14"/>
          <w:szCs w:val="14"/>
          <w:color w:val="auto"/>
        </w:rPr>
      </w:pPr>
    </w:p>
    <w:p>
      <w:pPr>
        <w:jc w:val="both"/>
        <w:ind w:left="1" w:firstLine="1537"/>
        <w:spacing w:after="0" w:line="264" w:lineRule="auto"/>
        <w:tabs>
          <w:tab w:leader="none" w:pos="2145" w:val="left"/>
        </w:tabs>
        <w:numPr>
          <w:ilvl w:val="1"/>
          <w:numId w:val="78"/>
        </w:numPr>
        <w:rPr>
          <w:rFonts w:ascii="Arial" w:cs="Arial" w:eastAsia="Arial" w:hAnsi="Arial"/>
          <w:sz w:val="14"/>
          <w:szCs w:val="14"/>
          <w:color w:val="auto"/>
        </w:rPr>
      </w:pPr>
      <w:r>
        <w:rPr>
          <w:rFonts w:ascii="Arial" w:cs="Arial" w:eastAsia="Arial" w:hAnsi="Arial"/>
          <w:sz w:val="14"/>
          <w:szCs w:val="14"/>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spacing w:after="0" w:line="145" w:lineRule="exact"/>
        <w:rPr>
          <w:rFonts w:ascii="Arial" w:cs="Arial" w:eastAsia="Arial" w:hAnsi="Arial"/>
          <w:sz w:val="14"/>
          <w:szCs w:val="14"/>
          <w:color w:val="auto"/>
        </w:rPr>
      </w:pPr>
    </w:p>
    <w:p>
      <w:pPr>
        <w:jc w:val="both"/>
        <w:ind w:left="1" w:firstLine="1537"/>
        <w:spacing w:after="0" w:line="269" w:lineRule="auto"/>
        <w:tabs>
          <w:tab w:leader="none" w:pos="2119" w:val="left"/>
        </w:tabs>
        <w:numPr>
          <w:ilvl w:val="1"/>
          <w:numId w:val="78"/>
        </w:numPr>
        <w:rPr>
          <w:rFonts w:ascii="Arial" w:cs="Arial" w:eastAsia="Arial" w:hAnsi="Arial"/>
          <w:sz w:val="14"/>
          <w:szCs w:val="14"/>
          <w:color w:val="auto"/>
        </w:rPr>
      </w:pPr>
      <w:r>
        <w:rPr>
          <w:rFonts w:ascii="Arial" w:cs="Arial" w:eastAsia="Arial" w:hAnsi="Arial"/>
          <w:sz w:val="14"/>
          <w:szCs w:val="14"/>
          <w:color w:val="auto"/>
        </w:rPr>
        <w:t xml:space="preserve">immediate notice if Borrower or such Subsidiary has knowledge that Borrower, or any Subsidiary or Affiliate of Borrower, is listed on the OFAC Lists or (a) is convicted on, (b) pleads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to, (c) is indicted on, or (d) is arraigned and held over on charges involving money laundering or predicate crimes to money laundering;</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90" w:name="page91"/>
    <w:bookmarkEnd w:id="90"/>
    <w:p>
      <w:pPr>
        <w:jc w:val="both"/>
        <w:ind w:firstLine="1537"/>
        <w:spacing w:after="0" w:line="269" w:lineRule="auto"/>
        <w:tabs>
          <w:tab w:leader="none" w:pos="2158" w:val="left"/>
        </w:tabs>
        <w:numPr>
          <w:ilvl w:val="0"/>
          <w:numId w:val="79"/>
        </w:numPr>
        <w:rPr>
          <w:rFonts w:ascii="Arial" w:cs="Arial" w:eastAsia="Arial" w:hAnsi="Arial"/>
          <w:sz w:val="14"/>
          <w:szCs w:val="14"/>
          <w:color w:val="auto"/>
        </w:rPr>
      </w:pPr>
      <w:r>
        <w:rPr>
          <w:rFonts w:ascii="Arial" w:cs="Arial" w:eastAsia="Arial" w:hAnsi="Arial"/>
          <w:sz w:val="14"/>
          <w:szCs w:val="14"/>
          <w:color w:val="auto"/>
        </w:rPr>
        <w:t>together with the delivery of the Compliance Certificate, notice of any commercial tort claim (as defined in the Code) or letter of credit rights (as defined in the Code) held by Borrower or any Guarantor, in each case in an amount greater than One Hundred Thousand Dollars ($100,000) and of the general details thereof;</w:t>
      </w:r>
    </w:p>
    <w:p>
      <w:pPr>
        <w:spacing w:after="0" w:line="142" w:lineRule="exact"/>
        <w:rPr>
          <w:rFonts w:ascii="Arial" w:cs="Arial" w:eastAsia="Arial" w:hAnsi="Arial"/>
          <w:sz w:val="14"/>
          <w:szCs w:val="14"/>
          <w:color w:val="auto"/>
        </w:rPr>
      </w:pPr>
    </w:p>
    <w:p>
      <w:pPr>
        <w:jc w:val="both"/>
        <w:ind w:firstLine="1537"/>
        <w:spacing w:after="0" w:line="269" w:lineRule="auto"/>
        <w:tabs>
          <w:tab w:leader="none" w:pos="2079" w:val="left"/>
        </w:tabs>
        <w:numPr>
          <w:ilvl w:val="0"/>
          <w:numId w:val="79"/>
        </w:numPr>
        <w:rPr>
          <w:rFonts w:ascii="Arial" w:cs="Arial" w:eastAsia="Arial" w:hAnsi="Arial"/>
          <w:sz w:val="14"/>
          <w:szCs w:val="14"/>
          <w:color w:val="auto"/>
        </w:rPr>
      </w:pPr>
      <w:r>
        <w:rPr>
          <w:rFonts w:ascii="Arial" w:cs="Arial" w:eastAsia="Arial" w:hAnsi="Arial"/>
          <w:sz w:val="14"/>
          <w:szCs w:val="14"/>
          <w:color w:val="auto"/>
        </w:rPr>
        <w:t>if Borrower has any Subsidiaries any of which is not a Registered Organization upon formation thereof but later becomes one, written notice of such occurrence and information regarding such Person’s organizational identification number within seven (7) Business Days of receiving such organizational identification number;</w:t>
      </w:r>
    </w:p>
    <w:p>
      <w:pPr>
        <w:spacing w:after="0" w:line="142" w:lineRule="exact"/>
        <w:rPr>
          <w:rFonts w:ascii="Arial" w:cs="Arial" w:eastAsia="Arial" w:hAnsi="Arial"/>
          <w:sz w:val="14"/>
          <w:szCs w:val="14"/>
          <w:color w:val="auto"/>
        </w:rPr>
      </w:pPr>
    </w:p>
    <w:p>
      <w:pPr>
        <w:ind w:firstLine="1537"/>
        <w:spacing w:after="0" w:line="284" w:lineRule="auto"/>
        <w:tabs>
          <w:tab w:leader="none" w:pos="2146"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 later than 45 days after the end of each fiscal quarter an updated Perfection Certificate to reflect any amendments, modifications and updates, if any, to certain information in the Perfection Certificate after the Effective Date; and</w:t>
      </w:r>
    </w:p>
    <w:p>
      <w:pPr>
        <w:spacing w:after="0" w:line="131" w:lineRule="exact"/>
        <w:rPr>
          <w:rFonts w:ascii="Arial" w:cs="Arial" w:eastAsia="Arial" w:hAnsi="Arial"/>
          <w:sz w:val="14"/>
          <w:szCs w:val="14"/>
          <w:color w:val="auto"/>
        </w:rPr>
      </w:pPr>
    </w:p>
    <w:p>
      <w:pPr>
        <w:ind w:left="2060" w:hanging="523"/>
        <w:spacing w:after="0"/>
        <w:tabs>
          <w:tab w:leader="none" w:pos="20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other information as reasonably requested by Collateral Agent or any Lender.</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Notwithstanding the terms herein, documents and notices required to be delivered pursuant to the terms hereof (to the extent any such documents and notices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42" w:lineRule="exact"/>
        <w:rPr>
          <w:sz w:val="20"/>
          <w:szCs w:val="20"/>
          <w:color w:val="auto"/>
        </w:rPr>
      </w:pPr>
    </w:p>
    <w:p>
      <w:pPr>
        <w:ind w:firstLine="1024"/>
        <w:spacing w:after="0" w:line="284" w:lineRule="auto"/>
        <w:tabs>
          <w:tab w:leader="none" w:pos="1613"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Concurrently with the delivery of the financial statements specified in Section 6.2(a)(i) above but no later than thirty (30) days after the last day of each month, deliver to Collateral Agent:</w:t>
      </w:r>
    </w:p>
    <w:p>
      <w:pPr>
        <w:spacing w:after="0" w:line="131" w:lineRule="exact"/>
        <w:rPr>
          <w:rFonts w:ascii="Arial" w:cs="Arial" w:eastAsia="Arial" w:hAnsi="Arial"/>
          <w:sz w:val="14"/>
          <w:szCs w:val="14"/>
          <w:color w:val="auto"/>
        </w:rPr>
      </w:pPr>
    </w:p>
    <w:p>
      <w:pPr>
        <w:ind w:left="2060" w:hanging="523"/>
        <w:spacing w:after="0"/>
        <w:tabs>
          <w:tab w:leader="none" w:pos="2060" w:val="left"/>
        </w:tabs>
        <w:numPr>
          <w:ilvl w:val="1"/>
          <w:numId w:val="80"/>
        </w:numPr>
        <w:rPr>
          <w:rFonts w:ascii="Arial" w:cs="Arial" w:eastAsia="Arial" w:hAnsi="Arial"/>
          <w:sz w:val="14"/>
          <w:szCs w:val="14"/>
          <w:color w:val="auto"/>
        </w:rPr>
      </w:pPr>
      <w:r>
        <w:rPr>
          <w:rFonts w:ascii="Arial" w:cs="Arial" w:eastAsia="Arial" w:hAnsi="Arial"/>
          <w:sz w:val="14"/>
          <w:szCs w:val="14"/>
          <w:color w:val="auto"/>
        </w:rPr>
        <w:t>a duly completed Compliance Certificate signed by a Responsible Officer;</w:t>
      </w:r>
    </w:p>
    <w:p>
      <w:pPr>
        <w:spacing w:after="0" w:line="180" w:lineRule="exact"/>
        <w:rPr>
          <w:rFonts w:ascii="Arial" w:cs="Arial" w:eastAsia="Arial" w:hAnsi="Arial"/>
          <w:sz w:val="14"/>
          <w:szCs w:val="14"/>
          <w:color w:val="auto"/>
        </w:rPr>
      </w:pPr>
    </w:p>
    <w:p>
      <w:pPr>
        <w:ind w:left="2060" w:hanging="523"/>
        <w:spacing w:after="0"/>
        <w:tabs>
          <w:tab w:leader="none" w:pos="2060" w:val="left"/>
        </w:tabs>
        <w:numPr>
          <w:ilvl w:val="1"/>
          <w:numId w:val="80"/>
        </w:numPr>
        <w:rPr>
          <w:rFonts w:ascii="Arial" w:cs="Arial" w:eastAsia="Arial" w:hAnsi="Arial"/>
          <w:sz w:val="14"/>
          <w:szCs w:val="14"/>
          <w:color w:val="auto"/>
        </w:rPr>
      </w:pPr>
      <w:r>
        <w:rPr>
          <w:rFonts w:ascii="Arial" w:cs="Arial" w:eastAsia="Arial" w:hAnsi="Arial"/>
          <w:sz w:val="14"/>
          <w:szCs w:val="14"/>
          <w:color w:val="auto"/>
        </w:rPr>
        <w:t>copies of any material Governmental Approvals obtained by Borrower or any of its Subsidiaries;</w:t>
      </w:r>
    </w:p>
    <w:p>
      <w:pPr>
        <w:spacing w:after="0" w:line="180" w:lineRule="exact"/>
        <w:rPr>
          <w:rFonts w:ascii="Arial" w:cs="Arial" w:eastAsia="Arial" w:hAnsi="Arial"/>
          <w:sz w:val="14"/>
          <w:szCs w:val="14"/>
          <w:color w:val="auto"/>
        </w:rPr>
      </w:pPr>
    </w:p>
    <w:p>
      <w:pPr>
        <w:ind w:left="2080" w:hanging="543"/>
        <w:spacing w:after="0"/>
        <w:tabs>
          <w:tab w:leader="none" w:pos="2080" w:val="left"/>
        </w:tabs>
        <w:numPr>
          <w:ilvl w:val="1"/>
          <w:numId w:val="80"/>
        </w:numPr>
        <w:rPr>
          <w:rFonts w:ascii="Arial" w:cs="Arial" w:eastAsia="Arial" w:hAnsi="Arial"/>
          <w:sz w:val="14"/>
          <w:szCs w:val="14"/>
          <w:color w:val="auto"/>
        </w:rPr>
      </w:pPr>
      <w:r>
        <w:rPr>
          <w:rFonts w:ascii="Arial" w:cs="Arial" w:eastAsia="Arial" w:hAnsi="Arial"/>
          <w:sz w:val="14"/>
          <w:szCs w:val="14"/>
          <w:color w:val="auto"/>
        </w:rPr>
        <w:t>written notice of the commencement of, and any material development in, the proceedings contemplated by Section 5.8 hereof;</w:t>
      </w:r>
    </w:p>
    <w:p>
      <w:pPr>
        <w:spacing w:after="0" w:line="180" w:lineRule="exact"/>
        <w:rPr>
          <w:rFonts w:ascii="Arial" w:cs="Arial" w:eastAsia="Arial" w:hAnsi="Arial"/>
          <w:sz w:val="14"/>
          <w:szCs w:val="14"/>
          <w:color w:val="auto"/>
        </w:rPr>
      </w:pPr>
    </w:p>
    <w:p>
      <w:pPr>
        <w:ind w:firstLine="1537"/>
        <w:spacing w:after="0" w:line="324" w:lineRule="auto"/>
        <w:tabs>
          <w:tab w:leader="none" w:pos="2111" w:val="left"/>
        </w:tabs>
        <w:numPr>
          <w:ilvl w:val="1"/>
          <w:numId w:val="80"/>
        </w:numPr>
        <w:rPr>
          <w:rFonts w:ascii="Arial" w:cs="Arial" w:eastAsia="Arial" w:hAnsi="Arial"/>
          <w:sz w:val="13"/>
          <w:szCs w:val="13"/>
          <w:color w:val="auto"/>
        </w:rPr>
      </w:pPr>
      <w:r>
        <w:rPr>
          <w:rFonts w:ascii="Arial" w:cs="Arial" w:eastAsia="Arial" w:hAnsi="Arial"/>
          <w:sz w:val="13"/>
          <w:szCs w:val="13"/>
          <w:color w:val="auto"/>
        </w:rPr>
        <w:t>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 and</w:t>
      </w:r>
    </w:p>
    <w:p>
      <w:pPr>
        <w:spacing w:after="0" w:line="108" w:lineRule="exact"/>
        <w:rPr>
          <w:rFonts w:ascii="Arial" w:cs="Arial" w:eastAsia="Arial" w:hAnsi="Arial"/>
          <w:sz w:val="13"/>
          <w:szCs w:val="13"/>
          <w:color w:val="auto"/>
        </w:rPr>
      </w:pPr>
    </w:p>
    <w:p>
      <w:pPr>
        <w:ind w:firstLine="1537"/>
        <w:spacing w:after="0" w:line="284" w:lineRule="auto"/>
        <w:tabs>
          <w:tab w:leader="none" w:pos="2162" w:val="left"/>
        </w:tabs>
        <w:numPr>
          <w:ilvl w:val="1"/>
          <w:numId w:val="80"/>
        </w:numPr>
        <w:rPr>
          <w:rFonts w:ascii="Arial" w:cs="Arial" w:eastAsia="Arial" w:hAnsi="Arial"/>
          <w:sz w:val="14"/>
          <w:szCs w:val="14"/>
          <w:color w:val="auto"/>
        </w:rPr>
      </w:pPr>
      <w:r>
        <w:rPr>
          <w:rFonts w:ascii="Arial" w:cs="Arial" w:eastAsia="Arial" w:hAnsi="Arial"/>
          <w:sz w:val="14"/>
          <w:szCs w:val="14"/>
          <w:color w:val="auto"/>
        </w:rPr>
        <w:t>written notice of all returns, recoveries, disputes and claims regarding Inventory that involve more than Five Hundred Thousand Dollars ($500,000) individually or in the aggregate in any calendar year.</w:t>
      </w:r>
    </w:p>
    <w:p>
      <w:pPr>
        <w:spacing w:after="0" w:line="131" w:lineRule="exact"/>
        <w:rPr>
          <w:rFonts w:ascii="Arial" w:cs="Arial" w:eastAsia="Arial" w:hAnsi="Arial"/>
          <w:sz w:val="14"/>
          <w:szCs w:val="14"/>
          <w:color w:val="auto"/>
        </w:rPr>
      </w:pPr>
    </w:p>
    <w:p>
      <w:pPr>
        <w:jc w:val="both"/>
        <w:ind w:firstLine="1024"/>
        <w:spacing w:after="0" w:line="262" w:lineRule="auto"/>
        <w:tabs>
          <w:tab w:leader="none" w:pos="15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142" w:lineRule="exact"/>
        <w:rPr>
          <w:sz w:val="20"/>
          <w:szCs w:val="20"/>
          <w:color w:val="auto"/>
        </w:rPr>
      </w:pPr>
    </w:p>
    <w:p>
      <w:pPr>
        <w:ind w:firstLine="513"/>
        <w:spacing w:after="0" w:line="290" w:lineRule="auto"/>
        <w:rPr>
          <w:sz w:val="20"/>
          <w:szCs w:val="20"/>
          <w:color w:val="auto"/>
        </w:rPr>
      </w:pPr>
      <w:r>
        <w:rPr>
          <w:rFonts w:ascii="Arial" w:cs="Arial" w:eastAsia="Arial" w:hAnsi="Arial"/>
          <w:sz w:val="14"/>
          <w:szCs w:val="14"/>
          <w:b w:val="1"/>
          <w:bCs w:val="1"/>
          <w:color w:val="auto"/>
        </w:rPr>
        <w:t xml:space="preserve">6.3 Inventory; Returns. </w:t>
      </w:r>
      <w:r>
        <w:rPr>
          <w:rFonts w:ascii="Arial" w:cs="Arial" w:eastAsia="Arial" w:hAnsi="Arial"/>
          <w:sz w:val="14"/>
          <w:szCs w:val="14"/>
          <w:color w:val="auto"/>
        </w:rPr>
        <w:t>Keep all Inventory in good and marketable condition, free from material defects. Returns and allowances between Borrower, or any of</w:t>
      </w:r>
      <w:r>
        <w:rPr>
          <w:rFonts w:ascii="Arial" w:cs="Arial" w:eastAsia="Arial" w:hAnsi="Arial"/>
          <w:sz w:val="14"/>
          <w:szCs w:val="14"/>
          <w:b w:val="1"/>
          <w:bCs w:val="1"/>
          <w:color w:val="auto"/>
        </w:rPr>
        <w:t xml:space="preserve"> </w:t>
      </w:r>
      <w:r>
        <w:rPr>
          <w:rFonts w:ascii="Arial" w:cs="Arial" w:eastAsia="Arial" w:hAnsi="Arial"/>
          <w:sz w:val="14"/>
          <w:szCs w:val="14"/>
          <w:color w:val="auto"/>
        </w:rPr>
        <w:t>its Subsidiaries, as applicable, and their respective Account Debtors shall follow Borrower’s, or such Subsidiary’s, as applicable, customary practices.</w:t>
      </w:r>
    </w:p>
    <w:p>
      <w:pPr>
        <w:spacing w:after="0" w:line="123" w:lineRule="exact"/>
        <w:rPr>
          <w:sz w:val="20"/>
          <w:szCs w:val="20"/>
          <w:color w:val="auto"/>
        </w:rPr>
      </w:pPr>
    </w:p>
    <w:p>
      <w:pPr>
        <w:ind w:firstLine="513"/>
        <w:spacing w:after="0" w:line="330" w:lineRule="auto"/>
        <w:rPr>
          <w:sz w:val="20"/>
          <w:szCs w:val="20"/>
          <w:color w:val="auto"/>
        </w:rPr>
      </w:pPr>
      <w:r>
        <w:rPr>
          <w:rFonts w:ascii="Arial" w:cs="Arial" w:eastAsia="Arial" w:hAnsi="Arial"/>
          <w:sz w:val="13"/>
          <w:szCs w:val="13"/>
          <w:b w:val="1"/>
          <w:bCs w:val="1"/>
          <w:color w:val="auto"/>
        </w:rPr>
        <w:t xml:space="preserve">6.4 Taxes; Pensions. </w:t>
      </w:r>
      <w:r>
        <w:rPr>
          <w:rFonts w:ascii="Arial" w:cs="Arial" w:eastAsia="Arial" w:hAnsi="Arial"/>
          <w:sz w:val="13"/>
          <w:szCs w:val="13"/>
          <w:color w:val="auto"/>
        </w:rPr>
        <w:t>Timely file and require each of its Subsidiaries to timely file, all required tax returns and reports and timely pay, and require each of its</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Subsidiaries to timely pay, all foreign, federal, state, and local taxes, assessments, deposits and contributions owed by Borrower or its Subsidiaries, as applicable, except as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91" w:name="page92"/>
    <w:bookmarkEnd w:id="91"/>
    <w:p>
      <w:pPr>
        <w:jc w:val="both"/>
        <w:spacing w:after="0" w:line="284" w:lineRule="auto"/>
        <w:rPr>
          <w:sz w:val="20"/>
          <w:szCs w:val="20"/>
          <w:color w:val="auto"/>
        </w:rPr>
      </w:pPr>
      <w:r>
        <w:rPr>
          <w:rFonts w:ascii="Arial" w:cs="Arial" w:eastAsia="Arial" w:hAnsi="Arial"/>
          <w:sz w:val="14"/>
          <w:szCs w:val="14"/>
          <w:color w:val="auto"/>
        </w:rPr>
        <w:t>otherwise permitted pursuant to the terms of Section 5.8 hereof, and shall deliver to Collateral Agent, on demand, appropriate certificates attesting to such payments, and pay all amounts necessary to fund all present pension, profit sharing and deferred compensation plans in accordance with the terms of such plans.</w:t>
      </w:r>
    </w:p>
    <w:p>
      <w:pPr>
        <w:spacing w:after="0" w:line="128" w:lineRule="exact"/>
        <w:rPr>
          <w:sz w:val="20"/>
          <w:szCs w:val="20"/>
          <w:color w:val="auto"/>
        </w:rPr>
      </w:pPr>
    </w:p>
    <w:p>
      <w:pPr>
        <w:jc w:val="both"/>
        <w:ind w:firstLine="513"/>
        <w:spacing w:after="0" w:line="277" w:lineRule="auto"/>
        <w:rPr>
          <w:sz w:val="20"/>
          <w:szCs w:val="20"/>
          <w:color w:val="auto"/>
        </w:rPr>
      </w:pPr>
      <w:r>
        <w:rPr>
          <w:rFonts w:ascii="Arial" w:cs="Arial" w:eastAsia="Arial" w:hAnsi="Arial"/>
          <w:sz w:val="13"/>
          <w:szCs w:val="13"/>
          <w:b w:val="1"/>
          <w:bCs w:val="1"/>
          <w:color w:val="auto"/>
        </w:rPr>
        <w:t xml:space="preserve">6.5 Insurance. </w:t>
      </w:r>
      <w:r>
        <w:rPr>
          <w:rFonts w:ascii="Arial" w:cs="Arial" w:eastAsia="Arial" w:hAnsi="Arial"/>
          <w:sz w:val="13"/>
          <w:szCs w:val="13"/>
          <w:color w:val="auto"/>
        </w:rPr>
        <w:t>Keep Borrower’s and its Subsidiaries’ business and the Collateral insured for risks and in amounts standard for companies in Borrower’s and its</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Subsidiaries’ industry and location and as Collateral Agent may reasonably request. Insurance policies shall be in a form, with companies, and in amounts that are standard for companies in Borrower’s industry and location.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canceled (except in the case of nonpayment). At Collateral Agent’s request, Borrower shall deliver to the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 (a) so long as no Event of Default has occurred and is continuing, Borrower shall have the option of applying the proceeds of any casualty policy within ninety (90) days of receipt thereof up to Three Hundred Thousand Dollars ($300,000) with respect to any loss, but not exceeding Six Hundred Thousand Dollars ($600,000),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may make (but has no obligation to do so), at Borrower’s expense, all or part of such payment or obtain such insurance policies required in this Section 6.5, and take any action under the policies Collateral Agent deems prudent.</w:t>
      </w:r>
    </w:p>
    <w:p>
      <w:pPr>
        <w:spacing w:after="0" w:line="140"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6.6</w:t>
      </w:r>
      <w:r>
        <w:rPr>
          <w:sz w:val="20"/>
          <w:szCs w:val="20"/>
          <w:color w:val="auto"/>
        </w:rPr>
        <w:tab/>
      </w:r>
      <w:r>
        <w:rPr>
          <w:rFonts w:ascii="Arial" w:cs="Arial" w:eastAsia="Arial" w:hAnsi="Arial"/>
          <w:sz w:val="12"/>
          <w:szCs w:val="12"/>
          <w:b w:val="1"/>
          <w:bCs w:val="1"/>
          <w:color w:val="auto"/>
        </w:rPr>
        <w:t>Operating Accounts.</w:t>
      </w:r>
    </w:p>
    <w:p>
      <w:pPr>
        <w:spacing w:after="0" w:line="185" w:lineRule="exact"/>
        <w:rPr>
          <w:sz w:val="20"/>
          <w:szCs w:val="20"/>
          <w:color w:val="auto"/>
        </w:rPr>
      </w:pPr>
    </w:p>
    <w:p>
      <w:pPr>
        <w:jc w:val="both"/>
        <w:ind w:firstLine="1024"/>
        <w:spacing w:after="0" w:line="291" w:lineRule="auto"/>
        <w:tabs>
          <w:tab w:leader="none" w:pos="1569" w:val="left"/>
        </w:tabs>
        <w:numPr>
          <w:ilvl w:val="0"/>
          <w:numId w:val="81"/>
        </w:numPr>
        <w:rPr>
          <w:rFonts w:ascii="Arial" w:cs="Arial" w:eastAsia="Arial" w:hAnsi="Arial"/>
          <w:sz w:val="13"/>
          <w:szCs w:val="13"/>
          <w:color w:val="auto"/>
        </w:rPr>
      </w:pPr>
      <w:r>
        <w:rPr>
          <w:rFonts w:ascii="Arial" w:cs="Arial" w:eastAsia="Arial" w:hAnsi="Arial"/>
          <w:sz w:val="13"/>
          <w:szCs w:val="13"/>
          <w:color w:val="auto"/>
        </w:rPr>
        <w:t>Within fifteen (15) days after the Effective Date, maintain Borrower’s and Guarantors Collateral Accounts depositary institutions that have agreed to execute Control Agreements in favor of Collateral Agent with respect to such Collateral Accounts. The provisions of the previous sentence shall not apply to Deposit Accounts exclusively used for cash collateral for Permitted Liens under clause (j) of the definition thereof, payroll, payroll taxes and other employee wage and benefit payments to or for the benefit of Borrower’s, or any Guarantor’s, employees and identified to Collateral Agent by Borrower as such in the Disclosure Schedules.</w:t>
      </w:r>
    </w:p>
    <w:p>
      <w:pPr>
        <w:spacing w:after="0" w:line="129" w:lineRule="exact"/>
        <w:rPr>
          <w:rFonts w:ascii="Arial" w:cs="Arial" w:eastAsia="Arial" w:hAnsi="Arial"/>
          <w:sz w:val="13"/>
          <w:szCs w:val="13"/>
          <w:color w:val="auto"/>
        </w:rPr>
      </w:pPr>
    </w:p>
    <w:p>
      <w:pPr>
        <w:jc w:val="both"/>
        <w:ind w:firstLine="1024"/>
        <w:spacing w:after="0" w:line="282" w:lineRule="auto"/>
        <w:tabs>
          <w:tab w:leader="none" w:pos="1571" w:val="left"/>
        </w:tabs>
        <w:numPr>
          <w:ilvl w:val="0"/>
          <w:numId w:val="81"/>
        </w:numPr>
        <w:rPr>
          <w:rFonts w:ascii="Arial" w:cs="Arial" w:eastAsia="Arial" w:hAnsi="Arial"/>
          <w:sz w:val="13"/>
          <w:szCs w:val="13"/>
          <w:color w:val="auto"/>
        </w:rPr>
      </w:pPr>
      <w:r>
        <w:rPr>
          <w:rFonts w:ascii="Arial" w:cs="Arial" w:eastAsia="Arial" w:hAnsi="Arial"/>
          <w:sz w:val="13"/>
          <w:szCs w:val="13"/>
          <w:color w:val="auto"/>
        </w:rPr>
        <w:t>Borrower shall provide Collateral Agent ten (10) days’ prior written notice before Borrower or any Guarantor establishes any Collateral Account. In addition, for each Collateral Account that Borrower or any Guarantor, at any time maintains, Borrower or such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Deposit Accounts exclusively used for cash collateral for Permitted Liens under clause (j) of the definition thereof, payroll, payroll taxes and other employee wage and benefit payments to or for the benefit of Borrower’s, or any Guarantor’s, employees and identified to Collateral Agent by Borrower as such in the Disclosure Schedules or otherwise in writing to the Collateral Agent.</w:t>
      </w:r>
    </w:p>
    <w:p>
      <w:pPr>
        <w:spacing w:after="0" w:line="137" w:lineRule="exact"/>
        <w:rPr>
          <w:rFonts w:ascii="Arial" w:cs="Arial" w:eastAsia="Arial" w:hAnsi="Arial"/>
          <w:sz w:val="13"/>
          <w:szCs w:val="13"/>
          <w:color w:val="auto"/>
        </w:rPr>
      </w:pPr>
    </w:p>
    <w:p>
      <w:pPr>
        <w:ind w:left="1600" w:hanging="576"/>
        <w:spacing w:after="0"/>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Neither Borrower nor any Guarantor shall maintain any Collateral Accounts except Collateral Accounts maintained in accordance with this Section</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6.6.</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92" w:name="page93"/>
    <w:bookmarkEnd w:id="92"/>
    <w:p>
      <w:pPr>
        <w:jc w:val="both"/>
        <w:ind w:left="1" w:firstLine="1024"/>
        <w:spacing w:after="0" w:line="299" w:lineRule="auto"/>
        <w:tabs>
          <w:tab w:leader="none" w:pos="1603" w:val="left"/>
        </w:tabs>
        <w:numPr>
          <w:ilvl w:val="0"/>
          <w:numId w:val="82"/>
        </w:numPr>
        <w:rPr>
          <w:rFonts w:ascii="Arial" w:cs="Arial" w:eastAsia="Arial" w:hAnsi="Arial"/>
          <w:sz w:val="13"/>
          <w:szCs w:val="13"/>
          <w:color w:val="auto"/>
        </w:rPr>
      </w:pPr>
      <w:r>
        <w:rPr>
          <w:rFonts w:ascii="Arial" w:cs="Arial" w:eastAsia="Arial" w:hAnsi="Arial"/>
          <w:sz w:val="13"/>
          <w:szCs w:val="13"/>
          <w:color w:val="auto"/>
        </w:rPr>
        <w:t>Beginning on the date that is forty-five (45) days after the Effective Date, Borrower shall maintain at all times at least Twenty-Five Million Dollars ($25,000,000) (or, if Borrower’s total cash and Cash Equivalents is less than Twenty-Five Million Dollars ($25,000,000), such lesser amount) in cash or Cash Equivalents in one or more demand deposit or money market accounts held in Borrower’s name at Western Alliance Bank pursuant to account agreements reasonably satisfactory to Borrower.</w:t>
      </w:r>
    </w:p>
    <w:p>
      <w:pPr>
        <w:spacing w:after="0" w:line="121" w:lineRule="exact"/>
        <w:rPr>
          <w:sz w:val="20"/>
          <w:szCs w:val="20"/>
          <w:color w:val="auto"/>
        </w:rPr>
      </w:pPr>
    </w:p>
    <w:p>
      <w:pPr>
        <w:jc w:val="both"/>
        <w:ind w:left="1" w:firstLine="513"/>
        <w:spacing w:after="0" w:line="266" w:lineRule="auto"/>
        <w:rPr>
          <w:sz w:val="20"/>
          <w:szCs w:val="20"/>
          <w:color w:val="auto"/>
        </w:rPr>
      </w:pPr>
      <w:r>
        <w:rPr>
          <w:rFonts w:ascii="Arial" w:cs="Arial" w:eastAsia="Arial" w:hAnsi="Arial"/>
          <w:sz w:val="14"/>
          <w:szCs w:val="14"/>
          <w:b w:val="1"/>
          <w:bCs w:val="1"/>
          <w:color w:val="auto"/>
        </w:rPr>
        <w:t xml:space="preserve">6.7 Protection of Intellectual Property Rights. </w:t>
      </w:r>
      <w:r>
        <w:rPr>
          <w:rFonts w:ascii="Arial" w:cs="Arial" w:eastAsia="Arial" w:hAnsi="Arial"/>
          <w:sz w:val="14"/>
          <w:szCs w:val="14"/>
          <w:color w:val="auto"/>
        </w:rPr>
        <w:t>Borrower and each of its Subsidiaries shall: (a) use commercially reasonable efforts to protect, defend and</w:t>
      </w:r>
      <w:r>
        <w:rPr>
          <w:rFonts w:ascii="Arial" w:cs="Arial" w:eastAsia="Arial" w:hAnsi="Arial"/>
          <w:sz w:val="14"/>
          <w:szCs w:val="14"/>
          <w:b w:val="1"/>
          <w:bCs w:val="1"/>
          <w:color w:val="auto"/>
        </w:rPr>
        <w:t xml:space="preserve"> </w:t>
      </w:r>
      <w:r>
        <w:rPr>
          <w:rFonts w:ascii="Arial" w:cs="Arial" w:eastAsia="Arial" w:hAnsi="Arial"/>
          <w:sz w:val="14"/>
          <w:szCs w:val="14"/>
          <w:color w:val="auto"/>
        </w:rPr>
        <w:t>maintain the validity and enforceability of its respective Intellectual Property that is material to its business; (b) promptly advise Collateral Agent in writing of material infringement by a third party of its respective Intellectual Property; and (c) not allow any of its respective Intellectual Property material to its respective business to be abandoned, forfeited or dedicated to the public without Collateral Agent’s prior written consent.</w:t>
      </w:r>
    </w:p>
    <w:p>
      <w:pPr>
        <w:spacing w:after="0" w:line="140" w:lineRule="exact"/>
        <w:rPr>
          <w:sz w:val="20"/>
          <w:szCs w:val="20"/>
          <w:color w:val="auto"/>
        </w:rPr>
      </w:pPr>
    </w:p>
    <w:p>
      <w:pPr>
        <w:jc w:val="both"/>
        <w:ind w:left="1" w:firstLine="513"/>
        <w:spacing w:after="0" w:line="174" w:lineRule="exact"/>
        <w:rPr>
          <w:sz w:val="20"/>
          <w:szCs w:val="20"/>
          <w:color w:val="auto"/>
        </w:rPr>
      </w:pPr>
      <w:r>
        <w:rPr>
          <w:rFonts w:ascii="Arial" w:cs="Arial" w:eastAsia="Arial" w:hAnsi="Arial"/>
          <w:sz w:val="14"/>
          <w:szCs w:val="14"/>
          <w:b w:val="1"/>
          <w:bCs w:val="1"/>
          <w:color w:val="auto"/>
        </w:rPr>
        <w:t xml:space="preserve">6.8 Litigation Cooperation. </w:t>
      </w:r>
      <w:r>
        <w:rPr>
          <w:rFonts w:ascii="Arial" w:cs="Arial" w:eastAsia="Arial" w:hAnsi="Arial"/>
          <w:sz w:val="14"/>
          <w:szCs w:val="14"/>
          <w:color w:val="auto"/>
        </w:rPr>
        <w:t>Commencing on the Effective Date and continuing through the termination of this Agreement, make available to Collateral Agent,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expense to Collateral Agent or the Lenders, Borrower and each of Borrower’s officers, employees and agents and Borrower’s Books, to the extent that Collateral Agent may reasonably deem them necessary to prosecute or defend any third</w:t>
      </w:r>
      <w:r>
        <w:rPr>
          <w:rFonts w:ascii="MS PGothic" w:cs="MS PGothic" w:eastAsia="MS PGothic" w:hAnsi="MS PGothic"/>
          <w:sz w:val="14"/>
          <w:szCs w:val="14"/>
          <w:color w:val="auto"/>
        </w:rPr>
        <w:t>‑</w:t>
      </w:r>
      <w:r>
        <w:rPr>
          <w:rFonts w:ascii="Arial" w:cs="Arial" w:eastAsia="Arial" w:hAnsi="Arial"/>
          <w:sz w:val="14"/>
          <w:szCs w:val="14"/>
          <w:color w:val="auto"/>
        </w:rPr>
        <w:t>party suit or proceeding instituted by or against Collateral Agent with respect to any Collateral or relating to Borrower.</w:t>
      </w:r>
    </w:p>
    <w:p>
      <w:pPr>
        <w:spacing w:after="0" w:line="159" w:lineRule="exact"/>
        <w:rPr>
          <w:sz w:val="20"/>
          <w:szCs w:val="20"/>
          <w:color w:val="auto"/>
        </w:rPr>
      </w:pPr>
    </w:p>
    <w:p>
      <w:pPr>
        <w:jc w:val="both"/>
        <w:ind w:left="1" w:firstLine="513"/>
        <w:spacing w:after="0" w:line="261" w:lineRule="auto"/>
        <w:rPr>
          <w:sz w:val="20"/>
          <w:szCs w:val="20"/>
          <w:color w:val="auto"/>
        </w:rPr>
      </w:pPr>
      <w:r>
        <w:rPr>
          <w:rFonts w:ascii="Arial" w:cs="Arial" w:eastAsia="Arial" w:hAnsi="Arial"/>
          <w:sz w:val="14"/>
          <w:szCs w:val="14"/>
          <w:b w:val="1"/>
          <w:bCs w:val="1"/>
          <w:color w:val="auto"/>
        </w:rPr>
        <w:t xml:space="preserve">6.9 Landlord Waivers; Bailee Waivers. </w:t>
      </w:r>
      <w:r>
        <w:rPr>
          <w:rFonts w:ascii="Arial" w:cs="Arial" w:eastAsia="Arial" w:hAnsi="Arial"/>
          <w:sz w:val="14"/>
          <w:szCs w:val="14"/>
          <w:color w:val="auto"/>
        </w:rPr>
        <w:t>In the event that Borrower or any of its Subsidiaries, after the Effective Date, intends to add any new offices or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locations, including warehouses, or otherwise store any portion of the Collateral with, or deliver any portion of the Collateral to, a bailee, in each case pursuant to Section 7.2, then, in the event that the Collateral at any new location is valued (based on book value) in excess of Five Hundred Thousand Dollars ($500,000) in the aggregate, at Collateral Agent’s election, Borrower or such Subsidiary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45" w:lineRule="exact"/>
        <w:rPr>
          <w:sz w:val="20"/>
          <w:szCs w:val="20"/>
          <w:color w:val="auto"/>
        </w:rPr>
      </w:pPr>
    </w:p>
    <w:p>
      <w:pPr>
        <w:jc w:val="both"/>
        <w:ind w:left="1" w:firstLine="513"/>
        <w:spacing w:after="0" w:line="281" w:lineRule="auto"/>
        <w:rPr>
          <w:sz w:val="20"/>
          <w:szCs w:val="20"/>
          <w:color w:val="auto"/>
        </w:rPr>
      </w:pPr>
      <w:r>
        <w:rPr>
          <w:rFonts w:ascii="Arial" w:cs="Arial" w:eastAsia="Arial" w:hAnsi="Arial"/>
          <w:sz w:val="13"/>
          <w:szCs w:val="13"/>
          <w:b w:val="1"/>
          <w:bCs w:val="1"/>
          <w:color w:val="auto"/>
        </w:rPr>
        <w:t xml:space="preserve">6.10 Creation/Acquisition of Subsidiaries. </w:t>
      </w:r>
      <w:r>
        <w:rPr>
          <w:rFonts w:ascii="Arial" w:cs="Arial" w:eastAsia="Arial" w:hAnsi="Arial"/>
          <w:sz w:val="13"/>
          <w:szCs w:val="13"/>
          <w:color w:val="auto"/>
        </w:rPr>
        <w:t>In the event any Borrower or any Subsidiary of any Borrower creates or acquires any Subsidiary after the Effective</w:t>
      </w:r>
      <w:r>
        <w:rPr>
          <w:rFonts w:ascii="Arial" w:cs="Arial" w:eastAsia="Arial" w:hAnsi="Arial"/>
          <w:sz w:val="13"/>
          <w:szCs w:val="13"/>
          <w:b w:val="1"/>
          <w:bCs w:val="1"/>
          <w:color w:val="auto"/>
        </w:rPr>
        <w:t xml:space="preserve"> </w:t>
      </w:r>
      <w:r>
        <w:rPr>
          <w:rFonts w:ascii="Arial" w:cs="Arial" w:eastAsia="Arial" w:hAnsi="Arial"/>
          <w:sz w:val="13"/>
          <w:szCs w:val="13"/>
          <w:color w:val="auto"/>
        </w:rPr>
        <w:t>Date, Borrower or such Subsidiary shall promptly notify the Collateral Agent of such creation or acquisition, and Borrower or such Subsidiary shall take all actions reasonably requested by the Collateral Agent to achieve any of the following with respect to such “</w:t>
      </w:r>
      <w:r>
        <w:rPr>
          <w:rFonts w:ascii="Arial" w:cs="Arial" w:eastAsia="Arial" w:hAnsi="Arial"/>
          <w:sz w:val="13"/>
          <w:szCs w:val="13"/>
          <w:b w:val="1"/>
          <w:bCs w:val="1"/>
          <w:color w:val="auto"/>
        </w:rPr>
        <w:t>New Subsidiary</w:t>
      </w:r>
      <w:r>
        <w:rPr>
          <w:rFonts w:ascii="Arial" w:cs="Arial" w:eastAsia="Arial" w:hAnsi="Arial"/>
          <w:sz w:val="13"/>
          <w:szCs w:val="13"/>
          <w:color w:val="auto"/>
        </w:rPr>
        <w:t>” (defined as a Subsidiary formed after the date hereof during the term of this Agreement): (i) if such New Subsidiary is a Domestic Subsidiary (except for a Domestic Subsidiary (1) substantially all of the assets of which consist of the equity interests of one or more Foreign Subsidiaries or (2) that is a subsidiary of a Foreign Subsidiary (each, an “</w:t>
      </w:r>
      <w:r>
        <w:rPr>
          <w:rFonts w:ascii="Arial" w:cs="Arial" w:eastAsia="Arial" w:hAnsi="Arial"/>
          <w:sz w:val="13"/>
          <w:szCs w:val="13"/>
          <w:b w:val="1"/>
          <w:bCs w:val="1"/>
          <w:color w:val="auto"/>
        </w:rPr>
        <w:t>Excluded Domestic Subsidiary</w:t>
      </w:r>
      <w:r>
        <w:rPr>
          <w:rFonts w:ascii="Arial" w:cs="Arial" w:eastAsia="Arial" w:hAnsi="Arial"/>
          <w:sz w:val="13"/>
          <w:szCs w:val="13"/>
          <w:color w:val="auto"/>
        </w:rPr>
        <w:t>”)), to cause such New Subsidiary to become either a co-Borrower hereunder, or a secured guarantor with respect to the Obligations; and (ii) with respect to New Subsidiaries owned directly by Borrower or a Guarantor, to grant and pledge to Collateral Agent a perfected security interest in (A) 100% of the stock, units or other evidence of ownership held by Borrower or its Subsidiaries of any such New Subsidiary that is a Domestic Subsidiary (except if such New Subsidiary is an Excluded Domestic Subsidiary), or (B) 65% of the stock, units or other evidence of ownership held by Borrower or a Guarantor of any such New Subsidiary which is a Foreign Subsidiary or an Excluded Domestic Subsidiary.</w:t>
      </w:r>
    </w:p>
    <w:p>
      <w:pPr>
        <w:spacing w:after="0" w:line="133"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b w:val="1"/>
          <w:bCs w:val="1"/>
          <w:color w:val="auto"/>
        </w:rPr>
        <w:t>6.11 Further Assurances</w:t>
      </w:r>
      <w:r>
        <w:rPr>
          <w:rFonts w:ascii="Arial" w:cs="Arial" w:eastAsia="Arial" w:hAnsi="Arial"/>
          <w:sz w:val="14"/>
          <w:szCs w:val="14"/>
          <w:color w:val="auto"/>
        </w:rPr>
        <w:t>. Execute any further instruments and take further action as Collateral Agent or any Lender reasonably requests to perfect or continue</w:t>
      </w:r>
      <w:r>
        <w:rPr>
          <w:rFonts w:ascii="Arial" w:cs="Arial" w:eastAsia="Arial" w:hAnsi="Arial"/>
          <w:sz w:val="14"/>
          <w:szCs w:val="14"/>
          <w:b w:val="1"/>
          <w:bCs w:val="1"/>
          <w:color w:val="auto"/>
        </w:rPr>
        <w:t xml:space="preserve"> </w:t>
      </w:r>
      <w:r>
        <w:rPr>
          <w:rFonts w:ascii="Arial" w:cs="Arial" w:eastAsia="Arial" w:hAnsi="Arial"/>
          <w:sz w:val="14"/>
          <w:szCs w:val="14"/>
          <w:color w:val="auto"/>
        </w:rPr>
        <w:t>Collateral Agent’s Lien in the Collateral or to effect the purposes of this Agreement.</w:t>
      </w:r>
    </w:p>
    <w:p>
      <w:pPr>
        <w:spacing w:after="0" w:line="123" w:lineRule="exact"/>
        <w:rPr>
          <w:sz w:val="20"/>
          <w:szCs w:val="20"/>
          <w:color w:val="auto"/>
        </w:rPr>
      </w:pPr>
    </w:p>
    <w:p>
      <w:pPr>
        <w:ind w:left="541" w:hanging="541"/>
        <w:spacing w:after="0"/>
        <w:tabs>
          <w:tab w:leader="none" w:pos="541"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NEGATIVE COVENANTS</w:t>
      </w:r>
    </w:p>
    <w:p>
      <w:pPr>
        <w:spacing w:after="0" w:line="185" w:lineRule="exact"/>
        <w:rPr>
          <w:sz w:val="20"/>
          <w:szCs w:val="20"/>
          <w:color w:val="auto"/>
        </w:rPr>
      </w:pPr>
    </w:p>
    <w:p>
      <w:pPr>
        <w:ind w:left="521"/>
        <w:spacing w:after="0"/>
        <w:rPr>
          <w:sz w:val="20"/>
          <w:szCs w:val="20"/>
          <w:color w:val="auto"/>
        </w:rPr>
      </w:pPr>
      <w:r>
        <w:rPr>
          <w:rFonts w:ascii="Arial" w:cs="Arial" w:eastAsia="Arial" w:hAnsi="Arial"/>
          <w:sz w:val="14"/>
          <w:szCs w:val="14"/>
          <w:color w:val="auto"/>
        </w:rPr>
        <w:t>Borrower shall not, and shall not permit any of its Subsidiaries to, do any of the following without the prior written consent of the Required Lenders:</w:t>
      </w:r>
    </w:p>
    <w:p>
      <w:pPr>
        <w:spacing w:after="0" w:line="177" w:lineRule="exact"/>
        <w:rPr>
          <w:sz w:val="20"/>
          <w:szCs w:val="20"/>
          <w:color w:val="auto"/>
        </w:rPr>
      </w:pPr>
    </w:p>
    <w:p>
      <w:pPr>
        <w:ind w:left="1" w:firstLine="513"/>
        <w:spacing w:after="0" w:line="178" w:lineRule="exact"/>
        <w:rPr>
          <w:sz w:val="20"/>
          <w:szCs w:val="20"/>
          <w:color w:val="auto"/>
        </w:rPr>
      </w:pPr>
      <w:r>
        <w:rPr>
          <w:rFonts w:ascii="Arial" w:cs="Arial" w:eastAsia="Arial" w:hAnsi="Arial"/>
          <w:sz w:val="13"/>
          <w:szCs w:val="13"/>
          <w:b w:val="1"/>
          <w:bCs w:val="1"/>
          <w:color w:val="auto"/>
        </w:rPr>
        <w:t xml:space="preserve">7.1 Dispositions. </w:t>
      </w:r>
      <w:r>
        <w:rPr>
          <w:rFonts w:ascii="Arial" w:cs="Arial" w:eastAsia="Arial" w:hAnsi="Arial"/>
          <w:sz w:val="13"/>
          <w:szCs w:val="13"/>
          <w:color w:val="auto"/>
        </w:rPr>
        <w:t>Convey, sell, lease, transfer, assign, dispose of (collectively, “</w:t>
      </w:r>
      <w:r>
        <w:rPr>
          <w:rFonts w:ascii="Arial" w:cs="Arial" w:eastAsia="Arial" w:hAnsi="Arial"/>
          <w:sz w:val="13"/>
          <w:szCs w:val="13"/>
          <w:b w:val="1"/>
          <w:bCs w:val="1"/>
          <w:color w:val="auto"/>
        </w:rPr>
        <w:t>Transfer</w:t>
      </w:r>
      <w:r>
        <w:rPr>
          <w:rFonts w:ascii="Arial" w:cs="Arial" w:eastAsia="Arial" w:hAnsi="Arial"/>
          <w:sz w:val="13"/>
          <w:szCs w:val="13"/>
          <w:color w:val="auto"/>
        </w:rPr>
        <w:t>”), or permit any of its Subsidiaries to Transfer, all or any part of its</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or property, except for Transfers (a) of Inventory in the ordinary course of business; (b) of worn</w:t>
      </w:r>
      <w:r>
        <w:rPr>
          <w:rFonts w:ascii="MS PGothic" w:cs="MS PGothic" w:eastAsia="MS PGothic" w:hAnsi="MS PGothic"/>
          <w:sz w:val="13"/>
          <w:szCs w:val="13"/>
          <w:color w:val="auto"/>
        </w:rPr>
        <w:t>‑</w:t>
      </w:r>
      <w:r>
        <w:rPr>
          <w:rFonts w:ascii="Arial" w:cs="Arial" w:eastAsia="Arial" w:hAnsi="Arial"/>
          <w:sz w:val="13"/>
          <w:szCs w:val="13"/>
          <w:color w:val="auto"/>
        </w:rPr>
        <w:t>out or obsolete Equipment; (c) in connection with Permitted Liens,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93" w:name="page94"/>
    <w:bookmarkEnd w:id="93"/>
    <w:p>
      <w:pPr>
        <w:jc w:val="both"/>
        <w:spacing w:after="0" w:line="284" w:lineRule="auto"/>
        <w:rPr>
          <w:sz w:val="20"/>
          <w:szCs w:val="20"/>
          <w:color w:val="auto"/>
        </w:rPr>
      </w:pPr>
      <w:r>
        <w:rPr>
          <w:rFonts w:ascii="Arial" w:cs="Arial" w:eastAsia="Arial" w:hAnsi="Arial"/>
          <w:sz w:val="14"/>
          <w:szCs w:val="14"/>
          <w:color w:val="auto"/>
        </w:rPr>
        <w:t>Permitted Investments and Permitted Licenses; (d) cash or Cash Equivalents pursuant to transactions not prohibited by this Agreement; or (e) other Transfers not exceed Two Hundred Fifty Thousand Dollars ($250,000) in any fiscal year.</w:t>
      </w:r>
    </w:p>
    <w:p>
      <w:pPr>
        <w:spacing w:after="0" w:line="128" w:lineRule="exact"/>
        <w:rPr>
          <w:sz w:val="20"/>
          <w:szCs w:val="20"/>
          <w:color w:val="auto"/>
        </w:rPr>
      </w:pPr>
    </w:p>
    <w:p>
      <w:pPr>
        <w:jc w:val="both"/>
        <w:ind w:firstLine="513"/>
        <w:spacing w:after="0" w:line="280" w:lineRule="auto"/>
        <w:rPr>
          <w:sz w:val="20"/>
          <w:szCs w:val="20"/>
          <w:color w:val="auto"/>
        </w:rPr>
      </w:pPr>
      <w:r>
        <w:rPr>
          <w:rFonts w:ascii="Arial" w:cs="Arial" w:eastAsia="Arial" w:hAnsi="Arial"/>
          <w:sz w:val="13"/>
          <w:szCs w:val="13"/>
          <w:b w:val="1"/>
          <w:bCs w:val="1"/>
          <w:color w:val="auto"/>
        </w:rPr>
        <w:t xml:space="preserve">7.2 Changes in Business, Management, Ownership, or Business Locations. </w:t>
      </w:r>
      <w:r>
        <w:rPr>
          <w:rFonts w:ascii="Arial" w:cs="Arial" w:eastAsia="Arial" w:hAnsi="Arial"/>
          <w:sz w:val="13"/>
          <w:szCs w:val="13"/>
          <w:color w:val="auto"/>
        </w:rPr>
        <w:t>(a) Engage in or permit any of its Subsidiaries to engage in any business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the businesses engaged in by Borrower or such Subsidiary, as applicable, as of the Effective Date or reasonably related thereto; (b) liquidate or dissolve; or (c) (i) permit any Key Person to cease being actively engaged in the management of Borrower unless written notice thereof is provided to Collateral Agent within ten (10) Business Days of such cessation, or (ii) enter into any transaction or series of related transactions in which (A) the stockholders of Borrower who were not stockholders immediately prior to the first such transaction own more than 49% of the voting stock of Borrower immediately after giving effect to such transaction or related series of such transactions and (B) except as permitted by Section 7.3, Borrower ceases to own, directly or indirectly, 100% of the ownership interests in each Subsidiary of Borrower. Borrower shall not, and shall not permit any of its Subsidiaries to, without at least twenty (20) days’ prior written notice to Collateral Agent: (A) add any new offices or business locations, including warehouses (unless such new offices or business locations contain less than Five Hundred Thousand Dollars ($500,000) in assets or property of Borrower or any of its Subsidiaries, as applicable); (B) change its respective jurisdiction of organization, (C) except as permitted by Section 7.3, change its respective organizational structure or type, (D) change its respective legal name, or (E) change any organizational number(s) (if any) assigned by its respective jurisdiction of organization.</w:t>
      </w:r>
    </w:p>
    <w:p>
      <w:pPr>
        <w:spacing w:after="0" w:line="135" w:lineRule="exact"/>
        <w:rPr>
          <w:sz w:val="20"/>
          <w:szCs w:val="20"/>
          <w:color w:val="auto"/>
        </w:rPr>
      </w:pPr>
    </w:p>
    <w:p>
      <w:pPr>
        <w:jc w:val="both"/>
        <w:ind w:firstLine="513"/>
        <w:spacing w:after="0" w:line="174" w:lineRule="exact"/>
        <w:rPr>
          <w:sz w:val="20"/>
          <w:szCs w:val="20"/>
          <w:color w:val="auto"/>
        </w:rPr>
      </w:pPr>
      <w:r>
        <w:rPr>
          <w:rFonts w:ascii="Arial" w:cs="Arial" w:eastAsia="Arial" w:hAnsi="Arial"/>
          <w:sz w:val="14"/>
          <w:szCs w:val="14"/>
          <w:b w:val="1"/>
          <w:bCs w:val="1"/>
          <w:color w:val="auto"/>
        </w:rPr>
        <w:t xml:space="preserve">7.3 Mergers or Acquisitions. </w:t>
      </w:r>
      <w:r>
        <w:rPr>
          <w:rFonts w:ascii="Arial" w:cs="Arial" w:eastAsia="Arial" w:hAnsi="Arial"/>
          <w:sz w:val="14"/>
          <w:szCs w:val="14"/>
          <w:color w:val="auto"/>
        </w:rPr>
        <w:t>Merge or consolidate, or permit any of its Subsidiaries to merge or consolidate, with any other Person, or acquire, or permit any of</w:t>
      </w:r>
      <w:r>
        <w:rPr>
          <w:rFonts w:ascii="Arial" w:cs="Arial" w:eastAsia="Arial" w:hAnsi="Arial"/>
          <w:sz w:val="14"/>
          <w:szCs w:val="14"/>
          <w:b w:val="1"/>
          <w:bCs w:val="1"/>
          <w:color w:val="auto"/>
        </w:rPr>
        <w:t xml:space="preserve"> </w:t>
      </w:r>
      <w:r>
        <w:rPr>
          <w:rFonts w:ascii="Arial" w:cs="Arial" w:eastAsia="Arial" w:hAnsi="Arial"/>
          <w:sz w:val="14"/>
          <w:szCs w:val="14"/>
          <w:color w:val="auto"/>
        </w:rPr>
        <w:t>its Subsidiaries to acquire, all or substantially all of the capital stock, shares or property of another Person, other than Permitted Acquisitions. A Subsidiary may merge or consolidate into another Subsidiary (provided such surviving Subsidiary is a “co</w:t>
      </w:r>
      <w:r>
        <w:rPr>
          <w:rFonts w:ascii="MS PGothic" w:cs="MS PGothic" w:eastAsia="MS PGothic" w:hAnsi="MS PGothic"/>
          <w:sz w:val="14"/>
          <w:szCs w:val="14"/>
          <w:color w:val="auto"/>
        </w:rPr>
        <w:t>‑</w:t>
      </w:r>
      <w:r>
        <w:rPr>
          <w:rFonts w:ascii="Arial" w:cs="Arial" w:eastAsia="Arial" w:hAnsi="Arial"/>
          <w:sz w:val="14"/>
          <w:szCs w:val="14"/>
          <w:color w:val="auto"/>
        </w:rPr>
        <w:t>Borrower” hereunder or has provided a secured Guaranty of Borrower’s Obligations hereunder in accordance with Section 6.10) or with (or into) Borrower provided Borrower is the surviving legal entity, and as long as no Event of Default is occurring prior thereto or arises as a result therefrom.</w:t>
      </w:r>
    </w:p>
    <w:p>
      <w:pPr>
        <w:spacing w:after="0" w:line="160"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2"/>
          <w:szCs w:val="12"/>
          <w:b w:val="1"/>
          <w:bCs w:val="1"/>
          <w:color w:val="auto"/>
        </w:rPr>
        <w:t xml:space="preserve">Indebtedness. </w:t>
      </w:r>
      <w:r>
        <w:rPr>
          <w:rFonts w:ascii="Arial" w:cs="Arial" w:eastAsia="Arial" w:hAnsi="Arial"/>
          <w:sz w:val="12"/>
          <w:szCs w:val="12"/>
          <w:color w:val="auto"/>
        </w:rPr>
        <w:t>Create, incur, assume, or be liable for any Indebtedness, or permit any Subsidiary to do so, other than Permitted Indebtedness.</w:t>
      </w:r>
    </w:p>
    <w:p>
      <w:pPr>
        <w:spacing w:after="0" w:line="181" w:lineRule="exact"/>
        <w:rPr>
          <w:sz w:val="20"/>
          <w:szCs w:val="20"/>
          <w:color w:val="auto"/>
        </w:rPr>
      </w:pPr>
    </w:p>
    <w:p>
      <w:pPr>
        <w:jc w:val="both"/>
        <w:ind w:firstLine="513"/>
        <w:spacing w:after="0" w:line="261" w:lineRule="auto"/>
        <w:rPr>
          <w:sz w:val="20"/>
          <w:szCs w:val="20"/>
          <w:color w:val="auto"/>
        </w:rPr>
      </w:pPr>
      <w:r>
        <w:rPr>
          <w:rFonts w:ascii="Arial" w:cs="Arial" w:eastAsia="Arial" w:hAnsi="Arial"/>
          <w:sz w:val="14"/>
          <w:szCs w:val="14"/>
          <w:b w:val="1"/>
          <w:bCs w:val="1"/>
          <w:color w:val="auto"/>
        </w:rPr>
        <w:t xml:space="preserve">7.5 Encumbrance. </w:t>
      </w:r>
      <w:r>
        <w:rPr>
          <w:rFonts w:ascii="Arial" w:cs="Arial" w:eastAsia="Arial" w:hAnsi="Arial"/>
          <w:sz w:val="14"/>
          <w:szCs w:val="14"/>
          <w:color w:val="auto"/>
        </w:rPr>
        <w:t>Create, incur, allow, or suffer any Lien on any of its property, or assign or convey any right to receive income, including the sale of any</w:t>
      </w:r>
      <w:r>
        <w:rPr>
          <w:rFonts w:ascii="Arial" w:cs="Arial" w:eastAsia="Arial" w:hAnsi="Arial"/>
          <w:sz w:val="14"/>
          <w:szCs w:val="14"/>
          <w:b w:val="1"/>
          <w:bCs w:val="1"/>
          <w:color w:val="auto"/>
        </w:rPr>
        <w:t xml:space="preserve"> </w:t>
      </w:r>
      <w:r>
        <w:rPr>
          <w:rFonts w:ascii="Arial" w:cs="Arial" w:eastAsia="Arial" w:hAnsi="Arial"/>
          <w:sz w:val="14"/>
          <w:szCs w:val="14"/>
          <w:color w:val="auto"/>
        </w:rPr>
        <w:t>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Secured Parties)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45"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b w:val="1"/>
          <w:bCs w:val="1"/>
          <w:color w:val="auto"/>
        </w:rPr>
        <w:t xml:space="preserve">7.6 Maintenance of Collateral Accounts. </w:t>
      </w:r>
      <w:r>
        <w:rPr>
          <w:rFonts w:ascii="Arial" w:cs="Arial" w:eastAsia="Arial" w:hAnsi="Arial"/>
          <w:sz w:val="14"/>
          <w:szCs w:val="14"/>
          <w:color w:val="auto"/>
        </w:rPr>
        <w:t>With respect to Borrower and any Guarantors, maintain any Collateral Account except pursuant to the terms of</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6.6 hereof.</w:t>
      </w:r>
    </w:p>
    <w:p>
      <w:pPr>
        <w:spacing w:after="0" w:line="123" w:lineRule="exact"/>
        <w:rPr>
          <w:sz w:val="20"/>
          <w:szCs w:val="20"/>
          <w:color w:val="auto"/>
        </w:rPr>
      </w:pPr>
    </w:p>
    <w:p>
      <w:pPr>
        <w:jc w:val="both"/>
        <w:ind w:firstLine="513"/>
        <w:spacing w:after="0" w:line="282" w:lineRule="auto"/>
        <w:rPr>
          <w:sz w:val="20"/>
          <w:szCs w:val="20"/>
          <w:color w:val="auto"/>
        </w:rPr>
      </w:pPr>
      <w:r>
        <w:rPr>
          <w:rFonts w:ascii="Arial" w:cs="Arial" w:eastAsia="Arial" w:hAnsi="Arial"/>
          <w:sz w:val="13"/>
          <w:szCs w:val="13"/>
          <w:b w:val="1"/>
          <w:bCs w:val="1"/>
          <w:color w:val="auto"/>
        </w:rPr>
        <w:t xml:space="preserve">7.7 Restricted Payments. </w:t>
      </w:r>
      <w:r>
        <w:rPr>
          <w:rFonts w:ascii="Arial" w:cs="Arial" w:eastAsia="Arial" w:hAnsi="Arial"/>
          <w:sz w:val="13"/>
          <w:szCs w:val="13"/>
          <w:color w:val="auto"/>
        </w:rPr>
        <w:t>(a) Declare or pay any dividends (other than dividends payable solely in capital stock) or make any other distribution or payment on</w:t>
      </w:r>
      <w:r>
        <w:rPr>
          <w:rFonts w:ascii="Arial" w:cs="Arial" w:eastAsia="Arial" w:hAnsi="Arial"/>
          <w:sz w:val="13"/>
          <w:szCs w:val="13"/>
          <w:b w:val="1"/>
          <w:bCs w:val="1"/>
          <w:color w:val="auto"/>
        </w:rPr>
        <w:t xml:space="preserve"> </w:t>
      </w:r>
      <w:r>
        <w:rPr>
          <w:rFonts w:ascii="Arial" w:cs="Arial" w:eastAsia="Arial" w:hAnsi="Arial"/>
          <w:sz w:val="13"/>
          <w:szCs w:val="13"/>
          <w:color w:val="auto"/>
        </w:rPr>
        <w:t>account of or redeem, retire or purchase any capital stock (other than (i) the declaration or payment of dividends to Borrower, (ii) so long as no Event of Default or Default exists or would result therefrom, the declaration or payment of any dividends solely in the form of equity securities, and (iii) repurchases pursuant to the terms of employee stock purchase plans, employee restricted stock agreements, stockholder rights plans, director or consultant stock option plans, similar plans to any of the foregoing, or payments in connection with tax withholding obligations in connection with the foregoing, provided such repurchases do not exceed Three Hundred Fifty Thousand Dollars ($350,000) in the aggregate per fiscal year and One Million Dollars ($1,000,000) over the term of this Agreement), (b) other than the Obligations in accordance with the terms hereof, purchase, redeem, defease or prepay any principal of, premium, if any, interest or other amount payable in respect of any Indebtedness prior to its scheduled maturity unless being replaced with Indebtedness of at least the same principal amount and such new Indebtedness is Permitted Indebtedness, or (c) be 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94" w:name="page95"/>
    <w:bookmarkEnd w:id="94"/>
    <w:p>
      <w:pPr>
        <w:ind w:left="1"/>
        <w:spacing w:after="0"/>
        <w:rPr>
          <w:sz w:val="20"/>
          <w:szCs w:val="20"/>
          <w:color w:val="auto"/>
        </w:rPr>
      </w:pPr>
      <w:r>
        <w:rPr>
          <w:rFonts w:ascii="Arial" w:cs="Arial" w:eastAsia="Arial" w:hAnsi="Arial"/>
          <w:sz w:val="14"/>
          <w:szCs w:val="14"/>
          <w:color w:val="auto"/>
        </w:rPr>
        <w:t>party to or bound by an agreement that restricts a Subsidiary from paying dividends or otherwise distributing property to Borrower other than this Agreement.</w:t>
      </w:r>
    </w:p>
    <w:p>
      <w:pPr>
        <w:spacing w:after="0" w:line="177"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b w:val="1"/>
          <w:bCs w:val="1"/>
          <w:color w:val="auto"/>
        </w:rPr>
        <w:t xml:space="preserve">7.8 Investments. </w:t>
      </w:r>
      <w:r>
        <w:rPr>
          <w:rFonts w:ascii="Arial" w:cs="Arial" w:eastAsia="Arial" w:hAnsi="Arial"/>
          <w:sz w:val="14"/>
          <w:szCs w:val="14"/>
          <w:color w:val="auto"/>
        </w:rPr>
        <w:t>Directly or indirectly make any Investment other than Permitted Investments, or permit any of its Subsidiaries to do so other than Permitted</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w:t>
      </w:r>
    </w:p>
    <w:p>
      <w:pPr>
        <w:spacing w:after="0" w:line="123" w:lineRule="exact"/>
        <w:rPr>
          <w:sz w:val="20"/>
          <w:szCs w:val="20"/>
          <w:color w:val="auto"/>
        </w:rPr>
      </w:pPr>
    </w:p>
    <w:p>
      <w:pPr>
        <w:jc w:val="both"/>
        <w:ind w:left="1" w:firstLine="513"/>
        <w:spacing w:after="0" w:line="174" w:lineRule="exact"/>
        <w:rPr>
          <w:sz w:val="20"/>
          <w:szCs w:val="20"/>
          <w:color w:val="auto"/>
        </w:rPr>
      </w:pPr>
      <w:r>
        <w:rPr>
          <w:rFonts w:ascii="Arial" w:cs="Arial" w:eastAsia="Arial" w:hAnsi="Arial"/>
          <w:sz w:val="14"/>
          <w:szCs w:val="14"/>
          <w:b w:val="1"/>
          <w:bCs w:val="1"/>
          <w:color w:val="auto"/>
        </w:rPr>
        <w:t xml:space="preserve">7.9 Transactions with Affiliates. </w:t>
      </w:r>
      <w:r>
        <w:rPr>
          <w:rFonts w:ascii="Arial" w:cs="Arial" w:eastAsia="Arial" w:hAnsi="Arial"/>
          <w:sz w:val="14"/>
          <w:szCs w:val="14"/>
          <w:color w:val="auto"/>
        </w:rPr>
        <w:t>Directly or indirectly enter into or permit to exist any material transaction with any Affiliate of Borrower or any of its</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Subsidiaries, except for (a) transactions that are in the ordinary course of Borrower’s or such Subsidiary’s business, upon fair and reasonable terms that are no less favorable to Borrower or such Subsidiary than would be obtained in an arm’s length transaction with a non</w:t>
      </w:r>
      <w:r>
        <w:rPr>
          <w:rFonts w:ascii="MS PGothic" w:cs="MS PGothic" w:eastAsia="MS PGothic" w:hAnsi="MS PGothic"/>
          <w:sz w:val="14"/>
          <w:szCs w:val="14"/>
          <w:color w:val="auto"/>
        </w:rPr>
        <w:t>‑</w:t>
      </w:r>
      <w:r>
        <w:rPr>
          <w:rFonts w:ascii="Arial" w:cs="Arial" w:eastAsia="Arial" w:hAnsi="Arial"/>
          <w:sz w:val="14"/>
          <w:szCs w:val="14"/>
          <w:color w:val="auto"/>
        </w:rPr>
        <w:t>affiliated Person, (b) Subordinated Debt or equity investments by Borrower’s investors in Borrower or its Subsidiaries, and (c) compensation arrangements for Borrower’s and its Subsidiaries’ officers, directors and employees that are customary in Borrower’s industry.</w:t>
      </w:r>
    </w:p>
    <w:p>
      <w:pPr>
        <w:spacing w:after="0" w:line="160" w:lineRule="exact"/>
        <w:rPr>
          <w:sz w:val="20"/>
          <w:szCs w:val="20"/>
          <w:color w:val="auto"/>
        </w:rPr>
      </w:pPr>
    </w:p>
    <w:p>
      <w:pPr>
        <w:jc w:val="both"/>
        <w:ind w:left="1" w:firstLine="513"/>
        <w:spacing w:after="0" w:line="272" w:lineRule="auto"/>
        <w:rPr>
          <w:sz w:val="20"/>
          <w:szCs w:val="20"/>
          <w:color w:val="auto"/>
        </w:rPr>
      </w:pPr>
      <w:r>
        <w:rPr>
          <w:rFonts w:ascii="Arial" w:cs="Arial" w:eastAsia="Arial" w:hAnsi="Arial"/>
          <w:sz w:val="14"/>
          <w:szCs w:val="14"/>
          <w:b w:val="1"/>
          <w:bCs w:val="1"/>
          <w:color w:val="auto"/>
        </w:rPr>
        <w:t xml:space="preserve">7.10 Subordinated Debt. </w:t>
      </w:r>
      <w:r>
        <w:rPr>
          <w:rFonts w:ascii="Arial" w:cs="Arial" w:eastAsia="Arial" w:hAnsi="Arial"/>
          <w:sz w:val="14"/>
          <w:szCs w:val="14"/>
          <w:color w:val="auto"/>
        </w:rPr>
        <w:t>(a) Make or permit any payment on any Subordinated Debt, except under the terms of the subordination, intercreditor, or other similar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36" w:lineRule="exact"/>
        <w:rPr>
          <w:sz w:val="20"/>
          <w:szCs w:val="20"/>
          <w:color w:val="auto"/>
        </w:rPr>
      </w:pPr>
    </w:p>
    <w:p>
      <w:pPr>
        <w:jc w:val="both"/>
        <w:ind w:left="1" w:firstLine="513"/>
        <w:spacing w:after="0" w:line="259" w:lineRule="auto"/>
        <w:rPr>
          <w:sz w:val="20"/>
          <w:szCs w:val="20"/>
          <w:color w:val="auto"/>
        </w:rPr>
      </w:pPr>
      <w:r>
        <w:rPr>
          <w:rFonts w:ascii="Arial" w:cs="Arial" w:eastAsia="Arial" w:hAnsi="Arial"/>
          <w:sz w:val="14"/>
          <w:szCs w:val="14"/>
          <w:b w:val="1"/>
          <w:bCs w:val="1"/>
          <w:color w:val="auto"/>
        </w:rPr>
        <w:t xml:space="preserve">7.11 Compliance. </w:t>
      </w:r>
      <w:r>
        <w:rPr>
          <w:rFonts w:ascii="Arial" w:cs="Arial" w:eastAsia="Arial" w:hAnsi="Arial"/>
          <w:sz w:val="14"/>
          <w:szCs w:val="14"/>
          <w:color w:val="auto"/>
        </w:rPr>
        <w:t>(a) Become an “investment company” or a company controlled by an “investment company”, under the Investment Company Act of 1940, as</w:t>
      </w:r>
      <w:r>
        <w:rPr>
          <w:rFonts w:ascii="Arial" w:cs="Arial" w:eastAsia="Arial" w:hAnsi="Arial"/>
          <w:sz w:val="14"/>
          <w:szCs w:val="14"/>
          <w:b w:val="1"/>
          <w:bCs w:val="1"/>
          <w:color w:val="auto"/>
        </w:rPr>
        <w:t xml:space="preserve"> </w:t>
      </w:r>
      <w:r>
        <w:rPr>
          <w:rFonts w:ascii="Arial" w:cs="Arial" w:eastAsia="Arial" w:hAnsi="Arial"/>
          <w:sz w:val="14"/>
          <w:szCs w:val="14"/>
          <w:color w:val="auto"/>
        </w:rPr>
        <w:t>amended, or undertake as one of its important activities extending credit to purchase or carry margin stock (as defined in Regulation U of the Board of Governors of the Federal Reserve System), or use the proceeds of the Term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48" w:lineRule="exact"/>
        <w:rPr>
          <w:sz w:val="20"/>
          <w:szCs w:val="20"/>
          <w:color w:val="auto"/>
        </w:rPr>
      </w:pPr>
    </w:p>
    <w:p>
      <w:pPr>
        <w:jc w:val="both"/>
        <w:ind w:left="1" w:firstLine="513"/>
        <w:spacing w:after="0" w:line="174" w:lineRule="exact"/>
        <w:rPr>
          <w:sz w:val="20"/>
          <w:szCs w:val="20"/>
          <w:color w:val="auto"/>
        </w:rPr>
      </w:pPr>
      <w:r>
        <w:rPr>
          <w:rFonts w:ascii="Arial" w:cs="Arial" w:eastAsia="Arial" w:hAnsi="Arial"/>
          <w:sz w:val="13"/>
          <w:szCs w:val="13"/>
          <w:b w:val="1"/>
          <w:bCs w:val="1"/>
          <w:color w:val="auto"/>
        </w:rPr>
        <w:t>7.12 Compliance with Anti</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 xml:space="preserve">Terrorism Laws. </w:t>
      </w:r>
      <w:r>
        <w:rPr>
          <w:rFonts w:ascii="Arial" w:cs="Arial" w:eastAsia="Arial" w:hAnsi="Arial"/>
          <w:sz w:val="13"/>
          <w:szCs w:val="13"/>
          <w:color w:val="auto"/>
        </w:rPr>
        <w:t>Neither Borrower nor any of its Subsidiaries shall, nor shall Borrower or any of its Subsidiaries permit any Affiliate</w:t>
      </w:r>
      <w:r>
        <w:rPr>
          <w:rFonts w:ascii="Arial" w:cs="Arial" w:eastAsia="Arial" w:hAnsi="Arial"/>
          <w:sz w:val="13"/>
          <w:szCs w:val="13"/>
          <w:b w:val="1"/>
          <w:bCs w:val="1"/>
          <w:color w:val="auto"/>
        </w:rPr>
        <w:t xml:space="preserve"> </w:t>
      </w:r>
      <w:r>
        <w:rPr>
          <w:rFonts w:ascii="Arial" w:cs="Arial" w:eastAsia="Arial" w:hAnsi="Arial"/>
          <w:sz w:val="13"/>
          <w:szCs w:val="13"/>
          <w:color w:val="auto"/>
        </w:rPr>
        <w:t>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(a) conduct any business or engage in any transaction or dealing with any Blocked Person, including, without limitation, the making or receiving of any contribution of funds, goods or services to or for the benefit of any Blocked Person,</w:t>
      </w:r>
    </w:p>
    <w:p>
      <w:pPr>
        <w:spacing w:after="0" w:line="2" w:lineRule="exact"/>
        <w:rPr>
          <w:sz w:val="20"/>
          <w:szCs w:val="20"/>
          <w:color w:val="auto"/>
        </w:rPr>
      </w:pPr>
    </w:p>
    <w:p>
      <w:pPr>
        <w:jc w:val="both"/>
        <w:ind w:left="1" w:hanging="1"/>
        <w:spacing w:after="0" w:line="171" w:lineRule="exact"/>
        <w:tabs>
          <w:tab w:leader="none" w:pos="203" w:val="left"/>
        </w:tabs>
        <w:numPr>
          <w:ilvl w:val="0"/>
          <w:numId w:val="84"/>
        </w:numPr>
        <w:rPr>
          <w:rFonts w:ascii="Arial" w:cs="Arial" w:eastAsia="Arial" w:hAnsi="Arial"/>
          <w:sz w:val="14"/>
          <w:szCs w:val="14"/>
          <w:color w:val="auto"/>
        </w:rPr>
      </w:pPr>
      <w:r>
        <w:rPr>
          <w:rFonts w:ascii="Arial" w:cs="Arial" w:eastAsia="Arial" w:hAnsi="Arial"/>
          <w:sz w:val="14"/>
          <w:szCs w:val="14"/>
          <w:color w:val="auto"/>
        </w:rPr>
        <w:t>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4"/>
          <w:szCs w:val="14"/>
          <w:color w:val="auto"/>
        </w:rPr>
        <w:t>‑</w:t>
      </w:r>
      <w:r>
        <w:rPr>
          <w:rFonts w:ascii="Arial" w:cs="Arial" w:eastAsia="Arial" w:hAnsi="Arial"/>
          <w:sz w:val="14"/>
          <w:szCs w:val="14"/>
          <w:color w:val="auto"/>
        </w:rPr>
        <w:t>Terrorism Law, or (c)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4"/>
          <w:szCs w:val="14"/>
          <w:color w:val="auto"/>
        </w:rPr>
        <w:t>‑</w:t>
      </w:r>
      <w:r>
        <w:rPr>
          <w:rFonts w:ascii="Arial" w:cs="Arial" w:eastAsia="Arial" w:hAnsi="Arial"/>
          <w:sz w:val="14"/>
          <w:szCs w:val="14"/>
          <w:color w:val="auto"/>
        </w:rPr>
        <w:t>Terrorism Law.</w:t>
      </w:r>
    </w:p>
    <w:p>
      <w:pPr>
        <w:spacing w:after="0" w:line="158"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7.13</w:t>
      </w:r>
      <w:r>
        <w:rPr>
          <w:sz w:val="20"/>
          <w:szCs w:val="20"/>
          <w:color w:val="auto"/>
        </w:rPr>
        <w:tab/>
      </w:r>
      <w:r>
        <w:rPr>
          <w:rFonts w:ascii="Arial" w:cs="Arial" w:eastAsia="Arial" w:hAnsi="Arial"/>
          <w:sz w:val="13"/>
          <w:szCs w:val="13"/>
          <w:b w:val="1"/>
          <w:bCs w:val="1"/>
          <w:color w:val="auto"/>
        </w:rPr>
        <w:t>Minimum Liquidity</w:t>
      </w:r>
      <w:r>
        <w:rPr>
          <w:rFonts w:ascii="Arial" w:cs="Arial" w:eastAsia="Arial" w:hAnsi="Arial"/>
          <w:sz w:val="13"/>
          <w:szCs w:val="13"/>
          <w:color w:val="auto"/>
        </w:rPr>
        <w:t>.</w:t>
      </w:r>
    </w:p>
    <w:p>
      <w:pPr>
        <w:spacing w:after="0" w:line="185" w:lineRule="exact"/>
        <w:rPr>
          <w:sz w:val="20"/>
          <w:szCs w:val="20"/>
          <w:color w:val="auto"/>
        </w:rPr>
      </w:pPr>
    </w:p>
    <w:p>
      <w:pPr>
        <w:jc w:val="both"/>
        <w:ind w:left="1" w:firstLine="1024"/>
        <w:spacing w:after="0" w:line="259" w:lineRule="auto"/>
        <w:tabs>
          <w:tab w:leader="none" w:pos="1575"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Borrower shall not allow, at any time, its unrestricted cash and Cash Equivalents to be an amount less than the sum of (i) the principal payments due on interest-bearing liabilities for the upcoming seven (7) fiscal months (using Borrower’s reasonable judgment as to when the Amortization Date will occur) and (ii) seven times (7x) the cash spent in respect of operations and capital expenditures by Borrower per month as determined based on the average taken over the most recently completed seven fiscal months (excluding principal payments made in respect of interest- bearing liabilities made in such period); </w:t>
      </w:r>
      <w:r>
        <w:rPr>
          <w:rFonts w:ascii="Arial" w:cs="Arial" w:eastAsia="Arial" w:hAnsi="Arial"/>
          <w:sz w:val="14"/>
          <w:szCs w:val="14"/>
          <w:u w:val="single" w:color="auto"/>
          <w:color w:val="auto"/>
        </w:rPr>
        <w:t>provided</w:t>
      </w:r>
      <w:r>
        <w:rPr>
          <w:rFonts w:ascii="Arial" w:cs="Arial" w:eastAsia="Arial" w:hAnsi="Arial"/>
          <w:sz w:val="14"/>
          <w:szCs w:val="14"/>
          <w:color w:val="auto"/>
        </w:rPr>
        <w:t>, however, this covenant shall no longer apply after the Borrower provides evidence reasonably satisfactory to the Collateral Agent that Borrower has received at least Forty Six Million Five Hundred Thousand Dollars ($46,500,000) in aggregate unrestricted net cash proceeds from the sale and issuance of Borrower’s stock pursuant to one or more bona fide equity financings on terms reasonably acceptable to the Collateral Agent.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95" w:name="page96"/>
    <w:bookmarkEnd w:id="95"/>
    <w:p>
      <w:pPr>
        <w:jc w:val="both"/>
        <w:ind w:left="1" w:firstLine="1024"/>
        <w:spacing w:after="0" w:line="269" w:lineRule="auto"/>
        <w:tabs>
          <w:tab w:leader="none" w:pos="1724" w:val="left"/>
        </w:tabs>
        <w:numPr>
          <w:ilvl w:val="1"/>
          <w:numId w:val="86"/>
        </w:numPr>
        <w:rPr>
          <w:rFonts w:ascii="Arial" w:cs="Arial" w:eastAsia="Arial" w:hAnsi="Arial"/>
          <w:sz w:val="14"/>
          <w:szCs w:val="14"/>
          <w:color w:val="auto"/>
        </w:rPr>
      </w:pPr>
      <w:r>
        <w:rPr>
          <w:rFonts w:ascii="Arial" w:cs="Arial" w:eastAsia="Arial" w:hAnsi="Arial"/>
          <w:sz w:val="14"/>
          <w:szCs w:val="14"/>
          <w:color w:val="auto"/>
        </w:rPr>
        <w:t>Borrower shall not allow, at any time that a Permitted License is in effect under clause (D)(iii)(y) in the definition thereof, its cash and Cash Equivalents to be an amount less than Fifty Million Dollars ($50,000,000) until the Borrower achieves (subject to evidence reasonably acceptable to the Collateral Agent) its Phase 3 Endpoint.</w:t>
      </w:r>
    </w:p>
    <w:p>
      <w:pPr>
        <w:spacing w:after="0" w:line="138" w:lineRule="exact"/>
        <w:rPr>
          <w:rFonts w:ascii="Arial" w:cs="Arial" w:eastAsia="Arial" w:hAnsi="Arial"/>
          <w:sz w:val="14"/>
          <w:szCs w:val="14"/>
          <w:color w:val="auto"/>
        </w:rPr>
      </w:pPr>
    </w:p>
    <w:p>
      <w:pPr>
        <w:ind w:left="541" w:hanging="541"/>
        <w:spacing w:after="0"/>
        <w:tabs>
          <w:tab w:leader="none" w:pos="541"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EVENTS OF DEFAULT</w:t>
      </w:r>
    </w:p>
    <w:p>
      <w:pPr>
        <w:spacing w:after="0" w:line="181" w:lineRule="exact"/>
        <w:rPr>
          <w:sz w:val="20"/>
          <w:szCs w:val="20"/>
          <w:color w:val="auto"/>
        </w:rPr>
      </w:pPr>
    </w:p>
    <w:p>
      <w:pPr>
        <w:ind w:left="521"/>
        <w:spacing w:after="0"/>
        <w:rPr>
          <w:sz w:val="20"/>
          <w:szCs w:val="20"/>
          <w:color w:val="auto"/>
        </w:rPr>
      </w:pPr>
      <w:r>
        <w:rPr>
          <w:rFonts w:ascii="Arial" w:cs="Arial" w:eastAsia="Arial" w:hAnsi="Arial"/>
          <w:sz w:val="14"/>
          <w:szCs w:val="14"/>
          <w:color w:val="auto"/>
        </w:rPr>
        <w:t>Any one of the following shall constitute an event of default (an “</w:t>
      </w:r>
      <w:r>
        <w:rPr>
          <w:rFonts w:ascii="Arial" w:cs="Arial" w:eastAsia="Arial" w:hAnsi="Arial"/>
          <w:sz w:val="14"/>
          <w:szCs w:val="14"/>
          <w:b w:val="1"/>
          <w:bCs w:val="1"/>
          <w:color w:val="auto"/>
        </w:rPr>
        <w:t>Event of Default</w:t>
      </w:r>
      <w:r>
        <w:rPr>
          <w:rFonts w:ascii="Arial" w:cs="Arial" w:eastAsia="Arial" w:hAnsi="Arial"/>
          <w:sz w:val="14"/>
          <w:szCs w:val="14"/>
          <w:color w:val="auto"/>
        </w:rPr>
        <w:t>”) under this Agreement:</w:t>
      </w:r>
    </w:p>
    <w:p>
      <w:pPr>
        <w:spacing w:after="0" w:line="181" w:lineRule="exact"/>
        <w:rPr>
          <w:sz w:val="20"/>
          <w:szCs w:val="20"/>
          <w:color w:val="auto"/>
        </w:rPr>
      </w:pPr>
    </w:p>
    <w:p>
      <w:pPr>
        <w:jc w:val="both"/>
        <w:ind w:left="1" w:firstLine="513"/>
        <w:spacing w:after="0" w:line="272" w:lineRule="auto"/>
        <w:rPr>
          <w:sz w:val="20"/>
          <w:szCs w:val="20"/>
          <w:color w:val="auto"/>
        </w:rPr>
      </w:pPr>
      <w:r>
        <w:rPr>
          <w:rFonts w:ascii="Arial" w:cs="Arial" w:eastAsia="Arial" w:hAnsi="Arial"/>
          <w:sz w:val="14"/>
          <w:szCs w:val="14"/>
          <w:b w:val="1"/>
          <w:bCs w:val="1"/>
          <w:color w:val="auto"/>
        </w:rPr>
        <w:t xml:space="preserve">8.1 Payment Default. </w:t>
      </w:r>
      <w:r>
        <w:rPr>
          <w:rFonts w:ascii="Arial" w:cs="Arial" w:eastAsia="Arial" w:hAnsi="Arial"/>
          <w:sz w:val="14"/>
          <w:szCs w:val="14"/>
          <w:color w:val="auto"/>
        </w:rPr>
        <w:t>Borrower fails to (a) make any payment of principal or interest on the Term Loan on its due date, or (b) pay any other Obligation within</w:t>
      </w:r>
      <w:r>
        <w:rPr>
          <w:rFonts w:ascii="Arial" w:cs="Arial" w:eastAsia="Arial" w:hAnsi="Arial"/>
          <w:sz w:val="14"/>
          <w:szCs w:val="14"/>
          <w:b w:val="1"/>
          <w:bCs w:val="1"/>
          <w:color w:val="auto"/>
        </w:rPr>
        <w:t xml:space="preserve"> </w:t>
      </w:r>
      <w:r>
        <w:rPr>
          <w:rFonts w:ascii="Arial" w:cs="Arial" w:eastAsia="Arial" w:hAnsi="Arial"/>
          <w:sz w:val="14"/>
          <w:szCs w:val="14"/>
          <w:color w:val="auto"/>
        </w:rPr>
        <w:t>three (3) Business Days after such Obligations are due and payable (which three (3) Business Day grace period shall not apply to payments due on the Maturity Date or the date or acceleration pursuant to Section 9.1(a) hereof);</w:t>
      </w:r>
    </w:p>
    <w:p>
      <w:pPr>
        <w:spacing w:after="0" w:line="136"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3"/>
          <w:szCs w:val="13"/>
          <w:b w:val="1"/>
          <w:bCs w:val="1"/>
          <w:color w:val="auto"/>
        </w:rPr>
        <w:t>Covenant Default.</w:t>
      </w:r>
    </w:p>
    <w:p>
      <w:pPr>
        <w:spacing w:after="0" w:line="185" w:lineRule="exact"/>
        <w:rPr>
          <w:sz w:val="20"/>
          <w:szCs w:val="20"/>
          <w:color w:val="auto"/>
        </w:rPr>
      </w:pPr>
    </w:p>
    <w:p>
      <w:pPr>
        <w:jc w:val="both"/>
        <w:ind w:left="1" w:firstLine="1024"/>
        <w:spacing w:after="0" w:line="269" w:lineRule="auto"/>
        <w:tabs>
          <w:tab w:leader="none" w:pos="1689" w:val="left"/>
        </w:tabs>
        <w:numPr>
          <w:ilvl w:val="1"/>
          <w:numId w:val="88"/>
        </w:numPr>
        <w:rPr>
          <w:rFonts w:ascii="Arial" w:cs="Arial" w:eastAsia="Arial" w:hAnsi="Arial"/>
          <w:sz w:val="14"/>
          <w:szCs w:val="14"/>
          <w:color w:val="auto"/>
        </w:rPr>
      </w:pPr>
      <w:r>
        <w:rPr>
          <w:rFonts w:ascii="Arial" w:cs="Arial" w:eastAsia="Arial" w:hAnsi="Arial"/>
          <w:sz w:val="14"/>
          <w:szCs w:val="14"/>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or Borrower violates any provision in Section 7; or</w:t>
      </w:r>
    </w:p>
    <w:p>
      <w:pPr>
        <w:spacing w:after="0" w:line="142" w:lineRule="exact"/>
        <w:rPr>
          <w:rFonts w:ascii="Arial" w:cs="Arial" w:eastAsia="Arial" w:hAnsi="Arial"/>
          <w:sz w:val="14"/>
          <w:szCs w:val="14"/>
          <w:color w:val="auto"/>
        </w:rPr>
      </w:pPr>
    </w:p>
    <w:p>
      <w:pPr>
        <w:jc w:val="both"/>
        <w:ind w:left="1" w:firstLine="1024"/>
        <w:spacing w:after="0" w:line="277" w:lineRule="auto"/>
        <w:tabs>
          <w:tab w:leader="none" w:pos="1696" w:val="left"/>
        </w:tabs>
        <w:numPr>
          <w:ilvl w:val="1"/>
          <w:numId w:val="88"/>
        </w:numPr>
        <w:rPr>
          <w:rFonts w:ascii="Arial" w:cs="Arial" w:eastAsia="Arial" w:hAnsi="Arial"/>
          <w:sz w:val="13"/>
          <w:szCs w:val="13"/>
          <w:color w:val="auto"/>
        </w:rPr>
      </w:pPr>
      <w:r>
        <w:rPr>
          <w:rFonts w:ascii="Arial" w:cs="Arial" w:eastAsia="Arial" w:hAnsi="Arial"/>
          <w:sz w:val="13"/>
          <w:szCs w:val="13"/>
          <w:color w:val="auto"/>
        </w:rPr>
        <w:t>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or such Subsidiary, as applicable, be cured within such fifteen (15) day period, and such default is likely to be cured within a reasonable time, then Borrower shall have an additional period (which shall not in any case exceed thirty</w:t>
      </w:r>
    </w:p>
    <w:p>
      <w:pPr>
        <w:spacing w:after="0" w:line="1" w:lineRule="exact"/>
        <w:rPr>
          <w:rFonts w:ascii="Arial" w:cs="Arial" w:eastAsia="Arial" w:hAnsi="Arial"/>
          <w:sz w:val="13"/>
          <w:szCs w:val="13"/>
          <w:color w:val="auto"/>
        </w:rPr>
      </w:pPr>
    </w:p>
    <w:p>
      <w:pPr>
        <w:ind w:left="281" w:hanging="281"/>
        <w:spacing w:after="0"/>
        <w:tabs>
          <w:tab w:leader="none" w:pos="281" w:val="left"/>
        </w:tabs>
        <w:numPr>
          <w:ilvl w:val="0"/>
          <w:numId w:val="89"/>
        </w:numPr>
        <w:rPr>
          <w:rFonts w:ascii="Arial" w:cs="Arial" w:eastAsia="Arial" w:hAnsi="Arial"/>
          <w:sz w:val="14"/>
          <w:szCs w:val="14"/>
          <w:color w:val="auto"/>
        </w:rPr>
      </w:pPr>
      <w:r>
        <w:rPr>
          <w:rFonts w:ascii="Arial" w:cs="Arial" w:eastAsia="Arial" w:hAnsi="Arial"/>
          <w:sz w:val="14"/>
          <w:szCs w:val="14"/>
          <w:color w:val="auto"/>
        </w:rPr>
        <w:t>days) to attempt to cure such default, and within such reasonable time period the failure to cure the default shall not be deemed an Event of Default.</w:t>
      </w:r>
    </w:p>
    <w:p>
      <w:pPr>
        <w:spacing w:after="0" w:line="167"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2"/>
          <w:szCs w:val="12"/>
          <w:b w:val="1"/>
          <w:bCs w:val="1"/>
          <w:color w:val="auto"/>
        </w:rPr>
        <w:t xml:space="preserve">Material Adverse Change. </w:t>
      </w:r>
      <w:r>
        <w:rPr>
          <w:rFonts w:ascii="Arial" w:cs="Arial" w:eastAsia="Arial" w:hAnsi="Arial"/>
          <w:sz w:val="12"/>
          <w:szCs w:val="12"/>
          <w:color w:val="auto"/>
        </w:rPr>
        <w:t>Required Lenders determine that a Material Adverse Change has occurred;</w:t>
      </w:r>
    </w:p>
    <w:p>
      <w:pPr>
        <w:spacing w:after="0" w:line="181" w:lineRule="exact"/>
        <w:rPr>
          <w:sz w:val="20"/>
          <w:szCs w:val="20"/>
          <w:color w:val="auto"/>
        </w:rPr>
      </w:pPr>
    </w:p>
    <w:p>
      <w:pPr>
        <w:ind w:left="521"/>
        <w:spacing w:after="0"/>
        <w:tabs>
          <w:tab w:leader="none" w:pos="1020" w:val="left"/>
        </w:tabs>
        <w:rPr>
          <w:sz w:val="20"/>
          <w:szCs w:val="20"/>
          <w:color w:val="auto"/>
        </w:rPr>
      </w:pPr>
      <w:r>
        <w:rPr>
          <w:rFonts w:ascii="Arial" w:cs="Arial" w:eastAsia="Arial" w:hAnsi="Arial"/>
          <w:sz w:val="14"/>
          <w:szCs w:val="14"/>
          <w:b w:val="1"/>
          <w:bCs w:val="1"/>
          <w:color w:val="auto"/>
        </w:rPr>
        <w:t>8.4</w:t>
      </w:r>
      <w:r>
        <w:rPr>
          <w:sz w:val="20"/>
          <w:szCs w:val="20"/>
          <w:color w:val="auto"/>
        </w:rPr>
        <w:tab/>
      </w:r>
      <w:r>
        <w:rPr>
          <w:rFonts w:ascii="Arial" w:cs="Arial" w:eastAsia="Arial" w:hAnsi="Arial"/>
          <w:sz w:val="12"/>
          <w:szCs w:val="12"/>
          <w:b w:val="1"/>
          <w:bCs w:val="1"/>
          <w:color w:val="auto"/>
        </w:rPr>
        <w:t>Attachment; Levy; Restraint on Business.</w:t>
      </w:r>
    </w:p>
    <w:p>
      <w:pPr>
        <w:spacing w:after="0" w:line="185" w:lineRule="exact"/>
        <w:rPr>
          <w:sz w:val="20"/>
          <w:szCs w:val="20"/>
          <w:color w:val="auto"/>
        </w:rPr>
      </w:pPr>
    </w:p>
    <w:p>
      <w:pPr>
        <w:jc w:val="both"/>
        <w:ind w:left="1" w:firstLine="1024"/>
        <w:spacing w:after="0" w:line="291" w:lineRule="auto"/>
        <w:tabs>
          <w:tab w:leader="none" w:pos="1643" w:val="left"/>
        </w:tabs>
        <w:numPr>
          <w:ilvl w:val="0"/>
          <w:numId w:val="90"/>
        </w:numPr>
        <w:rPr>
          <w:rFonts w:ascii="Arial" w:cs="Arial" w:eastAsia="Arial" w:hAnsi="Arial"/>
          <w:sz w:val="13"/>
          <w:szCs w:val="13"/>
          <w:color w:val="auto"/>
        </w:rPr>
      </w:pPr>
      <w:r>
        <w:rPr>
          <w:rFonts w:ascii="Arial" w:cs="Arial" w:eastAsia="Arial" w:hAnsi="Arial"/>
          <w:sz w:val="13"/>
          <w:szCs w:val="13"/>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of this clause (a) are not, within ten (10) days after the occurrence thereof, discharged or stayed (whether through the posting of a bond or otherwise); and</w:t>
      </w:r>
    </w:p>
    <w:p>
      <w:pPr>
        <w:spacing w:after="0" w:line="129" w:lineRule="exact"/>
        <w:rPr>
          <w:rFonts w:ascii="Arial" w:cs="Arial" w:eastAsia="Arial" w:hAnsi="Arial"/>
          <w:sz w:val="13"/>
          <w:szCs w:val="13"/>
          <w:color w:val="auto"/>
        </w:rPr>
      </w:pPr>
    </w:p>
    <w:p>
      <w:pPr>
        <w:ind w:left="1" w:firstLine="1024"/>
        <w:spacing w:after="0" w:line="284" w:lineRule="auto"/>
        <w:tabs>
          <w:tab w:leader="none" w:pos="1557" w:val="left"/>
        </w:tabs>
        <w:numPr>
          <w:ilvl w:val="0"/>
          <w:numId w:val="90"/>
        </w:numPr>
        <w:rPr>
          <w:rFonts w:ascii="Arial" w:cs="Arial" w:eastAsia="Arial" w:hAnsi="Arial"/>
          <w:sz w:val="14"/>
          <w:szCs w:val="14"/>
          <w:color w:val="auto"/>
        </w:rPr>
      </w:pPr>
      <w:r>
        <w:rPr>
          <w:rFonts w:ascii="Arial" w:cs="Arial" w:eastAsia="Arial" w:hAnsi="Arial"/>
          <w:sz w:val="14"/>
          <w:szCs w:val="14"/>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28" w:lineRule="exact"/>
        <w:rPr>
          <w:sz w:val="20"/>
          <w:szCs w:val="20"/>
          <w:color w:val="auto"/>
        </w:rPr>
      </w:pPr>
    </w:p>
    <w:p>
      <w:pPr>
        <w:ind w:left="1" w:firstLine="513"/>
        <w:spacing w:after="0" w:line="178" w:lineRule="exact"/>
        <w:rPr>
          <w:sz w:val="20"/>
          <w:szCs w:val="20"/>
          <w:color w:val="auto"/>
        </w:rPr>
      </w:pPr>
      <w:r>
        <w:rPr>
          <w:rFonts w:ascii="Arial" w:cs="Arial" w:eastAsia="Arial" w:hAnsi="Arial"/>
          <w:sz w:val="14"/>
          <w:szCs w:val="14"/>
          <w:b w:val="1"/>
          <w:bCs w:val="1"/>
          <w:color w:val="auto"/>
        </w:rPr>
        <w:t xml:space="preserve">8.5 Insolvency. </w:t>
      </w:r>
      <w:r>
        <w:rPr>
          <w:rFonts w:ascii="Arial" w:cs="Arial" w:eastAsia="Arial" w:hAnsi="Arial"/>
          <w:sz w:val="14"/>
          <w:szCs w:val="14"/>
          <w:color w:val="auto"/>
        </w:rPr>
        <w:t>(a) Borrower or any of its Subsidiaries is or becomes Insolvent; (b) Borrower or any of its Subsidiaries begins an Insolvency Proceeding; or (c) an</w:t>
      </w:r>
      <w:r>
        <w:rPr>
          <w:rFonts w:ascii="Arial" w:cs="Arial" w:eastAsia="Arial" w:hAnsi="Arial"/>
          <w:sz w:val="14"/>
          <w:szCs w:val="14"/>
          <w:b w:val="1"/>
          <w:bCs w:val="1"/>
          <w:color w:val="auto"/>
        </w:rPr>
        <w:t xml:space="preserve"> </w:t>
      </w:r>
      <w:r>
        <w:rPr>
          <w:rFonts w:ascii="Arial" w:cs="Arial" w:eastAsia="Arial" w:hAnsi="Arial"/>
          <w:sz w:val="14"/>
          <w:szCs w:val="14"/>
          <w:color w:val="auto"/>
        </w:rPr>
        <w:t>Insolvency Proceeding is begun against Borrower or any of its Subsidiaries and not dismissed or stayed within forty</w:t>
      </w:r>
      <w:r>
        <w:rPr>
          <w:rFonts w:ascii="MS PGothic" w:cs="MS PGothic" w:eastAsia="MS PGothic" w:hAnsi="MS PGothic"/>
          <w:sz w:val="14"/>
          <w:szCs w:val="14"/>
          <w:color w:val="auto"/>
        </w:rPr>
        <w:t>‑</w:t>
      </w:r>
      <w:r>
        <w:rPr>
          <w:rFonts w:ascii="Arial" w:cs="Arial" w:eastAsia="Arial" w:hAnsi="Arial"/>
          <w:sz w:val="14"/>
          <w:szCs w:val="14"/>
          <w:color w:val="auto"/>
        </w:rPr>
        <w:t>five (45) days;</w:t>
      </w:r>
    </w:p>
    <w:p>
      <w:pPr>
        <w:spacing w:after="0" w:line="157" w:lineRule="exact"/>
        <w:rPr>
          <w:sz w:val="20"/>
          <w:szCs w:val="20"/>
          <w:color w:val="auto"/>
        </w:rPr>
      </w:pPr>
    </w:p>
    <w:p>
      <w:pPr>
        <w:ind w:left="1" w:firstLine="513"/>
        <w:spacing w:after="0" w:line="290" w:lineRule="auto"/>
        <w:rPr>
          <w:sz w:val="20"/>
          <w:szCs w:val="20"/>
          <w:color w:val="auto"/>
        </w:rPr>
      </w:pPr>
      <w:r>
        <w:rPr>
          <w:rFonts w:ascii="Arial" w:cs="Arial" w:eastAsia="Arial" w:hAnsi="Arial"/>
          <w:sz w:val="14"/>
          <w:szCs w:val="14"/>
          <w:b w:val="1"/>
          <w:bCs w:val="1"/>
          <w:color w:val="auto"/>
        </w:rPr>
        <w:t xml:space="preserve">8.6 Other Agreements. </w:t>
      </w:r>
      <w:r>
        <w:rPr>
          <w:rFonts w:ascii="Arial" w:cs="Arial" w:eastAsia="Arial" w:hAnsi="Arial"/>
          <w:sz w:val="14"/>
          <w:szCs w:val="14"/>
          <w:color w:val="auto"/>
        </w:rPr>
        <w:t>There is a default in any agreement to which Borrower or any of its Subsidiaries is a party with a third party or parties resulting in a right</w:t>
      </w:r>
      <w:r>
        <w:rPr>
          <w:rFonts w:ascii="Arial" w:cs="Arial" w:eastAsia="Arial" w:hAnsi="Arial"/>
          <w:sz w:val="14"/>
          <w:szCs w:val="14"/>
          <w:b w:val="1"/>
          <w:bCs w:val="1"/>
          <w:color w:val="auto"/>
        </w:rPr>
        <w:t xml:space="preserve"> </w:t>
      </w:r>
      <w:r>
        <w:rPr>
          <w:rFonts w:ascii="Arial" w:cs="Arial" w:eastAsia="Arial" w:hAnsi="Arial"/>
          <w:sz w:val="14"/>
          <w:szCs w:val="14"/>
          <w:color w:val="auto"/>
        </w:rPr>
        <w:t>by such third party or parties, whether or not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96" w:name="page97"/>
    <w:bookmarkEnd w:id="96"/>
    <w:p>
      <w:pPr>
        <w:ind w:left="1"/>
        <w:spacing w:after="0" w:line="284" w:lineRule="auto"/>
        <w:rPr>
          <w:sz w:val="20"/>
          <w:szCs w:val="20"/>
          <w:color w:val="auto"/>
        </w:rPr>
      </w:pPr>
      <w:r>
        <w:rPr>
          <w:rFonts w:ascii="Arial" w:cs="Arial" w:eastAsia="Arial" w:hAnsi="Arial"/>
          <w:sz w:val="14"/>
          <w:szCs w:val="14"/>
          <w:color w:val="auto"/>
        </w:rPr>
        <w:t>exercised, to accelerate the maturity of any Indebtedness in an amount in excess of Three Hundred Fifty Thousand Dollars ($350,000) or that could reasonably be expected to have a Material Adverse Change;</w:t>
      </w:r>
    </w:p>
    <w:p>
      <w:pPr>
        <w:spacing w:after="0" w:line="128" w:lineRule="exact"/>
        <w:rPr>
          <w:sz w:val="20"/>
          <w:szCs w:val="20"/>
          <w:color w:val="auto"/>
        </w:rPr>
      </w:pPr>
    </w:p>
    <w:p>
      <w:pPr>
        <w:jc w:val="both"/>
        <w:ind w:left="1" w:firstLine="513"/>
        <w:spacing w:after="0" w:line="178" w:lineRule="exact"/>
        <w:rPr>
          <w:sz w:val="20"/>
          <w:szCs w:val="20"/>
          <w:color w:val="auto"/>
        </w:rPr>
      </w:pPr>
      <w:r>
        <w:rPr>
          <w:rFonts w:ascii="Arial" w:cs="Arial" w:eastAsia="Arial" w:hAnsi="Arial"/>
          <w:sz w:val="13"/>
          <w:szCs w:val="13"/>
          <w:b w:val="1"/>
          <w:bCs w:val="1"/>
          <w:color w:val="auto"/>
        </w:rPr>
        <w:t xml:space="preserve">8.7 Judgments. </w:t>
      </w:r>
      <w:r>
        <w:rPr>
          <w:rFonts w:ascii="Arial" w:cs="Arial" w:eastAsia="Arial" w:hAnsi="Arial"/>
          <w:sz w:val="13"/>
          <w:szCs w:val="13"/>
          <w:color w:val="auto"/>
        </w:rPr>
        <w:t>One or more judgments, orders, or decrees for the payment of money in an amount, individually or in the aggregate, of at least Three Hundred</w:t>
      </w:r>
      <w:r>
        <w:rPr>
          <w:rFonts w:ascii="Arial" w:cs="Arial" w:eastAsia="Arial" w:hAnsi="Arial"/>
          <w:sz w:val="13"/>
          <w:szCs w:val="13"/>
          <w:b w:val="1"/>
          <w:bCs w:val="1"/>
          <w:color w:val="auto"/>
        </w:rPr>
        <w:t xml:space="preserve"> </w:t>
      </w:r>
      <w:r>
        <w:rPr>
          <w:rFonts w:ascii="Arial" w:cs="Arial" w:eastAsia="Arial" w:hAnsi="Arial"/>
          <w:sz w:val="13"/>
          <w:szCs w:val="13"/>
          <w:color w:val="auto"/>
        </w:rPr>
        <w:t>Fifty Thousand Dollars ($350,000) (not covered by independent third</w:t>
      </w:r>
      <w:r>
        <w:rPr>
          <w:rFonts w:ascii="MS PGothic" w:cs="MS PGothic" w:eastAsia="MS PGothic" w:hAnsi="MS PGothic"/>
          <w:sz w:val="13"/>
          <w:szCs w:val="13"/>
          <w:color w:val="auto"/>
        </w:rPr>
        <w:t>‑</w:t>
      </w:r>
      <w:r>
        <w:rPr>
          <w:rFonts w:ascii="Arial" w:cs="Arial" w:eastAsia="Arial" w:hAnsi="Arial"/>
          <w:sz w:val="13"/>
          <w:szCs w:val="13"/>
          <w:color w:val="auto"/>
        </w:rPr>
        <w:t>party insurance as to which (a) Borrower reasonably believes such insurance carrier will accept liability,</w:t>
      </w:r>
    </w:p>
    <w:p>
      <w:pPr>
        <w:spacing w:after="0" w:line="1" w:lineRule="exact"/>
        <w:rPr>
          <w:sz w:val="20"/>
          <w:szCs w:val="20"/>
          <w:color w:val="auto"/>
        </w:rPr>
      </w:pPr>
    </w:p>
    <w:p>
      <w:pPr>
        <w:ind w:left="1" w:hanging="1"/>
        <w:spacing w:after="0" w:line="269" w:lineRule="auto"/>
        <w:tabs>
          <w:tab w:leader="none" w:pos="209" w:val="left"/>
        </w:tabs>
        <w:numPr>
          <w:ilvl w:val="0"/>
          <w:numId w:val="91"/>
        </w:numPr>
        <w:rPr>
          <w:rFonts w:ascii="Arial" w:cs="Arial" w:eastAsia="Arial" w:hAnsi="Arial"/>
          <w:sz w:val="14"/>
          <w:szCs w:val="14"/>
          <w:color w:val="auto"/>
        </w:rPr>
      </w:pPr>
      <w:r>
        <w:rPr>
          <w:rFonts w:ascii="Arial" w:cs="Arial" w:eastAsia="Arial" w:hAnsi="Arial"/>
          <w:sz w:val="14"/>
          <w:szCs w:val="14"/>
          <w:color w:val="auto"/>
        </w:rPr>
        <w:t>Borrower or the applicable Subsidiary has submitted such claim to such insurance carrier and (c) liability has not been rejected by such insurance carrier) shall be rendered against Borrower or any of its Subsidiaries and shall remain unsatisfied, unvacated, or unstayed for a period of ten (10) days after the entry thereof;</w:t>
      </w:r>
    </w:p>
    <w:p>
      <w:pPr>
        <w:spacing w:after="0" w:line="138" w:lineRule="exact"/>
        <w:rPr>
          <w:sz w:val="20"/>
          <w:szCs w:val="20"/>
          <w:color w:val="auto"/>
        </w:rPr>
      </w:pPr>
    </w:p>
    <w:p>
      <w:pPr>
        <w:jc w:val="both"/>
        <w:ind w:left="1" w:firstLine="513"/>
        <w:spacing w:after="0" w:line="266" w:lineRule="auto"/>
        <w:rPr>
          <w:sz w:val="20"/>
          <w:szCs w:val="20"/>
          <w:color w:val="auto"/>
        </w:rPr>
      </w:pPr>
      <w:r>
        <w:rPr>
          <w:rFonts w:ascii="Arial" w:cs="Arial" w:eastAsia="Arial" w:hAnsi="Arial"/>
          <w:sz w:val="14"/>
          <w:szCs w:val="14"/>
          <w:b w:val="1"/>
          <w:bCs w:val="1"/>
          <w:color w:val="auto"/>
        </w:rPr>
        <w:t xml:space="preserve">8.8 Misrepresentations. </w:t>
      </w:r>
      <w:r>
        <w:rPr>
          <w:rFonts w:ascii="Arial" w:cs="Arial" w:eastAsia="Arial" w:hAnsi="Arial"/>
          <w:sz w:val="14"/>
          <w:szCs w:val="14"/>
          <w:color w:val="auto"/>
        </w:rPr>
        <w:t>Borrower or any of its Subsidiaries or any Person acting for Borrower or any of its Subsidiaries makes any representation, warranty,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spacing w:after="0" w:line="140"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b w:val="1"/>
          <w:bCs w:val="1"/>
          <w:color w:val="auto"/>
        </w:rPr>
        <w:t xml:space="preserve">8.9 Subordinated Debt. </w:t>
      </w:r>
      <w:r>
        <w:rPr>
          <w:rFonts w:ascii="Arial" w:cs="Arial" w:eastAsia="Arial" w:hAnsi="Arial"/>
          <w:sz w:val="14"/>
          <w:szCs w:val="14"/>
          <w:color w:val="auto"/>
        </w:rPr>
        <w:t>A default or breach occurs under any subordination agreement, or any creditor that has signed such an agreement with Collateral Agent</w:t>
      </w:r>
      <w:r>
        <w:rPr>
          <w:rFonts w:ascii="Arial" w:cs="Arial" w:eastAsia="Arial" w:hAnsi="Arial"/>
          <w:sz w:val="14"/>
          <w:szCs w:val="14"/>
          <w:b w:val="1"/>
          <w:bCs w:val="1"/>
          <w:color w:val="auto"/>
        </w:rPr>
        <w:t xml:space="preserve"> </w:t>
      </w:r>
      <w:r>
        <w:rPr>
          <w:rFonts w:ascii="Arial" w:cs="Arial" w:eastAsia="Arial" w:hAnsi="Arial"/>
          <w:sz w:val="14"/>
          <w:szCs w:val="14"/>
          <w:color w:val="auto"/>
        </w:rPr>
        <w:t>or the Lenders breaches any terms of such agreement;</w:t>
      </w:r>
    </w:p>
    <w:p>
      <w:pPr>
        <w:spacing w:after="0" w:line="123"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b w:val="1"/>
          <w:bCs w:val="1"/>
          <w:color w:val="auto"/>
        </w:rPr>
        <w:t xml:space="preserve">8.10 Guaranty. </w:t>
      </w:r>
      <w:r>
        <w:rPr>
          <w:rFonts w:ascii="Arial" w:cs="Arial" w:eastAsia="Arial" w:hAnsi="Arial"/>
          <w:sz w:val="14"/>
          <w:szCs w:val="14"/>
          <w:color w:val="auto"/>
        </w:rPr>
        <w:t>(a) Any Guaranty terminates or ceases for any reason to be in full force and effect; (b) any Guarantor does not perform any obligation or covenant</w:t>
      </w:r>
      <w:r>
        <w:rPr>
          <w:rFonts w:ascii="Arial" w:cs="Arial" w:eastAsia="Arial" w:hAnsi="Arial"/>
          <w:sz w:val="14"/>
          <w:szCs w:val="14"/>
          <w:b w:val="1"/>
          <w:bCs w:val="1"/>
          <w:color w:val="auto"/>
        </w:rPr>
        <w:t xml:space="preserve"> </w:t>
      </w:r>
      <w:r>
        <w:rPr>
          <w:rFonts w:ascii="Arial" w:cs="Arial" w:eastAsia="Arial" w:hAnsi="Arial"/>
          <w:sz w:val="14"/>
          <w:szCs w:val="14"/>
          <w:color w:val="auto"/>
        </w:rPr>
        <w:t>under any Guaranty; or (c) any circumstance described in Section 8 occurs with respect to any Guarantor;</w:t>
      </w:r>
    </w:p>
    <w:p>
      <w:pPr>
        <w:spacing w:after="0" w:line="123" w:lineRule="exact"/>
        <w:rPr>
          <w:sz w:val="20"/>
          <w:szCs w:val="20"/>
          <w:color w:val="auto"/>
        </w:rPr>
      </w:pPr>
    </w:p>
    <w:p>
      <w:pPr>
        <w:jc w:val="both"/>
        <w:ind w:left="1" w:firstLine="513"/>
        <w:spacing w:after="0" w:line="172" w:lineRule="exact"/>
        <w:rPr>
          <w:sz w:val="20"/>
          <w:szCs w:val="20"/>
          <w:color w:val="auto"/>
        </w:rPr>
      </w:pPr>
      <w:r>
        <w:rPr>
          <w:rFonts w:ascii="Arial" w:cs="Arial" w:eastAsia="Arial" w:hAnsi="Arial"/>
          <w:sz w:val="13"/>
          <w:szCs w:val="13"/>
          <w:b w:val="1"/>
          <w:bCs w:val="1"/>
          <w:color w:val="auto"/>
        </w:rPr>
        <w:t xml:space="preserve">8.11 Governmental Approvals; FDA Action. </w:t>
      </w:r>
      <w:r>
        <w:rPr>
          <w:rFonts w:ascii="Arial" w:cs="Arial" w:eastAsia="Arial" w:hAnsi="Arial"/>
          <w:sz w:val="13"/>
          <w:szCs w:val="13"/>
          <w:color w:val="auto"/>
        </w:rPr>
        <w:t>(a) Any Governmental Approval shall have been revoked, rescinded, suspended, modified in an adverse manner,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not renewed in the ordinary course for a full term </w:t>
      </w:r>
      <w:r>
        <w:rPr>
          <w:rFonts w:ascii="Arial" w:cs="Arial" w:eastAsia="Arial" w:hAnsi="Arial"/>
          <w:sz w:val="13"/>
          <w:szCs w:val="13"/>
          <w:i w:val="1"/>
          <w:iCs w:val="1"/>
          <w:color w:val="auto"/>
        </w:rPr>
        <w:t>and</w:t>
      </w:r>
      <w:r>
        <w:rPr>
          <w:rFonts w:ascii="Arial" w:cs="Arial" w:eastAsia="Arial" w:hAnsi="Arial"/>
          <w:sz w:val="13"/>
          <w:szCs w:val="13"/>
          <w:color w:val="auto"/>
        </w:rPr>
        <w:t xml:space="preserve"> such revocation, rescission, suspension, modification or non</w:t>
      </w:r>
      <w:r>
        <w:rPr>
          <w:rFonts w:ascii="MS PGothic" w:cs="MS PGothic" w:eastAsia="MS PGothic" w:hAnsi="MS PGothic"/>
          <w:sz w:val="13"/>
          <w:szCs w:val="13"/>
          <w:color w:val="auto"/>
        </w:rPr>
        <w:t>‑</w:t>
      </w:r>
      <w:r>
        <w:rPr>
          <w:rFonts w:ascii="Arial" w:cs="Arial" w:eastAsia="Arial" w:hAnsi="Arial"/>
          <w:sz w:val="13"/>
          <w:szCs w:val="13"/>
          <w:color w:val="auto"/>
        </w:rPr>
        <w:t>renewal has resulted in or could reasonably be expected to result in a Material Adverse Change; or (b) (i) the FDA initiates a Regulatory Action or any other enforcement action against Borrower or any of its Subsidiaries or any supplier of Borrower or any of its Subsidiaries that causes Borrower or any of its Subsidiaries to recall, withdraw, remove or discontinue marketing any of its products; (ii) the FDA issues a warning letter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the Applicable FDA Threshold or more; (iv) Borrower or any of its Subsidiaries enters into a settlement agreement with the FDA that results in aggregate liability as to any single or related series of transactions, incidents or conditions, of the Applicable FDA Threshold or more, or that could reasonably be expected to result in a Material Adverse Change; or (v) the FDA revokes any authorization or permission granted under any Registration, or Borrower or any of its Subsidiaries withdraws any Registration, that could reasonably be expected to result in a Material Adverse Change.</w:t>
      </w:r>
    </w:p>
    <w:p>
      <w:pPr>
        <w:spacing w:after="0" w:line="160" w:lineRule="exact"/>
        <w:rPr>
          <w:sz w:val="20"/>
          <w:szCs w:val="20"/>
          <w:color w:val="auto"/>
        </w:rPr>
      </w:pPr>
    </w:p>
    <w:p>
      <w:pPr>
        <w:jc w:val="both"/>
        <w:ind w:left="1" w:firstLine="513"/>
        <w:spacing w:after="0" w:line="272" w:lineRule="auto"/>
        <w:rPr>
          <w:sz w:val="20"/>
          <w:szCs w:val="20"/>
          <w:color w:val="auto"/>
        </w:rPr>
      </w:pPr>
      <w:r>
        <w:rPr>
          <w:rFonts w:ascii="Arial" w:cs="Arial" w:eastAsia="Arial" w:hAnsi="Arial"/>
          <w:sz w:val="14"/>
          <w:szCs w:val="14"/>
          <w:b w:val="1"/>
          <w:bCs w:val="1"/>
          <w:color w:val="auto"/>
        </w:rPr>
        <w:t>8.12 Lien Priority</w:t>
      </w:r>
      <w:r>
        <w:rPr>
          <w:rFonts w:ascii="Arial" w:cs="Arial" w:eastAsia="Arial" w:hAnsi="Arial"/>
          <w:sz w:val="14"/>
          <w:szCs w:val="14"/>
          <w:color w:val="auto"/>
        </w:rPr>
        <w:t>. Except as the result of the action or inaction of the Collateral Agent or the Lenders, any Lien created hereunder or by any other Loan</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 shall at any time fail to constitute a valid and perfected Lien (to the extent required to be perfected) on any material Collateral purported to be secured thereby, subject to no prior or equal Lien, other than Permitted Liens arising as a matter of applicable law.</w:t>
      </w:r>
    </w:p>
    <w:p>
      <w:pPr>
        <w:spacing w:after="0" w:line="136" w:lineRule="exact"/>
        <w:rPr>
          <w:sz w:val="20"/>
          <w:szCs w:val="20"/>
          <w:color w:val="auto"/>
        </w:rPr>
      </w:pPr>
    </w:p>
    <w:p>
      <w:pPr>
        <w:ind w:left="541" w:hanging="541"/>
        <w:spacing w:after="0"/>
        <w:tabs>
          <w:tab w:leader="none" w:pos="541"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RIGHTS AND REMEDIES</w:t>
      </w:r>
    </w:p>
    <w:p>
      <w:pPr>
        <w:spacing w:after="0" w:line="180" w:lineRule="exact"/>
        <w:rPr>
          <w:rFonts w:ascii="Arial" w:cs="Arial" w:eastAsia="Arial" w:hAnsi="Arial"/>
          <w:sz w:val="14"/>
          <w:szCs w:val="14"/>
          <w:b w:val="1"/>
          <w:bCs w:val="1"/>
          <w:color w:val="auto"/>
        </w:rPr>
      </w:pPr>
    </w:p>
    <w:p>
      <w:pPr>
        <w:ind w:left="521"/>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9.1</w:t>
      </w:r>
      <w:r>
        <w:rPr>
          <w:rFonts w:ascii="Arial" w:cs="Arial" w:eastAsia="Arial" w:hAnsi="Arial"/>
          <w:sz w:val="12"/>
          <w:szCs w:val="12"/>
          <w:b w:val="1"/>
          <w:bCs w:val="1"/>
          <w:color w:val="auto"/>
        </w:rPr>
        <w:t>Rights and Remedies.</w:t>
      </w:r>
    </w:p>
    <w:p>
      <w:pPr>
        <w:spacing w:after="0" w:line="184" w:lineRule="exact"/>
        <w:rPr>
          <w:rFonts w:ascii="Arial" w:cs="Arial" w:eastAsia="Arial" w:hAnsi="Arial"/>
          <w:sz w:val="14"/>
          <w:szCs w:val="14"/>
          <w:b w:val="1"/>
          <w:bCs w:val="1"/>
          <w:color w:val="auto"/>
        </w:rPr>
      </w:pPr>
    </w:p>
    <w:p>
      <w:pPr>
        <w:jc w:val="both"/>
        <w:ind w:left="1" w:firstLine="1024"/>
        <w:spacing w:after="0" w:line="291" w:lineRule="auto"/>
        <w:tabs>
          <w:tab w:leader="none" w:pos="15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Upon the occurrence and during the continuance of an Event of Default, Collateral Agent shall at the written direction of Required Lenders,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97" w:name="page98"/>
    <w:bookmarkEnd w:id="97"/>
    <w:p>
      <w:pPr>
        <w:jc w:val="both"/>
        <w:spacing w:after="0" w:line="269" w:lineRule="auto"/>
        <w:rPr>
          <w:sz w:val="20"/>
          <w:szCs w:val="20"/>
          <w:color w:val="auto"/>
        </w:rPr>
      </w:pPr>
      <w:r>
        <w:rPr>
          <w:rFonts w:ascii="Arial" w:cs="Arial" w:eastAsia="Arial" w:hAnsi="Arial"/>
          <w:sz w:val="14"/>
          <w:szCs w:val="14"/>
          <w:color w:val="auto"/>
        </w:rPr>
        <w:t>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42" w:lineRule="exact"/>
        <w:rPr>
          <w:sz w:val="20"/>
          <w:szCs w:val="20"/>
          <w:color w:val="auto"/>
        </w:rPr>
      </w:pPr>
    </w:p>
    <w:p>
      <w:pPr>
        <w:ind w:firstLine="1024"/>
        <w:spacing w:after="0" w:line="324" w:lineRule="auto"/>
        <w:tabs>
          <w:tab w:leader="none" w:pos="1586" w:val="left"/>
        </w:tabs>
        <w:numPr>
          <w:ilvl w:val="0"/>
          <w:numId w:val="93"/>
        </w:numPr>
        <w:rPr>
          <w:rFonts w:ascii="Arial" w:cs="Arial" w:eastAsia="Arial" w:hAnsi="Arial"/>
          <w:sz w:val="13"/>
          <w:szCs w:val="13"/>
          <w:color w:val="auto"/>
        </w:rPr>
      </w:pPr>
      <w:r>
        <w:rPr>
          <w:rFonts w:ascii="Arial" w:cs="Arial" w:eastAsia="Arial" w:hAnsi="Arial"/>
          <w:sz w:val="13"/>
          <w:szCs w:val="13"/>
          <w:color w:val="auto"/>
        </w:rPr>
        <w:t>Without limiting the rights of Collateral Agent and the Lenders set forth in Section 9.1(a) above, upon the occurrence and during the continuance of an Event of Default, Collateral Agent shall at the written direction of the Required Lenders, without notice or demand, to do any or all of the following:</w:t>
      </w:r>
    </w:p>
    <w:p>
      <w:pPr>
        <w:spacing w:after="0" w:line="108" w:lineRule="exact"/>
        <w:rPr>
          <w:rFonts w:ascii="Arial" w:cs="Arial" w:eastAsia="Arial" w:hAnsi="Arial"/>
          <w:sz w:val="13"/>
          <w:szCs w:val="13"/>
          <w:color w:val="auto"/>
        </w:rPr>
      </w:pPr>
    </w:p>
    <w:p>
      <w:pPr>
        <w:ind w:left="2060" w:hanging="523"/>
        <w:spacing w:after="0"/>
        <w:tabs>
          <w:tab w:leader="none" w:pos="20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foreclose upon and/or sell or otherwise liquidate, the Collateral;</w:t>
      </w:r>
    </w:p>
    <w:p>
      <w:pPr>
        <w:spacing w:after="0" w:line="180" w:lineRule="exact"/>
        <w:rPr>
          <w:rFonts w:ascii="Arial" w:cs="Arial" w:eastAsia="Arial" w:hAnsi="Arial"/>
          <w:sz w:val="14"/>
          <w:szCs w:val="14"/>
          <w:color w:val="auto"/>
        </w:rPr>
      </w:pPr>
    </w:p>
    <w:p>
      <w:pPr>
        <w:ind w:left="2060" w:hanging="523"/>
        <w:spacing w:after="0"/>
        <w:tabs>
          <w:tab w:leader="none" w:pos="20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make a demand for payment upon any Guarantor pursuant to the Guaranty delivered by such Guarantor;</w:t>
      </w:r>
    </w:p>
    <w:p>
      <w:pPr>
        <w:spacing w:after="0" w:line="180" w:lineRule="exact"/>
        <w:rPr>
          <w:rFonts w:ascii="Arial" w:cs="Arial" w:eastAsia="Arial" w:hAnsi="Arial"/>
          <w:sz w:val="14"/>
          <w:szCs w:val="14"/>
          <w:color w:val="auto"/>
        </w:rPr>
      </w:pPr>
    </w:p>
    <w:p>
      <w:pPr>
        <w:jc w:val="both"/>
        <w:ind w:firstLine="1537"/>
        <w:spacing w:after="0" w:line="269" w:lineRule="auto"/>
        <w:tabs>
          <w:tab w:leader="none" w:pos="2118" w:val="left"/>
        </w:tabs>
        <w:numPr>
          <w:ilvl w:val="1"/>
          <w:numId w:val="93"/>
        </w:numPr>
        <w:rPr>
          <w:rFonts w:ascii="Arial" w:cs="Arial" w:eastAsia="Arial" w:hAnsi="Arial"/>
          <w:sz w:val="14"/>
          <w:szCs w:val="14"/>
          <w:color w:val="auto"/>
        </w:rPr>
      </w:pPr>
      <w:r>
        <w:rPr>
          <w:rFonts w:ascii="Arial" w:cs="Arial" w:eastAsia="Arial" w:hAnsi="Arial"/>
          <w:sz w:val="14"/>
          <w:szCs w:val="14"/>
          <w:color w:val="auto"/>
        </w:rPr>
        <w:t>apply to the Obligations any (A) balances and deposits of Borrower that Collateral Agent or any Lender holds or controls, (B) any amount held or controlled by Collateral Agent or any Lender owing to or for the credit or the account of Borrower, or (C) amounts received from any Guarantors in accordance with the respective Guaranty delivered by such Guarantor; and/or</w:t>
      </w:r>
    </w:p>
    <w:p>
      <w:pPr>
        <w:spacing w:after="0" w:line="142" w:lineRule="exact"/>
        <w:rPr>
          <w:rFonts w:ascii="Arial" w:cs="Arial" w:eastAsia="Arial" w:hAnsi="Arial"/>
          <w:sz w:val="14"/>
          <w:szCs w:val="14"/>
          <w:color w:val="auto"/>
        </w:rPr>
      </w:pPr>
    </w:p>
    <w:p>
      <w:pPr>
        <w:ind w:left="2060" w:hanging="523"/>
        <w:spacing w:after="0"/>
        <w:tabs>
          <w:tab w:leader="none" w:pos="20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commence and prosecute an Insolvency Proceeding or consent to Borrower commencing any Insolvency Proceeding.</w:t>
      </w:r>
    </w:p>
    <w:p>
      <w:pPr>
        <w:spacing w:after="0" w:line="180" w:lineRule="exact"/>
        <w:rPr>
          <w:rFonts w:ascii="Arial" w:cs="Arial" w:eastAsia="Arial" w:hAnsi="Arial"/>
          <w:sz w:val="14"/>
          <w:szCs w:val="14"/>
          <w:color w:val="auto"/>
        </w:rPr>
      </w:pPr>
    </w:p>
    <w:p>
      <w:pPr>
        <w:ind w:firstLine="1024"/>
        <w:spacing w:after="0" w:line="324" w:lineRule="auto"/>
        <w:tabs>
          <w:tab w:leader="none" w:pos="1698" w:val="left"/>
        </w:tabs>
        <w:numPr>
          <w:ilvl w:val="0"/>
          <w:numId w:val="93"/>
        </w:numPr>
        <w:rPr>
          <w:rFonts w:ascii="Arial" w:cs="Arial" w:eastAsia="Arial" w:hAnsi="Arial"/>
          <w:sz w:val="13"/>
          <w:szCs w:val="13"/>
          <w:color w:val="auto"/>
        </w:rPr>
      </w:pPr>
      <w:r>
        <w:rPr>
          <w:rFonts w:ascii="Arial" w:cs="Arial" w:eastAsia="Arial" w:hAnsi="Arial"/>
          <w:sz w:val="13"/>
          <w:szCs w:val="13"/>
          <w:color w:val="auto"/>
        </w:rPr>
        <w:t>Without limiting the rights of Collateral Agent and the Lenders set forth in Sections 9.1(a) and (b) above, upon the occurrence and during the continuance of an Event of Default, Collateral Agent shall at the written direction of the Required Lenders, without notice or demand, to do any or all of the following:</w:t>
      </w:r>
    </w:p>
    <w:p>
      <w:pPr>
        <w:spacing w:after="0" w:line="108" w:lineRule="exact"/>
        <w:rPr>
          <w:rFonts w:ascii="Arial" w:cs="Arial" w:eastAsia="Arial" w:hAnsi="Arial"/>
          <w:sz w:val="13"/>
          <w:szCs w:val="13"/>
          <w:color w:val="auto"/>
        </w:rPr>
      </w:pPr>
    </w:p>
    <w:p>
      <w:pPr>
        <w:ind w:firstLine="1537"/>
        <w:spacing w:after="0" w:line="284" w:lineRule="auto"/>
        <w:tabs>
          <w:tab w:leader="none" w:pos="2159" w:val="left"/>
        </w:tabs>
        <w:numPr>
          <w:ilvl w:val="1"/>
          <w:numId w:val="93"/>
        </w:numPr>
        <w:rPr>
          <w:rFonts w:ascii="Arial" w:cs="Arial" w:eastAsia="Arial" w:hAnsi="Arial"/>
          <w:sz w:val="14"/>
          <w:szCs w:val="14"/>
          <w:color w:val="auto"/>
        </w:rPr>
      </w:pPr>
      <w:r>
        <w:rPr>
          <w:rFonts w:ascii="Arial" w:cs="Arial" w:eastAsia="Arial" w:hAnsi="Arial"/>
          <w:sz w:val="14"/>
          <w:szCs w:val="14"/>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31" w:lineRule="exact"/>
        <w:rPr>
          <w:rFonts w:ascii="Arial" w:cs="Arial" w:eastAsia="Arial" w:hAnsi="Arial"/>
          <w:sz w:val="14"/>
          <w:szCs w:val="14"/>
          <w:color w:val="auto"/>
        </w:rPr>
      </w:pPr>
    </w:p>
    <w:p>
      <w:pPr>
        <w:jc w:val="both"/>
        <w:ind w:firstLine="1537"/>
        <w:spacing w:after="0" w:line="262" w:lineRule="auto"/>
        <w:tabs>
          <w:tab w:leader="none" w:pos="2106" w:val="left"/>
        </w:tabs>
        <w:numPr>
          <w:ilvl w:val="1"/>
          <w:numId w:val="93"/>
        </w:numPr>
        <w:rPr>
          <w:rFonts w:ascii="Arial" w:cs="Arial" w:eastAsia="Arial" w:hAnsi="Arial"/>
          <w:sz w:val="14"/>
          <w:szCs w:val="14"/>
          <w:color w:val="auto"/>
        </w:rPr>
      </w:pPr>
      <w:r>
        <w:rPr>
          <w:rFonts w:ascii="Arial" w:cs="Arial" w:eastAsia="Arial" w:hAnsi="Arial"/>
          <w:sz w:val="14"/>
          <w:szCs w:val="14"/>
          <w:color w:val="auto"/>
        </w:rPr>
        <w:t>make any payments and do any acts it considers necessary or reasonable to protect the Collateral and/or its Liens in the Collateral (held for the ratable benefit of the Secured Parties). Borrower shall assemble the Collateral if Collateral Agent requests and make it available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46" w:lineRule="exact"/>
        <w:rPr>
          <w:rFonts w:ascii="Arial" w:cs="Arial" w:eastAsia="Arial" w:hAnsi="Arial"/>
          <w:sz w:val="14"/>
          <w:szCs w:val="14"/>
          <w:color w:val="auto"/>
        </w:rPr>
      </w:pPr>
    </w:p>
    <w:p>
      <w:pPr>
        <w:jc w:val="both"/>
        <w:ind w:firstLine="1537"/>
        <w:spacing w:after="0" w:line="173" w:lineRule="exact"/>
        <w:tabs>
          <w:tab w:leader="none" w:pos="2155" w:val="left"/>
        </w:tabs>
        <w:numPr>
          <w:ilvl w:val="1"/>
          <w:numId w:val="93"/>
        </w:numPr>
        <w:rPr>
          <w:rFonts w:ascii="Arial" w:cs="Arial" w:eastAsia="Arial" w:hAnsi="Arial"/>
          <w:sz w:val="13"/>
          <w:szCs w:val="13"/>
          <w:color w:val="auto"/>
        </w:rPr>
      </w:pPr>
      <w:r>
        <w:rPr>
          <w:rFonts w:ascii="Arial" w:cs="Arial" w:eastAsia="Arial" w:hAnsi="Arial"/>
          <w:sz w:val="13"/>
          <w:szCs w:val="13"/>
          <w:color w:val="auto"/>
        </w:rPr>
        <w:t>ship, reclaim, recover, store, finish, maintain, repair, prepare for sale, and/or advertise for sale, any of the Collateral. Collateral Agent is hereby granted a non</w:t>
      </w:r>
      <w:r>
        <w:rPr>
          <w:rFonts w:ascii="MS PGothic" w:cs="MS PGothic" w:eastAsia="MS PGothic" w:hAnsi="MS PGothic"/>
          <w:sz w:val="13"/>
          <w:szCs w:val="13"/>
          <w:color w:val="auto"/>
        </w:rPr>
        <w:t>‑</w:t>
      </w:r>
      <w:r>
        <w:rPr>
          <w:rFonts w:ascii="Arial" w:cs="Arial" w:eastAsia="Arial" w:hAnsi="Arial"/>
          <w:sz w:val="13"/>
          <w:szCs w:val="13"/>
          <w:color w:val="auto"/>
        </w:rPr>
        <w:t>exclusive, royalty</w:t>
      </w:r>
      <w:r>
        <w:rPr>
          <w:rFonts w:ascii="MS PGothic" w:cs="MS PGothic" w:eastAsia="MS PGothic" w:hAnsi="MS PGothic"/>
          <w:sz w:val="13"/>
          <w:szCs w:val="13"/>
          <w:color w:val="auto"/>
        </w:rPr>
        <w:t>‑</w:t>
      </w:r>
      <w:r>
        <w:rPr>
          <w:rFonts w:ascii="Arial" w:cs="Arial" w:eastAsia="Arial" w:hAnsi="Arial"/>
          <w:sz w:val="13"/>
          <w:szCs w:val="13"/>
          <w:color w:val="auto"/>
        </w:rPr>
        <w:t>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62" w:lineRule="exact"/>
        <w:rPr>
          <w:rFonts w:ascii="Arial" w:cs="Arial" w:eastAsia="Arial" w:hAnsi="Arial"/>
          <w:sz w:val="13"/>
          <w:szCs w:val="13"/>
          <w:color w:val="auto"/>
        </w:rPr>
      </w:pPr>
    </w:p>
    <w:p>
      <w:pPr>
        <w:jc w:val="both"/>
        <w:ind w:firstLine="1537"/>
        <w:spacing w:after="0" w:line="269" w:lineRule="auto"/>
        <w:tabs>
          <w:tab w:leader="none" w:pos="2211" w:val="left"/>
        </w:tabs>
        <w:numPr>
          <w:ilvl w:val="1"/>
          <w:numId w:val="93"/>
        </w:numPr>
        <w:rPr>
          <w:rFonts w:ascii="Arial" w:cs="Arial" w:eastAsia="Arial" w:hAnsi="Arial"/>
          <w:sz w:val="14"/>
          <w:szCs w:val="14"/>
          <w:color w:val="auto"/>
        </w:rPr>
      </w:pPr>
      <w:r>
        <w:rPr>
          <w:rFonts w:ascii="Arial" w:cs="Arial" w:eastAsia="Arial" w:hAnsi="Arial"/>
          <w:sz w:val="14"/>
          <w:szCs w:val="14"/>
          <w:color w:val="auto"/>
        </w:rPr>
        <w:t>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spacing w:after="0" w:line="142" w:lineRule="exact"/>
        <w:rPr>
          <w:rFonts w:ascii="Arial" w:cs="Arial" w:eastAsia="Arial" w:hAnsi="Arial"/>
          <w:sz w:val="14"/>
          <w:szCs w:val="14"/>
          <w:color w:val="auto"/>
        </w:rPr>
      </w:pPr>
    </w:p>
    <w:p>
      <w:pPr>
        <w:ind w:left="2060" w:hanging="523"/>
        <w:spacing w:after="0"/>
        <w:tabs>
          <w:tab w:leader="none" w:pos="20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demand and receive possession of Borrower’s Books;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98" w:name="page99"/>
    <w:bookmarkEnd w:id="98"/>
    <w:p>
      <w:pPr>
        <w:ind w:firstLine="1537"/>
        <w:spacing w:after="0" w:line="371" w:lineRule="auto"/>
        <w:tabs>
          <w:tab w:leader="none" w:pos="2105" w:val="left"/>
        </w:tabs>
        <w:numPr>
          <w:ilvl w:val="0"/>
          <w:numId w:val="94"/>
        </w:numPr>
        <w:rPr>
          <w:rFonts w:ascii="Arial" w:cs="Arial" w:eastAsia="Arial" w:hAnsi="Arial"/>
          <w:sz w:val="12"/>
          <w:szCs w:val="12"/>
          <w:color w:val="auto"/>
        </w:rPr>
      </w:pPr>
      <w:r>
        <w:rPr>
          <w:rFonts w:ascii="Arial" w:cs="Arial" w:eastAsia="Arial" w:hAnsi="Arial"/>
          <w:sz w:val="12"/>
          <w:szCs w:val="12"/>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85" w:lineRule="exact"/>
        <w:rPr>
          <w:rFonts w:ascii="Arial" w:cs="Arial" w:eastAsia="Arial" w:hAnsi="Arial"/>
          <w:sz w:val="12"/>
          <w:szCs w:val="12"/>
          <w:color w:val="auto"/>
        </w:rPr>
      </w:pPr>
    </w:p>
    <w:p>
      <w:pPr>
        <w:ind w:firstLine="1537"/>
        <w:spacing w:after="0" w:line="284" w:lineRule="auto"/>
        <w:tabs>
          <w:tab w:leader="none" w:pos="2103" w:val="left"/>
        </w:tabs>
        <w:numPr>
          <w:ilvl w:val="0"/>
          <w:numId w:val="94"/>
        </w:numPr>
        <w:rPr>
          <w:rFonts w:ascii="Arial" w:cs="Arial" w:eastAsia="Arial" w:hAnsi="Arial"/>
          <w:sz w:val="14"/>
          <w:szCs w:val="14"/>
          <w:color w:val="auto"/>
        </w:rPr>
      </w:pPr>
      <w:r>
        <w:rPr>
          <w:rFonts w:ascii="Arial" w:cs="Arial" w:eastAsia="Arial" w:hAnsi="Arial"/>
          <w:sz w:val="14"/>
          <w:szCs w:val="14"/>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32" w:lineRule="exact"/>
        <w:rPr>
          <w:sz w:val="20"/>
          <w:szCs w:val="20"/>
          <w:color w:val="auto"/>
        </w:rPr>
      </w:pPr>
    </w:p>
    <w:p>
      <w:pPr>
        <w:jc w:val="both"/>
        <w:spacing w:after="0" w:line="324" w:lineRule="auto"/>
        <w:rPr>
          <w:sz w:val="20"/>
          <w:szCs w:val="20"/>
          <w:color w:val="auto"/>
        </w:rPr>
      </w:pPr>
      <w:r>
        <w:rPr>
          <w:rFonts w:ascii="Arial" w:cs="Arial" w:eastAsia="Arial" w:hAnsi="Arial"/>
          <w:sz w:val="13"/>
          <w:szCs w:val="13"/>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and during the continuance of an Exigent Circumstance.</w:t>
      </w:r>
    </w:p>
    <w:p>
      <w:pPr>
        <w:spacing w:after="0" w:line="105" w:lineRule="exact"/>
        <w:rPr>
          <w:sz w:val="20"/>
          <w:szCs w:val="20"/>
          <w:color w:val="auto"/>
        </w:rPr>
      </w:pPr>
    </w:p>
    <w:p>
      <w:pPr>
        <w:jc w:val="both"/>
        <w:ind w:firstLine="513"/>
        <w:spacing w:after="0" w:line="172" w:lineRule="exact"/>
        <w:rPr>
          <w:sz w:val="20"/>
          <w:szCs w:val="20"/>
          <w:color w:val="auto"/>
        </w:rPr>
      </w:pPr>
      <w:r>
        <w:rPr>
          <w:rFonts w:ascii="Arial" w:cs="Arial" w:eastAsia="Arial" w:hAnsi="Arial"/>
          <w:sz w:val="13"/>
          <w:szCs w:val="13"/>
          <w:b w:val="1"/>
          <w:bCs w:val="1"/>
          <w:color w:val="auto"/>
        </w:rPr>
        <w:t xml:space="preserve">9.2 Power of Attorney. </w:t>
      </w:r>
      <w:r>
        <w:rPr>
          <w:rFonts w:ascii="Arial" w:cs="Arial" w:eastAsia="Arial" w:hAnsi="Arial"/>
          <w:sz w:val="13"/>
          <w:szCs w:val="13"/>
          <w:color w:val="auto"/>
        </w:rPr>
        <w:t>Borrower hereby irrevocably appoints Collateral Agent as its lawful attorney</w:t>
      </w:r>
      <w:r>
        <w:rPr>
          <w:rFonts w:ascii="MS PGothic" w:cs="MS PGothic" w:eastAsia="MS PGothic" w:hAnsi="MS PGothic"/>
          <w:sz w:val="13"/>
          <w:szCs w:val="13"/>
          <w:color w:val="auto"/>
        </w:rPr>
        <w:t>‑</w:t>
      </w:r>
      <w:r>
        <w:rPr>
          <w:rFonts w:ascii="Arial" w:cs="Arial" w:eastAsia="Arial" w:hAnsi="Arial"/>
          <w:sz w:val="13"/>
          <w:szCs w:val="13"/>
          <w:color w:val="auto"/>
        </w:rPr>
        <w:t>in</w:t>
      </w:r>
      <w:r>
        <w:rPr>
          <w:rFonts w:ascii="MS PGothic" w:cs="MS PGothic" w:eastAsia="MS PGothic" w:hAnsi="MS PGothic"/>
          <w:sz w:val="13"/>
          <w:szCs w:val="13"/>
          <w:color w:val="auto"/>
        </w:rPr>
        <w:t>‑</w:t>
      </w:r>
      <w:r>
        <w:rPr>
          <w:rFonts w:ascii="Arial" w:cs="Arial" w:eastAsia="Arial" w:hAnsi="Arial"/>
          <w:sz w:val="13"/>
          <w:szCs w:val="13"/>
          <w:color w:val="auto"/>
        </w:rPr>
        <w:t>fact, exercisable upon the occurrence and during the</w:t>
      </w:r>
      <w:r>
        <w:rPr>
          <w:rFonts w:ascii="Arial" w:cs="Arial" w:eastAsia="Arial" w:hAnsi="Arial"/>
          <w:sz w:val="13"/>
          <w:szCs w:val="13"/>
          <w:b w:val="1"/>
          <w:bCs w:val="1"/>
          <w:color w:val="auto"/>
        </w:rPr>
        <w:t xml:space="preserve"> </w:t>
      </w:r>
      <w:r>
        <w:rPr>
          <w:rFonts w:ascii="Arial" w:cs="Arial" w:eastAsia="Arial" w:hAnsi="Arial"/>
          <w:sz w:val="13"/>
          <w:szCs w:val="13"/>
          <w:color w:val="auto"/>
        </w:rPr>
        <w:t>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of Borrower directly with the applicable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w:t>
      </w:r>
      <w:r>
        <w:rPr>
          <w:rFonts w:ascii="MS PGothic" w:cs="MS PGothic" w:eastAsia="MS PGothic" w:hAnsi="MS PGothic"/>
          <w:sz w:val="13"/>
          <w:szCs w:val="13"/>
          <w:color w:val="auto"/>
        </w:rPr>
        <w:t>‑</w:t>
      </w:r>
      <w:r>
        <w:rPr>
          <w:rFonts w:ascii="Arial" w:cs="Arial" w:eastAsia="Arial" w:hAnsi="Arial"/>
          <w:sz w:val="13"/>
          <w:szCs w:val="13"/>
          <w:color w:val="auto"/>
        </w:rPr>
        <w:t>in</w:t>
      </w:r>
      <w:r>
        <w:rPr>
          <w:rFonts w:ascii="MS PGothic" w:cs="MS PGothic" w:eastAsia="MS PGothic" w:hAnsi="MS PGothic"/>
          <w:sz w:val="13"/>
          <w:szCs w:val="13"/>
          <w:color w:val="auto"/>
        </w:rPr>
        <w:t>‑</w:t>
      </w:r>
      <w:r>
        <w:rPr>
          <w:rFonts w:ascii="Arial" w:cs="Arial" w:eastAsia="Arial" w:hAnsi="Arial"/>
          <w:sz w:val="13"/>
          <w:szCs w:val="13"/>
          <w:color w:val="auto"/>
        </w:rPr>
        <w:t>fact to sign Borrower’s or any of its Subsidiaries’ name on any documents necessary to perfect or continue the perfection of Collateral Agent’s security interest in the Collateral regardless of whether an Event of Default has occurred until all Obligations (other than (a) inchoate indemnity obligations and (b) other obligations that survive termination of this Agreement, in each case, for which no claim has been made)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(a) inchoate indemnity obligations and (b) other obligations that survive termination of this Agreement, in each case, for which no claim has been made) have been fully repaid and performed and Collateral Agent’s and the Lenders’ obligation to provide the Term Loan terminates.</w:t>
      </w:r>
    </w:p>
    <w:p>
      <w:pPr>
        <w:spacing w:after="0" w:line="165" w:lineRule="exact"/>
        <w:rPr>
          <w:sz w:val="20"/>
          <w:szCs w:val="20"/>
          <w:color w:val="auto"/>
        </w:rPr>
      </w:pPr>
    </w:p>
    <w:p>
      <w:pPr>
        <w:jc w:val="both"/>
        <w:ind w:firstLine="513"/>
        <w:spacing w:after="0" w:line="261" w:lineRule="auto"/>
        <w:rPr>
          <w:sz w:val="20"/>
          <w:szCs w:val="20"/>
          <w:color w:val="auto"/>
        </w:rPr>
      </w:pPr>
      <w:r>
        <w:rPr>
          <w:rFonts w:ascii="Arial" w:cs="Arial" w:eastAsia="Arial" w:hAnsi="Arial"/>
          <w:sz w:val="14"/>
          <w:szCs w:val="14"/>
          <w:b w:val="1"/>
          <w:bCs w:val="1"/>
          <w:color w:val="auto"/>
        </w:rPr>
        <w:t xml:space="preserve">9.3 Protective Payments. </w:t>
      </w:r>
      <w:r>
        <w:rPr>
          <w:rFonts w:ascii="Arial" w:cs="Arial" w:eastAsia="Arial" w:hAnsi="Arial"/>
          <w:sz w:val="14"/>
          <w:szCs w:val="14"/>
          <w:color w:val="auto"/>
        </w:rPr>
        <w:t>If Borrower or any of its Subsidiaries fail to obtain the insurance called for by Section 6.5 or fail to pay any premium thereon or fail to</w:t>
      </w:r>
      <w:r>
        <w:rPr>
          <w:rFonts w:ascii="Arial" w:cs="Arial" w:eastAsia="Arial" w:hAnsi="Arial"/>
          <w:sz w:val="14"/>
          <w:szCs w:val="14"/>
          <w:b w:val="1"/>
          <w:bCs w:val="1"/>
          <w:color w:val="auto"/>
        </w:rPr>
        <w:t xml:space="preserve"> </w:t>
      </w:r>
      <w:r>
        <w:rPr>
          <w:rFonts w:ascii="Arial" w:cs="Arial" w:eastAsia="Arial" w:hAnsi="Arial"/>
          <w:sz w:val="14"/>
          <w:szCs w:val="14"/>
          <w:color w:val="auto"/>
        </w:rPr>
        <w:t>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45" w:lineRule="exact"/>
        <w:rPr>
          <w:sz w:val="20"/>
          <w:szCs w:val="20"/>
          <w:color w:val="auto"/>
        </w:rPr>
      </w:pPr>
    </w:p>
    <w:p>
      <w:pPr>
        <w:jc w:val="both"/>
        <w:ind w:firstLine="513"/>
        <w:spacing w:after="0" w:line="282" w:lineRule="auto"/>
        <w:rPr>
          <w:sz w:val="20"/>
          <w:szCs w:val="20"/>
          <w:color w:val="auto"/>
        </w:rPr>
      </w:pPr>
      <w:r>
        <w:rPr>
          <w:rFonts w:ascii="Arial" w:cs="Arial" w:eastAsia="Arial" w:hAnsi="Arial"/>
          <w:sz w:val="13"/>
          <w:szCs w:val="13"/>
          <w:b w:val="1"/>
          <w:bCs w:val="1"/>
          <w:color w:val="auto"/>
        </w:rPr>
        <w:t xml:space="preserve">9.4 Application of Payments and Proceeds. </w:t>
      </w:r>
      <w:r>
        <w:rPr>
          <w:rFonts w:ascii="Arial" w:cs="Arial" w:eastAsia="Arial" w:hAnsi="Arial"/>
          <w:sz w:val="13"/>
          <w:szCs w:val="13"/>
          <w:color w:val="auto"/>
        </w:rPr>
        <w:t>Notwithstanding anything to the contrary contained in this Agreement, upon the occurrence and during the</w:t>
      </w:r>
      <w:r>
        <w:rPr>
          <w:rFonts w:ascii="Arial" w:cs="Arial" w:eastAsia="Arial" w:hAnsi="Arial"/>
          <w:sz w:val="13"/>
          <w:szCs w:val="13"/>
          <w:b w:val="1"/>
          <w:bCs w:val="1"/>
          <w:color w:val="auto"/>
        </w:rPr>
        <w:t xml:space="preserve"> </w:t>
      </w:r>
      <w:r>
        <w:rPr>
          <w:rFonts w:ascii="Arial" w:cs="Arial" w:eastAsia="Arial" w:hAnsi="Arial"/>
          <w:sz w:val="13"/>
          <w:szCs w:val="13"/>
          <w:color w:val="auto"/>
        </w:rPr>
        <w:t>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99" w:name="page100"/>
    <w:bookmarkEnd w:id="99"/>
    <w:p>
      <w:pPr>
        <w:jc w:val="both"/>
        <w:ind w:left="1"/>
        <w:spacing w:after="0" w:line="277" w:lineRule="auto"/>
        <w:rPr>
          <w:sz w:val="20"/>
          <w:szCs w:val="20"/>
          <w:color w:val="auto"/>
        </w:rPr>
      </w:pPr>
      <w:r>
        <w:rPr>
          <w:rFonts w:ascii="Arial" w:cs="Arial" w:eastAsia="Arial" w:hAnsi="Arial"/>
          <w:sz w:val="13"/>
          <w:szCs w:val="13"/>
          <w:color w:val="auto"/>
        </w:rPr>
        <w:t>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the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spacing w:after="0" w:line="141" w:lineRule="exact"/>
        <w:rPr>
          <w:sz w:val="20"/>
          <w:szCs w:val="20"/>
          <w:color w:val="auto"/>
        </w:rPr>
      </w:pPr>
    </w:p>
    <w:p>
      <w:pPr>
        <w:jc w:val="both"/>
        <w:ind w:left="1" w:firstLine="513"/>
        <w:spacing w:after="0" w:line="266" w:lineRule="auto"/>
        <w:rPr>
          <w:sz w:val="20"/>
          <w:szCs w:val="20"/>
          <w:color w:val="auto"/>
        </w:rPr>
      </w:pPr>
      <w:r>
        <w:rPr>
          <w:rFonts w:ascii="Arial" w:cs="Arial" w:eastAsia="Arial" w:hAnsi="Arial"/>
          <w:sz w:val="14"/>
          <w:szCs w:val="14"/>
          <w:b w:val="1"/>
          <w:bCs w:val="1"/>
          <w:color w:val="auto"/>
        </w:rPr>
        <w:t xml:space="preserve">9.5 Liability for Collateral. </w:t>
      </w:r>
      <w:r>
        <w:rPr>
          <w:rFonts w:ascii="Arial" w:cs="Arial" w:eastAsia="Arial" w:hAnsi="Arial"/>
          <w:sz w:val="14"/>
          <w:szCs w:val="14"/>
          <w:color w:val="auto"/>
        </w:rPr>
        <w:t>So long as Collateral Agent and the Lenders comply with reasonable banking practices regarding the safekeeping of the Collateral in</w:t>
      </w:r>
      <w:r>
        <w:rPr>
          <w:rFonts w:ascii="Arial" w:cs="Arial" w:eastAsia="Arial" w:hAnsi="Arial"/>
          <w:sz w:val="14"/>
          <w:szCs w:val="14"/>
          <w:b w:val="1"/>
          <w:bCs w:val="1"/>
          <w:color w:val="auto"/>
        </w:rPr>
        <w:t xml:space="preserve"> </w:t>
      </w:r>
      <w:r>
        <w:rPr>
          <w:rFonts w:ascii="Arial" w:cs="Arial" w:eastAsia="Arial" w:hAnsi="Arial"/>
          <w:sz w:val="14"/>
          <w:szCs w:val="14"/>
          <w:color w:val="auto"/>
        </w:rPr>
        <w:t>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40" w:lineRule="exact"/>
        <w:rPr>
          <w:sz w:val="20"/>
          <w:szCs w:val="20"/>
          <w:color w:val="auto"/>
        </w:rPr>
      </w:pPr>
    </w:p>
    <w:p>
      <w:pPr>
        <w:jc w:val="both"/>
        <w:ind w:left="1" w:firstLine="513"/>
        <w:spacing w:after="0" w:line="283" w:lineRule="auto"/>
        <w:rPr>
          <w:sz w:val="20"/>
          <w:szCs w:val="20"/>
          <w:color w:val="auto"/>
        </w:rPr>
      </w:pPr>
      <w:r>
        <w:rPr>
          <w:rFonts w:ascii="Arial" w:cs="Arial" w:eastAsia="Arial" w:hAnsi="Arial"/>
          <w:sz w:val="13"/>
          <w:szCs w:val="13"/>
          <w:b w:val="1"/>
          <w:bCs w:val="1"/>
          <w:color w:val="auto"/>
        </w:rPr>
        <w:t xml:space="preserve">9.6 No Waiver; Remedies Cumulative. </w:t>
      </w:r>
      <w:r>
        <w:rPr>
          <w:rFonts w:ascii="Arial" w:cs="Arial" w:eastAsia="Arial" w:hAnsi="Arial"/>
          <w:sz w:val="13"/>
          <w:szCs w:val="13"/>
          <w:color w:val="auto"/>
        </w:rPr>
        <w:t>Failure by Collateral Agent or any Lender, at any time or times, to require strict performance by Borrower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Agreement or by Borrower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33" w:lineRule="exact"/>
        <w:rPr>
          <w:sz w:val="20"/>
          <w:szCs w:val="20"/>
          <w:color w:val="auto"/>
        </w:rPr>
      </w:pPr>
    </w:p>
    <w:p>
      <w:pPr>
        <w:jc w:val="both"/>
        <w:ind w:left="1" w:firstLine="513"/>
        <w:spacing w:after="0" w:line="272" w:lineRule="auto"/>
        <w:rPr>
          <w:sz w:val="20"/>
          <w:szCs w:val="20"/>
          <w:color w:val="auto"/>
        </w:rPr>
      </w:pPr>
      <w:r>
        <w:rPr>
          <w:rFonts w:ascii="Arial" w:cs="Arial" w:eastAsia="Arial" w:hAnsi="Arial"/>
          <w:sz w:val="14"/>
          <w:szCs w:val="14"/>
          <w:b w:val="1"/>
          <w:bCs w:val="1"/>
          <w:color w:val="auto"/>
        </w:rPr>
        <w:t xml:space="preserve">9.7 Demand Waiver. </w:t>
      </w:r>
      <w:r>
        <w:rPr>
          <w:rFonts w:ascii="Arial" w:cs="Arial" w:eastAsia="Arial" w:hAnsi="Arial"/>
          <w:sz w:val="14"/>
          <w:szCs w:val="14"/>
          <w:color w:val="auto"/>
        </w:rPr>
        <w:t>Borrower waives, to the fullest extent permitted by law, demand, notice of default or dishonor, notice of payment and nonpayment, notice</w:t>
      </w:r>
      <w:r>
        <w:rPr>
          <w:rFonts w:ascii="Arial" w:cs="Arial" w:eastAsia="Arial" w:hAnsi="Arial"/>
          <w:sz w:val="14"/>
          <w:szCs w:val="14"/>
          <w:b w:val="1"/>
          <w:bCs w:val="1"/>
          <w:color w:val="auto"/>
        </w:rPr>
        <w:t xml:space="preserve"> </w:t>
      </w:r>
      <w:r>
        <w:rPr>
          <w:rFonts w:ascii="Arial" w:cs="Arial" w:eastAsia="Arial" w:hAnsi="Arial"/>
          <w:sz w:val="14"/>
          <w:szCs w:val="14"/>
          <w:color w:val="auto"/>
        </w:rPr>
        <w:t>of any default, nonpayment at maturity, release, compromise, settlement, extension, or renewal of accounts, documents, instruments, chattel paper, and guarantees held by Collateral Agent or any Lender on which Borrower or any Subsidiary is liable.</w:t>
      </w:r>
    </w:p>
    <w:p>
      <w:pPr>
        <w:spacing w:after="0" w:line="136" w:lineRule="exact"/>
        <w:rPr>
          <w:sz w:val="20"/>
          <w:szCs w:val="20"/>
          <w:color w:val="auto"/>
        </w:rPr>
      </w:pPr>
    </w:p>
    <w:p>
      <w:pPr>
        <w:ind w:left="541" w:hanging="541"/>
        <w:spacing w:after="0"/>
        <w:tabs>
          <w:tab w:leader="none" w:pos="541"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p>
    <w:p>
      <w:pPr>
        <w:spacing w:after="0" w:line="181" w:lineRule="exact"/>
        <w:rPr>
          <w:sz w:val="20"/>
          <w:szCs w:val="20"/>
          <w:color w:val="auto"/>
        </w:rPr>
      </w:pPr>
    </w:p>
    <w:p>
      <w:pPr>
        <w:jc w:val="both"/>
        <w:ind w:left="1" w:firstLine="513"/>
        <w:spacing w:after="0" w:line="293" w:lineRule="auto"/>
        <w:rPr>
          <w:sz w:val="20"/>
          <w:szCs w:val="20"/>
          <w:color w:val="auto"/>
        </w:rPr>
      </w:pPr>
      <w:r>
        <w:rPr>
          <w:rFonts w:ascii="Arial" w:cs="Arial" w:eastAsia="Arial" w:hAnsi="Arial"/>
          <w:sz w:val="13"/>
          <w:szCs w:val="13"/>
          <w:color w:val="auto"/>
        </w:rPr>
        <w:t>Other than as specifically provided herein, all notices, consents, requests, approvals, demands, or other communication (collectively, “</w:t>
      </w:r>
      <w:r>
        <w:rPr>
          <w:rFonts w:ascii="Arial" w:cs="Arial" w:eastAsia="Arial" w:hAnsi="Arial"/>
          <w:sz w:val="13"/>
          <w:szCs w:val="13"/>
          <w:b w:val="1"/>
          <w:bCs w:val="1"/>
          <w:color w:val="auto"/>
        </w:rPr>
        <w:t>Communications</w:t>
      </w:r>
      <w:r>
        <w:rPr>
          <w:rFonts w:ascii="Arial" w:cs="Arial" w:eastAsia="Arial" w:hAnsi="Arial"/>
          <w:sz w:val="13"/>
          <w:szCs w:val="13"/>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100" w:name="page101"/>
    <w:bookmarkEnd w:id="100"/>
    <w:p>
      <w:pPr>
        <w:jc w:val="both"/>
        <w:ind w:left="1"/>
        <w:spacing w:after="0" w:line="174" w:lineRule="exact"/>
        <w:rPr>
          <w:sz w:val="20"/>
          <w:szCs w:val="20"/>
          <w:color w:val="auto"/>
        </w:rPr>
      </w:pPr>
      <w:r>
        <w:rPr>
          <w:rFonts w:ascii="Arial" w:cs="Arial" w:eastAsia="Arial" w:hAnsi="Arial"/>
          <w:sz w:val="14"/>
          <w:szCs w:val="14"/>
          <w:color w:val="auto"/>
        </w:rPr>
        <w:t>hand</w:t>
      </w:r>
      <w:r>
        <w:rPr>
          <w:rFonts w:ascii="MS PGothic" w:cs="MS PGothic" w:eastAsia="MS PGothic" w:hAnsi="MS PGothic"/>
          <w:sz w:val="14"/>
          <w:szCs w:val="14"/>
          <w:color w:val="auto"/>
        </w:rPr>
        <w:t>‑</w:t>
      </w:r>
      <w:r>
        <w:rPr>
          <w:rFonts w:ascii="Arial" w:cs="Arial" w:eastAsia="Arial" w:hAnsi="Arial"/>
          <w:sz w:val="14"/>
          <w:szCs w:val="14"/>
          <w:color w:val="auto"/>
        </w:rPr>
        <w:t>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0101"/>
          </w:cols>
          <w:pgMar w:left="899" w:top="129" w:right="899" w:bottom="1440" w:gutter="0" w:footer="0" w:header="0"/>
        </w:sectPr>
      </w:pPr>
    </w:p>
    <w:p>
      <w:pPr>
        <w:spacing w:after="0" w:line="162" w:lineRule="exact"/>
        <w:rPr>
          <w:sz w:val="20"/>
          <w:szCs w:val="20"/>
          <w:color w:val="auto"/>
        </w:rPr>
      </w:pPr>
    </w:p>
    <w:p>
      <w:pPr>
        <w:ind w:left="1021"/>
        <w:spacing w:after="0"/>
        <w:rPr>
          <w:sz w:val="20"/>
          <w:szCs w:val="20"/>
          <w:color w:val="auto"/>
        </w:rPr>
      </w:pPr>
      <w:r>
        <w:rPr>
          <w:rFonts w:ascii="Arial" w:cs="Arial" w:eastAsia="Arial" w:hAnsi="Arial"/>
          <w:sz w:val="13"/>
          <w:szCs w:val="13"/>
          <w:color w:val="auto"/>
        </w:rPr>
        <w:t>If to Borrower: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ARDELYX,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34175 Ardenwood Blvd., Suite 200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Fremont, California 94555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Attn: Mark Kaufmann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Email: mkaufmann@ardelyx.com</w:t>
      </w:r>
    </w:p>
    <w:p>
      <w:pPr>
        <w:spacing w:after="0" w:line="129" w:lineRule="exact"/>
        <w:rPr>
          <w:sz w:val="20"/>
          <w:szCs w:val="20"/>
          <w:color w:val="auto"/>
        </w:rPr>
      </w:pPr>
    </w:p>
    <w:p>
      <w:pPr>
        <w:sectPr>
          <w:pgSz w:w="11900" w:h="16838" w:orient="portrait"/>
          <w:cols w:equalWidth="0" w:num="2">
            <w:col w:w="3581" w:space="720"/>
            <w:col w:w="5800"/>
          </w:cols>
          <w:pgMar w:left="899" w:top="129" w:right="899" w:bottom="1440" w:gutter="0" w:footer="0" w:header="0"/>
          <w:type w:val="continuous"/>
        </w:sectPr>
      </w:pPr>
    </w:p>
    <w:p>
      <w:pPr>
        <w:ind w:left="1021"/>
        <w:spacing w:after="0"/>
        <w:rPr>
          <w:sz w:val="20"/>
          <w:szCs w:val="20"/>
          <w:color w:val="auto"/>
        </w:rPr>
      </w:pPr>
      <w:r>
        <w:rPr>
          <w:rFonts w:ascii="Arial" w:cs="Arial" w:eastAsia="Arial" w:hAnsi="Arial"/>
          <w:sz w:val="13"/>
          <w:szCs w:val="13"/>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LATHAM &amp; WATKINS LLP</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140 Scott Drive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Menlo Park, CA 94025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Attn: Mark Roeder</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Email: mark.roeder@lw.com</w:t>
      </w:r>
    </w:p>
    <w:p>
      <w:pPr>
        <w:spacing w:after="0" w:line="129" w:lineRule="exact"/>
        <w:rPr>
          <w:sz w:val="20"/>
          <w:szCs w:val="20"/>
          <w:color w:val="auto"/>
        </w:rPr>
      </w:pPr>
    </w:p>
    <w:p>
      <w:pPr>
        <w:sectPr>
          <w:pgSz w:w="11900" w:h="16838" w:orient="portrait"/>
          <w:cols w:equalWidth="0" w:num="2">
            <w:col w:w="3841" w:space="460"/>
            <w:col w:w="5800"/>
          </w:cols>
          <w:pgMar w:left="899" w:top="129" w:right="899" w:bottom="1440" w:gutter="0" w:footer="0" w:header="0"/>
          <w:type w:val="continuous"/>
        </w:sectPr>
      </w:pPr>
    </w:p>
    <w:p>
      <w:pPr>
        <w:ind w:left="1021"/>
        <w:spacing w:after="0"/>
        <w:rPr>
          <w:sz w:val="20"/>
          <w:szCs w:val="20"/>
          <w:color w:val="auto"/>
        </w:rPr>
      </w:pPr>
      <w:r>
        <w:rPr>
          <w:rFonts w:ascii="Arial" w:cs="Arial" w:eastAsia="Arial" w:hAnsi="Arial"/>
          <w:sz w:val="13"/>
          <w:szCs w:val="13"/>
          <w:color w:val="auto"/>
        </w:rPr>
        <w:t>If to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SOLAR CAPITAL LTD.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500 Park Avenue, 3rd Floor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Attention: Anthony Storino</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Email: storino@Solarcapltd.com</w:t>
      </w:r>
    </w:p>
    <w:p>
      <w:pPr>
        <w:spacing w:after="0" w:line="129" w:lineRule="exact"/>
        <w:rPr>
          <w:sz w:val="20"/>
          <w:szCs w:val="20"/>
          <w:color w:val="auto"/>
        </w:rPr>
      </w:pPr>
    </w:p>
    <w:p>
      <w:pPr>
        <w:sectPr>
          <w:pgSz w:w="11900" w:h="16838" w:orient="portrait"/>
          <w:cols w:equalWidth="0" w:num="2">
            <w:col w:w="3581" w:space="720"/>
            <w:col w:w="5800"/>
          </w:cols>
          <w:pgMar w:left="899" w:top="129" w:right="899" w:bottom="1440" w:gutter="0" w:footer="0" w:header="0"/>
          <w:type w:val="continuous"/>
        </w:sectPr>
      </w:pPr>
    </w:p>
    <w:p>
      <w:pPr>
        <w:ind w:left="1021"/>
        <w:spacing w:after="0"/>
        <w:rPr>
          <w:sz w:val="20"/>
          <w:szCs w:val="20"/>
          <w:color w:val="auto"/>
        </w:rPr>
      </w:pPr>
      <w:r>
        <w:rPr>
          <w:rFonts w:ascii="Arial" w:cs="Arial" w:eastAsia="Arial" w:hAnsi="Arial"/>
          <w:sz w:val="13"/>
          <w:szCs w:val="13"/>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MORRISON &amp; FOERSTER LLP</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425 Market 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 94105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Attn: Jeff Kayes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Email: jkayes@mofo.com</w:t>
      </w:r>
    </w:p>
    <w:p>
      <w:pPr>
        <w:spacing w:after="0" w:line="167" w:lineRule="exact"/>
        <w:rPr>
          <w:sz w:val="20"/>
          <w:szCs w:val="20"/>
          <w:color w:val="auto"/>
        </w:rPr>
      </w:pPr>
    </w:p>
    <w:p>
      <w:pPr>
        <w:sectPr>
          <w:pgSz w:w="11900" w:h="16838" w:orient="portrait"/>
          <w:cols w:equalWidth="0" w:num="2">
            <w:col w:w="3841" w:space="460"/>
            <w:col w:w="5800"/>
          </w:cols>
          <w:pgMar w:left="899" w:top="129" w:right="899" w:bottom="1440" w:gutter="0" w:footer="0" w:header="0"/>
          <w:type w:val="continuous"/>
        </w:sectPr>
      </w:pPr>
    </w:p>
    <w:p>
      <w:pPr>
        <w:ind w:left="521" w:hanging="521"/>
        <w:spacing w:after="0"/>
        <w:tabs>
          <w:tab w:leader="none" w:pos="521"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CHOICE OF LAW, VENUE AND JURY TRIAL WAIVER</w:t>
      </w:r>
    </w:p>
    <w:p>
      <w:pPr>
        <w:spacing w:after="0" w:line="181" w:lineRule="exact"/>
        <w:rPr>
          <w:sz w:val="20"/>
          <w:szCs w:val="20"/>
          <w:color w:val="auto"/>
        </w:rPr>
      </w:pPr>
    </w:p>
    <w:p>
      <w:pPr>
        <w:jc w:val="both"/>
        <w:ind w:left="1" w:firstLine="513"/>
        <w:spacing w:after="0" w:line="259" w:lineRule="auto"/>
        <w:rPr>
          <w:sz w:val="20"/>
          <w:szCs w:val="20"/>
          <w:color w:val="auto"/>
        </w:rPr>
      </w:pPr>
      <w:r>
        <w:rPr>
          <w:rFonts w:ascii="Arial" w:cs="Arial" w:eastAsia="Arial" w:hAnsi="Arial"/>
          <w:sz w:val="14"/>
          <w:szCs w:val="14"/>
          <w:b w:val="1"/>
          <w:bCs w:val="1"/>
          <w:color w:val="auto"/>
        </w:rPr>
        <w:t xml:space="preserve">11.1 Waiver of Jury Trial. </w:t>
      </w:r>
      <w:r>
        <w:rPr>
          <w:rFonts w:ascii="Arial" w:cs="Arial" w:eastAsia="Arial" w:hAnsi="Arial"/>
          <w:sz w:val="14"/>
          <w:szCs w:val="14"/>
          <w:color w:val="auto"/>
        </w:rPr>
        <w:t>EACH OF BORROWER, COLLATERAL AGENT AND LENDERS UNCONDITIONALLY WAIVES ANY AND ALL RIGHT TO</w:t>
      </w:r>
      <w:r>
        <w:rPr>
          <w:rFonts w:ascii="Arial" w:cs="Arial" w:eastAsia="Arial" w:hAnsi="Arial"/>
          <w:sz w:val="14"/>
          <w:szCs w:val="14"/>
          <w:b w:val="1"/>
          <w:bCs w:val="1"/>
          <w:color w:val="auto"/>
        </w:rPr>
        <w:t xml:space="preserve"> </w:t>
      </w:r>
      <w:r>
        <w:rPr>
          <w:rFonts w:ascii="Arial" w:cs="Arial" w:eastAsia="Arial" w:hAnsi="Arial"/>
          <w:sz w:val="14"/>
          <w:szCs w:val="14"/>
          <w:color w:val="auto"/>
        </w:rPr>
        <w:t>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45" w:lineRule="exact"/>
        <w:rPr>
          <w:sz w:val="20"/>
          <w:szCs w:val="20"/>
          <w:color w:val="auto"/>
        </w:rPr>
      </w:pPr>
    </w:p>
    <w:p>
      <w:pPr>
        <w:jc w:val="both"/>
        <w:ind w:left="1" w:firstLine="513"/>
        <w:spacing w:after="0" w:line="288" w:lineRule="auto"/>
        <w:rPr>
          <w:sz w:val="20"/>
          <w:szCs w:val="20"/>
          <w:color w:val="auto"/>
        </w:rPr>
      </w:pPr>
      <w:r>
        <w:rPr>
          <w:rFonts w:ascii="Arial" w:cs="Arial" w:eastAsia="Arial" w:hAnsi="Arial"/>
          <w:sz w:val="13"/>
          <w:szCs w:val="13"/>
          <w:b w:val="1"/>
          <w:bCs w:val="1"/>
          <w:color w:val="auto"/>
        </w:rPr>
        <w:t xml:space="preserve">11.2 Governing Law and Jurisdiction. </w:t>
      </w:r>
      <w:r>
        <w:rPr>
          <w:rFonts w:ascii="Arial" w:cs="Arial" w:eastAsia="Arial" w:hAnsi="Arial"/>
          <w:sz w:val="13"/>
          <w:szCs w:val="13"/>
          <w:color w:val="auto"/>
        </w:rPr>
        <w:t>THIS AGREEMENT, THE OTHER LOAN DOCUMENTS (EXCLUDING THOSE LOAN DOCUMENTS THAT BY</w:t>
      </w:r>
      <w:r>
        <w:rPr>
          <w:rFonts w:ascii="Arial" w:cs="Arial" w:eastAsia="Arial" w:hAnsi="Arial"/>
          <w:sz w:val="13"/>
          <w:szCs w:val="13"/>
          <w:b w:val="1"/>
          <w:bCs w:val="1"/>
          <w:color w:val="auto"/>
        </w:rPr>
        <w:t xml:space="preserve"> </w:t>
      </w:r>
      <w:r>
        <w:rPr>
          <w:rFonts w:ascii="Arial" w:cs="Arial" w:eastAsia="Arial" w:hAnsi="Arial"/>
          <w:sz w:val="13"/>
          <w:szCs w:val="13"/>
          <w:color w:val="auto"/>
        </w:rPr>
        <w:t>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OF SUCH STATE (OTHER THAN SECTION 5-1401 OF THE GENERAL OBLIGATIONS LAW)), INCLUDING ALL MATTERS OF CONSTRUCTION, VALIDITY AND PERFORMANCE, REGARDLESS OF THE LOCATION OF THE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type w:val="continuous"/>
        </w:sectPr>
      </w:pPr>
    </w:p>
    <w:bookmarkStart w:id="101" w:name="page102"/>
    <w:bookmarkEnd w:id="101"/>
    <w:p>
      <w:pPr>
        <w:jc w:val="both"/>
        <w:ind w:left="1"/>
        <w:spacing w:after="0" w:line="269" w:lineRule="auto"/>
        <w:rPr>
          <w:sz w:val="20"/>
          <w:szCs w:val="20"/>
          <w:color w:val="auto"/>
        </w:rPr>
      </w:pPr>
      <w:r>
        <w:rPr>
          <w:rFonts w:ascii="Arial" w:cs="Arial" w:eastAsia="Arial" w:hAnsi="Arial"/>
          <w:sz w:val="14"/>
          <w:szCs w:val="14"/>
          <w:color w:val="auto"/>
        </w:rPr>
        <w:t xml:space="preserve">COLLATERAL,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38" w:lineRule="exact"/>
        <w:rPr>
          <w:sz w:val="20"/>
          <w:szCs w:val="20"/>
          <w:color w:val="auto"/>
        </w:rPr>
      </w:pPr>
    </w:p>
    <w:p>
      <w:pPr>
        <w:jc w:val="both"/>
        <w:ind w:left="1" w:firstLine="513"/>
        <w:spacing w:after="0" w:line="260" w:lineRule="auto"/>
        <w:rPr>
          <w:sz w:val="20"/>
          <w:szCs w:val="20"/>
          <w:color w:val="auto"/>
        </w:rPr>
      </w:pPr>
      <w:r>
        <w:rPr>
          <w:rFonts w:ascii="Arial" w:cs="Arial" w:eastAsia="Arial" w:hAnsi="Arial"/>
          <w:sz w:val="14"/>
          <w:szCs w:val="14"/>
          <w:b w:val="1"/>
          <w:bCs w:val="1"/>
          <w:color w:val="auto"/>
        </w:rPr>
        <w:t>11.3 Submission to Jurisdiction</w:t>
      </w:r>
      <w:r>
        <w:rPr>
          <w:rFonts w:ascii="Arial" w:cs="Arial" w:eastAsia="Arial" w:hAnsi="Arial"/>
          <w:sz w:val="14"/>
          <w:szCs w:val="14"/>
          <w:color w:val="auto"/>
        </w:rPr>
        <w:t>. Any legal action or proceeding with respect to the Loan Documents shall be brought exclusively in the courts of the State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4"/>
          <w:szCs w:val="14"/>
          <w:i w:val="1"/>
          <w:iCs w:val="1"/>
          <w:color w:val="auto"/>
        </w:rPr>
        <w:t>forum non conveniens</w:t>
      </w:r>
      <w:r>
        <w:rPr>
          <w:rFonts w:ascii="Arial" w:cs="Arial" w:eastAsia="Arial" w:hAnsi="Arial"/>
          <w:sz w:val="14"/>
          <w:szCs w:val="14"/>
          <w:color w:val="auto"/>
        </w:rPr>
        <w:t>, that any of them may now or hereafter have to the bringing of any such action or proceeding in such jurisdictions.</w:t>
      </w:r>
    </w:p>
    <w:p>
      <w:pPr>
        <w:spacing w:after="0" w:line="146" w:lineRule="exact"/>
        <w:rPr>
          <w:sz w:val="20"/>
          <w:szCs w:val="20"/>
          <w:color w:val="auto"/>
        </w:rPr>
      </w:pPr>
    </w:p>
    <w:p>
      <w:pPr>
        <w:jc w:val="both"/>
        <w:ind w:left="1" w:firstLine="513"/>
        <w:spacing w:after="0" w:line="288" w:lineRule="auto"/>
        <w:rPr>
          <w:sz w:val="20"/>
          <w:szCs w:val="20"/>
          <w:color w:val="auto"/>
        </w:rPr>
      </w:pPr>
      <w:r>
        <w:rPr>
          <w:rFonts w:ascii="Arial" w:cs="Arial" w:eastAsia="Arial" w:hAnsi="Arial"/>
          <w:sz w:val="13"/>
          <w:szCs w:val="13"/>
          <w:b w:val="1"/>
          <w:bCs w:val="1"/>
          <w:color w:val="auto"/>
        </w:rPr>
        <w:t>11.4 Service of Process</w:t>
      </w:r>
      <w:r>
        <w:rPr>
          <w:rFonts w:ascii="Arial" w:cs="Arial" w:eastAsia="Arial" w:hAnsi="Arial"/>
          <w:sz w:val="13"/>
          <w:szCs w:val="13"/>
          <w:color w:val="auto"/>
        </w:rPr>
        <w:t>. Borrower irrevocably waives personal service of any and all legal process, summons, notices and other documents and other service of</w:t>
      </w:r>
      <w:r>
        <w:rPr>
          <w:rFonts w:ascii="Arial" w:cs="Arial" w:eastAsia="Arial" w:hAnsi="Arial"/>
          <w:sz w:val="13"/>
          <w:szCs w:val="13"/>
          <w:b w:val="1"/>
          <w:bCs w:val="1"/>
          <w:color w:val="auto"/>
        </w:rPr>
        <w:t xml:space="preserve"> </w:t>
      </w:r>
      <w:r>
        <w:rPr>
          <w:rFonts w:ascii="Arial" w:cs="Arial" w:eastAsia="Arial" w:hAnsi="Arial"/>
          <w:sz w:val="13"/>
          <w:szCs w:val="13"/>
          <w:color w:val="auto"/>
        </w:rPr>
        <w:t>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28" w:lineRule="exact"/>
        <w:rPr>
          <w:sz w:val="20"/>
          <w:szCs w:val="20"/>
          <w:color w:val="auto"/>
        </w:rPr>
      </w:pPr>
    </w:p>
    <w:p>
      <w:pPr>
        <w:jc w:val="both"/>
        <w:ind w:left="1" w:firstLine="513"/>
        <w:spacing w:after="0" w:line="290" w:lineRule="auto"/>
        <w:rPr>
          <w:sz w:val="20"/>
          <w:szCs w:val="20"/>
          <w:color w:val="auto"/>
        </w:rPr>
      </w:pPr>
      <w:r>
        <w:rPr>
          <w:rFonts w:ascii="Arial" w:cs="Arial" w:eastAsia="Arial" w:hAnsi="Arial"/>
          <w:sz w:val="14"/>
          <w:szCs w:val="14"/>
          <w:b w:val="1"/>
          <w:bCs w:val="1"/>
          <w:color w:val="auto"/>
        </w:rPr>
        <w:t>11.5 Non-exclusive Jurisdiction</w:t>
      </w:r>
      <w:r>
        <w:rPr>
          <w:rFonts w:ascii="Arial" w:cs="Arial" w:eastAsia="Arial" w:hAnsi="Arial"/>
          <w:sz w:val="14"/>
          <w:szCs w:val="14"/>
          <w:color w:val="auto"/>
        </w:rPr>
        <w:t>. Nothing contained in this Article 11 shall affect the right of Collateral Agent or Lenders to serve process in any other manner</w:t>
      </w:r>
      <w:r>
        <w:rPr>
          <w:rFonts w:ascii="Arial" w:cs="Arial" w:eastAsia="Arial" w:hAnsi="Arial"/>
          <w:sz w:val="14"/>
          <w:szCs w:val="14"/>
          <w:b w:val="1"/>
          <w:bCs w:val="1"/>
          <w:color w:val="auto"/>
        </w:rPr>
        <w:t xml:space="preserve"> </w:t>
      </w:r>
      <w:r>
        <w:rPr>
          <w:rFonts w:ascii="Arial" w:cs="Arial" w:eastAsia="Arial" w:hAnsi="Arial"/>
          <w:sz w:val="14"/>
          <w:szCs w:val="14"/>
          <w:color w:val="auto"/>
        </w:rPr>
        <w:t>permitted by applicable requirements of law or commence legal proceedings or otherwise proceed against Borrower in any other jurisdiction.</w:t>
      </w:r>
    </w:p>
    <w:p>
      <w:pPr>
        <w:spacing w:after="0" w:line="123" w:lineRule="exact"/>
        <w:rPr>
          <w:sz w:val="20"/>
          <w:szCs w:val="20"/>
          <w:color w:val="auto"/>
        </w:rPr>
      </w:pPr>
    </w:p>
    <w:p>
      <w:pPr>
        <w:ind w:left="541" w:hanging="541"/>
        <w:spacing w:after="0"/>
        <w:tabs>
          <w:tab w:leader="none" w:pos="541"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GENERAL PROVISIONS</w:t>
      </w:r>
    </w:p>
    <w:p>
      <w:pPr>
        <w:spacing w:after="0" w:line="181" w:lineRule="exact"/>
        <w:rPr>
          <w:sz w:val="20"/>
          <w:szCs w:val="20"/>
          <w:color w:val="auto"/>
        </w:rPr>
      </w:pPr>
    </w:p>
    <w:p>
      <w:pPr>
        <w:jc w:val="both"/>
        <w:ind w:left="1" w:firstLine="513"/>
        <w:spacing w:after="0" w:line="278" w:lineRule="auto"/>
        <w:rPr>
          <w:sz w:val="20"/>
          <w:szCs w:val="20"/>
          <w:color w:val="auto"/>
        </w:rPr>
      </w:pPr>
      <w:r>
        <w:rPr>
          <w:rFonts w:ascii="Arial" w:cs="Arial" w:eastAsia="Arial" w:hAnsi="Arial"/>
          <w:sz w:val="13"/>
          <w:szCs w:val="13"/>
          <w:b w:val="1"/>
          <w:bCs w:val="1"/>
          <w:color w:val="auto"/>
        </w:rPr>
        <w:t xml:space="preserve">12.1 Successors and Assigns. </w:t>
      </w:r>
      <w:r>
        <w:rPr>
          <w:rFonts w:ascii="Arial" w:cs="Arial" w:eastAsia="Arial" w:hAnsi="Arial"/>
          <w:sz w:val="13"/>
          <w:szCs w:val="13"/>
          <w:color w:val="auto"/>
        </w:rPr>
        <w:t>This Agreement binds and is for the benefit of the successors and permitted assigns of each party. Borrower may not transfer, pledge</w:t>
      </w:r>
      <w:r>
        <w:rPr>
          <w:rFonts w:ascii="Arial" w:cs="Arial" w:eastAsia="Arial" w:hAnsi="Arial"/>
          <w:sz w:val="13"/>
          <w:szCs w:val="13"/>
          <w:b w:val="1"/>
          <w:bCs w:val="1"/>
          <w:color w:val="auto"/>
        </w:rPr>
        <w:t xml:space="preserve"> </w:t>
      </w:r>
      <w:r>
        <w:rPr>
          <w:rFonts w:ascii="Arial" w:cs="Arial" w:eastAsia="Arial" w:hAnsi="Arial"/>
          <w:sz w:val="13"/>
          <w:szCs w:val="13"/>
          <w:color w:val="auto"/>
        </w:rPr>
        <w:t>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Arial" w:cs="Arial" w:eastAsia="Arial" w:hAnsi="Arial"/>
          <w:sz w:val="13"/>
          <w:szCs w:val="13"/>
          <w:b w:val="1"/>
          <w:bCs w:val="1"/>
          <w:color w:val="auto"/>
        </w:rPr>
        <w:t>,</w:t>
      </w:r>
      <w:r>
        <w:rPr>
          <w:rFonts w:ascii="Arial" w:cs="Arial" w:eastAsia="Arial" w:hAnsi="Arial"/>
          <w:sz w:val="13"/>
          <w:szCs w:val="13"/>
          <w:color w:val="auto"/>
        </w:rPr>
        <w:t xml:space="preserve"> or grant of a participation, a </w:t>
      </w:r>
      <w:r>
        <w:rPr>
          <w:rFonts w:ascii="Arial" w:cs="Arial" w:eastAsia="Arial" w:hAnsi="Arial"/>
          <w:sz w:val="13"/>
          <w:szCs w:val="13"/>
          <w:b w:val="1"/>
          <w:bCs w:val="1"/>
          <w:color w:val="auto"/>
        </w:rPr>
        <w:t>“Lender Transfer”</w:t>
      </w:r>
      <w:r>
        <w:rPr>
          <w:rFonts w:ascii="Arial" w:cs="Arial" w:eastAsia="Arial" w:hAnsi="Arial"/>
          <w:sz w:val="13"/>
          <w:szCs w:val="13"/>
          <w:color w:val="auto"/>
        </w:rPr>
        <w:t xml:space="preserve">) all or any part of, or any interest in, the Lenders’ obligations, rights, and benefits under this Agreement and the other Loan Documents;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such Lender Transfer (other than (i) any Transfer at any time that an Event of Default has occurred and is continuing, or (ii) a transfer, pledge, sale or assignment to an Eligible Assignee) of its obligations, rights, and benefits under this Agreement and the other Loan Documents shall require the prior written consent of the Collateral Agent (such approved assignee, an “</w:t>
      </w:r>
      <w:r>
        <w:rPr>
          <w:rFonts w:ascii="Arial" w:cs="Arial" w:eastAsia="Arial" w:hAnsi="Arial"/>
          <w:sz w:val="13"/>
          <w:szCs w:val="13"/>
          <w:b w:val="1"/>
          <w:bCs w:val="1"/>
          <w:color w:val="auto"/>
        </w:rPr>
        <w:t>Approved Lender</w:t>
      </w:r>
      <w:r>
        <w:rPr>
          <w:rFonts w:ascii="Arial" w:cs="Arial" w:eastAsia="Arial" w:hAnsi="Arial"/>
          <w:sz w:val="13"/>
          <w:szCs w:val="13"/>
          <w:color w:val="auto"/>
        </w:rPr>
        <w:t xml:space="preserve">”); and </w:t>
      </w:r>
      <w:r>
        <w:rPr>
          <w:rFonts w:ascii="Arial" w:cs="Arial" w:eastAsia="Arial" w:hAnsi="Arial"/>
          <w:sz w:val="13"/>
          <w:szCs w:val="13"/>
          <w:i w:val="1"/>
          <w:iCs w:val="1"/>
          <w:color w:val="auto"/>
        </w:rPr>
        <w:t>provided, further</w:t>
      </w:r>
      <w:r>
        <w:rPr>
          <w:rFonts w:ascii="Arial" w:cs="Arial" w:eastAsia="Arial" w:hAnsi="Arial"/>
          <w:sz w:val="13"/>
          <w:szCs w:val="13"/>
          <w:color w:val="auto"/>
        </w:rPr>
        <w:t>, that on the date it becomes a party to this Agreement, an Approved Lender must be capable, through its applicable lending office, of receiving payments of interest from Borrower without the imposition of any withholding taxes that would be required to be borne by Borrower or requiring the payment of any additional amounts by Borrower pursuant to Section 2.5 hereof.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Collateral Agent shall use commercially reasonable efforts to provide notice to Borrower of each Lender Transfer promptly following such Lender Transfer.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642112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102" w:name="page103"/>
    <w:bookmarkEnd w:id="102"/>
    <w:p>
      <w:pPr>
        <w:jc w:val="both"/>
        <w:spacing w:after="0" w:line="284" w:lineRule="auto"/>
        <w:rPr>
          <w:sz w:val="20"/>
          <w:szCs w:val="20"/>
          <w:color w:val="auto"/>
        </w:rPr>
      </w:pPr>
      <w:r>
        <w:rPr>
          <w:rFonts w:ascii="Arial" w:cs="Arial" w:eastAsia="Arial" w:hAnsi="Arial"/>
          <w:sz w:val="14"/>
          <w:szCs w:val="14"/>
          <w:color w:val="auto"/>
        </w:rPr>
        <w:t>without Borrower’s consent, to any Person which is an Affiliate or Subsidiary of Borrower, a direct competitor of Borrower or a vulture hedge fund, each as reasonably determined by Collateral Agent at the time of such assignment.</w:t>
      </w:r>
    </w:p>
    <w:p>
      <w:pPr>
        <w:spacing w:after="0" w:line="128" w:lineRule="exact"/>
        <w:rPr>
          <w:sz w:val="20"/>
          <w:szCs w:val="20"/>
          <w:color w:val="auto"/>
        </w:rPr>
      </w:pPr>
    </w:p>
    <w:p>
      <w:pPr>
        <w:jc w:val="both"/>
        <w:ind w:firstLine="513"/>
        <w:spacing w:after="0" w:line="278" w:lineRule="auto"/>
        <w:rPr>
          <w:sz w:val="20"/>
          <w:szCs w:val="20"/>
          <w:color w:val="auto"/>
        </w:rPr>
      </w:pPr>
      <w:r>
        <w:rPr>
          <w:rFonts w:ascii="Arial" w:cs="Arial" w:eastAsia="Arial" w:hAnsi="Arial"/>
          <w:sz w:val="13"/>
          <w:szCs w:val="13"/>
          <w:b w:val="1"/>
          <w:bCs w:val="1"/>
          <w:color w:val="auto"/>
        </w:rPr>
        <w:t xml:space="preserve">12.2 Indemnification. </w:t>
      </w:r>
      <w:r>
        <w:rPr>
          <w:rFonts w:ascii="Arial" w:cs="Arial" w:eastAsia="Arial" w:hAnsi="Arial"/>
          <w:sz w:val="13"/>
          <w:szCs w:val="13"/>
          <w:color w:val="auto"/>
        </w:rPr>
        <w:t>Subject to Section 2.5, Borrower agrees to indemnify, defend and hold each Secured Party and their respective directors, officers,</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consultants, agents, attorneys, or any other Person affiliated with or representing such Secured Party (each, an “</w:t>
      </w:r>
      <w:r>
        <w:rPr>
          <w:rFonts w:ascii="Arial" w:cs="Arial" w:eastAsia="Arial" w:hAnsi="Arial"/>
          <w:sz w:val="13"/>
          <w:szCs w:val="13"/>
          <w:b w:val="1"/>
          <w:bCs w:val="1"/>
          <w:color w:val="auto"/>
        </w:rPr>
        <w:t>Indemnified Person</w:t>
      </w:r>
      <w:r>
        <w:rPr>
          <w:rFonts w:ascii="Arial" w:cs="Arial" w:eastAsia="Arial" w:hAnsi="Arial"/>
          <w:sz w:val="13"/>
          <w:szCs w:val="13"/>
          <w:color w:val="auto"/>
        </w:rPr>
        <w:t>”) harmless against: (a) all obligations, demands, claims, and liabilities (collectively, “</w:t>
      </w:r>
      <w:r>
        <w:rPr>
          <w:rFonts w:ascii="Arial" w:cs="Arial" w:eastAsia="Arial" w:hAnsi="Arial"/>
          <w:sz w:val="13"/>
          <w:szCs w:val="13"/>
          <w:b w:val="1"/>
          <w:bCs w:val="1"/>
          <w:color w:val="auto"/>
        </w:rPr>
        <w:t>Claims</w:t>
      </w:r>
      <w:r>
        <w:rPr>
          <w:rFonts w:ascii="Arial" w:cs="Arial" w:eastAsia="Arial" w:hAnsi="Arial"/>
          <w:sz w:val="13"/>
          <w:szCs w:val="13"/>
          <w:color w:val="auto"/>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gross negligence or willful misconduct. Borrower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Notwithstanding the foregoing, if no direct conflict of interest is apparent in connection with the defense of any Claim, Collateral Agent and the Lenders shall first take commercially reasonable efforts to use the same counsel as Borrower, or, if a conflict does exist, use only one counsel among all Indemnified Persons with respect to the defense of any Claim.</w:t>
      </w:r>
    </w:p>
    <w:p>
      <w:pPr>
        <w:spacing w:after="0" w:line="13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12.3</w:t>
      </w:r>
      <w:r>
        <w:rPr>
          <w:sz w:val="20"/>
          <w:szCs w:val="20"/>
          <w:color w:val="auto"/>
        </w:rPr>
        <w:tab/>
      </w:r>
      <w:r>
        <w:rPr>
          <w:rFonts w:ascii="Arial" w:cs="Arial" w:eastAsia="Arial" w:hAnsi="Arial"/>
          <w:sz w:val="13"/>
          <w:szCs w:val="13"/>
          <w:b w:val="1"/>
          <w:bCs w:val="1"/>
          <w:color w:val="auto"/>
        </w:rPr>
        <w:t xml:space="preserve">Severability of Provisions. </w:t>
      </w:r>
      <w:r>
        <w:rPr>
          <w:rFonts w:ascii="Arial" w:cs="Arial" w:eastAsia="Arial" w:hAnsi="Arial"/>
          <w:sz w:val="13"/>
          <w:szCs w:val="13"/>
          <w:color w:val="auto"/>
        </w:rPr>
        <w:t>Each provision of this Agreement is severable from every other provision in determining the enforceability of any provision.</w:t>
      </w:r>
    </w:p>
    <w:p>
      <w:pPr>
        <w:spacing w:after="0" w:line="181"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b w:val="1"/>
          <w:bCs w:val="1"/>
          <w:color w:val="auto"/>
        </w:rPr>
        <w:t xml:space="preserve">12.4 Correction of Loan Documents. </w:t>
      </w:r>
      <w:r>
        <w:rPr>
          <w:rFonts w:ascii="Arial" w:cs="Arial" w:eastAsia="Arial" w:hAnsi="Arial"/>
          <w:sz w:val="14"/>
          <w:szCs w:val="14"/>
          <w:color w:val="auto"/>
        </w:rPr>
        <w:t>Collateral Agent may correct patent errors and fill in any blanks in this Agreement and the other Loan Documents</w:t>
      </w:r>
      <w:r>
        <w:rPr>
          <w:rFonts w:ascii="Arial" w:cs="Arial" w:eastAsia="Arial" w:hAnsi="Arial"/>
          <w:sz w:val="14"/>
          <w:szCs w:val="14"/>
          <w:b w:val="1"/>
          <w:bCs w:val="1"/>
          <w:color w:val="auto"/>
        </w:rPr>
        <w:t xml:space="preserve"> </w:t>
      </w:r>
      <w:r>
        <w:rPr>
          <w:rFonts w:ascii="Arial" w:cs="Arial" w:eastAsia="Arial" w:hAnsi="Arial"/>
          <w:sz w:val="14"/>
          <w:szCs w:val="14"/>
          <w:color w:val="auto"/>
        </w:rPr>
        <w:t>consistent with the agreement of the parties</w:t>
      </w:r>
      <w:r>
        <w:rPr>
          <w:rFonts w:ascii="Arial" w:cs="Arial" w:eastAsia="Arial" w:hAnsi="Arial"/>
          <w:sz w:val="14"/>
          <w:szCs w:val="14"/>
          <w:b w:val="1"/>
          <w:bCs w:val="1"/>
          <w:color w:val="auto"/>
        </w:rPr>
        <w:t>.</w:t>
      </w:r>
    </w:p>
    <w:p>
      <w:pPr>
        <w:spacing w:after="0" w:line="123"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4"/>
          <w:szCs w:val="14"/>
          <w:b w:val="1"/>
          <w:bCs w:val="1"/>
          <w:color w:val="auto"/>
        </w:rPr>
        <w:t xml:space="preserve">12.5 Amendments in Writing; Integration. </w:t>
      </w:r>
      <w:r>
        <w:rPr>
          <w:rFonts w:ascii="Arial" w:cs="Arial" w:eastAsia="Arial" w:hAnsi="Arial"/>
          <w:sz w:val="14"/>
          <w:szCs w:val="14"/>
          <w:color w:val="auto"/>
        </w:rPr>
        <w:t>(a) No amendment, modification, termination or waiver of any provision of this Agreement or any other Loan</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40" w:lineRule="exact"/>
        <w:rPr>
          <w:sz w:val="20"/>
          <w:szCs w:val="20"/>
          <w:color w:val="auto"/>
        </w:rPr>
      </w:pPr>
    </w:p>
    <w:p>
      <w:pPr>
        <w:ind w:firstLine="1537"/>
        <w:spacing w:after="0" w:line="284" w:lineRule="auto"/>
        <w:tabs>
          <w:tab w:leader="none" w:pos="2113"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31" w:lineRule="exact"/>
        <w:rPr>
          <w:rFonts w:ascii="Arial" w:cs="Arial" w:eastAsia="Arial" w:hAnsi="Arial"/>
          <w:sz w:val="14"/>
          <w:szCs w:val="14"/>
          <w:color w:val="auto"/>
        </w:rPr>
      </w:pPr>
    </w:p>
    <w:p>
      <w:pPr>
        <w:ind w:firstLine="1537"/>
        <w:spacing w:after="0" w:line="284" w:lineRule="auto"/>
        <w:tabs>
          <w:tab w:leader="none" w:pos="2114"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 such amendment, waiver or modification that would affect the rights and duties of Collateral Agent shall be effective without Collateral Agent’s written consent or signature; and</w:t>
      </w:r>
    </w:p>
    <w:p>
      <w:pPr>
        <w:spacing w:after="0" w:line="131" w:lineRule="exact"/>
        <w:rPr>
          <w:rFonts w:ascii="Arial" w:cs="Arial" w:eastAsia="Arial" w:hAnsi="Arial"/>
          <w:sz w:val="14"/>
          <w:szCs w:val="14"/>
          <w:color w:val="auto"/>
        </w:rPr>
      </w:pPr>
    </w:p>
    <w:p>
      <w:pPr>
        <w:jc w:val="both"/>
        <w:ind w:firstLine="1537"/>
        <w:spacing w:after="0" w:line="284" w:lineRule="auto"/>
        <w:tabs>
          <w:tab w:leader="none" w:pos="2118" w:val="left"/>
        </w:tabs>
        <w:numPr>
          <w:ilvl w:val="0"/>
          <w:numId w:val="98"/>
        </w:numPr>
        <w:rPr>
          <w:rFonts w:ascii="Arial" w:cs="Arial" w:eastAsia="Arial" w:hAnsi="Arial"/>
          <w:sz w:val="13"/>
          <w:szCs w:val="13"/>
          <w:color w:val="auto"/>
        </w:rPr>
      </w:pPr>
      <w:r>
        <w:rPr>
          <w:rFonts w:ascii="Arial" w:cs="Arial" w:eastAsia="Arial" w:hAnsi="Arial"/>
          <w:sz w:val="13"/>
          <w:szCs w:val="13"/>
          <w:color w:val="auto"/>
        </w:rPr>
        <w:t>no such amendment, waiver or other modification shall, unless signed by all the Lenders directly affected thereby, (A) reduce the principal of, rate of interest on or any fees with respect to the Term Loan or forgive any principal, interest (other than default interest) or fees (other than late charges) with respect to the Term Loan (B) postpone the date fixed for, or waive, any payment of principal of the Term Loan or of interest on the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03" w:name="page104"/>
    <w:bookmarkEnd w:id="103"/>
    <w:p>
      <w:pPr>
        <w:jc w:val="both"/>
        <w:spacing w:after="0" w:line="258" w:lineRule="auto"/>
        <w:rPr>
          <w:sz w:val="20"/>
          <w:szCs w:val="20"/>
          <w:color w:val="auto"/>
        </w:rPr>
      </w:pPr>
      <w:r>
        <w:rPr>
          <w:rFonts w:ascii="Arial" w:cs="Arial" w:eastAsia="Arial" w:hAnsi="Arial"/>
          <w:sz w:val="14"/>
          <w:szCs w:val="14"/>
          <w:color w:val="auto"/>
        </w:rPr>
        <w:t>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12.5. It is hereby understood and agreed that all Lenders shall be deemed directly affected by an amendment, waiver or other modification of the type described in the preceding clauses (C), (D), (E), (F), (G) and (H) of the immediately preceding sentence.</w:t>
      </w:r>
    </w:p>
    <w:p>
      <w:pPr>
        <w:spacing w:after="0" w:line="151" w:lineRule="exact"/>
        <w:rPr>
          <w:sz w:val="20"/>
          <w:szCs w:val="20"/>
          <w:color w:val="auto"/>
        </w:rPr>
      </w:pPr>
    </w:p>
    <w:p>
      <w:pPr>
        <w:ind w:firstLine="1024"/>
        <w:spacing w:after="0" w:line="176" w:lineRule="exact"/>
        <w:tabs>
          <w:tab w:leader="none" w:pos="181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Other than as expressly provided for in Section 12.5(a)(i)</w:t>
      </w:r>
      <w:r>
        <w:rPr>
          <w:rFonts w:ascii="MS PGothic" w:cs="MS PGothic" w:eastAsia="MS PGothic" w:hAnsi="MS PGothic"/>
          <w:sz w:val="14"/>
          <w:szCs w:val="14"/>
          <w:color w:val="auto"/>
        </w:rPr>
        <w:t>‑</w:t>
      </w:r>
      <w:r>
        <w:rPr>
          <w:rFonts w:ascii="Arial" w:cs="Arial" w:eastAsia="Arial" w:hAnsi="Arial"/>
          <w:sz w:val="14"/>
          <w:szCs w:val="14"/>
          <w:color w:val="auto"/>
        </w:rPr>
        <w:t>(iii), Collateral Agent may, if requested by the Required Lenders, from time to time designate covenants in this Agreement less restrictive by notification to a representative of Borrower.</w:t>
      </w:r>
    </w:p>
    <w:p>
      <w:pPr>
        <w:spacing w:after="0" w:line="161" w:lineRule="exact"/>
        <w:rPr>
          <w:rFonts w:ascii="Arial" w:cs="Arial" w:eastAsia="Arial" w:hAnsi="Arial"/>
          <w:sz w:val="14"/>
          <w:szCs w:val="14"/>
          <w:color w:val="auto"/>
        </w:rPr>
      </w:pPr>
    </w:p>
    <w:p>
      <w:pPr>
        <w:jc w:val="both"/>
        <w:ind w:firstLine="1024"/>
        <w:spacing w:after="0" w:line="269" w:lineRule="auto"/>
        <w:tabs>
          <w:tab w:leader="none" w:pos="16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38"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b w:val="1"/>
          <w:bCs w:val="1"/>
          <w:color w:val="auto"/>
        </w:rPr>
        <w:t xml:space="preserve">12.6 Counterparts. </w:t>
      </w:r>
      <w:r>
        <w:rPr>
          <w:rFonts w:ascii="Arial" w:cs="Arial" w:eastAsia="Arial" w:hAnsi="Arial"/>
          <w:sz w:val="14"/>
          <w:szCs w:val="14"/>
          <w:color w:val="auto"/>
        </w:rPr>
        <w:t>This Agreement may be executed in any number of counterparts and by different parties on separate counterparts, each of which, when</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and delivered, is an original, and all taken together, constitute one Agreement.</w:t>
      </w:r>
    </w:p>
    <w:p>
      <w:pPr>
        <w:spacing w:after="0" w:line="123" w:lineRule="exact"/>
        <w:rPr>
          <w:sz w:val="20"/>
          <w:szCs w:val="20"/>
          <w:color w:val="auto"/>
        </w:rPr>
      </w:pPr>
    </w:p>
    <w:p>
      <w:pPr>
        <w:jc w:val="both"/>
        <w:ind w:firstLine="513"/>
        <w:spacing w:after="0" w:line="266" w:lineRule="auto"/>
        <w:rPr>
          <w:sz w:val="20"/>
          <w:szCs w:val="20"/>
          <w:color w:val="auto"/>
        </w:rPr>
      </w:pPr>
      <w:r>
        <w:rPr>
          <w:rFonts w:ascii="Arial" w:cs="Arial" w:eastAsia="Arial" w:hAnsi="Arial"/>
          <w:sz w:val="14"/>
          <w:szCs w:val="14"/>
          <w:b w:val="1"/>
          <w:bCs w:val="1"/>
          <w:color w:val="auto"/>
        </w:rPr>
        <w:t xml:space="preserve">12.7 Survival. </w:t>
      </w:r>
      <w:r>
        <w:rPr>
          <w:rFonts w:ascii="Arial" w:cs="Arial" w:eastAsia="Arial" w:hAnsi="Arial"/>
          <w:sz w:val="14"/>
          <w:szCs w:val="14"/>
          <w:color w:val="auto"/>
        </w:rPr>
        <w:t>All covenants, representations and warranties made in this Agreement continue in full force and effect until this Agreement has terminated pursuant</w:t>
      </w:r>
      <w:r>
        <w:rPr>
          <w:rFonts w:ascii="Arial" w:cs="Arial" w:eastAsia="Arial" w:hAnsi="Arial"/>
          <w:sz w:val="14"/>
          <w:szCs w:val="14"/>
          <w:b w:val="1"/>
          <w:bCs w:val="1"/>
          <w:color w:val="auto"/>
        </w:rPr>
        <w:t xml:space="preserve"> </w:t>
      </w:r>
      <w:r>
        <w:rPr>
          <w:rFonts w:ascii="Arial" w:cs="Arial" w:eastAsia="Arial" w:hAnsi="Arial"/>
          <w:sz w:val="14"/>
          <w:szCs w:val="14"/>
          <w:color w:val="auto"/>
        </w:rPr>
        <w:t>to its terms and all Obligations (other than (a) inchoate indemnity obligations and (b) other obligations that survive termination of this Agreement, in each case, for which no claim has been made)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40" w:lineRule="exact"/>
        <w:rPr>
          <w:sz w:val="20"/>
          <w:szCs w:val="20"/>
          <w:color w:val="auto"/>
        </w:rPr>
      </w:pPr>
    </w:p>
    <w:p>
      <w:pPr>
        <w:jc w:val="both"/>
        <w:ind w:firstLine="513"/>
        <w:spacing w:after="0" w:line="278" w:lineRule="auto"/>
        <w:rPr>
          <w:sz w:val="20"/>
          <w:szCs w:val="20"/>
          <w:color w:val="auto"/>
        </w:rPr>
      </w:pPr>
      <w:r>
        <w:rPr>
          <w:rFonts w:ascii="Arial" w:cs="Arial" w:eastAsia="Arial" w:hAnsi="Arial"/>
          <w:sz w:val="13"/>
          <w:szCs w:val="13"/>
          <w:b w:val="1"/>
          <w:bCs w:val="1"/>
          <w:color w:val="auto"/>
        </w:rPr>
        <w:t xml:space="preserve">12.8 Confidentiality. </w:t>
      </w:r>
      <w:r>
        <w:rPr>
          <w:rFonts w:ascii="Arial" w:cs="Arial" w:eastAsia="Arial" w:hAnsi="Arial"/>
          <w:sz w:val="13"/>
          <w:szCs w:val="13"/>
          <w:color w:val="auto"/>
        </w:rPr>
        <w:t>In handling any confidential information of Borrower, each of the Lenders and Collateral Agent shall exercise the same degree of care that it</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(provided, however, the Lenders and Collateral Agent shall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auto"/>
        </w:rPr>
        <w:t>Section 12.8 supersede all prior agreements, understanding, representations, warranties, and negotiations between the parties about the subject matter of this Section 12.8.</w:t>
      </w:r>
    </w:p>
    <w:p>
      <w:pPr>
        <w:spacing w:after="0" w:line="188" w:lineRule="exact"/>
        <w:rPr>
          <w:sz w:val="20"/>
          <w:szCs w:val="20"/>
          <w:color w:val="auto"/>
        </w:rPr>
      </w:pPr>
    </w:p>
    <w:p>
      <w:pPr>
        <w:jc w:val="both"/>
        <w:ind w:firstLine="513"/>
        <w:spacing w:after="0" w:line="282" w:lineRule="auto"/>
        <w:rPr>
          <w:sz w:val="20"/>
          <w:szCs w:val="20"/>
          <w:color w:val="auto"/>
        </w:rPr>
      </w:pPr>
      <w:r>
        <w:rPr>
          <w:rFonts w:ascii="Arial" w:cs="Arial" w:eastAsia="Arial" w:hAnsi="Arial"/>
          <w:sz w:val="13"/>
          <w:szCs w:val="13"/>
          <w:b w:val="1"/>
          <w:bCs w:val="1"/>
          <w:color w:val="auto"/>
        </w:rPr>
        <w:t xml:space="preserve">12.9 Right of Set Off. </w:t>
      </w:r>
      <w:r>
        <w:rPr>
          <w:rFonts w:ascii="Arial" w:cs="Arial" w:eastAsia="Arial" w:hAnsi="Arial"/>
          <w:sz w:val="13"/>
          <w:szCs w:val="13"/>
          <w:color w:val="auto"/>
        </w:rPr>
        <w:t>Borrower hereby grants to Collateral Agent and to each Lender, a Lien, security interest and right of set off as security for all Obligations to</w:t>
      </w:r>
      <w:r>
        <w:rPr>
          <w:rFonts w:ascii="Arial" w:cs="Arial" w:eastAsia="Arial" w:hAnsi="Arial"/>
          <w:sz w:val="13"/>
          <w:szCs w:val="13"/>
          <w:b w:val="1"/>
          <w:bCs w:val="1"/>
          <w:color w:val="auto"/>
        </w:rPr>
        <w:t xml:space="preserve"> </w:t>
      </w:r>
      <w:r>
        <w:rPr>
          <w:rFonts w:ascii="Arial" w:cs="Arial" w:eastAsia="Arial" w:hAnsi="Arial"/>
          <w:sz w:val="13"/>
          <w:szCs w:val="13"/>
          <w:color w:val="auto"/>
        </w:rPr>
        <w:t>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 Collateral Agent Affiliate) or in transit to any of them. At any time after the occurrence and during the continuance of an Event of Default, without demand or notice, any Secured Party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32" w:lineRule="exact"/>
        <w:rPr>
          <w:sz w:val="20"/>
          <w:szCs w:val="20"/>
          <w:color w:val="auto"/>
        </w:rPr>
      </w:pPr>
    </w:p>
    <w:p>
      <w:pPr>
        <w:jc w:val="both"/>
        <w:ind w:firstLine="513"/>
        <w:spacing w:after="0" w:line="281" w:lineRule="auto"/>
        <w:rPr>
          <w:sz w:val="20"/>
          <w:szCs w:val="20"/>
          <w:color w:val="auto"/>
        </w:rPr>
      </w:pPr>
      <w:r>
        <w:rPr>
          <w:rFonts w:ascii="Arial" w:cs="Arial" w:eastAsia="Arial" w:hAnsi="Arial"/>
          <w:sz w:val="13"/>
          <w:szCs w:val="13"/>
          <w:b w:val="1"/>
          <w:bCs w:val="1"/>
          <w:color w:val="auto"/>
        </w:rPr>
        <w:t xml:space="preserve">12.10 Cooperation of Borrower. </w:t>
      </w:r>
      <w:r>
        <w:rPr>
          <w:rFonts w:ascii="Arial" w:cs="Arial" w:eastAsia="Arial" w:hAnsi="Arial"/>
          <w:sz w:val="13"/>
          <w:szCs w:val="13"/>
          <w:color w:val="auto"/>
        </w:rPr>
        <w:t>If necessary, Borrower agrees to (i) execute any documents reasonably required to effectuate and acknowledge each assignment of</w:t>
      </w:r>
      <w:r>
        <w:rPr>
          <w:rFonts w:ascii="Arial" w:cs="Arial" w:eastAsia="Arial" w:hAnsi="Arial"/>
          <w:sz w:val="13"/>
          <w:szCs w:val="13"/>
          <w:b w:val="1"/>
          <w:bCs w:val="1"/>
          <w:color w:val="auto"/>
        </w:rPr>
        <w:t xml:space="preserve"> </w:t>
      </w:r>
      <w:r>
        <w:rPr>
          <w:rFonts w:ascii="Arial" w:cs="Arial" w:eastAsia="Arial" w:hAnsi="Arial"/>
          <w:sz w:val="13"/>
          <w:szCs w:val="13"/>
          <w:color w:val="auto"/>
        </w:rPr>
        <w:t>a Term Loan Commitment (or portion thereof) or Term Loan (or portion thereof) to an assignee in accordance with Section 12.1, (ii) make Borrower’s management personnel available to meet with Collateral Agent and prospective 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Borrower for any prospective participant or assignee of a Term Loan Commitment (or portions thereof) or Term Loan (or portions thereof) as Collateral Agent or such Lender may reasonably may request. Subject to the provisions of Section 12.8, Borrower authorizes each Lender to disclose to any prospective participant or assignee of a Term Loan Commitment (or portions thereof),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 in each case subject to Section 12.8.</w:t>
      </w:r>
    </w:p>
    <w:p>
      <w:pPr>
        <w:spacing w:after="0" w:line="133"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3"/>
          <w:szCs w:val="13"/>
          <w:b w:val="1"/>
          <w:bCs w:val="1"/>
          <w:color w:val="auto"/>
        </w:rPr>
        <w:t xml:space="preserve">12.11 Public Announcement. </w:t>
      </w:r>
      <w:r>
        <w:rPr>
          <w:rFonts w:ascii="Arial" w:cs="Arial" w:eastAsia="Arial" w:hAnsi="Arial"/>
          <w:sz w:val="13"/>
          <w:szCs w:val="13"/>
          <w:color w:val="auto"/>
        </w:rPr>
        <w:t>Collateral Agent and each Lender may, with the consent of Borrower (which consent may not be unreasonably conditioned, withheld</w:t>
      </w:r>
      <w:r>
        <w:rPr>
          <w:rFonts w:ascii="Arial" w:cs="Arial" w:eastAsia="Arial" w:hAnsi="Arial"/>
          <w:sz w:val="13"/>
          <w:szCs w:val="13"/>
          <w:b w:val="1"/>
          <w:bCs w:val="1"/>
          <w:color w:val="auto"/>
        </w:rPr>
        <w:t xml:space="preserve"> </w:t>
      </w:r>
      <w:r>
        <w:rPr>
          <w:rFonts w:ascii="Arial" w:cs="Arial" w:eastAsia="Arial" w:hAnsi="Arial"/>
          <w:sz w:val="13"/>
          <w:szCs w:val="13"/>
          <w:color w:val="auto"/>
        </w:rPr>
        <w:t>or delayed), make a public announcement of the transactions contemplated by this Agreement, and may publicize the same in marketing materials, newspapers and other publications, and otherwise, and in connection therewith may use Borrower’s name, tradenames and logos. Notwithstanding the foregoing, such consent from Borrower shall not be required for any disclosures by Collateral Agent or the Lenders required by the Securities and Exchange Commission or other governmental agency and any other public disclosure with investors, other governmental agencies or other related persons, in each case, subject to applicable law and regulations.</w:t>
      </w:r>
    </w:p>
    <w:p>
      <w:pPr>
        <w:spacing w:after="0" w:line="128"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4"/>
          <w:szCs w:val="14"/>
          <w:b w:val="1"/>
          <w:bCs w:val="1"/>
          <w:color w:val="auto"/>
        </w:rPr>
        <w:t xml:space="preserve">12.12 Collateral Agent and Lender Agreement. </w:t>
      </w:r>
      <w:r>
        <w:rPr>
          <w:rFonts w:ascii="Arial" w:cs="Arial" w:eastAsia="Arial" w:hAnsi="Arial"/>
          <w:sz w:val="14"/>
          <w:szCs w:val="14"/>
          <w:color w:val="auto"/>
        </w:rPr>
        <w:t>Collateral Agent and each Lender hereby agree to the terms and conditions set forth on Exhibit B attached</w:t>
      </w:r>
      <w:r>
        <w:rPr>
          <w:rFonts w:ascii="Arial" w:cs="Arial" w:eastAsia="Arial" w:hAnsi="Arial"/>
          <w:sz w:val="14"/>
          <w:szCs w:val="14"/>
          <w:b w:val="1"/>
          <w:bCs w:val="1"/>
          <w:color w:val="auto"/>
        </w:rPr>
        <w:t xml:space="preserve"> </w:t>
      </w:r>
      <w:r>
        <w:rPr>
          <w:rFonts w:ascii="Arial" w:cs="Arial" w:eastAsia="Arial" w:hAnsi="Arial"/>
          <w:sz w:val="14"/>
          <w:szCs w:val="14"/>
          <w:color w:val="auto"/>
        </w:rPr>
        <w:t>hereto. Borrower acknowledges and agrees to the terms and conditions set forth on Exhibit B attached hereto.</w:t>
      </w:r>
    </w:p>
    <w:p>
      <w:pPr>
        <w:spacing w:after="0" w:line="12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12.13</w:t>
      </w:r>
      <w:r>
        <w:rPr>
          <w:sz w:val="20"/>
          <w:szCs w:val="20"/>
          <w:color w:val="auto"/>
        </w:rPr>
        <w:tab/>
      </w:r>
      <w:r>
        <w:rPr>
          <w:rFonts w:ascii="Arial" w:cs="Arial" w:eastAsia="Arial" w:hAnsi="Arial"/>
          <w:sz w:val="12"/>
          <w:szCs w:val="12"/>
          <w:b w:val="1"/>
          <w:bCs w:val="1"/>
          <w:color w:val="auto"/>
        </w:rPr>
        <w:t>Time of Essence</w:t>
      </w:r>
      <w:r>
        <w:rPr>
          <w:rFonts w:ascii="Arial" w:cs="Arial" w:eastAsia="Arial" w:hAnsi="Arial"/>
          <w:sz w:val="12"/>
          <w:szCs w:val="12"/>
          <w:color w:val="auto"/>
        </w:rPr>
        <w:t>. Time is of the essence for the performance of Obligations under this Agreement.</w:t>
      </w:r>
    </w:p>
    <w:p>
      <w:pPr>
        <w:spacing w:after="0" w:line="181" w:lineRule="exact"/>
        <w:rPr>
          <w:sz w:val="20"/>
          <w:szCs w:val="20"/>
          <w:color w:val="auto"/>
        </w:rPr>
      </w:pPr>
    </w:p>
    <w:p>
      <w:pPr>
        <w:jc w:val="both"/>
        <w:ind w:firstLine="513"/>
        <w:spacing w:after="0" w:line="261" w:lineRule="auto"/>
        <w:rPr>
          <w:sz w:val="20"/>
          <w:szCs w:val="20"/>
          <w:color w:val="auto"/>
        </w:rPr>
      </w:pPr>
      <w:r>
        <w:rPr>
          <w:rFonts w:ascii="Arial" w:cs="Arial" w:eastAsia="Arial" w:hAnsi="Arial"/>
          <w:sz w:val="14"/>
          <w:szCs w:val="14"/>
          <w:b w:val="1"/>
          <w:bCs w:val="1"/>
          <w:color w:val="auto"/>
        </w:rPr>
        <w:t>12.14 Termination Prior to Maturity Date; Survival</w:t>
      </w:r>
      <w:r>
        <w:rPr>
          <w:rFonts w:ascii="Arial" w:cs="Arial" w:eastAsia="Arial" w:hAnsi="Arial"/>
          <w:sz w:val="14"/>
          <w:szCs w:val="14"/>
          <w:color w:val="auto"/>
        </w:rPr>
        <w:t>. All covenants, representations and warranties made in this Agreement continue in full force until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has terminated pursuant to its terms and all Obligations have been satisfied (other than (a) inchoate indemnity obligations and (b) other obligations that survive termination of this Agreement, in each case, for which no claim has been made). So long as Borrower has satisfied the Obligations (other than (a) inchoate indemnity obligations and (b) other obligations that survive termination of this Agreement, in each case, for which no claim has been made) in accordance with the terms of this Agreement, this Agreement may be terminated prior to the Maturity Date by Borrower, effective three (3) Business Days after written notice of termination is given to the Collateral Agent and the Lenders.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Balance of Page Intentionally Left Blank</w:t>
      </w:r>
      <w:r>
        <w:rPr>
          <w:rFonts w:ascii="Arial" w:cs="Arial" w:eastAsia="Arial" w:hAnsi="Arial"/>
          <w:sz w:val="12"/>
          <w:szCs w:val="12"/>
          <w:b w:val="1"/>
          <w:bCs w:val="1"/>
          <w:color w:val="auto"/>
        </w:rPr>
        <w:t>]</w:t>
      </w:r>
    </w:p>
    <w:p>
      <w:pPr>
        <w:sectPr>
          <w:pgSz w:w="11900" w:h="16838" w:orient="portrait"/>
          <w:cols w:equalWidth="0" w:num="1">
            <w:col w:w="9019"/>
          </w:cols>
          <w:pgMar w:left="1440" w:top="2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81915</wp:posOffset>
            </wp:positionV>
            <wp:extent cx="642112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106" w:name="page107"/>
    <w:bookmarkEnd w:id="106"/>
    <w:p>
      <w:pPr>
        <w:ind w:left="5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caused this Agreement to be executed as of the Effective Date.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ARDELYX, INC.</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-100965</wp:posOffset>
            </wp:positionV>
            <wp:extent cx="256286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6286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-94615</wp:posOffset>
            </wp:positionV>
            <wp:extent cx="256286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COLLATERAL AGENT AND LENDER: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SOLAR CAPITAL LTD.</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-100965</wp:posOffset>
            </wp:positionV>
            <wp:extent cx="25628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6286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-94615</wp:posOffset>
            </wp:positionV>
            <wp:extent cx="256286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LENDER: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WESTERN ALLIANCE BANK</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-100965</wp:posOffset>
            </wp:positionV>
            <wp:extent cx="256286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6286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-94615</wp:posOffset>
            </wp:positionV>
            <wp:extent cx="25628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Signature Page to Loan and Security Agreement</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642112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b w:val="1"/>
          <w:bCs w:val="1"/>
          <w:color w:val="auto"/>
        </w:rPr>
        <w:t>SCHEDULE 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Lenders and Commitments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Lender</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Term Loan Commitment</w:t>
            </w:r>
          </w:p>
        </w:tc>
        <w:tc>
          <w:tcPr>
            <w:tcW w:w="336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1"/>
                <w:szCs w:val="11"/>
                <w:b w:val="1"/>
                <w:bCs w:val="1"/>
                <w:color w:val="auto"/>
              </w:rPr>
              <w:t>Commitment Percentage</w:t>
            </w:r>
          </w:p>
        </w:tc>
      </w:tr>
      <w:tr>
        <w:trPr>
          <w:trHeight w:val="162"/>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Solar Capital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$35,000,000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70.00%</w:t>
            </w:r>
          </w:p>
        </w:tc>
      </w:tr>
      <w:tr>
        <w:trPr>
          <w:trHeight w:val="162"/>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Western Alliance Bank</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$15,000,000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30.00%</w:t>
            </w:r>
          </w:p>
        </w:tc>
      </w:tr>
      <w:tr>
        <w:trPr>
          <w:trHeight w:val="162"/>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$50,000,000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100.00%</w:t>
            </w:r>
          </w:p>
        </w:tc>
      </w:tr>
      <w:tr>
        <w:trPr>
          <w:trHeight w:val="772"/>
        </w:trPr>
        <w:tc>
          <w:tcPr>
            <w:tcW w:w="3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4"/>
          <w:szCs w:val="14"/>
          <w:b w:val="1"/>
          <w:bCs w:val="1"/>
          <w:color w:val="auto"/>
        </w:rPr>
        <w:t>EXHIBIT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Description of Collateral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Collateral consists of all of Borrower’s and Guarantors’ right, title and interest in and to the following personal property:</w:t>
      </w:r>
    </w:p>
    <w:p>
      <w:pPr>
        <w:spacing w:after="0" w:line="181" w:lineRule="exact"/>
        <w:rPr>
          <w:sz w:val="20"/>
          <w:szCs w:val="20"/>
          <w:color w:val="auto"/>
        </w:rPr>
      </w:pPr>
    </w:p>
    <w:p>
      <w:pPr>
        <w:jc w:val="both"/>
        <w:ind w:firstLine="513"/>
        <w:spacing w:after="0" w:line="291" w:lineRule="auto"/>
        <w:rPr>
          <w:sz w:val="20"/>
          <w:szCs w:val="20"/>
          <w:color w:val="auto"/>
        </w:rPr>
      </w:pPr>
      <w:r>
        <w:rPr>
          <w:rFonts w:ascii="Arial" w:cs="Arial" w:eastAsia="Arial" w:hAnsi="Arial"/>
          <w:sz w:val="13"/>
          <w:szCs w:val="13"/>
          <w:color w:val="auto"/>
        </w:rPr>
        <w:t>All goods, Accounts (including health 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29" w:lineRule="exact"/>
        <w:rPr>
          <w:sz w:val="20"/>
          <w:szCs w:val="20"/>
          <w:color w:val="auto"/>
        </w:rPr>
      </w:pPr>
    </w:p>
    <w:p>
      <w:pPr>
        <w:jc w:val="both"/>
        <w:ind w:firstLine="513"/>
        <w:spacing w:after="0" w:line="284" w:lineRule="auto"/>
        <w:rPr>
          <w:sz w:val="20"/>
          <w:szCs w:val="20"/>
          <w:color w:val="auto"/>
        </w:rPr>
      </w:pPr>
      <w:r>
        <w:rPr>
          <w:rFonts w:ascii="Arial" w:cs="Arial" w:eastAsia="Arial" w:hAnsi="Arial"/>
          <w:sz w:val="14"/>
          <w:szCs w:val="14"/>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32" w:lineRule="exact"/>
        <w:rPr>
          <w:sz w:val="20"/>
          <w:szCs w:val="20"/>
          <w:color w:val="auto"/>
        </w:rPr>
      </w:pPr>
    </w:p>
    <w:p>
      <w:pPr>
        <w:jc w:val="both"/>
        <w:ind w:firstLine="513"/>
        <w:spacing w:after="0" w:line="278" w:lineRule="auto"/>
        <w:rPr>
          <w:sz w:val="20"/>
          <w:szCs w:val="20"/>
          <w:color w:val="auto"/>
        </w:rPr>
      </w:pPr>
      <w:r>
        <w:rPr>
          <w:rFonts w:ascii="Arial" w:cs="Arial" w:eastAsia="Arial" w:hAnsi="Arial"/>
          <w:sz w:val="13"/>
          <w:szCs w:val="13"/>
          <w:color w:val="auto"/>
        </w:rPr>
        <w:t>Notwithstanding the foregoing, the Collateral does not include (a) (1) more than 65% of the presently existing and hereafter arising issued and outstanding shares of capital stock owned by Borrower or any Guarantor of any Foreign Subsidiary or any Excluded Domestic Subsidiary which shares entitle the holder thereof to vote for directors or any other matter or (2) any of the stock or other equity interests in any Foreign Subsidiary that is not owned by Borrower or a Guarantor, (b) any interest of Borrower as a lessee or sublessee under a real property lease; (c) rights held under a license or other agreement that are not assignable by their terms without the consent of the counterparty thereof (but only to the extent such restriction on assignment is effective under Section 9-406, 9-407, 9-408 or 9-409 of the Code (or any successor provision or provisions) of any relevant jurisdiction or any other applicable law (including the Bankruptcy Code) or principles of equity); (d) any interest of Borrower or any Guarantor as a lessee or borrower under an Equipment lease or Equipment financing if Borrower or such Guarantor, as applicable, is prohibited by the terms of such agreement from granting a security interest in such lease or agreement or under which such an assignment or Lien would cause a default to occur under such lease; provided, however, that upon termination of such prohibition, such interest shall immediately become Collateral without any action by Borrower (or such Guarantor, as applicable), Collateral Agent or any Lender, or (e) any Intellectual Property; provided, however, the Collateral shall include, all Accounts with respect to Intellectual Property and all proceeds of Intellectual Property and any sale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642112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4"/>
          <w:szCs w:val="14"/>
          <w:b w:val="1"/>
          <w:bCs w:val="1"/>
          <w:color w:val="auto"/>
        </w:rPr>
        <w:t>EXHIBIT 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Collateral Agent and Lender Terms</w:t>
      </w:r>
    </w:p>
    <w:p>
      <w:pPr>
        <w:spacing w:after="0" w:line="181" w:lineRule="exact"/>
        <w:rPr>
          <w:sz w:val="20"/>
          <w:szCs w:val="20"/>
          <w:color w:val="auto"/>
        </w:rPr>
      </w:pPr>
    </w:p>
    <w:p>
      <w:pPr>
        <w:ind w:left="1040" w:hanging="528"/>
        <w:spacing w:after="0"/>
        <w:tabs>
          <w:tab w:leader="none" w:pos="1040"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Appointment of Collateral Agent.</w:t>
      </w:r>
    </w:p>
    <w:p>
      <w:pPr>
        <w:spacing w:after="0" w:line="184" w:lineRule="exact"/>
        <w:rPr>
          <w:rFonts w:ascii="Arial" w:cs="Arial" w:eastAsia="Arial" w:hAnsi="Arial"/>
          <w:sz w:val="14"/>
          <w:szCs w:val="14"/>
          <w:b w:val="1"/>
          <w:bCs w:val="1"/>
          <w:color w:val="auto"/>
        </w:rPr>
      </w:pPr>
    </w:p>
    <w:p>
      <w:pPr>
        <w:jc w:val="both"/>
        <w:ind w:firstLine="1024"/>
        <w:spacing w:after="0" w:line="264" w:lineRule="auto"/>
        <w:tabs>
          <w:tab w:leader="none" w:pos="1589" w:val="left"/>
        </w:tabs>
        <w:numPr>
          <w:ilvl w:val="1"/>
          <w:numId w:val="100"/>
        </w:numPr>
        <w:rPr>
          <w:rFonts w:ascii="Arial" w:cs="Arial" w:eastAsia="Arial" w:hAnsi="Arial"/>
          <w:sz w:val="14"/>
          <w:szCs w:val="14"/>
          <w:color w:val="auto"/>
        </w:rPr>
      </w:pPr>
      <w:r>
        <w:rPr>
          <w:rFonts w:ascii="Arial" w:cs="Arial" w:eastAsia="Arial" w:hAnsi="Arial"/>
          <w:sz w:val="14"/>
          <w:szCs w:val="14"/>
          <w:color w:val="auto"/>
        </w:rPr>
        <w:t>Each Lender hereby appoints Solar (together with any successor Collateral Agent pursuant to Section 7 of this Exhibit B) 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45" w:lineRule="exact"/>
        <w:rPr>
          <w:rFonts w:ascii="Arial" w:cs="Arial" w:eastAsia="Arial" w:hAnsi="Arial"/>
          <w:sz w:val="14"/>
          <w:szCs w:val="14"/>
          <w:color w:val="auto"/>
        </w:rPr>
      </w:pPr>
    </w:p>
    <w:p>
      <w:pPr>
        <w:jc w:val="both"/>
        <w:ind w:firstLine="1024"/>
        <w:spacing w:after="0" w:line="277" w:lineRule="auto"/>
        <w:tabs>
          <w:tab w:leader="none" w:pos="1645" w:val="left"/>
        </w:tabs>
        <w:numPr>
          <w:ilvl w:val="1"/>
          <w:numId w:val="100"/>
        </w:numPr>
        <w:rPr>
          <w:rFonts w:ascii="Arial" w:cs="Arial" w:eastAsia="Arial" w:hAnsi="Arial"/>
          <w:sz w:val="13"/>
          <w:szCs w:val="13"/>
          <w:color w:val="auto"/>
        </w:rPr>
      </w:pPr>
      <w:r>
        <w:rPr>
          <w:rFonts w:ascii="Arial" w:cs="Arial" w:eastAsia="Arial" w:hAnsi="Arial"/>
          <w:sz w:val="13"/>
          <w:szCs w:val="13"/>
          <w:color w:val="auto"/>
        </w:rPr>
        <w:t xml:space="preserve">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the Secured Parties for purposes of the perfection of all Liens created by the Loan Documents and all other purposes stated therein, (iv) manage, supervise and otherwise deal with the Collateral as permitted pursuant to the Loan Agreement,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or any Guarantor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Collateral Agent.</w:t>
      </w:r>
    </w:p>
    <w:p>
      <w:pPr>
        <w:spacing w:after="0" w:line="141" w:lineRule="exact"/>
        <w:rPr>
          <w:rFonts w:ascii="Arial" w:cs="Arial" w:eastAsia="Arial" w:hAnsi="Arial"/>
          <w:sz w:val="13"/>
          <w:szCs w:val="13"/>
          <w:color w:val="auto"/>
        </w:rPr>
      </w:pPr>
    </w:p>
    <w:p>
      <w:pPr>
        <w:jc w:val="both"/>
        <w:ind w:firstLine="1024"/>
        <w:spacing w:after="0" w:line="281" w:lineRule="auto"/>
        <w:tabs>
          <w:tab w:leader="none" w:pos="1618" w:val="left"/>
        </w:tabs>
        <w:numPr>
          <w:ilvl w:val="1"/>
          <w:numId w:val="100"/>
        </w:numPr>
        <w:rPr>
          <w:rFonts w:ascii="Arial" w:cs="Arial" w:eastAsia="Arial" w:hAnsi="Arial"/>
          <w:sz w:val="13"/>
          <w:szCs w:val="13"/>
          <w:color w:val="auto"/>
        </w:rPr>
      </w:pPr>
      <w:r>
        <w:rPr>
          <w:rFonts w:ascii="Arial" w:cs="Arial" w:eastAsia="Arial" w:hAnsi="Arial"/>
          <w:sz w:val="13"/>
          <w:szCs w:val="13"/>
          <w:color w:val="auto"/>
        </w:rPr>
        <w:t>Under the Loan Documents, and except as expressly set forth in this Exhibit B,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 (iii) above. Except as expressly set forth in the Loan Documents, Collateral Agent shall not have any duty to disclose, and shall not be liable for failure to disclose, any information relating to Borrower or any of its Subsidiaries that is communicated to or obtained by Solar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642112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10" w:name="page111"/>
    <w:bookmarkEnd w:id="110"/>
    <w:p>
      <w:pPr>
        <w:ind w:left="1040" w:hanging="528"/>
        <w:spacing w:after="0"/>
        <w:tabs>
          <w:tab w:leader="none" w:pos="104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Binding Effect; Use of Discretion; E-Systems.</w:t>
      </w:r>
    </w:p>
    <w:p>
      <w:pPr>
        <w:spacing w:after="0" w:line="184" w:lineRule="exact"/>
        <w:rPr>
          <w:rFonts w:ascii="Arial" w:cs="Arial" w:eastAsia="Arial" w:hAnsi="Arial"/>
          <w:sz w:val="14"/>
          <w:szCs w:val="14"/>
          <w:b w:val="1"/>
          <w:bCs w:val="1"/>
          <w:color w:val="auto"/>
        </w:rPr>
      </w:pPr>
    </w:p>
    <w:p>
      <w:pPr>
        <w:ind w:right="160" w:firstLine="1024"/>
        <w:spacing w:after="0" w:line="262" w:lineRule="auto"/>
        <w:tabs>
          <w:tab w:leader="none" w:pos="1539" w:val="left"/>
        </w:tabs>
        <w:numPr>
          <w:ilvl w:val="1"/>
          <w:numId w:val="101"/>
        </w:numPr>
        <w:rPr>
          <w:rFonts w:ascii="Arial" w:cs="Arial" w:eastAsia="Arial" w:hAnsi="Arial"/>
          <w:sz w:val="14"/>
          <w:szCs w:val="14"/>
          <w:color w:val="auto"/>
        </w:rPr>
      </w:pPr>
      <w:r>
        <w:rPr>
          <w:rFonts w:ascii="Arial" w:cs="Arial" w:eastAsia="Arial" w:hAnsi="Arial"/>
          <w:sz w:val="14"/>
          <w:szCs w:val="14"/>
          <w:color w:val="auto"/>
        </w:rPr>
        <w:t>Each Lender, by accepting the benefits of the Loan Documents, agrees that (i) any action taken by Collateral Agent or the Required Lenders (or, if expressly required in any Loan Document, a greater proportion of the Lenders) in accordance with the provisions of the Loan Documents, (ii) any action taken by Collateral Agent in reliance upon the instructions of the Required Lenders (or, where so required, such greater proportion) and (iii) the exercise by Collateral Agent or the Required Lenders (or, where so required, such greater proportion) of the powers set forth herein or therein, together with such other powers as are reasonably incidental thereto, shall be authorized and binding upon all of Lenders.</w:t>
      </w:r>
    </w:p>
    <w:p>
      <w:pPr>
        <w:spacing w:after="0" w:line="146" w:lineRule="exact"/>
        <w:rPr>
          <w:rFonts w:ascii="Arial" w:cs="Arial" w:eastAsia="Arial" w:hAnsi="Arial"/>
          <w:sz w:val="14"/>
          <w:szCs w:val="14"/>
          <w:color w:val="auto"/>
        </w:rPr>
      </w:pPr>
    </w:p>
    <w:p>
      <w:pPr>
        <w:jc w:val="both"/>
        <w:ind w:firstLine="1024"/>
        <w:spacing w:after="0" w:line="281" w:lineRule="auto"/>
        <w:tabs>
          <w:tab w:leader="none" w:pos="1582" w:val="left"/>
        </w:tabs>
        <w:numPr>
          <w:ilvl w:val="1"/>
          <w:numId w:val="101"/>
        </w:numPr>
        <w:rPr>
          <w:rFonts w:ascii="Arial" w:cs="Arial" w:eastAsia="Arial" w:hAnsi="Arial"/>
          <w:sz w:val="13"/>
          <w:szCs w:val="13"/>
          <w:color w:val="auto"/>
        </w:rPr>
      </w:pPr>
      <w:r>
        <w:rPr>
          <w:rFonts w:ascii="Arial" w:cs="Arial" w:eastAsia="Arial" w:hAnsi="Arial"/>
          <w:sz w:val="13"/>
          <w:szCs w:val="13"/>
          <w:color w:val="auto"/>
        </w:rPr>
        <w:t>If Collateral Agent shall request instructions from the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the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the Required Lenders or all affected Lenders, as applicable.</w:t>
      </w:r>
    </w:p>
    <w:p>
      <w:pPr>
        <w:spacing w:after="0" w:line="137" w:lineRule="exact"/>
        <w:rPr>
          <w:rFonts w:ascii="Arial" w:cs="Arial" w:eastAsia="Arial" w:hAnsi="Arial"/>
          <w:sz w:val="13"/>
          <w:szCs w:val="13"/>
          <w:color w:val="auto"/>
        </w:rPr>
      </w:pPr>
    </w:p>
    <w:p>
      <w:pPr>
        <w:jc w:val="both"/>
        <w:ind w:firstLine="1024"/>
        <w:spacing w:after="0" w:line="172" w:lineRule="exact"/>
        <w:tabs>
          <w:tab w:leader="none" w:pos="1639" w:val="left"/>
        </w:tabs>
        <w:numPr>
          <w:ilvl w:val="1"/>
          <w:numId w:val="101"/>
        </w:numPr>
        <w:rPr>
          <w:rFonts w:ascii="Arial" w:cs="Arial" w:eastAsia="Arial" w:hAnsi="Arial"/>
          <w:sz w:val="13"/>
          <w:szCs w:val="13"/>
          <w:color w:val="auto"/>
        </w:rPr>
      </w:pPr>
      <w:r>
        <w:rPr>
          <w:rFonts w:ascii="Arial" w:cs="Arial" w:eastAsia="Arial" w:hAnsi="Arial"/>
          <w:sz w:val="13"/>
          <w:szCs w:val="13"/>
          <w:color w:val="auto"/>
        </w:rPr>
        <w:t>Collateral Agent is hereby authorized by Borrower and each Lender to establish procedures (and to amend such procedures from time to time) to facilitate administration and servicing of the Term Loans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w:t>
      </w:r>
      <w:r>
        <w:rPr>
          <w:rFonts w:ascii="MS PGothic" w:cs="MS PGothic" w:eastAsia="MS PGothic" w:hAnsi="MS PGothic"/>
          <w:sz w:val="13"/>
          <w:szCs w:val="13"/>
          <w:color w:val="auto"/>
        </w:rPr>
        <w:t>‑</w:t>
      </w:r>
      <w:r>
        <w:rPr>
          <w:rFonts w:ascii="Arial" w:cs="Arial" w:eastAsia="Arial" w:hAnsi="Arial"/>
          <w:sz w:val="13"/>
          <w:szCs w:val="13"/>
          <w:color w:val="auto"/>
        </w:rPr>
        <w:t>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w:t>
      </w:r>
    </w:p>
    <w:p>
      <w:pPr>
        <w:spacing w:after="0" w:line="5" w:lineRule="exact"/>
        <w:rPr>
          <w:rFonts w:ascii="Arial" w:cs="Arial" w:eastAsia="Arial" w:hAnsi="Arial"/>
          <w:sz w:val="13"/>
          <w:szCs w:val="13"/>
          <w:color w:val="auto"/>
        </w:rPr>
      </w:pPr>
    </w:p>
    <w:p>
      <w:pPr>
        <w:spacing w:after="0" w:line="171" w:lineRule="exact"/>
        <w:rPr>
          <w:rFonts w:ascii="Arial" w:cs="Arial" w:eastAsia="Arial" w:hAnsi="Arial"/>
          <w:sz w:val="13"/>
          <w:szCs w:val="13"/>
          <w:color w:val="auto"/>
        </w:rPr>
      </w:pPr>
      <w:r>
        <w:rPr>
          <w:rFonts w:ascii="Arial" w:cs="Arial" w:eastAsia="Arial" w:hAnsi="Arial"/>
          <w:sz w:val="14"/>
          <w:szCs w:val="14"/>
          <w:color w:val="auto"/>
        </w:rPr>
        <w:t>SYSTEMS AND ELECTRONIC TRANSMISSIONS SHALL BE PROVIDED “AS IS” AND “AS AVAILABLE”. NO REPRESENTATION OR WARRANTY OF ANY KIND IS MADE BY AGENT, ANY LENDER OR ANY OF THEIR RELATED PERSONS IN CONNECTION WITH ANY E</w:t>
      </w:r>
      <w:r>
        <w:rPr>
          <w:rFonts w:ascii="MS PGothic" w:cs="MS PGothic" w:eastAsia="MS PGothic" w:hAnsi="MS PGothic"/>
          <w:sz w:val="14"/>
          <w:szCs w:val="14"/>
          <w:color w:val="auto"/>
        </w:rPr>
        <w:t>‑</w:t>
      </w:r>
      <w:r>
        <w:rPr>
          <w:rFonts w:ascii="Arial" w:cs="Arial" w:eastAsia="Arial" w:hAnsi="Arial"/>
          <w:sz w:val="14"/>
          <w:szCs w:val="14"/>
          <w:color w:val="auto"/>
        </w:rPr>
        <w:t>SYSTEMS.</w:t>
      </w:r>
    </w:p>
    <w:p>
      <w:pPr>
        <w:spacing w:after="0" w:line="157" w:lineRule="exact"/>
        <w:rPr>
          <w:rFonts w:ascii="Arial" w:cs="Arial" w:eastAsia="Arial" w:hAnsi="Arial"/>
          <w:sz w:val="13"/>
          <w:szCs w:val="13"/>
          <w:color w:val="auto"/>
        </w:rPr>
      </w:pPr>
    </w:p>
    <w:p>
      <w:pPr>
        <w:jc w:val="both"/>
        <w:ind w:firstLine="512"/>
        <w:spacing w:after="0" w:line="259" w:lineRule="auto"/>
        <w:tabs>
          <w:tab w:leader="none" w:pos="1046"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Collateral Agent’s Reliance, Etc. </w:t>
      </w:r>
      <w:r>
        <w:rPr>
          <w:rFonts w:ascii="Arial" w:cs="Arial" w:eastAsia="Arial" w:hAnsi="Arial"/>
          <w:sz w:val="14"/>
          <w:szCs w:val="14"/>
          <w:color w:val="auto"/>
        </w:rPr>
        <w:t>Collateral Agent may, without incurring any liability hereunder, (a) consult with any of its Related Persons and, whether or</w:t>
      </w:r>
      <w:r>
        <w:rPr>
          <w:rFonts w:ascii="Arial" w:cs="Arial" w:eastAsia="Arial" w:hAnsi="Arial"/>
          <w:sz w:val="14"/>
          <w:szCs w:val="14"/>
          <w:b w:val="1"/>
          <w:bCs w:val="1"/>
          <w:color w:val="auto"/>
        </w:rPr>
        <w:t xml:space="preserve"> </w:t>
      </w:r>
      <w:r>
        <w:rPr>
          <w:rFonts w:ascii="Arial" w:cs="Arial" w:eastAsia="Arial" w:hAnsi="Arial"/>
          <w:sz w:val="14"/>
          <w:szCs w:val="14"/>
          <w:color w:val="auto"/>
        </w:rPr>
        <w:t>not selected by it, any other advisors, accountants and other experts (including advisors to, and accountants and experts engaged by, Borrower) and (b) rely and act upon any document and information (including those transmitted by electronic transmission) and any telephone message or conversation, in each case believed by it in good faith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42112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11" w:name="page112"/>
    <w:bookmarkEnd w:id="111"/>
    <w:p>
      <w:pPr>
        <w:jc w:val="both"/>
        <w:spacing w:after="0" w:line="278" w:lineRule="auto"/>
        <w:rPr>
          <w:sz w:val="20"/>
          <w:szCs w:val="20"/>
          <w:color w:val="auto"/>
        </w:rPr>
      </w:pPr>
      <w:r>
        <w:rPr>
          <w:rFonts w:ascii="Arial" w:cs="Arial" w:eastAsia="Arial" w:hAnsi="Arial"/>
          <w:sz w:val="13"/>
          <w:szCs w:val="13"/>
          <w:color w:val="auto"/>
        </w:rPr>
        <w:t>instructions of the Required Lenders or for the actions or omissions of 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labeled “notice of default” (in which case Collateral Agent shall promptly give notice of such receipt to all Lenders.</w:t>
      </w:r>
    </w:p>
    <w:p>
      <w:pPr>
        <w:spacing w:after="0" w:line="139" w:lineRule="exact"/>
        <w:rPr>
          <w:sz w:val="20"/>
          <w:szCs w:val="20"/>
          <w:color w:val="auto"/>
        </w:rPr>
      </w:pPr>
    </w:p>
    <w:p>
      <w:pPr>
        <w:jc w:val="both"/>
        <w:ind w:firstLine="512"/>
        <w:spacing w:after="0" w:line="266" w:lineRule="auto"/>
        <w:tabs>
          <w:tab w:leader="none" w:pos="1101" w:val="left"/>
        </w:tabs>
        <w:numPr>
          <w:ilvl w:val="0"/>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Collateral Agent Individually. </w:t>
      </w:r>
      <w:r>
        <w:rPr>
          <w:rFonts w:ascii="Arial" w:cs="Arial" w:eastAsia="Arial" w:hAnsi="Arial"/>
          <w:sz w:val="14"/>
          <w:szCs w:val="14"/>
          <w:color w:val="auto"/>
        </w:rPr>
        <w:t>To the extent Collateral Agent or any of its Affiliates becomes a Lender hereunder, it shall have and may exercise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140" w:lineRule="exact"/>
        <w:rPr>
          <w:rFonts w:ascii="Arial" w:cs="Arial" w:eastAsia="Arial" w:hAnsi="Arial"/>
          <w:sz w:val="14"/>
          <w:szCs w:val="14"/>
          <w:b w:val="1"/>
          <w:bCs w:val="1"/>
          <w:color w:val="auto"/>
        </w:rPr>
      </w:pPr>
    </w:p>
    <w:p>
      <w:pPr>
        <w:jc w:val="both"/>
        <w:ind w:firstLine="512"/>
        <w:spacing w:after="0" w:line="277" w:lineRule="auto"/>
        <w:tabs>
          <w:tab w:leader="none" w:pos="1076"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Lender Credit Decision; Collateral Agent Report. </w:t>
      </w:r>
      <w:r>
        <w:rPr>
          <w:rFonts w:ascii="Arial" w:cs="Arial" w:eastAsia="Arial" w:hAnsi="Arial"/>
          <w:sz w:val="13"/>
          <w:szCs w:val="13"/>
          <w:color w:val="auto"/>
        </w:rPr>
        <w:t>Each Lender acknowledges that it shall, independently and without reliance upon Collateral Agent, any</w:t>
      </w:r>
      <w:r>
        <w:rPr>
          <w:rFonts w:ascii="Arial" w:cs="Arial" w:eastAsia="Arial" w:hAnsi="Arial"/>
          <w:sz w:val="13"/>
          <w:szCs w:val="13"/>
          <w:b w:val="1"/>
          <w:bCs w:val="1"/>
          <w:color w:val="auto"/>
        </w:rPr>
        <w:t xml:space="preserve"> </w:t>
      </w:r>
      <w:r>
        <w:rPr>
          <w:rFonts w:ascii="Arial" w:cs="Arial" w:eastAsia="Arial" w:hAnsi="Arial"/>
          <w:sz w:val="13"/>
          <w:szCs w:val="13"/>
          <w:color w:val="auto"/>
        </w:rPr>
        <w:t>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(an “</w:t>
      </w:r>
      <w:r>
        <w:rPr>
          <w:rFonts w:ascii="Arial" w:cs="Arial" w:eastAsia="Arial" w:hAnsi="Arial"/>
          <w:sz w:val="13"/>
          <w:szCs w:val="13"/>
          <w:b w:val="1"/>
          <w:bCs w:val="1"/>
          <w:color w:val="auto"/>
        </w:rPr>
        <w:t>Collateral Agent Report</w:t>
      </w:r>
      <w:r>
        <w:rPr>
          <w:rFonts w:ascii="Arial" w:cs="Arial" w:eastAsia="Arial" w:hAnsi="Arial"/>
          <w:sz w:val="13"/>
          <w:szCs w:val="13"/>
          <w:color w:val="auto"/>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 (iv) any work performed by Collateral Agent or Collateral Agent’s Related Persons in 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642112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12" w:name="page113"/>
    <w:bookmarkEnd w:id="112"/>
    <w:p>
      <w:pPr>
        <w:jc w:val="both"/>
        <w:spacing w:after="0" w:line="264" w:lineRule="auto"/>
        <w:rPr>
          <w:sz w:val="20"/>
          <w:szCs w:val="20"/>
          <w:color w:val="auto"/>
        </w:rPr>
      </w:pPr>
      <w:r>
        <w:rPr>
          <w:rFonts w:ascii="Arial" w:cs="Arial" w:eastAsia="Arial" w:hAnsi="Arial"/>
          <w:sz w:val="14"/>
          <w:szCs w:val="14"/>
          <w:color w:val="auto"/>
        </w:rPr>
        <w:t>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142" w:lineRule="exact"/>
        <w:rPr>
          <w:sz w:val="20"/>
          <w:szCs w:val="20"/>
          <w:color w:val="auto"/>
        </w:rPr>
      </w:pPr>
    </w:p>
    <w:p>
      <w:pPr>
        <w:jc w:val="both"/>
        <w:ind w:firstLine="512"/>
        <w:spacing w:after="0" w:line="277" w:lineRule="auto"/>
        <w:tabs>
          <w:tab w:leader="none" w:pos="1121"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Indemnification. </w:t>
      </w:r>
      <w:r>
        <w:rPr>
          <w:rFonts w:ascii="Arial" w:cs="Arial" w:eastAsia="Arial" w:hAnsi="Arial"/>
          <w:sz w:val="13"/>
          <w:szCs w:val="13"/>
          <w:color w:val="auto"/>
        </w:rPr>
        <w:t>Each Lender agrees to reimburse Collateral Agent and each of its Related Persons (to the extent not reimbursed by Borrower as required</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the Loan Documents (including pursuant to Section 12.2 of the Agreement))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(collectively, “</w:t>
      </w:r>
      <w:r>
        <w:rPr>
          <w:rFonts w:ascii="Arial" w:cs="Arial" w:eastAsia="Arial" w:hAnsi="Arial"/>
          <w:sz w:val="13"/>
          <w:szCs w:val="13"/>
          <w:b w:val="1"/>
          <w:bCs w:val="1"/>
          <w:color w:val="auto"/>
        </w:rPr>
        <w:t>Costs</w:t>
      </w:r>
      <w:r>
        <w:rPr>
          <w:rFonts w:ascii="Arial" w:cs="Arial" w:eastAsia="Arial" w:hAnsi="Arial"/>
          <w:sz w:val="13"/>
          <w:szCs w:val="13"/>
          <w:color w:val="auto"/>
        </w:rPr>
        <w:t xml:space="preserve">”); provided, that no Lender shall be liable for the payment to Collateral Agent of any Costs which resulted from the gross negligence or willful misconduct of Collateral Agent or, as the case may be, such Related Person, as determined by a final non-appealable judgment of a court of competent jurisdiction. Each Lender further agrees to indemnify Collateral Agent and each of its Related Persons (to the extent not reimbursed by Borrower as required under the Loan Documents (including pursuant to Section 12.2 of the Agreement)),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Lender shall be liable to Collateral Agent or any of its Related Persons under this Section 6 of this Exhibit B to the extent such liability has resulted from the gross negligence or willful misconduct of Collateral Agent or, as the case may be, such Related Person, as determined by a final non-appealable judgment of a court of competent jurisdiction.</w:t>
      </w:r>
    </w:p>
    <w:p>
      <w:pPr>
        <w:spacing w:after="0" w:line="141" w:lineRule="exact"/>
        <w:rPr>
          <w:rFonts w:ascii="Arial" w:cs="Arial" w:eastAsia="Arial" w:hAnsi="Arial"/>
          <w:sz w:val="13"/>
          <w:szCs w:val="13"/>
          <w:b w:val="1"/>
          <w:bCs w:val="1"/>
          <w:color w:val="auto"/>
        </w:rPr>
      </w:pPr>
    </w:p>
    <w:p>
      <w:pPr>
        <w:jc w:val="both"/>
        <w:ind w:firstLine="512"/>
        <w:spacing w:after="0" w:line="279" w:lineRule="auto"/>
        <w:tabs>
          <w:tab w:leader="none" w:pos="1083"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Successor Collateral Agent. </w:t>
      </w:r>
      <w:r>
        <w:rPr>
          <w:rFonts w:ascii="Arial" w:cs="Arial" w:eastAsia="Arial" w:hAnsi="Arial"/>
          <w:sz w:val="13"/>
          <w:szCs w:val="13"/>
          <w:color w:val="auto"/>
        </w:rPr>
        <w:t>Collateral Agent may resign at any time by delivering notice of such resignation to the Lenders and Borrower, effective on the</w:t>
      </w:r>
      <w:r>
        <w:rPr>
          <w:rFonts w:ascii="Arial" w:cs="Arial" w:eastAsia="Arial" w:hAnsi="Arial"/>
          <w:sz w:val="13"/>
          <w:szCs w:val="13"/>
          <w:b w:val="1"/>
          <w:bCs w:val="1"/>
          <w:color w:val="auto"/>
        </w:rPr>
        <w:t xml:space="preserve"> </w:t>
      </w:r>
      <w:r>
        <w:rPr>
          <w:rFonts w:ascii="Arial" w:cs="Arial" w:eastAsia="Arial" w:hAnsi="Arial"/>
          <w:sz w:val="13"/>
          <w:szCs w:val="13"/>
          <w:color w:val="auto"/>
        </w:rPr>
        <w:t>date set forth in such notice or, if no such date is set forth therein, upon the date such notice shall be effective, in accordance with the terms of this Section 7 of this Exhibit B. If Collateral Agent delivers any such notice, the Required Lenders shall have the right to appoint a successor Collateral Agent. If, after 30 days after the date of the retiring Collateral Agent’s notice of resignation, no successor Collateral Agent has been appointed by the Required Lenders and has accepted such appointment, then the retiring Collateral Agent may, on behalf of the Lenders, appoint a successor Collateral Agent from among the Original Lenders, if any, and if none, from among the Lenders. Effective immediately upon its resignation, (a) the 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(d) subject to its rights under Section 2(b) of this Exhibit B,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135" w:lineRule="exact"/>
        <w:rPr>
          <w:rFonts w:ascii="Arial" w:cs="Arial" w:eastAsia="Arial" w:hAnsi="Arial"/>
          <w:sz w:val="13"/>
          <w:szCs w:val="13"/>
          <w:b w:val="1"/>
          <w:bCs w:val="1"/>
          <w:color w:val="auto"/>
        </w:rPr>
      </w:pPr>
    </w:p>
    <w:p>
      <w:pPr>
        <w:ind w:firstLine="512"/>
        <w:spacing w:after="0" w:line="290" w:lineRule="auto"/>
        <w:tabs>
          <w:tab w:leader="none" w:pos="1046"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Release of Collateral. </w:t>
      </w:r>
      <w:r>
        <w:rPr>
          <w:rFonts w:ascii="Arial" w:cs="Arial" w:eastAsia="Arial" w:hAnsi="Arial"/>
          <w:sz w:val="14"/>
          <w:szCs w:val="14"/>
          <w:color w:val="auto"/>
        </w:rPr>
        <w:t>Each Lender hereby consents to the release and hereby directs Collateral Agent to release (or in the case of clause (b)(ii) below, release</w:t>
      </w:r>
      <w:r>
        <w:rPr>
          <w:rFonts w:ascii="Arial" w:cs="Arial" w:eastAsia="Arial" w:hAnsi="Arial"/>
          <w:sz w:val="14"/>
          <w:szCs w:val="14"/>
          <w:b w:val="1"/>
          <w:bCs w:val="1"/>
          <w:color w:val="auto"/>
        </w:rPr>
        <w:t xml:space="preserve"> </w:t>
      </w:r>
      <w:r>
        <w:rPr>
          <w:rFonts w:ascii="Arial" w:cs="Arial" w:eastAsia="Arial" w:hAnsi="Arial"/>
          <w:sz w:val="14"/>
          <w:szCs w:val="14"/>
          <w:color w:val="auto"/>
        </w:rPr>
        <w:t>or subordinate)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42112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13" w:name="page114"/>
    <w:bookmarkEnd w:id="113"/>
    <w:p>
      <w:pPr>
        <w:jc w:val="both"/>
        <w:ind w:left="-512" w:firstLine="1024"/>
        <w:spacing w:after="0" w:line="269" w:lineRule="auto"/>
        <w:tabs>
          <w:tab w:leader="none" w:pos="1115"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any Guarantor or co-Borrower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42" w:lineRule="exact"/>
        <w:rPr>
          <w:rFonts w:ascii="Arial" w:cs="Arial" w:eastAsia="Arial" w:hAnsi="Arial"/>
          <w:sz w:val="14"/>
          <w:szCs w:val="14"/>
          <w:color w:val="auto"/>
        </w:rPr>
      </w:pPr>
    </w:p>
    <w:p>
      <w:pPr>
        <w:jc w:val="both"/>
        <w:ind w:left="-512" w:firstLine="1024"/>
        <w:spacing w:after="0" w:line="259" w:lineRule="auto"/>
        <w:tabs>
          <w:tab w:leader="none" w:pos="105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any Lien held by Collateral Agent for the benefit of the Secured Parties against (i) any Collateral that is sold or otherwise disposed of by Borrower or any Guarantor in a transaction permitted by the Loan Documents (including pursuant to a valid waiver or consent), (ii) any Collateral subject to a Lien that is expressly permitted under clause (c) of the definition of the term “Permitted Lien” and (iii) all of the Collateral, Borrower and any Guarantor, upon (A) termination of all of the Term Loan Commitments, (B) the payment in full in cash of all of the Obligations (other than (a) inchoate indemnity obligations and (b) other obligations that survive termination of this Agreement, in each case, for which no claim has been made), and (C) to the extent requested by Collateral Agent or a Lender, receipt by Collateral Agent and Lenders of liability releases from Borrower in form and substance acceptable to Collateral Agent and the Lenders (the satisfaction of the conditions in this clause (iii), the “</w:t>
      </w:r>
      <w:r>
        <w:rPr>
          <w:rFonts w:ascii="Arial" w:cs="Arial" w:eastAsia="Arial" w:hAnsi="Arial"/>
          <w:sz w:val="14"/>
          <w:szCs w:val="14"/>
          <w:b w:val="1"/>
          <w:bCs w:val="1"/>
          <w:color w:val="auto"/>
        </w:rPr>
        <w:t>Termination</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left="-512" w:firstLine="512"/>
        <w:spacing w:after="0" w:line="278" w:lineRule="auto"/>
        <w:tabs>
          <w:tab w:leader="none" w:pos="575"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Setoff and Sharing of Payments. </w:t>
      </w:r>
      <w:r>
        <w:rPr>
          <w:rFonts w:ascii="Arial" w:cs="Arial" w:eastAsia="Arial" w:hAnsi="Arial"/>
          <w:sz w:val="13"/>
          <w:szCs w:val="13"/>
          <w:color w:val="auto"/>
        </w:rPr>
        <w:t>In addition to any rights now or hereafter granted under any applicable Requirement of Law and not by way of limitation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any such rights, upon the occurrence and during the continuance of any Event of Default and subject to Section 10(d) of this Exhibit B,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 bankers’ liens, counterclaims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38" w:lineRule="exact"/>
        <w:rPr>
          <w:rFonts w:ascii="Arial" w:cs="Arial" w:eastAsia="Arial" w:hAnsi="Arial"/>
          <w:sz w:val="13"/>
          <w:szCs w:val="13"/>
          <w:b w:val="1"/>
          <w:bCs w:val="1"/>
          <w:color w:val="auto"/>
        </w:rPr>
      </w:pPr>
    </w:p>
    <w:p>
      <w:pPr>
        <w:ind w:left="528" w:hanging="528"/>
        <w:spacing w:after="0"/>
        <w:tabs>
          <w:tab w:leader="none" w:pos="528"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Advances; Payments; Non-Funding Lenders; Actions in Concert</w:t>
      </w:r>
      <w:r>
        <w:rPr>
          <w:rFonts w:ascii="Arial" w:cs="Arial" w:eastAsia="Arial" w:hAnsi="Arial"/>
          <w:sz w:val="14"/>
          <w:szCs w:val="14"/>
          <w:color w:val="auto"/>
        </w:rPr>
        <w:t>.</w:t>
      </w:r>
    </w:p>
    <w:p>
      <w:pPr>
        <w:spacing w:after="0" w:line="184" w:lineRule="exact"/>
        <w:rPr>
          <w:rFonts w:ascii="Arial" w:cs="Arial" w:eastAsia="Arial" w:hAnsi="Arial"/>
          <w:sz w:val="14"/>
          <w:szCs w:val="14"/>
          <w:b w:val="1"/>
          <w:bCs w:val="1"/>
          <w:color w:val="auto"/>
        </w:rPr>
      </w:pPr>
    </w:p>
    <w:p>
      <w:pPr>
        <w:jc w:val="both"/>
        <w:ind w:left="-512" w:firstLine="1024"/>
        <w:spacing w:after="0" w:line="264" w:lineRule="auto"/>
        <w:tabs>
          <w:tab w:leader="none" w:pos="1038"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Advances; Payments</w:t>
      </w:r>
      <w:r>
        <w:rPr>
          <w:rFonts w:ascii="Arial" w:cs="Arial" w:eastAsia="Arial" w:hAnsi="Arial"/>
          <w:sz w:val="14"/>
          <w:szCs w:val="14"/>
          <w:color w:val="auto"/>
        </w:rPr>
        <w:t>. If Collateral Agent receives any payment with respect to the Term Loan for the account of the Lenders on or prior to 2:00 p.m. (New York time) on any Business Day, Collateral Agent shall pay to each applicable Lender such Lender’s Pro Rata Share of such payment on such Business Day. If Collateral Agent receives any payment with respect to the Term Loan for the account of Lenders after 2:00 p.m. (New York time) on any Business Day, Collateral Agent shall pay to each applicable Lender such Lender’s Pro Rata Share of such payment on the next Business Day.</w:t>
      </w:r>
    </w:p>
    <w:p>
      <w:pPr>
        <w:spacing w:after="0" w:line="145" w:lineRule="exact"/>
        <w:rPr>
          <w:rFonts w:ascii="Arial" w:cs="Arial" w:eastAsia="Arial" w:hAnsi="Arial"/>
          <w:sz w:val="14"/>
          <w:szCs w:val="14"/>
          <w:color w:val="auto"/>
        </w:rPr>
      </w:pPr>
    </w:p>
    <w:p>
      <w:pPr>
        <w:ind w:left="1028" w:hanging="516"/>
        <w:spacing w:after="0"/>
        <w:tabs>
          <w:tab w:leader="none" w:pos="1028"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Return of Payments</w:t>
      </w:r>
      <w:r>
        <w:rPr>
          <w:rFonts w:ascii="Arial" w:cs="Arial" w:eastAsia="Arial" w:hAnsi="Arial"/>
          <w:sz w:val="14"/>
          <w:szCs w:val="14"/>
          <w:color w:val="auto"/>
        </w:rPr>
        <w:t>.</w:t>
      </w:r>
    </w:p>
    <w:p>
      <w:pPr>
        <w:spacing w:after="0" w:line="180" w:lineRule="exact"/>
        <w:rPr>
          <w:rFonts w:ascii="Arial" w:cs="Arial" w:eastAsia="Arial" w:hAnsi="Arial"/>
          <w:sz w:val="14"/>
          <w:szCs w:val="14"/>
          <w:color w:val="auto"/>
        </w:rPr>
      </w:pPr>
    </w:p>
    <w:p>
      <w:pPr>
        <w:jc w:val="both"/>
        <w:ind w:left="-512" w:firstLine="1729"/>
        <w:spacing w:after="0" w:line="264" w:lineRule="auto"/>
        <w:tabs>
          <w:tab w:leader="none" w:pos="1587" w:val="left"/>
        </w:tabs>
        <w:numPr>
          <w:ilvl w:val="2"/>
          <w:numId w:val="105"/>
        </w:numPr>
        <w:rPr>
          <w:rFonts w:ascii="Arial" w:cs="Arial" w:eastAsia="Arial" w:hAnsi="Arial"/>
          <w:sz w:val="14"/>
          <w:szCs w:val="14"/>
          <w:color w:val="auto"/>
        </w:rPr>
      </w:pPr>
      <w:r>
        <w:rPr>
          <w:rFonts w:ascii="Arial" w:cs="Arial" w:eastAsia="Arial" w:hAnsi="Arial"/>
          <w:sz w:val="14"/>
          <w:szCs w:val="14"/>
          <w:color w:val="auto"/>
        </w:rPr>
        <w:t>If Collateral Agent pays an amount to a Lender under this Agreement in the belief or expectation that a related payment has been or will be received by Collateral Agent or on behalf of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370840</wp:posOffset>
            </wp:positionV>
            <wp:extent cx="642112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88"/>
          </w:cols>
          <w:pgMar w:left="1412" w:top="129" w:right="899" w:bottom="1440" w:gutter="0" w:footer="0" w:header="0"/>
        </w:sectPr>
      </w:pPr>
    </w:p>
    <w:bookmarkStart w:id="114" w:name="page115"/>
    <w:bookmarkEnd w:id="114"/>
    <w:p>
      <w:pPr>
        <w:jc w:val="both"/>
        <w:ind w:left="-540" w:firstLine="1729"/>
        <w:spacing w:after="0" w:line="260" w:lineRule="auto"/>
        <w:tabs>
          <w:tab w:leader="none" w:pos="1559" w:val="left"/>
        </w:tabs>
        <w:numPr>
          <w:ilvl w:val="1"/>
          <w:numId w:val="106"/>
        </w:numPr>
        <w:rPr>
          <w:rFonts w:ascii="Arial" w:cs="Arial" w:eastAsia="Arial" w:hAnsi="Arial"/>
          <w:sz w:val="14"/>
          <w:szCs w:val="14"/>
          <w:color w:val="auto"/>
        </w:rPr>
      </w:pPr>
      <w:r>
        <w:rPr>
          <w:rFonts w:ascii="Arial" w:cs="Arial" w:eastAsia="Arial" w:hAnsi="Arial"/>
          <w:sz w:val="14"/>
          <w:szCs w:val="14"/>
          <w:color w:val="auto"/>
        </w:rPr>
        <w:t>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49" w:lineRule="exact"/>
        <w:rPr>
          <w:rFonts w:ascii="Arial" w:cs="Arial" w:eastAsia="Arial" w:hAnsi="Arial"/>
          <w:sz w:val="14"/>
          <w:szCs w:val="14"/>
          <w:color w:val="auto"/>
        </w:rPr>
      </w:pPr>
    </w:p>
    <w:p>
      <w:pPr>
        <w:ind w:left="1000" w:hanging="516"/>
        <w:spacing w:after="0"/>
        <w:tabs>
          <w:tab w:leader="none" w:pos="1000"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Non-Funding Lenders</w:t>
      </w:r>
      <w:r>
        <w:rPr>
          <w:rFonts w:ascii="Arial" w:cs="Arial" w:eastAsia="Arial" w:hAnsi="Arial"/>
          <w:sz w:val="14"/>
          <w:szCs w:val="14"/>
          <w:color w:val="auto"/>
        </w:rPr>
        <w:t>.</w:t>
      </w:r>
    </w:p>
    <w:p>
      <w:pPr>
        <w:spacing w:after="0" w:line="180" w:lineRule="exact"/>
        <w:rPr>
          <w:rFonts w:ascii="Arial" w:cs="Arial" w:eastAsia="Arial" w:hAnsi="Arial"/>
          <w:sz w:val="14"/>
          <w:szCs w:val="14"/>
          <w:color w:val="auto"/>
        </w:rPr>
      </w:pPr>
    </w:p>
    <w:p>
      <w:pPr>
        <w:jc w:val="both"/>
        <w:ind w:left="-540" w:firstLine="1729"/>
        <w:spacing w:after="0" w:line="172" w:lineRule="exact"/>
        <w:tabs>
          <w:tab w:leader="none" w:pos="1557" w:val="left"/>
        </w:tabs>
        <w:numPr>
          <w:ilvl w:val="1"/>
          <w:numId w:val="107"/>
        </w:numPr>
        <w:rPr>
          <w:rFonts w:ascii="Arial" w:cs="Arial" w:eastAsia="Arial" w:hAnsi="Arial"/>
          <w:sz w:val="13"/>
          <w:szCs w:val="13"/>
          <w:color w:val="auto"/>
        </w:rPr>
      </w:pPr>
      <w:r>
        <w:rPr>
          <w:rFonts w:ascii="Arial" w:cs="Arial" w:eastAsia="Arial" w:hAnsi="Arial"/>
          <w:sz w:val="13"/>
          <w:szCs w:val="13"/>
          <w:color w:val="auto"/>
        </w:rPr>
        <w:t>To the extent that any Lender has failed to fund the Term Loan or any other payments required to be made by it under the Loan Documents after the Term Loan is required to be made or such payment is due (a “</w:t>
      </w:r>
      <w:r>
        <w:rPr>
          <w:rFonts w:ascii="Arial" w:cs="Arial" w:eastAsia="Arial" w:hAnsi="Arial"/>
          <w:sz w:val="13"/>
          <w:szCs w:val="13"/>
          <w:b w:val="1"/>
          <w:bCs w:val="1"/>
          <w:color w:val="auto"/>
        </w:rPr>
        <w:t>Non-Funding Lender</w:t>
      </w:r>
      <w:r>
        <w:rPr>
          <w:rFonts w:ascii="Arial" w:cs="Arial" w:eastAsia="Arial" w:hAnsi="Arial"/>
          <w:sz w:val="13"/>
          <w:szCs w:val="13"/>
          <w:color w:val="auto"/>
        </w:rPr>
        <w:t>”), Collateral Agent shall be entitled to set off the funding short-fall against that Non-Funding Lender’s Pro Rata Share of all payments received from or on behalf of Borrower thereunder. The failure of any Non</w:t>
      </w:r>
      <w:r>
        <w:rPr>
          <w:rFonts w:ascii="MS PGothic" w:cs="MS PGothic" w:eastAsia="MS PGothic" w:hAnsi="MS PGothic"/>
          <w:sz w:val="13"/>
          <w:szCs w:val="13"/>
          <w:color w:val="auto"/>
        </w:rPr>
        <w:t>‑</w:t>
      </w:r>
      <w:r>
        <w:rPr>
          <w:rFonts w:ascii="Arial" w:cs="Arial" w:eastAsia="Arial" w:hAnsi="Arial"/>
          <w:sz w:val="13"/>
          <w:szCs w:val="13"/>
          <w:color w:val="auto"/>
        </w:rPr>
        <w:t>Funding Lender to make the Term Loan or any payment required by it hereunder shall not relieve any other Lender (each such other Lender, an “</w:t>
      </w:r>
      <w:r>
        <w:rPr>
          <w:rFonts w:ascii="Arial" w:cs="Arial" w:eastAsia="Arial" w:hAnsi="Arial"/>
          <w:sz w:val="13"/>
          <w:szCs w:val="13"/>
          <w:b w:val="1"/>
          <w:bCs w:val="1"/>
          <w:color w:val="auto"/>
        </w:rPr>
        <w:t>Other Lender</w:t>
      </w:r>
      <w:r>
        <w:rPr>
          <w:rFonts w:ascii="Arial" w:cs="Arial" w:eastAsia="Arial" w:hAnsi="Arial"/>
          <w:sz w:val="13"/>
          <w:szCs w:val="13"/>
          <w:color w:val="auto"/>
        </w:rPr>
        <w:t>”)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Lenders”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pacing w:after="0" w:line="164" w:lineRule="exact"/>
        <w:rPr>
          <w:rFonts w:ascii="Arial" w:cs="Arial" w:eastAsia="Arial" w:hAnsi="Arial"/>
          <w:sz w:val="13"/>
          <w:szCs w:val="13"/>
          <w:color w:val="auto"/>
        </w:rPr>
      </w:pPr>
    </w:p>
    <w:p>
      <w:pPr>
        <w:jc w:val="both"/>
        <w:ind w:left="-540" w:firstLine="1024"/>
        <w:spacing w:after="0" w:line="277" w:lineRule="auto"/>
        <w:tabs>
          <w:tab w:leader="none" w:pos="105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Actions in Concert</w:t>
      </w:r>
      <w:r>
        <w:rPr>
          <w:rFonts w:ascii="Arial" w:cs="Arial" w:eastAsia="Arial" w:hAnsi="Arial"/>
          <w:sz w:val="13"/>
          <w:szCs w:val="13"/>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the Required Lenders, it being the intent of Lenders that any such action to protect or enforce rights under any Loan Document shall be taken in concert and at the direction or with the consent of the Required Lenders. Notwithstanding the immediately preceding sentence, if an Event of Default exists for longer than five (5) days and the Required Lenders cannot agree whether and/or what remedies to exercise, or whether or what actions, if any, to take under any Loan Document, the Lender (which must be an Original Lender or an Affiliate thereof) wishing to take the stronger Enforcement Action (the “</w:t>
      </w:r>
      <w:r>
        <w:rPr>
          <w:rFonts w:ascii="Arial" w:cs="Arial" w:eastAsia="Arial" w:hAnsi="Arial"/>
          <w:sz w:val="13"/>
          <w:szCs w:val="13"/>
          <w:b w:val="1"/>
          <w:bCs w:val="1"/>
          <w:color w:val="auto"/>
        </w:rPr>
        <w:t>Enforcing Lender</w:t>
      </w:r>
      <w:r>
        <w:rPr>
          <w:rFonts w:ascii="Arial" w:cs="Arial" w:eastAsia="Arial" w:hAnsi="Arial"/>
          <w:sz w:val="13"/>
          <w:szCs w:val="13"/>
          <w:color w:val="auto"/>
        </w:rPr>
        <w:t>”) shall have the right to give notice to the other Lenders and, eighty-five (85) days after receipt of such notice, shall be entitled to determine and shall control the timing, order and type of Enforcement Actions which will be taken and all other matters in connection with any such Enforcement Actions; provided, however, if during such eighty-five (85) day period, the Required Lenders and the Enforcing Lender agree on timing, order and type of Enforcement Action, the notice shall be deemed rescinded. To facilitate these rights to control Enforcement Actions, upon either Original Lender (or Affilate thereof) becoming the Enforcing Lender, if the Enforcing Lender is not already the Collateral Agent, then automatically and without the necessity of any further action being taken by any party, solely with respect to taking Enforcement Actions, (x) the original Collateral Agent shall be deemed to have resigned as Collateral Agent and (y) the Lenders shall be deemed to have unanimously appointed the Enforcing Lender as successor Collateral Agent under this Agreement and the other Loan Documents (and the Enforcing Lender shall be deemed to have accepted such appointment). As used herein, “</w:t>
      </w:r>
      <w:r>
        <w:rPr>
          <w:rFonts w:ascii="Arial" w:cs="Arial" w:eastAsia="Arial" w:hAnsi="Arial"/>
          <w:sz w:val="13"/>
          <w:szCs w:val="13"/>
          <w:b w:val="1"/>
          <w:bCs w:val="1"/>
          <w:color w:val="auto"/>
        </w:rPr>
        <w:t>Enforcement Action</w:t>
      </w:r>
      <w:r>
        <w:rPr>
          <w:rFonts w:ascii="Arial" w:cs="Arial" w:eastAsia="Arial" w:hAnsi="Arial"/>
          <w:sz w:val="13"/>
          <w:szCs w:val="13"/>
          <w:color w:val="auto"/>
        </w:rPr>
        <w:t>” means any action, whether judicial or nonjudicial, to repossess, collect, accelerate, offset, recoup, give notification to third parties with respect to, sell, dispose of, foreclose upon, give notice of sale, disposition, or foreclosure with respect to, or obtain equitable or injunctive relief with respect to the Collateral or the satisfaction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370205</wp:posOffset>
            </wp:positionV>
            <wp:extent cx="642112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60"/>
          </w:cols>
          <w:pgMar w:left="1440" w:top="129" w:right="899" w:bottom="1440" w:gutter="0" w:footer="0" w:header="0"/>
        </w:sectPr>
      </w:pPr>
    </w:p>
    <w:bookmarkStart w:id="115" w:name="page116"/>
    <w:bookmarkEnd w:id="115"/>
    <w:p>
      <w:pPr>
        <w:jc w:val="both"/>
        <w:ind w:left="-512" w:firstLine="512"/>
        <w:spacing w:after="0" w:line="276" w:lineRule="auto"/>
        <w:tabs>
          <w:tab w:leader="none" w:pos="557"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Priority of Encumbrances; Cash Collateral</w:t>
      </w:r>
      <w:r>
        <w:rPr>
          <w:rFonts w:ascii="Arial" w:cs="Arial" w:eastAsia="Arial" w:hAnsi="Arial"/>
          <w:sz w:val="13"/>
          <w:szCs w:val="13"/>
          <w:color w:val="auto"/>
        </w:rPr>
        <w:t>. The parties acknowledge that Borrower may in the future desire to pledge cash and/or securities in connection</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provision by Bridge Bank to Borrower of certain products and/or credit services facilities, including, without limitation, any letters of credit, cash management services (including, without limitation, merchant services, direct deposit of payroll, business credit cards, and check cashing services), interest rate swap arrangements, and foreign exchange services (such products and/or services, collectively, the “</w:t>
      </w:r>
      <w:r>
        <w:rPr>
          <w:rFonts w:ascii="Arial" w:cs="Arial" w:eastAsia="Arial" w:hAnsi="Arial"/>
          <w:sz w:val="13"/>
          <w:szCs w:val="13"/>
          <w:b w:val="1"/>
          <w:bCs w:val="1"/>
          <w:color w:val="auto"/>
        </w:rPr>
        <w:t>Bank Services</w:t>
      </w:r>
      <w:r>
        <w:rPr>
          <w:rFonts w:ascii="Arial" w:cs="Arial" w:eastAsia="Arial" w:hAnsi="Arial"/>
          <w:sz w:val="13"/>
          <w:szCs w:val="13"/>
          <w:color w:val="auto"/>
        </w:rPr>
        <w:t>”) as any such products or services may be identified in Bridge Bank’s various agreements related thereto. The parties agree that notwithstanding anything to the contrary contained in the Loan Documents, Borrower may pledge cash and/or Cash Equivalents in the aggregate principal amount of up to Five Hundred Thousand Dollars ($500,000) to Bridge Bank as collateral to secure its actual outstanding obligations to Bridge Bank relating to Bank Services (such cash and/or Cash Equivalents and the proceeds thereof (but expressly excluding any other Collateral) being hereinafter referred to as the “</w:t>
      </w:r>
      <w:r>
        <w:rPr>
          <w:rFonts w:ascii="Arial" w:cs="Arial" w:eastAsia="Arial" w:hAnsi="Arial"/>
          <w:sz w:val="13"/>
          <w:szCs w:val="13"/>
          <w:b w:val="1"/>
          <w:bCs w:val="1"/>
          <w:color w:val="auto"/>
        </w:rPr>
        <w:t>Cash</w:t>
      </w:r>
      <w:r>
        <w:rPr>
          <w:rFonts w:ascii="Arial" w:cs="Arial" w:eastAsia="Arial" w:hAnsi="Arial"/>
          <w:sz w:val="13"/>
          <w:szCs w:val="13"/>
          <w:color w:val="auto"/>
        </w:rPr>
        <w:t xml:space="preserve"> </w:t>
      </w:r>
      <w:r>
        <w:rPr>
          <w:rFonts w:ascii="Arial" w:cs="Arial" w:eastAsia="Arial" w:hAnsi="Arial"/>
          <w:sz w:val="13"/>
          <w:szCs w:val="13"/>
          <w:b w:val="1"/>
          <w:bCs w:val="1"/>
          <w:color w:val="auto"/>
        </w:rPr>
        <w:t>Collateral</w:t>
      </w:r>
      <w:r>
        <w:rPr>
          <w:rFonts w:ascii="Arial" w:cs="Arial" w:eastAsia="Arial" w:hAnsi="Arial"/>
          <w:sz w:val="13"/>
          <w:szCs w:val="13"/>
          <w:color w:val="auto"/>
        </w:rPr>
        <w:t>”). The parties further agree that notwithstanding anything to the contrary contained in this Agreement, Bridge Bank’s lien on the Cash Collateral shall be senior in</w:t>
      </w:r>
      <w:r>
        <w:rPr>
          <w:rFonts w:ascii="Arial" w:cs="Arial" w:eastAsia="Arial" w:hAnsi="Arial"/>
          <w:sz w:val="13"/>
          <w:szCs w:val="13"/>
          <w:b w:val="1"/>
          <w:bCs w:val="1"/>
          <w:color w:val="auto"/>
        </w:rPr>
        <w:t xml:space="preserve"> </w:t>
      </w:r>
      <w:r>
        <w:rPr>
          <w:rFonts w:ascii="Arial" w:cs="Arial" w:eastAsia="Arial" w:hAnsi="Arial"/>
          <w:sz w:val="13"/>
          <w:szCs w:val="13"/>
          <w:color w:val="auto"/>
        </w:rPr>
        <w:t>priority to the liens of the Collateral Agent and the Lenders under the Loan Documents to the extent of Borrower’s actual reimbursement obligations in respect of Bank Services up to Two Hundred Fifty Thousand Dollars ($500,000) (collectively, the “</w:t>
      </w:r>
      <w:r>
        <w:rPr>
          <w:rFonts w:ascii="Arial" w:cs="Arial" w:eastAsia="Arial" w:hAnsi="Arial"/>
          <w:sz w:val="13"/>
          <w:szCs w:val="13"/>
          <w:b w:val="1"/>
          <w:bCs w:val="1"/>
          <w:color w:val="auto"/>
        </w:rPr>
        <w:t>Reimbursement Obligations</w:t>
      </w:r>
      <w:r>
        <w:rPr>
          <w:rFonts w:ascii="Arial" w:cs="Arial" w:eastAsia="Arial" w:hAnsi="Arial"/>
          <w:sz w:val="13"/>
          <w:szCs w:val="13"/>
          <w:color w:val="auto"/>
        </w:rPr>
        <w:t>”), and Bridge Bank may take such action as Bridge Bank deems necessary in respect of the Cash Collateral only to enforce its rights and remedies to satisfy the Reimbursement Obligations, all without prior notice to or the consent of Collateral Agent or the other Lenders. Bridge Bank agrees to use its best efforts to give immediate notice to Collateral Agent of such action being taken, and Collateral Agent may not foreclose upon, or force Bridge Bank to take any actions with respect to, the Cash Collateral notwithstanding anything in the Loan Documents to the contrary. Bridge Bank may extend credit to Borrower in connection with the provision of Bank Services (not to exceed the aggregate amount of Two Hundred Fifty Thousand Dollars ($250,000), inclusive of the Reimbursement Obligations (collectively, the “</w:t>
      </w:r>
      <w:r>
        <w:rPr>
          <w:rFonts w:ascii="Arial" w:cs="Arial" w:eastAsia="Arial" w:hAnsi="Arial"/>
          <w:sz w:val="13"/>
          <w:szCs w:val="13"/>
          <w:b w:val="1"/>
          <w:bCs w:val="1"/>
          <w:color w:val="auto"/>
        </w:rPr>
        <w:t>Aggregate Bank Services Amount</w:t>
      </w:r>
      <w:r>
        <w:rPr>
          <w:rFonts w:ascii="Arial" w:cs="Arial" w:eastAsia="Arial" w:hAnsi="Arial"/>
          <w:sz w:val="13"/>
          <w:szCs w:val="13"/>
          <w:color w:val="auto"/>
        </w:rPr>
        <w:t>”)). Western Alliance Bank (on behalf of Bridge Bank) consents to Borrower’s grant to Collateral Agent and/or the Lenders of liens and security interests against the Cash Collateral (and agrees that Bridge Bank shall hold such Cash Collateral both to perfect Bridge Bank’s own security interests therein as provided for in this paragraph and also as bailee and agent for Collateral Agent and Lenders to perfect their security interests therein granted under the Loan Documents; however, Bridge Bank may release the Cash Collateral without the consent of Collateral Agent or the other Lenders), and the parties agree that (i) the Cash Collateral and proceeds thereof shall be distributed to Bridge Bank and the other Lenders, after satisfaction of the Reimbursement Obligations to Bridge Bank, in the manner and order set forth in this Agreement and the Loan Documents, as applicable, and (ii) to the extent that the Cash Collateral is insufficient to satisfy the Aggregate Bank Services Amount to Bridge Bank in full (a “</w:t>
      </w:r>
      <w:r>
        <w:rPr>
          <w:rFonts w:ascii="Arial" w:cs="Arial" w:eastAsia="Arial" w:hAnsi="Arial"/>
          <w:sz w:val="13"/>
          <w:szCs w:val="13"/>
          <w:b w:val="1"/>
          <w:bCs w:val="1"/>
          <w:color w:val="auto"/>
        </w:rPr>
        <w:t>Deficiency</w:t>
      </w:r>
      <w:r>
        <w:rPr>
          <w:rFonts w:ascii="Arial" w:cs="Arial" w:eastAsia="Arial" w:hAnsi="Arial"/>
          <w:sz w:val="13"/>
          <w:szCs w:val="13"/>
          <w:color w:val="auto"/>
        </w:rPr>
        <w:t>”), any such Deficiency cannot be repaid by Borrower (and Bridge Bank shall not accept or receive any payments as to such Deficiency), if at all, until all of the Borrower’s other indebtedness to Collateral Agent and the Lenders under the Loan Documents have first been fully repaid. In addition to and without limiting the foregoing, Bridge Bank will not, without the prior written consent of Collateral Agent, which may be granted or withheld in Collateral Agent’s sole discretion, declare an Event of Default, accelerate the Indebtedness or exercise any remedies under the Loan Documents based upon the occurrence of any arrearages, the existence of any Deficiency, or otherwise with respect to Bank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372110</wp:posOffset>
            </wp:positionV>
            <wp:extent cx="642112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88"/>
          </w:cols>
          <w:pgMar w:left="1412" w:top="125" w:right="89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520" w:type="dxa"/>
            <w:vAlign w:val="bottom"/>
            <w:gridSpan w:val="5"/>
          </w:tcPr>
          <w:p>
            <w:pPr>
              <w:jc w:val="center"/>
              <w:ind w:right="3420"/>
              <w:spacing w:after="0"/>
              <w:rPr>
                <w:sz w:val="20"/>
                <w:szCs w:val="20"/>
                <w:color w:val="auto"/>
              </w:rPr>
            </w:pPr>
            <w:r>
              <w:rPr>
                <w:rFonts w:ascii="Arial" w:cs="Arial" w:eastAsia="Arial" w:hAnsi="Arial"/>
                <w:sz w:val="14"/>
                <w:szCs w:val="14"/>
                <w:b w:val="1"/>
                <w:bCs w:val="1"/>
                <w:color w:val="auto"/>
              </w:rPr>
              <w:t>EXHIBIT C</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520" w:type="dxa"/>
            <w:vAlign w:val="bottom"/>
            <w:gridSpan w:val="5"/>
          </w:tcPr>
          <w:p>
            <w:pPr>
              <w:jc w:val="center"/>
              <w:ind w:right="3420"/>
              <w:spacing w:after="0"/>
              <w:rPr>
                <w:sz w:val="20"/>
                <w:szCs w:val="20"/>
                <w:color w:val="auto"/>
              </w:rPr>
            </w:pPr>
            <w:r>
              <w:rPr>
                <w:rFonts w:ascii="Arial" w:cs="Arial" w:eastAsia="Arial" w:hAnsi="Arial"/>
                <w:sz w:val="14"/>
                <w:szCs w:val="14"/>
                <w:b w:val="1"/>
                <w:bCs w:val="1"/>
                <w:color w:val="auto"/>
                <w:w w:val="91"/>
              </w:rPr>
              <w:t>Loan Payment Request Form</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0" w:type="dxa"/>
            <w:vAlign w:val="bottom"/>
            <w:gridSpan w:val="2"/>
          </w:tcPr>
          <w:p>
            <w:pPr>
              <w:spacing w:after="0"/>
              <w:rPr>
                <w:sz w:val="20"/>
                <w:szCs w:val="20"/>
                <w:color w:val="auto"/>
              </w:rPr>
            </w:pPr>
            <w:r>
              <w:rPr>
                <w:rFonts w:ascii="Arial" w:cs="Arial" w:eastAsia="Arial" w:hAnsi="Arial"/>
                <w:sz w:val="14"/>
                <w:szCs w:val="14"/>
                <w:color w:val="auto"/>
              </w:rPr>
              <w:t>Fax To: (212) 993-1698</w:t>
            </w:r>
          </w:p>
        </w:tc>
        <w:tc>
          <w:tcPr>
            <w:tcW w:w="9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40" w:type="dxa"/>
            <w:vAlign w:val="bottom"/>
            <w:gridSpan w:val="2"/>
          </w:tcPr>
          <w:p>
            <w:pPr>
              <w:ind w:left="110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
        </w:trPr>
        <w:tc>
          <w:tcPr>
            <w:tcW w:w="40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20" w:type="dxa"/>
            <w:vAlign w:val="bottom"/>
            <w:tcBorders>
              <w:top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0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LOAN PAYMENT:</w:t>
            </w:r>
          </w:p>
        </w:tc>
        <w:tc>
          <w:tcPr>
            <w:tcW w:w="2480" w:type="dxa"/>
            <w:vAlign w:val="bottom"/>
            <w:gridSpan w:val="2"/>
            <w:vMerge w:val="restart"/>
          </w:tcPr>
          <w:p>
            <w:pPr>
              <w:jc w:val="center"/>
              <w:ind w:right="309"/>
              <w:spacing w:after="0"/>
              <w:rPr>
                <w:sz w:val="20"/>
                <w:szCs w:val="20"/>
                <w:color w:val="auto"/>
              </w:rPr>
            </w:pPr>
            <w:r>
              <w:rPr>
                <w:rFonts w:ascii="Arial" w:cs="Arial" w:eastAsia="Arial" w:hAnsi="Arial"/>
                <w:sz w:val="14"/>
                <w:szCs w:val="14"/>
                <w:color w:val="auto"/>
                <w:w w:val="92"/>
              </w:rPr>
              <w:t>[___________________________]</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60" w:type="dxa"/>
            <w:vAlign w:val="bottom"/>
            <w:tcBorders>
              <w:lef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00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color w:val="auto"/>
              </w:rPr>
              <w:t>From Account #</w:t>
            </w:r>
          </w:p>
        </w:tc>
        <w:tc>
          <w:tcPr>
            <w:tcW w:w="960" w:type="dxa"/>
            <w:vAlign w:val="bottom"/>
          </w:tcPr>
          <w:p>
            <w:pPr>
              <w:spacing w:after="0"/>
              <w:rPr>
                <w:sz w:val="21"/>
                <w:szCs w:val="21"/>
                <w:color w:val="auto"/>
              </w:rPr>
            </w:pPr>
          </w:p>
        </w:tc>
        <w:tc>
          <w:tcPr>
            <w:tcW w:w="4560" w:type="dxa"/>
            <w:vAlign w:val="bottom"/>
            <w:gridSpan w:val="4"/>
          </w:tcPr>
          <w:p>
            <w:pPr>
              <w:ind w:left="240"/>
              <w:spacing w:after="0"/>
              <w:rPr>
                <w:sz w:val="20"/>
                <w:szCs w:val="20"/>
                <w:color w:val="auto"/>
              </w:rPr>
            </w:pPr>
            <w:r>
              <w:rPr>
                <w:rFonts w:ascii="Arial" w:cs="Arial" w:eastAsia="Arial" w:hAnsi="Arial"/>
                <w:sz w:val="14"/>
                <w:szCs w:val="14"/>
                <w:color w:val="auto"/>
              </w:rPr>
              <w:t>To Account #</w:t>
            </w:r>
          </w:p>
        </w:tc>
        <w:tc>
          <w:tcPr>
            <w:tcW w:w="18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tcBorders>
          </w:tcPr>
          <w:p>
            <w:pPr>
              <w:spacing w:after="0"/>
              <w:rPr>
                <w:sz w:val="13"/>
                <w:szCs w:val="13"/>
                <w:color w:val="auto"/>
              </w:rPr>
            </w:pPr>
          </w:p>
        </w:tc>
        <w:tc>
          <w:tcPr>
            <w:tcW w:w="2240" w:type="dxa"/>
            <w:vAlign w:val="bottom"/>
            <w:tcBorders>
              <w:top w:val="single" w:sz="8" w:color="auto"/>
            </w:tcBorders>
          </w:tcPr>
          <w:p>
            <w:pPr>
              <w:ind w:left="1020"/>
              <w:spacing w:after="0" w:line="151" w:lineRule="exact"/>
              <w:rPr>
                <w:sz w:val="20"/>
                <w:szCs w:val="20"/>
                <w:color w:val="auto"/>
              </w:rPr>
            </w:pPr>
            <w:r>
              <w:rPr>
                <w:rFonts w:ascii="Arial" w:cs="Arial" w:eastAsia="Arial" w:hAnsi="Arial"/>
                <w:sz w:val="14"/>
                <w:szCs w:val="14"/>
                <w:color w:val="auto"/>
                <w:w w:val="97"/>
              </w:rPr>
              <w:t>(Deposit Account #)</w:t>
            </w:r>
          </w:p>
        </w:tc>
        <w:tc>
          <w:tcPr>
            <w:tcW w:w="960" w:type="dxa"/>
            <w:vAlign w:val="bottom"/>
            <w:tcBorders>
              <w:top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2"/>
          </w:tcPr>
          <w:p>
            <w:pPr>
              <w:ind w:left="460"/>
              <w:spacing w:after="0" w:line="151" w:lineRule="exact"/>
              <w:rPr>
                <w:sz w:val="20"/>
                <w:szCs w:val="20"/>
                <w:color w:val="auto"/>
              </w:rPr>
            </w:pPr>
            <w:r>
              <w:rPr>
                <w:rFonts w:ascii="Arial" w:cs="Arial" w:eastAsia="Arial" w:hAnsi="Arial"/>
                <w:sz w:val="14"/>
                <w:szCs w:val="14"/>
                <w:color w:val="auto"/>
              </w:rPr>
              <w:t>(Loan Account #)</w:t>
            </w:r>
          </w:p>
        </w:tc>
        <w:tc>
          <w:tcPr>
            <w:tcW w:w="180" w:type="dxa"/>
            <w:vAlign w:val="bottom"/>
            <w:tcBorders>
              <w:top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7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Principal $</w:t>
            </w:r>
          </w:p>
        </w:tc>
        <w:tc>
          <w:tcPr>
            <w:tcW w:w="2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20" w:type="dxa"/>
            <w:vAlign w:val="bottom"/>
          </w:tcPr>
          <w:p>
            <w:pPr>
              <w:ind w:left="240"/>
              <w:spacing w:after="0"/>
              <w:rPr>
                <w:sz w:val="20"/>
                <w:szCs w:val="20"/>
                <w:color w:val="auto"/>
              </w:rPr>
            </w:pPr>
            <w:r>
              <w:rPr>
                <w:rFonts w:ascii="Arial" w:cs="Arial" w:eastAsia="Arial" w:hAnsi="Arial"/>
                <w:sz w:val="14"/>
                <w:szCs w:val="14"/>
                <w:color w:val="auto"/>
              </w:rPr>
              <w:t>and/or Interest $</w:t>
            </w:r>
          </w:p>
        </w:tc>
        <w:tc>
          <w:tcPr>
            <w:tcW w:w="3040" w:type="dxa"/>
            <w:vAlign w:val="bottom"/>
            <w:tcBorders>
              <w:bottom w:val="single" w:sz="8" w:color="auto"/>
            </w:tcBorders>
            <w:gridSpan w:val="3"/>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color w:val="auto"/>
              </w:rPr>
              <w:t>Authorized Signature:</w:t>
            </w:r>
          </w:p>
        </w:tc>
        <w:tc>
          <w:tcPr>
            <w:tcW w:w="960" w:type="dxa"/>
            <w:vAlign w:val="bottom"/>
          </w:tcPr>
          <w:p>
            <w:pPr>
              <w:spacing w:after="0"/>
              <w:rPr>
                <w:sz w:val="20"/>
                <w:szCs w:val="20"/>
                <w:color w:val="auto"/>
              </w:rPr>
            </w:pPr>
          </w:p>
        </w:tc>
        <w:tc>
          <w:tcPr>
            <w:tcW w:w="4560" w:type="dxa"/>
            <w:vAlign w:val="bottom"/>
            <w:gridSpan w:val="4"/>
          </w:tcPr>
          <w:p>
            <w:pPr>
              <w:ind w:left="420"/>
              <w:spacing w:after="0"/>
              <w:rPr>
                <w:sz w:val="20"/>
                <w:szCs w:val="20"/>
                <w:color w:val="auto"/>
              </w:rPr>
            </w:pPr>
            <w:r>
              <w:rPr>
                <w:rFonts w:ascii="Arial" w:cs="Arial" w:eastAsia="Arial" w:hAnsi="Arial"/>
                <w:sz w:val="14"/>
                <w:szCs w:val="14"/>
                <w:color w:val="auto"/>
              </w:rPr>
              <w:t>Phone Number:</w:t>
            </w:r>
          </w:p>
        </w:tc>
        <w:tc>
          <w:tcPr>
            <w:tcW w:w="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Print Name/Title:</w:t>
            </w:r>
          </w:p>
        </w:tc>
        <w:tc>
          <w:tcPr>
            <w:tcW w:w="2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760" w:type="dxa"/>
            <w:vAlign w:val="bottom"/>
            <w:tcBorders>
              <w:left w:val="single" w:sz="8" w:color="auto"/>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LOAN ADVANCE</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-99060</wp:posOffset>
            </wp:positionV>
            <wp:extent cx="6421120" cy="14712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21120" cy="1471295"/>
                    </a:xfrm>
                    <a:prstGeom prst="rect">
                      <a:avLst/>
                    </a:prstGeom>
                    <a:noFill/>
                  </pic:spPr>
                </pic:pic>
              </a:graphicData>
            </a:graphic>
          </wp:anchor>
        </w:drawing>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960" w:type="dxa"/>
            <w:vAlign w:val="bottom"/>
            <w:gridSpan w:val="2"/>
          </w:tcPr>
          <w:p>
            <w:pPr>
              <w:spacing w:after="0"/>
              <w:rPr>
                <w:sz w:val="20"/>
                <w:szCs w:val="20"/>
                <w:color w:val="auto"/>
              </w:rPr>
            </w:pPr>
            <w:r>
              <w:rPr>
                <w:rFonts w:ascii="Arial" w:cs="Arial" w:eastAsia="Arial" w:hAnsi="Arial"/>
                <w:sz w:val="14"/>
                <w:szCs w:val="14"/>
                <w:color w:val="auto"/>
              </w:rPr>
              <w:t>From Account #</w:t>
            </w:r>
          </w:p>
        </w:tc>
        <w:tc>
          <w:tcPr>
            <w:tcW w:w="4720" w:type="dxa"/>
            <w:vAlign w:val="bottom"/>
            <w:gridSpan w:val="2"/>
          </w:tcPr>
          <w:p>
            <w:pPr>
              <w:ind w:left="260"/>
              <w:spacing w:after="0"/>
              <w:rPr>
                <w:sz w:val="20"/>
                <w:szCs w:val="20"/>
                <w:color w:val="auto"/>
              </w:rPr>
            </w:pPr>
            <w:r>
              <w:rPr>
                <w:rFonts w:ascii="Arial" w:cs="Arial" w:eastAsia="Arial" w:hAnsi="Arial"/>
                <w:sz w:val="14"/>
                <w:szCs w:val="14"/>
                <w:color w:val="auto"/>
              </w:rPr>
              <w:t>To Account #</w:t>
            </w:r>
          </w:p>
        </w:tc>
      </w:tr>
      <w:tr>
        <w:trPr>
          <w:trHeight w:val="172"/>
        </w:trPr>
        <w:tc>
          <w:tcPr>
            <w:tcW w:w="1760" w:type="dxa"/>
            <w:vAlign w:val="bottom"/>
          </w:tcPr>
          <w:p>
            <w:pPr>
              <w:spacing w:after="0"/>
              <w:rPr>
                <w:sz w:val="14"/>
                <w:szCs w:val="14"/>
                <w:color w:val="auto"/>
              </w:rPr>
            </w:pPr>
          </w:p>
        </w:tc>
        <w:tc>
          <w:tcPr>
            <w:tcW w:w="3200" w:type="dxa"/>
            <w:vAlign w:val="bottom"/>
            <w:tcBorders>
              <w:top w:val="single" w:sz="8" w:color="auto"/>
            </w:tcBorders>
          </w:tcPr>
          <w:p>
            <w:pPr>
              <w:ind w:left="1080"/>
              <w:spacing w:after="0"/>
              <w:rPr>
                <w:sz w:val="20"/>
                <w:szCs w:val="20"/>
                <w:color w:val="auto"/>
              </w:rPr>
            </w:pPr>
            <w:r>
              <w:rPr>
                <w:rFonts w:ascii="Arial" w:cs="Arial" w:eastAsia="Arial" w:hAnsi="Arial"/>
                <w:sz w:val="14"/>
                <w:szCs w:val="14"/>
                <w:color w:val="auto"/>
              </w:rPr>
              <w:t>(Loan Account #)</w:t>
            </w:r>
          </w:p>
        </w:tc>
        <w:tc>
          <w:tcPr>
            <w:tcW w:w="1520" w:type="dxa"/>
            <w:vAlign w:val="bottom"/>
          </w:tcPr>
          <w:p>
            <w:pPr>
              <w:spacing w:after="0"/>
              <w:rPr>
                <w:sz w:val="14"/>
                <w:szCs w:val="14"/>
                <w:color w:val="auto"/>
              </w:rPr>
            </w:pPr>
          </w:p>
        </w:tc>
        <w:tc>
          <w:tcPr>
            <w:tcW w:w="3200" w:type="dxa"/>
            <w:vAlign w:val="bottom"/>
            <w:tcBorders>
              <w:top w:val="single" w:sz="8" w:color="auto"/>
            </w:tcBorders>
          </w:tcPr>
          <w:p>
            <w:pPr>
              <w:ind w:left="580"/>
              <w:spacing w:after="0"/>
              <w:rPr>
                <w:sz w:val="20"/>
                <w:szCs w:val="20"/>
                <w:color w:val="auto"/>
              </w:rPr>
            </w:pPr>
            <w:r>
              <w:rPr>
                <w:rFonts w:ascii="Arial" w:cs="Arial" w:eastAsia="Arial" w:hAnsi="Arial"/>
                <w:sz w:val="14"/>
                <w:szCs w:val="14"/>
                <w:color w:val="auto"/>
              </w:rPr>
              <w:t>(Deposit Account #)</w:t>
            </w:r>
          </w:p>
        </w:tc>
      </w:tr>
      <w:tr>
        <w:trPr>
          <w:trHeight w:val="235"/>
        </w:trPr>
        <w:tc>
          <w:tcPr>
            <w:tcW w:w="1760" w:type="dxa"/>
            <w:vAlign w:val="bottom"/>
          </w:tcPr>
          <w:p>
            <w:pPr>
              <w:spacing w:after="0"/>
              <w:rPr>
                <w:sz w:val="20"/>
                <w:szCs w:val="20"/>
                <w:color w:val="auto"/>
              </w:rPr>
            </w:pPr>
            <w:r>
              <w:rPr>
                <w:rFonts w:ascii="Arial" w:cs="Arial" w:eastAsia="Arial" w:hAnsi="Arial"/>
                <w:sz w:val="14"/>
                <w:szCs w:val="14"/>
                <w:color w:val="auto"/>
              </w:rPr>
              <w:t>Amount of Advance $</w:t>
            </w:r>
          </w:p>
        </w:tc>
        <w:tc>
          <w:tcPr>
            <w:tcW w:w="3200" w:type="dxa"/>
            <w:vAlign w:val="bottom"/>
            <w:tcBorders>
              <w:bottom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53" w:lineRule="exact"/>
        <w:rPr>
          <w:sz w:val="20"/>
          <w:szCs w:val="20"/>
          <w:color w:val="auto"/>
        </w:rPr>
      </w:pPr>
    </w:p>
    <w:p>
      <w:pPr>
        <w:ind w:left="20" w:right="100"/>
        <w:spacing w:after="0" w:line="264" w:lineRule="auto"/>
        <w:rPr>
          <w:sz w:val="20"/>
          <w:szCs w:val="20"/>
          <w:color w:val="auto"/>
        </w:rPr>
      </w:pPr>
      <w:r>
        <w:rPr>
          <w:rFonts w:ascii="Arial" w:cs="Arial" w:eastAsia="Arial" w:hAnsi="Arial"/>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gridSpan w:val="5"/>
          </w:tcPr>
          <w:p>
            <w:pPr>
              <w:ind w:left="20"/>
              <w:spacing w:after="0"/>
              <w:rPr>
                <w:sz w:val="20"/>
                <w:szCs w:val="20"/>
                <w:color w:val="auto"/>
              </w:rPr>
            </w:pPr>
            <w:r>
              <w:rPr>
                <w:rFonts w:ascii="Arial" w:cs="Arial" w:eastAsia="Arial" w:hAnsi="Arial"/>
                <w:sz w:val="14"/>
                <w:szCs w:val="14"/>
                <w:color w:val="auto"/>
              </w:rPr>
              <w:t>Authorized Signature:</w:t>
            </w:r>
          </w:p>
        </w:tc>
        <w:tc>
          <w:tcPr>
            <w:tcW w:w="4920" w:type="dxa"/>
            <w:vAlign w:val="bottom"/>
            <w:gridSpan w:val="5"/>
          </w:tcPr>
          <w:p>
            <w:pPr>
              <w:jc w:val="center"/>
              <w:ind w:right="3580"/>
              <w:spacing w:after="0"/>
              <w:rPr>
                <w:sz w:val="20"/>
                <w:szCs w:val="20"/>
                <w:color w:val="auto"/>
              </w:rPr>
            </w:pPr>
            <w:r>
              <w:rPr>
                <w:rFonts w:ascii="Arial" w:cs="Arial" w:eastAsia="Arial" w:hAnsi="Arial"/>
                <w:sz w:val="14"/>
                <w:szCs w:val="14"/>
                <w:color w:val="auto"/>
                <w:w w:val="91"/>
              </w:rPr>
              <w:t>Phone Number:</w:t>
            </w:r>
          </w:p>
        </w:tc>
      </w:tr>
      <w:tr>
        <w:trPr>
          <w:trHeight w:val="162"/>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Print Name/Title:</w:t>
            </w:r>
          </w:p>
        </w:tc>
        <w:tc>
          <w:tcPr>
            <w:tcW w:w="31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47"/>
        </w:trPr>
        <w:tc>
          <w:tcPr>
            <w:tcW w:w="5180" w:type="dxa"/>
            <w:vAlign w:val="bottom"/>
            <w:tcBorders>
              <w:bottom w:val="single" w:sz="8" w:color="auto"/>
            </w:tcBorders>
            <w:gridSpan w:val="5"/>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147"/>
        </w:trPr>
        <w:tc>
          <w:tcPr>
            <w:tcW w:w="5180" w:type="dxa"/>
            <w:vAlign w:val="bottom"/>
            <w:gridSpan w:val="5"/>
          </w:tcPr>
          <w:p>
            <w:pPr>
              <w:ind w:left="20"/>
              <w:spacing w:after="0" w:line="147" w:lineRule="exact"/>
              <w:rPr>
                <w:sz w:val="20"/>
                <w:szCs w:val="20"/>
                <w:color w:val="auto"/>
              </w:rPr>
            </w:pPr>
            <w:r>
              <w:rPr>
                <w:rFonts w:ascii="Arial" w:cs="Arial" w:eastAsia="Arial" w:hAnsi="Arial"/>
                <w:sz w:val="14"/>
                <w:szCs w:val="14"/>
                <w:b w:val="1"/>
                <w:bCs w:val="1"/>
                <w:color w:val="auto"/>
              </w:rPr>
              <w:t>OUTGOING WIRE REQUEST:</w:t>
            </w: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85"/>
        </w:trPr>
        <w:tc>
          <w:tcPr>
            <w:tcW w:w="518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Complete only if all or a portion of funds from the loan advance above is to be wired.</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91"/>
        </w:trPr>
        <w:tc>
          <w:tcPr>
            <w:tcW w:w="5180" w:type="dxa"/>
            <w:vAlign w:val="bottom"/>
            <w:gridSpan w:val="5"/>
          </w:tcPr>
          <w:p>
            <w:pPr>
              <w:ind w:left="20"/>
              <w:spacing w:after="0"/>
              <w:rPr>
                <w:sz w:val="20"/>
                <w:szCs w:val="20"/>
                <w:color w:val="auto"/>
              </w:rPr>
            </w:pPr>
            <w:r>
              <w:rPr>
                <w:rFonts w:ascii="Arial" w:cs="Arial" w:eastAsia="Arial" w:hAnsi="Arial"/>
                <w:sz w:val="14"/>
                <w:szCs w:val="14"/>
                <w:color w:val="auto"/>
              </w:rPr>
              <w:t>Beneficiary Name:</w:t>
            </w:r>
          </w:p>
        </w:tc>
        <w:tc>
          <w:tcPr>
            <w:tcW w:w="4920" w:type="dxa"/>
            <w:vAlign w:val="bottom"/>
            <w:gridSpan w:val="5"/>
          </w:tcPr>
          <w:p>
            <w:pPr>
              <w:jc w:val="center"/>
              <w:ind w:right="3560"/>
              <w:spacing w:after="0"/>
              <w:rPr>
                <w:sz w:val="20"/>
                <w:szCs w:val="20"/>
                <w:color w:val="auto"/>
              </w:rPr>
            </w:pPr>
            <w:r>
              <w:rPr>
                <w:rFonts w:ascii="Arial" w:cs="Arial" w:eastAsia="Arial" w:hAnsi="Arial"/>
                <w:sz w:val="14"/>
                <w:szCs w:val="14"/>
                <w:color w:val="auto"/>
                <w:w w:val="96"/>
              </w:rPr>
              <w:t>Amount of Wire: $</w:t>
            </w: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Beneficiary Bank:</w:t>
            </w:r>
          </w:p>
        </w:tc>
        <w:tc>
          <w:tcPr>
            <w:tcW w:w="3200" w:type="dxa"/>
            <w:vAlign w:val="bottom"/>
            <w:tcBorders>
              <w:top w:val="single" w:sz="8" w:color="auto"/>
              <w:bottom w:val="single" w:sz="8" w:color="auto"/>
            </w:tcBorders>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Account Number:</w:t>
            </w:r>
          </w:p>
        </w:tc>
        <w:tc>
          <w:tcPr>
            <w:tcW w:w="2940" w:type="dxa"/>
            <w:vAlign w:val="bottom"/>
            <w:tcBorders>
              <w:top w:val="single" w:sz="8" w:color="auto"/>
              <w:bottom w:val="single" w:sz="8" w:color="auto"/>
            </w:tcBorders>
            <w:gridSpan w:val="2"/>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City and State:</w:t>
            </w:r>
          </w:p>
        </w:tc>
        <w:tc>
          <w:tcPr>
            <w:tcW w:w="3200" w:type="dxa"/>
            <w:vAlign w:val="bottom"/>
            <w:tcBorders>
              <w:bottom w:val="single" w:sz="8" w:color="auto"/>
            </w:tcBorders>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26"/>
        </w:trPr>
        <w:tc>
          <w:tcPr>
            <w:tcW w:w="5180" w:type="dxa"/>
            <w:vAlign w:val="bottom"/>
            <w:gridSpan w:val="5"/>
          </w:tcPr>
          <w:p>
            <w:pPr>
              <w:ind w:left="20"/>
              <w:spacing w:after="0"/>
              <w:rPr>
                <w:sz w:val="20"/>
                <w:szCs w:val="20"/>
                <w:color w:val="auto"/>
              </w:rPr>
            </w:pPr>
            <w:r>
              <w:rPr>
                <w:rFonts w:ascii="Arial" w:cs="Arial" w:eastAsia="Arial" w:hAnsi="Arial"/>
                <w:sz w:val="14"/>
                <w:szCs w:val="14"/>
                <w:color w:val="auto"/>
              </w:rPr>
              <w:t>Beneficiary Bank Transit</w:t>
            </w:r>
          </w:p>
        </w:tc>
        <w:tc>
          <w:tcPr>
            <w:tcW w:w="4920" w:type="dxa"/>
            <w:vAlign w:val="bottom"/>
            <w:gridSpan w:val="5"/>
          </w:tcPr>
          <w:p>
            <w:pPr>
              <w:jc w:val="center"/>
              <w:ind w:right="3580"/>
              <w:spacing w:after="0"/>
              <w:rPr>
                <w:sz w:val="20"/>
                <w:szCs w:val="20"/>
                <w:color w:val="auto"/>
              </w:rPr>
            </w:pPr>
            <w:r>
              <w:rPr>
                <w:rFonts w:ascii="Arial" w:cs="Arial" w:eastAsia="Arial" w:hAnsi="Arial"/>
                <w:sz w:val="14"/>
                <w:szCs w:val="14"/>
                <w:color w:val="auto"/>
                <w:w w:val="94"/>
              </w:rPr>
              <w:t>Beneficiary Bank Code</w:t>
            </w:r>
          </w:p>
        </w:tc>
      </w:tr>
      <w:tr>
        <w:trPr>
          <w:trHeight w:val="181"/>
        </w:trPr>
        <w:tc>
          <w:tcPr>
            <w:tcW w:w="5180" w:type="dxa"/>
            <w:vAlign w:val="bottom"/>
            <w:gridSpan w:val="5"/>
          </w:tcPr>
          <w:p>
            <w:pPr>
              <w:ind w:left="120"/>
              <w:spacing w:after="0"/>
              <w:rPr>
                <w:sz w:val="20"/>
                <w:szCs w:val="20"/>
                <w:color w:val="auto"/>
              </w:rPr>
            </w:pPr>
            <w:r>
              <w:rPr>
                <w:rFonts w:ascii="Arial" w:cs="Arial" w:eastAsia="Arial" w:hAnsi="Arial"/>
                <w:sz w:val="14"/>
                <w:szCs w:val="14"/>
                <w:color w:val="auto"/>
              </w:rPr>
              <w:t>(ABA) #:</w:t>
            </w:r>
          </w:p>
        </w:tc>
        <w:tc>
          <w:tcPr>
            <w:tcW w:w="4920" w:type="dxa"/>
            <w:vAlign w:val="bottom"/>
            <w:gridSpan w:val="5"/>
          </w:tcPr>
          <w:p>
            <w:pPr>
              <w:jc w:val="center"/>
              <w:ind w:right="3540"/>
              <w:spacing w:after="0"/>
              <w:rPr>
                <w:sz w:val="20"/>
                <w:szCs w:val="20"/>
                <w:color w:val="auto"/>
              </w:rPr>
            </w:pPr>
            <w:r>
              <w:rPr>
                <w:rFonts w:ascii="Arial" w:cs="Arial" w:eastAsia="Arial" w:hAnsi="Arial"/>
                <w:sz w:val="14"/>
                <w:szCs w:val="14"/>
                <w:color w:val="auto"/>
                <w:w w:val="95"/>
              </w:rPr>
              <w:t>(Swift, Sort, Chip, etc.):</w:t>
            </w:r>
          </w:p>
        </w:tc>
      </w:tr>
      <w:tr>
        <w:trPr>
          <w:trHeight w:val="152"/>
        </w:trPr>
        <w:tc>
          <w:tcPr>
            <w:tcW w:w="17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ind w:left="500"/>
              <w:spacing w:after="0" w:line="151" w:lineRule="exact"/>
              <w:rPr>
                <w:sz w:val="20"/>
                <w:szCs w:val="20"/>
                <w:color w:val="auto"/>
              </w:rPr>
            </w:pPr>
            <w:r>
              <w:rPr>
                <w:rFonts w:ascii="Arial" w:cs="Arial" w:eastAsia="Arial" w:hAnsi="Arial"/>
                <w:sz w:val="14"/>
                <w:szCs w:val="14"/>
                <w:b w:val="1"/>
                <w:bCs w:val="1"/>
                <w:color w:val="auto"/>
              </w:rPr>
              <w:t>(For International</w:t>
            </w:r>
          </w:p>
        </w:tc>
        <w:tc>
          <w:tcPr>
            <w:tcW w:w="294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Wire Only)</w:t>
            </w:r>
          </w:p>
        </w:tc>
        <w:tc>
          <w:tcPr>
            <w:tcW w:w="280" w:type="dxa"/>
            <w:vAlign w:val="bottom"/>
          </w:tcPr>
          <w:p>
            <w:pPr>
              <w:spacing w:after="0"/>
              <w:rPr>
                <w:sz w:val="13"/>
                <w:szCs w:val="13"/>
                <w:color w:val="auto"/>
              </w:rPr>
            </w:pPr>
          </w:p>
        </w:tc>
      </w:tr>
      <w:tr>
        <w:trPr>
          <w:trHeight w:val="181"/>
        </w:trPr>
        <w:tc>
          <w:tcPr>
            <w:tcW w:w="5180" w:type="dxa"/>
            <w:vAlign w:val="bottom"/>
            <w:gridSpan w:val="5"/>
          </w:tcPr>
          <w:p>
            <w:pPr>
              <w:ind w:left="20"/>
              <w:spacing w:after="0"/>
              <w:rPr>
                <w:sz w:val="20"/>
                <w:szCs w:val="20"/>
                <w:color w:val="auto"/>
              </w:rPr>
            </w:pPr>
            <w:r>
              <w:rPr>
                <w:rFonts w:ascii="Arial" w:cs="Arial" w:eastAsia="Arial" w:hAnsi="Arial"/>
                <w:sz w:val="14"/>
                <w:szCs w:val="14"/>
                <w:color w:val="auto"/>
              </w:rPr>
              <w:t>Intermediary Bank:</w:t>
            </w:r>
          </w:p>
        </w:tc>
        <w:tc>
          <w:tcPr>
            <w:tcW w:w="4920" w:type="dxa"/>
            <w:vAlign w:val="bottom"/>
            <w:gridSpan w:val="5"/>
          </w:tcPr>
          <w:p>
            <w:pPr>
              <w:spacing w:after="0"/>
              <w:rPr>
                <w:sz w:val="20"/>
                <w:szCs w:val="20"/>
                <w:color w:val="auto"/>
              </w:rPr>
            </w:pPr>
            <w:r>
              <w:rPr>
                <w:rFonts w:ascii="Arial" w:cs="Arial" w:eastAsia="Arial" w:hAnsi="Arial"/>
                <w:sz w:val="14"/>
                <w:szCs w:val="14"/>
                <w:color w:val="auto"/>
              </w:rPr>
              <w:t>Transit (ABA) #:</w:t>
            </w: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For Further Credit to:</w:t>
            </w:r>
          </w:p>
        </w:tc>
        <w:tc>
          <w:tcPr>
            <w:tcW w:w="320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tcBorders>
            <w:gridSpan w:val="2"/>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-1375410</wp:posOffset>
            </wp:positionV>
            <wp:extent cx="6421120" cy="22644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21120" cy="22644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Special Instruction:</w:t>
      </w:r>
    </w:p>
    <w:p>
      <w:pPr>
        <w:spacing w:after="0" w:line="20" w:lineRule="exact"/>
        <w:rPr>
          <w:sz w:val="20"/>
          <w:szCs w:val="20"/>
          <w:color w:val="auto"/>
        </w:rPr>
      </w:pPr>
    </w:p>
    <w:p>
      <w:pPr>
        <w:ind w:left="20" w:right="120"/>
        <w:spacing w:after="0" w:line="269"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Authorized Signature:</w:t>
            </w:r>
          </w:p>
        </w:tc>
        <w:tc>
          <w:tcPr>
            <w:tcW w:w="3200" w:type="dxa"/>
            <w:vAlign w:val="bottom"/>
            <w:tcBorders>
              <w:bottom w:val="single" w:sz="8" w:color="auto"/>
            </w:tcBorders>
          </w:tcPr>
          <w:p>
            <w:pPr>
              <w:spacing w:after="0"/>
              <w:rPr>
                <w:sz w:val="15"/>
                <w:szCs w:val="15"/>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2</w:t>
            </w:r>
            <w:r>
              <w:rPr>
                <w:rFonts w:ascii="Arial" w:cs="Arial" w:eastAsia="Arial" w:hAnsi="Arial"/>
                <w:sz w:val="7"/>
                <w:szCs w:val="7"/>
                <w:color w:val="auto"/>
              </w:rPr>
              <w:t>nd</w:t>
            </w:r>
            <w:r>
              <w:rPr>
                <w:rFonts w:ascii="Arial" w:cs="Arial" w:eastAsia="Arial" w:hAnsi="Arial"/>
                <w:sz w:val="14"/>
                <w:szCs w:val="14"/>
                <w:color w:val="auto"/>
              </w:rPr>
              <w:t xml:space="preserve"> Signature (if required):</w:t>
            </w:r>
          </w:p>
        </w:tc>
        <w:tc>
          <w:tcPr>
            <w:tcW w:w="2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Print Name/Title:</w:t>
            </w:r>
          </w:p>
        </w:tc>
        <w:tc>
          <w:tcPr>
            <w:tcW w:w="3200" w:type="dxa"/>
            <w:vAlign w:val="bottom"/>
            <w:tcBorders>
              <w:bottom w:val="single" w:sz="8" w:color="auto"/>
            </w:tcBorders>
          </w:tcPr>
          <w:p>
            <w:pPr>
              <w:spacing w:after="0"/>
              <w:rPr>
                <w:sz w:val="14"/>
                <w:szCs w:val="1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Print Name/Title:</w:t>
            </w:r>
          </w:p>
        </w:tc>
        <w:tc>
          <w:tcPr>
            <w:tcW w:w="2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Telephone #:</w:t>
            </w:r>
          </w:p>
        </w:tc>
        <w:tc>
          <w:tcPr>
            <w:tcW w:w="3200" w:type="dxa"/>
            <w:vAlign w:val="bottom"/>
            <w:tcBorders>
              <w:bottom w:val="single" w:sz="8" w:color="auto"/>
            </w:tcBorders>
          </w:tcPr>
          <w:p>
            <w:pPr>
              <w:spacing w:after="0"/>
              <w:rPr>
                <w:sz w:val="14"/>
                <w:szCs w:val="14"/>
                <w:color w:val="auto"/>
              </w:rPr>
            </w:pPr>
          </w:p>
        </w:tc>
        <w:tc>
          <w:tcPr>
            <w:tcW w:w="2300" w:type="dxa"/>
            <w:vAlign w:val="bottom"/>
          </w:tcPr>
          <w:p>
            <w:pPr>
              <w:ind w:left="240"/>
              <w:spacing w:after="0"/>
              <w:rPr>
                <w:sz w:val="20"/>
                <w:szCs w:val="20"/>
                <w:color w:val="auto"/>
              </w:rPr>
            </w:pPr>
            <w:r>
              <w:rPr>
                <w:rFonts w:ascii="Arial" w:cs="Arial" w:eastAsia="Arial" w:hAnsi="Arial"/>
                <w:sz w:val="14"/>
                <w:szCs w:val="14"/>
                <w:color w:val="auto"/>
              </w:rPr>
              <w:t>Telephone #:</w:t>
            </w:r>
          </w:p>
        </w:tc>
        <w:tc>
          <w:tcPr>
            <w:tcW w:w="25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r>
      <w:tr>
        <w:trPr>
          <w:trHeight w:val="782"/>
        </w:trPr>
        <w:tc>
          <w:tcPr>
            <w:tcW w:w="17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Compliance Certificate</w:t>
            </w:r>
          </w:p>
        </w:tc>
        <w:tc>
          <w:tcPr>
            <w:tcW w:w="4340" w:type="dxa"/>
            <w:vAlign w:val="bottom"/>
          </w:tcPr>
          <w:p>
            <w:pPr>
              <w:spacing w:after="0"/>
              <w:rPr>
                <w:sz w:val="14"/>
                <w:szCs w:val="14"/>
                <w:color w:val="auto"/>
              </w:rPr>
            </w:pPr>
          </w:p>
        </w:tc>
      </w:tr>
      <w:tr>
        <w:trPr>
          <w:trHeight w:val="354"/>
        </w:trPr>
        <w:tc>
          <w:tcPr>
            <w:tcW w:w="560" w:type="dxa"/>
            <w:vAlign w:val="bottom"/>
          </w:tcPr>
          <w:p>
            <w:pPr>
              <w:spacing w:after="0"/>
              <w:rPr>
                <w:sz w:val="20"/>
                <w:szCs w:val="20"/>
                <w:color w:val="auto"/>
              </w:rPr>
            </w:pPr>
            <w:r>
              <w:rPr>
                <w:rFonts w:ascii="Arial" w:cs="Arial" w:eastAsia="Arial" w:hAnsi="Arial"/>
                <w:sz w:val="14"/>
                <w:szCs w:val="14"/>
                <w:color w:val="auto"/>
              </w:rPr>
              <w:t>TO:</w:t>
            </w:r>
          </w:p>
        </w:tc>
        <w:tc>
          <w:tcPr>
            <w:tcW w:w="9540" w:type="dxa"/>
            <w:vAlign w:val="bottom"/>
            <w:gridSpan w:val="3"/>
          </w:tcPr>
          <w:p>
            <w:pPr>
              <w:ind w:left="120"/>
              <w:spacing w:after="0"/>
              <w:rPr>
                <w:sz w:val="20"/>
                <w:szCs w:val="20"/>
                <w:color w:val="auto"/>
              </w:rPr>
            </w:pPr>
            <w:r>
              <w:rPr>
                <w:rFonts w:ascii="Arial" w:cs="Arial" w:eastAsia="Arial" w:hAnsi="Arial"/>
                <w:sz w:val="14"/>
                <w:szCs w:val="14"/>
                <w:color w:val="auto"/>
              </w:rPr>
              <w:t>SOLAR CAPITAL LTD., as Collateral Agent and Lender</w:t>
            </w:r>
          </w:p>
        </w:tc>
      </w:tr>
      <w:tr>
        <w:trPr>
          <w:trHeight w:val="181"/>
        </w:trPr>
        <w:tc>
          <w:tcPr>
            <w:tcW w:w="560" w:type="dxa"/>
            <w:vAlign w:val="bottom"/>
          </w:tcPr>
          <w:p>
            <w:pPr>
              <w:spacing w:after="0"/>
              <w:rPr>
                <w:sz w:val="15"/>
                <w:szCs w:val="15"/>
                <w:color w:val="auto"/>
              </w:rPr>
            </w:pPr>
          </w:p>
        </w:tc>
        <w:tc>
          <w:tcPr>
            <w:tcW w:w="9540" w:type="dxa"/>
            <w:vAlign w:val="bottom"/>
            <w:gridSpan w:val="3"/>
          </w:tcPr>
          <w:p>
            <w:pPr>
              <w:ind w:left="120"/>
              <w:spacing w:after="0"/>
              <w:rPr>
                <w:sz w:val="20"/>
                <w:szCs w:val="20"/>
                <w:color w:val="auto"/>
              </w:rPr>
            </w:pPr>
            <w:r>
              <w:rPr>
                <w:rFonts w:ascii="Arial" w:cs="Arial" w:eastAsia="Arial" w:hAnsi="Arial"/>
                <w:sz w:val="14"/>
                <w:szCs w:val="14"/>
                <w:color w:val="auto"/>
              </w:rPr>
              <w:t>WESTERN ALLIANCE BANK, as Lender</w:t>
            </w:r>
          </w:p>
        </w:tc>
      </w:tr>
      <w:tr>
        <w:trPr>
          <w:trHeight w:val="513"/>
        </w:trPr>
        <w:tc>
          <w:tcPr>
            <w:tcW w:w="560" w:type="dxa"/>
            <w:vAlign w:val="bottom"/>
          </w:tcPr>
          <w:p>
            <w:pPr>
              <w:spacing w:after="0"/>
              <w:rPr>
                <w:sz w:val="20"/>
                <w:szCs w:val="20"/>
                <w:color w:val="auto"/>
              </w:rPr>
            </w:pPr>
            <w:r>
              <w:rPr>
                <w:rFonts w:ascii="Arial" w:cs="Arial" w:eastAsia="Arial" w:hAnsi="Arial"/>
                <w:sz w:val="14"/>
                <w:szCs w:val="14"/>
                <w:color w:val="auto"/>
              </w:rPr>
              <w:t>FROM:</w:t>
            </w:r>
          </w:p>
        </w:tc>
        <w:tc>
          <w:tcPr>
            <w:tcW w:w="3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40" w:type="dxa"/>
            <w:vAlign w:val="bottom"/>
          </w:tcPr>
          <w:p>
            <w:pPr>
              <w:ind w:left="3320"/>
              <w:spacing w:after="0"/>
              <w:rPr>
                <w:sz w:val="20"/>
                <w:szCs w:val="20"/>
                <w:color w:val="auto"/>
              </w:rPr>
            </w:pPr>
            <w:r>
              <w:rPr>
                <w:rFonts w:ascii="Arial" w:cs="Arial" w:eastAsia="Arial" w:hAnsi="Arial"/>
                <w:sz w:val="14"/>
                <w:szCs w:val="14"/>
                <w:color w:val="auto"/>
                <w:w w:val="98"/>
              </w:rPr>
              <w:t>ARDELYX, INC.</w:t>
            </w:r>
          </w:p>
        </w:tc>
      </w:tr>
    </w:tbl>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undersigned authorized officer (“</w:t>
      </w:r>
      <w:r>
        <w:rPr>
          <w:rFonts w:ascii="Arial" w:cs="Arial" w:eastAsia="Arial" w:hAnsi="Arial"/>
          <w:sz w:val="14"/>
          <w:szCs w:val="14"/>
          <w:b w:val="1"/>
          <w:bCs w:val="1"/>
          <w:color w:val="auto"/>
        </w:rPr>
        <w:t>Officer</w:t>
      </w:r>
      <w:r>
        <w:rPr>
          <w:rFonts w:ascii="Arial" w:cs="Arial" w:eastAsia="Arial" w:hAnsi="Arial"/>
          <w:sz w:val="14"/>
          <w:szCs w:val="14"/>
          <w:color w:val="auto"/>
        </w:rPr>
        <w:t>”) of Ardelyx, Inc. (“</w:t>
      </w:r>
      <w:r>
        <w:rPr>
          <w:rFonts w:ascii="Arial" w:cs="Arial" w:eastAsia="Arial" w:hAnsi="Arial"/>
          <w:sz w:val="14"/>
          <w:szCs w:val="14"/>
          <w:b w:val="1"/>
          <w:bCs w:val="1"/>
          <w:color w:val="auto"/>
        </w:rPr>
        <w:t>Borrower</w:t>
      </w:r>
      <w:r>
        <w:rPr>
          <w:rFonts w:ascii="Arial" w:cs="Arial" w:eastAsia="Arial" w:hAnsi="Arial"/>
          <w:sz w:val="14"/>
          <w:szCs w:val="14"/>
          <w:color w:val="auto"/>
        </w:rPr>
        <w:t>”), hereby certifies solely in his/her capacity as an officer of Borrower and not in his/her individual capacity, that in accordance with the terms and conditions of the Loan and Security Agreement dated as of May 16, 2018, by and among Borrower, Collateral Agent, and the Lenders from time to time party thereto (the “</w:t>
      </w:r>
      <w:r>
        <w:rPr>
          <w:rFonts w:ascii="Arial" w:cs="Arial" w:eastAsia="Arial" w:hAnsi="Arial"/>
          <w:sz w:val="14"/>
          <w:szCs w:val="14"/>
          <w:b w:val="1"/>
          <w:bCs w:val="1"/>
          <w:color w:val="auto"/>
        </w:rPr>
        <w:t>Loan Agreement</w:t>
      </w:r>
      <w:r>
        <w:rPr>
          <w:rFonts w:ascii="Arial" w:cs="Arial" w:eastAsia="Arial" w:hAnsi="Arial"/>
          <w:sz w:val="14"/>
          <w:szCs w:val="14"/>
          <w:color w:val="auto"/>
        </w:rPr>
        <w:t>;” capitalized terms used but not otherwise defined herein shall have the meanings given them in the Loan Agreement),</w:t>
      </w:r>
    </w:p>
    <w:p>
      <w:pPr>
        <w:spacing w:after="0" w:line="144" w:lineRule="exact"/>
        <w:rPr>
          <w:sz w:val="20"/>
          <w:szCs w:val="20"/>
          <w:color w:val="auto"/>
        </w:rPr>
      </w:pPr>
    </w:p>
    <w:p>
      <w:pPr>
        <w:ind w:left="520"/>
        <w:spacing w:after="0"/>
        <w:tabs>
          <w:tab w:leader="none" w:pos="1000" w:val="left"/>
          <w:tab w:leader="none" w:pos="53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Borrower is in complete compliance for the period ending</w:t>
      </w:r>
      <w:r>
        <w:rPr>
          <w:sz w:val="20"/>
          <w:szCs w:val="20"/>
          <w:color w:val="auto"/>
        </w:rPr>
        <w:tab/>
      </w:r>
      <w:r>
        <w:rPr>
          <w:rFonts w:ascii="Arial" w:cs="Arial" w:eastAsia="Arial" w:hAnsi="Arial"/>
          <w:sz w:val="12"/>
          <w:szCs w:val="12"/>
          <w:color w:val="auto"/>
        </w:rPr>
        <w:t>with all required covenants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-6350</wp:posOffset>
            </wp:positionV>
            <wp:extent cx="5873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375" cy="6985"/>
                    </a:xfrm>
                    <a:prstGeom prst="rect">
                      <a:avLst/>
                    </a:prstGeom>
                    <a:noFill/>
                  </pic:spPr>
                </pic:pic>
              </a:graphicData>
            </a:graphic>
          </wp:anchor>
        </w:drawing>
      </w:r>
    </w:p>
    <w:p>
      <w:pPr>
        <w:spacing w:after="0" w:line="161" w:lineRule="exact"/>
        <w:rPr>
          <w:sz w:val="20"/>
          <w:szCs w:val="20"/>
          <w:color w:val="auto"/>
        </w:rPr>
      </w:pPr>
    </w:p>
    <w:p>
      <w:pPr>
        <w:ind w:left="1040" w:hanging="528"/>
        <w:spacing w:after="0"/>
        <w:tabs>
          <w:tab w:leader="none" w:pos="10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There are no Defaults or Events of Default, except as noted below;</w:t>
      </w:r>
    </w:p>
    <w:p>
      <w:pPr>
        <w:spacing w:after="0" w:line="180" w:lineRule="exact"/>
        <w:rPr>
          <w:rFonts w:ascii="Arial" w:cs="Arial" w:eastAsia="Arial" w:hAnsi="Arial"/>
          <w:sz w:val="14"/>
          <w:szCs w:val="14"/>
          <w:color w:val="auto"/>
        </w:rPr>
      </w:pPr>
    </w:p>
    <w:p>
      <w:pPr>
        <w:jc w:val="both"/>
        <w:ind w:firstLine="512"/>
        <w:spacing w:after="0" w:line="264" w:lineRule="auto"/>
        <w:tabs>
          <w:tab w:leader="none" w:pos="10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45" w:lineRule="exact"/>
        <w:rPr>
          <w:rFonts w:ascii="Arial" w:cs="Arial" w:eastAsia="Arial" w:hAnsi="Arial"/>
          <w:sz w:val="14"/>
          <w:szCs w:val="14"/>
          <w:color w:val="auto"/>
        </w:rPr>
      </w:pPr>
    </w:p>
    <w:p>
      <w:pPr>
        <w:jc w:val="both"/>
        <w:ind w:firstLine="512"/>
        <w:spacing w:after="0" w:line="269" w:lineRule="auto"/>
        <w:tabs>
          <w:tab w:leader="none" w:pos="104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42" w:lineRule="exact"/>
        <w:rPr>
          <w:rFonts w:ascii="Arial" w:cs="Arial" w:eastAsia="Arial" w:hAnsi="Arial"/>
          <w:sz w:val="14"/>
          <w:szCs w:val="14"/>
          <w:color w:val="auto"/>
        </w:rPr>
      </w:pPr>
    </w:p>
    <w:p>
      <w:pPr>
        <w:ind w:firstLine="512"/>
        <w:spacing w:after="0" w:line="284" w:lineRule="auto"/>
        <w:tabs>
          <w:tab w:leader="none" w:pos="106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32" w:lineRule="exact"/>
        <w:rPr>
          <w:sz w:val="20"/>
          <w:szCs w:val="20"/>
          <w:color w:val="auto"/>
        </w:rPr>
      </w:pPr>
    </w:p>
    <w:p>
      <w:pPr>
        <w:jc w:val="both"/>
        <w:spacing w:after="0" w:line="174" w:lineRule="exact"/>
        <w:rPr>
          <w:sz w:val="20"/>
          <w:szCs w:val="20"/>
          <w:color w:val="auto"/>
        </w:rPr>
      </w:pPr>
      <w:r>
        <w:rPr>
          <w:rFonts w:ascii="Arial" w:cs="Arial" w:eastAsia="Arial" w:hAnsi="Arial"/>
          <w:sz w:val="14"/>
          <w:szCs w:val="14"/>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w:t>
      </w:r>
      <w:r>
        <w:rPr>
          <w:rFonts w:ascii="MS PGothic" w:cs="MS PGothic" w:eastAsia="MS PGothic" w:hAnsi="MS PGothic"/>
          <w:sz w:val="14"/>
          <w:szCs w:val="14"/>
          <w:color w:val="auto"/>
        </w:rPr>
        <w:t>‑</w:t>
      </w:r>
      <w:r>
        <w:rPr>
          <w:rFonts w:ascii="Arial" w:cs="Arial" w:eastAsia="Arial" w:hAnsi="Arial"/>
          <w:sz w:val="14"/>
          <w:szCs w:val="14"/>
          <w:color w:val="auto"/>
        </w:rPr>
        <w:t>end audit adjustments as to the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indicate compliance status since the last Compliance Certificate by circling Yes, No, or N/A under “Complies” column.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2740" w:type="dxa"/>
            <w:vAlign w:val="bottom"/>
          </w:tcPr>
          <w:p>
            <w:pPr>
              <w:jc w:val="center"/>
              <w:ind w:left="129"/>
              <w:spacing w:after="0"/>
              <w:rPr>
                <w:sz w:val="20"/>
                <w:szCs w:val="20"/>
                <w:color w:val="auto"/>
              </w:rPr>
            </w:pPr>
            <w:r>
              <w:rPr>
                <w:rFonts w:ascii="Arial" w:cs="Arial" w:eastAsia="Arial" w:hAnsi="Arial"/>
                <w:sz w:val="14"/>
                <w:szCs w:val="14"/>
                <w:b w:val="1"/>
                <w:bCs w:val="1"/>
                <w:color w:val="auto"/>
                <w:w w:val="91"/>
              </w:rPr>
              <w:t>Reporting Covenant</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Actual</w:t>
            </w:r>
          </w:p>
        </w:tc>
        <w:tc>
          <w:tcPr>
            <w:tcW w:w="7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w w:val="79"/>
              </w:rPr>
              <w:t>1)</w:t>
            </w:r>
          </w:p>
        </w:tc>
        <w:tc>
          <w:tcPr>
            <w:tcW w:w="2740" w:type="dxa"/>
            <w:vAlign w:val="bottom"/>
          </w:tcPr>
          <w:p>
            <w:pPr>
              <w:jc w:val="center"/>
              <w:ind w:left="129"/>
              <w:spacing w:after="0"/>
              <w:rPr>
                <w:sz w:val="20"/>
                <w:szCs w:val="20"/>
                <w:color w:val="auto"/>
              </w:rPr>
            </w:pPr>
            <w:r>
              <w:rPr>
                <w:rFonts w:ascii="Arial" w:cs="Arial" w:eastAsia="Arial" w:hAnsi="Arial"/>
                <w:sz w:val="14"/>
                <w:szCs w:val="14"/>
                <w:color w:val="auto"/>
                <w:w w:val="91"/>
              </w:rPr>
              <w:t>Financial statements</w:t>
            </w:r>
          </w:p>
        </w:tc>
        <w:tc>
          <w:tcPr>
            <w:tcW w:w="3500" w:type="dxa"/>
            <w:vAlign w:val="bottom"/>
          </w:tcPr>
          <w:p>
            <w:pPr>
              <w:jc w:val="center"/>
              <w:spacing w:after="0"/>
              <w:rPr>
                <w:sz w:val="20"/>
                <w:szCs w:val="20"/>
                <w:color w:val="auto"/>
              </w:rPr>
            </w:pPr>
            <w:r>
              <w:rPr>
                <w:rFonts w:ascii="Arial" w:cs="Arial" w:eastAsia="Arial" w:hAnsi="Arial"/>
                <w:sz w:val="14"/>
                <w:szCs w:val="14"/>
                <w:color w:val="auto"/>
                <w:w w:val="94"/>
              </w:rPr>
              <w:t>Monthly within 30 days (45 days for the last month of</w:t>
            </w:r>
          </w:p>
        </w:tc>
        <w:tc>
          <w:tcPr>
            <w:tcW w:w="9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Yes</w:t>
            </w:r>
          </w:p>
        </w:tc>
        <w:tc>
          <w:tcPr>
            <w:tcW w:w="940" w:type="dxa"/>
            <w:vAlign w:val="bottom"/>
          </w:tcPr>
          <w:p>
            <w:pPr>
              <w:jc w:val="center"/>
              <w:spacing w:after="0"/>
              <w:rPr>
                <w:sz w:val="20"/>
                <w:szCs w:val="20"/>
                <w:color w:val="auto"/>
              </w:rPr>
            </w:pPr>
            <w:r>
              <w:rPr>
                <w:rFonts w:ascii="Arial" w:cs="Arial" w:eastAsia="Arial" w:hAnsi="Arial"/>
                <w:sz w:val="14"/>
                <w:szCs w:val="14"/>
                <w:color w:val="auto"/>
              </w:rPr>
              <w:t>No</w:t>
            </w:r>
          </w:p>
        </w:tc>
        <w:tc>
          <w:tcPr>
            <w:tcW w:w="680" w:type="dxa"/>
            <w:vAlign w:val="bottom"/>
          </w:tcPr>
          <w:p>
            <w:pPr>
              <w:ind w:left="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52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4"/>
                <w:szCs w:val="14"/>
                <w:color w:val="auto"/>
                <w:w w:val="88"/>
              </w:rPr>
              <w:t>each quarter)</w:t>
            </w: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2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w w:val="79"/>
              </w:rPr>
              <w:t>2)</w:t>
            </w:r>
          </w:p>
        </w:tc>
        <w:tc>
          <w:tcPr>
            <w:tcW w:w="2740" w:type="dxa"/>
            <w:vAlign w:val="bottom"/>
          </w:tcPr>
          <w:p>
            <w:pPr>
              <w:jc w:val="center"/>
              <w:ind w:left="129"/>
              <w:spacing w:after="0"/>
              <w:rPr>
                <w:sz w:val="20"/>
                <w:szCs w:val="20"/>
                <w:color w:val="auto"/>
              </w:rPr>
            </w:pPr>
            <w:r>
              <w:rPr>
                <w:rFonts w:ascii="Arial" w:cs="Arial" w:eastAsia="Arial" w:hAnsi="Arial"/>
                <w:sz w:val="14"/>
                <w:szCs w:val="14"/>
                <w:color w:val="auto"/>
                <w:w w:val="92"/>
              </w:rPr>
              <w:t>Annual (CPA Audited) statements</w:t>
            </w:r>
          </w:p>
        </w:tc>
        <w:tc>
          <w:tcPr>
            <w:tcW w:w="3500" w:type="dxa"/>
            <w:vAlign w:val="bottom"/>
          </w:tcPr>
          <w:p>
            <w:pPr>
              <w:jc w:val="center"/>
              <w:spacing w:after="0"/>
              <w:rPr>
                <w:sz w:val="20"/>
                <w:szCs w:val="20"/>
                <w:color w:val="auto"/>
              </w:rPr>
            </w:pPr>
            <w:r>
              <w:rPr>
                <w:rFonts w:ascii="Arial" w:cs="Arial" w:eastAsia="Arial" w:hAnsi="Arial"/>
                <w:sz w:val="14"/>
                <w:szCs w:val="14"/>
                <w:color w:val="auto"/>
                <w:w w:val="94"/>
              </w:rPr>
              <w:t>Within 90 days after FYE or 5 days after filing with</w:t>
            </w:r>
          </w:p>
        </w:tc>
        <w:tc>
          <w:tcPr>
            <w:tcW w:w="9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Yes</w:t>
            </w:r>
          </w:p>
        </w:tc>
        <w:tc>
          <w:tcPr>
            <w:tcW w:w="940" w:type="dxa"/>
            <w:vAlign w:val="bottom"/>
          </w:tcPr>
          <w:p>
            <w:pPr>
              <w:jc w:val="center"/>
              <w:spacing w:after="0"/>
              <w:rPr>
                <w:sz w:val="20"/>
                <w:szCs w:val="20"/>
                <w:color w:val="auto"/>
              </w:rPr>
            </w:pPr>
            <w:r>
              <w:rPr>
                <w:rFonts w:ascii="Arial" w:cs="Arial" w:eastAsia="Arial" w:hAnsi="Arial"/>
                <w:sz w:val="14"/>
                <w:szCs w:val="14"/>
                <w:color w:val="auto"/>
              </w:rPr>
              <w:t>No</w:t>
            </w:r>
          </w:p>
        </w:tc>
        <w:tc>
          <w:tcPr>
            <w:tcW w:w="680" w:type="dxa"/>
            <w:vAlign w:val="bottom"/>
          </w:tcPr>
          <w:p>
            <w:pPr>
              <w:ind w:left="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52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4"/>
                <w:szCs w:val="14"/>
                <w:color w:val="auto"/>
                <w:w w:val="90"/>
              </w:rPr>
              <w:t>SEC</w:t>
            </w: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2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w w:val="79"/>
              </w:rPr>
              <w:t>3)</w:t>
            </w:r>
          </w:p>
        </w:tc>
        <w:tc>
          <w:tcPr>
            <w:tcW w:w="2740" w:type="dxa"/>
            <w:vAlign w:val="bottom"/>
          </w:tcPr>
          <w:p>
            <w:pPr>
              <w:jc w:val="center"/>
              <w:ind w:left="129"/>
              <w:spacing w:after="0"/>
              <w:rPr>
                <w:sz w:val="20"/>
                <w:szCs w:val="20"/>
                <w:color w:val="auto"/>
              </w:rPr>
            </w:pPr>
            <w:r>
              <w:rPr>
                <w:rFonts w:ascii="Arial" w:cs="Arial" w:eastAsia="Arial" w:hAnsi="Arial"/>
                <w:sz w:val="14"/>
                <w:szCs w:val="14"/>
                <w:color w:val="auto"/>
                <w:w w:val="93"/>
              </w:rPr>
              <w:t>Annual Financial Projections/Budget</w:t>
            </w:r>
          </w:p>
        </w:tc>
        <w:tc>
          <w:tcPr>
            <w:tcW w:w="3500" w:type="dxa"/>
            <w:vAlign w:val="bottom"/>
          </w:tcPr>
          <w:p>
            <w:pPr>
              <w:jc w:val="center"/>
              <w:spacing w:after="0"/>
              <w:rPr>
                <w:sz w:val="20"/>
                <w:szCs w:val="20"/>
                <w:color w:val="auto"/>
              </w:rPr>
            </w:pPr>
            <w:r>
              <w:rPr>
                <w:rFonts w:ascii="Arial" w:cs="Arial" w:eastAsia="Arial" w:hAnsi="Arial"/>
                <w:sz w:val="14"/>
                <w:szCs w:val="14"/>
                <w:color w:val="auto"/>
                <w:w w:val="94"/>
              </w:rPr>
              <w:t>Annually (within 60 days after FYE) or 10 days of</w:t>
            </w:r>
          </w:p>
        </w:tc>
        <w:tc>
          <w:tcPr>
            <w:tcW w:w="9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Yes</w:t>
            </w:r>
          </w:p>
        </w:tc>
        <w:tc>
          <w:tcPr>
            <w:tcW w:w="940" w:type="dxa"/>
            <w:vAlign w:val="bottom"/>
          </w:tcPr>
          <w:p>
            <w:pPr>
              <w:jc w:val="center"/>
              <w:spacing w:after="0"/>
              <w:rPr>
                <w:sz w:val="20"/>
                <w:szCs w:val="20"/>
                <w:color w:val="auto"/>
              </w:rPr>
            </w:pPr>
            <w:r>
              <w:rPr>
                <w:rFonts w:ascii="Arial" w:cs="Arial" w:eastAsia="Arial" w:hAnsi="Arial"/>
                <w:sz w:val="14"/>
                <w:szCs w:val="14"/>
                <w:color w:val="auto"/>
              </w:rPr>
              <w:t>No</w:t>
            </w:r>
          </w:p>
        </w:tc>
        <w:tc>
          <w:tcPr>
            <w:tcW w:w="680" w:type="dxa"/>
            <w:vAlign w:val="bottom"/>
          </w:tcPr>
          <w:p>
            <w:pPr>
              <w:ind w:left="1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52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4"/>
                <w:szCs w:val="14"/>
                <w:color w:val="auto"/>
                <w:w w:val="91"/>
              </w:rPr>
              <w:t>approval and when received (7 days of approval)</w:t>
            </w: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2"/>
        </w:trPr>
        <w:tc>
          <w:tcPr>
            <w:tcW w:w="5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117" w:right="89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4)</w:t>
            </w:r>
          </w:p>
        </w:tc>
        <w:tc>
          <w:tcPr>
            <w:tcW w:w="3160" w:type="dxa"/>
            <w:vAlign w:val="bottom"/>
            <w:gridSpan w:val="3"/>
          </w:tcPr>
          <w:p>
            <w:pPr>
              <w:ind w:left="260"/>
              <w:spacing w:after="0"/>
              <w:rPr>
                <w:sz w:val="20"/>
                <w:szCs w:val="20"/>
                <w:color w:val="auto"/>
              </w:rPr>
            </w:pPr>
            <w:r>
              <w:rPr>
                <w:rFonts w:ascii="Arial" w:cs="Arial" w:eastAsia="Arial" w:hAnsi="Arial"/>
                <w:sz w:val="14"/>
                <w:szCs w:val="14"/>
                <w:color w:val="auto"/>
                <w:w w:val="97"/>
              </w:rPr>
              <w:t>Account statements for each Collateral Account</w:t>
            </w:r>
          </w:p>
        </w:tc>
        <w:tc>
          <w:tcPr>
            <w:tcW w:w="1760" w:type="dxa"/>
            <w:vAlign w:val="bottom"/>
          </w:tcPr>
          <w:p>
            <w:pPr>
              <w:ind w:left="40"/>
              <w:spacing w:after="0"/>
              <w:rPr>
                <w:sz w:val="20"/>
                <w:szCs w:val="20"/>
                <w:color w:val="auto"/>
              </w:rPr>
            </w:pPr>
            <w:r>
              <w:rPr>
                <w:rFonts w:ascii="Arial" w:cs="Arial" w:eastAsia="Arial" w:hAnsi="Arial"/>
                <w:sz w:val="14"/>
                <w:szCs w:val="14"/>
                <w:color w:val="auto"/>
              </w:rPr>
              <w:t>Monthly within 30 days</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ind w:left="580"/>
              <w:spacing w:after="0"/>
              <w:rPr>
                <w:sz w:val="20"/>
                <w:szCs w:val="20"/>
                <w:color w:val="auto"/>
              </w:rPr>
            </w:pPr>
            <w:r>
              <w:rPr>
                <w:rFonts w:ascii="Arial" w:cs="Arial" w:eastAsia="Arial" w:hAnsi="Arial"/>
                <w:sz w:val="14"/>
                <w:szCs w:val="14"/>
                <w:color w:val="auto"/>
              </w:rPr>
              <w:t>Yes</w:t>
            </w:r>
          </w:p>
        </w:tc>
        <w:tc>
          <w:tcPr>
            <w:tcW w:w="760" w:type="dxa"/>
            <w:vAlign w:val="bottom"/>
          </w:tcPr>
          <w:p>
            <w:pPr>
              <w:ind w:left="280"/>
              <w:spacing w:after="0"/>
              <w:rPr>
                <w:sz w:val="20"/>
                <w:szCs w:val="20"/>
                <w:color w:val="auto"/>
              </w:rPr>
            </w:pPr>
            <w:r>
              <w:rPr>
                <w:rFonts w:ascii="Arial" w:cs="Arial" w:eastAsia="Arial" w:hAnsi="Arial"/>
                <w:sz w:val="14"/>
                <w:szCs w:val="14"/>
                <w:color w:val="auto"/>
              </w:rPr>
              <w:t>No</w:t>
            </w:r>
          </w:p>
        </w:tc>
        <w:tc>
          <w:tcPr>
            <w:tcW w:w="500" w:type="dxa"/>
            <w:vAlign w:val="bottom"/>
          </w:tcPr>
          <w:p>
            <w:pPr>
              <w:ind w:left="26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35"/>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5)</w:t>
            </w: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Compliance Certificate</w:t>
            </w:r>
          </w:p>
        </w:tc>
        <w:tc>
          <w:tcPr>
            <w:tcW w:w="740" w:type="dxa"/>
            <w:vAlign w:val="bottom"/>
          </w:tcPr>
          <w:p>
            <w:pPr>
              <w:spacing w:after="0"/>
              <w:rPr>
                <w:sz w:val="20"/>
                <w:szCs w:val="20"/>
                <w:color w:val="auto"/>
              </w:rPr>
            </w:pPr>
          </w:p>
        </w:tc>
        <w:tc>
          <w:tcPr>
            <w:tcW w:w="1760" w:type="dxa"/>
            <w:vAlign w:val="bottom"/>
          </w:tcPr>
          <w:p>
            <w:pPr>
              <w:ind w:left="40"/>
              <w:spacing w:after="0"/>
              <w:rPr>
                <w:sz w:val="20"/>
                <w:szCs w:val="20"/>
                <w:color w:val="auto"/>
              </w:rPr>
            </w:pPr>
            <w:r>
              <w:rPr>
                <w:rFonts w:ascii="Arial" w:cs="Arial" w:eastAsia="Arial" w:hAnsi="Arial"/>
                <w:sz w:val="14"/>
                <w:szCs w:val="14"/>
                <w:color w:val="auto"/>
              </w:rPr>
              <w:t>Monthly within 30 days</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ind w:left="580"/>
              <w:spacing w:after="0"/>
              <w:rPr>
                <w:sz w:val="20"/>
                <w:szCs w:val="20"/>
                <w:color w:val="auto"/>
              </w:rPr>
            </w:pPr>
            <w:r>
              <w:rPr>
                <w:rFonts w:ascii="Arial" w:cs="Arial" w:eastAsia="Arial" w:hAnsi="Arial"/>
                <w:sz w:val="14"/>
                <w:szCs w:val="14"/>
                <w:color w:val="auto"/>
              </w:rPr>
              <w:t>Yes</w:t>
            </w:r>
          </w:p>
        </w:tc>
        <w:tc>
          <w:tcPr>
            <w:tcW w:w="760" w:type="dxa"/>
            <w:vAlign w:val="bottom"/>
          </w:tcPr>
          <w:p>
            <w:pPr>
              <w:ind w:left="280"/>
              <w:spacing w:after="0"/>
              <w:rPr>
                <w:sz w:val="20"/>
                <w:szCs w:val="20"/>
                <w:color w:val="auto"/>
              </w:rPr>
            </w:pPr>
            <w:r>
              <w:rPr>
                <w:rFonts w:ascii="Arial" w:cs="Arial" w:eastAsia="Arial" w:hAnsi="Arial"/>
                <w:sz w:val="14"/>
                <w:szCs w:val="14"/>
                <w:color w:val="auto"/>
              </w:rPr>
              <w:t>No</w:t>
            </w:r>
          </w:p>
        </w:tc>
        <w:tc>
          <w:tcPr>
            <w:tcW w:w="500" w:type="dxa"/>
            <w:vAlign w:val="bottom"/>
          </w:tcPr>
          <w:p>
            <w:pPr>
              <w:ind w:left="26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68"/>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6)</w:t>
            </w:r>
          </w:p>
        </w:tc>
        <w:tc>
          <w:tcPr>
            <w:tcW w:w="4920" w:type="dxa"/>
            <w:vAlign w:val="bottom"/>
            <w:gridSpan w:val="4"/>
          </w:tcPr>
          <w:p>
            <w:pPr>
              <w:ind w:left="260"/>
              <w:spacing w:after="0" w:line="267" w:lineRule="exact"/>
              <w:rPr>
                <w:sz w:val="20"/>
                <w:szCs w:val="20"/>
                <w:color w:val="auto"/>
              </w:rPr>
            </w:pPr>
            <w:r>
              <w:rPr>
                <w:rFonts w:ascii="Arial" w:cs="Arial" w:eastAsia="Arial" w:hAnsi="Arial"/>
                <w:sz w:val="14"/>
                <w:szCs w:val="14"/>
                <w:color w:val="auto"/>
              </w:rPr>
              <w:t xml:space="preserve">IP notice (events reasonably expected to materially </w:t>
            </w:r>
            <w:r>
              <w:rPr>
                <w:rFonts w:ascii="Arial" w:cs="Arial" w:eastAsia="Arial" w:hAnsi="Arial"/>
                <w:sz w:val="28"/>
                <w:szCs w:val="28"/>
                <w:color w:val="auto"/>
                <w:vertAlign w:val="subscript"/>
              </w:rPr>
              <w:t>When required</w:t>
            </w: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80" w:type="dxa"/>
            <w:vAlign w:val="bottom"/>
          </w:tcPr>
          <w:p>
            <w:pPr>
              <w:ind w:left="580"/>
              <w:spacing w:after="0"/>
              <w:rPr>
                <w:sz w:val="20"/>
                <w:szCs w:val="20"/>
                <w:color w:val="auto"/>
              </w:rPr>
            </w:pPr>
            <w:r>
              <w:rPr>
                <w:rFonts w:ascii="Arial" w:cs="Arial" w:eastAsia="Arial" w:hAnsi="Arial"/>
                <w:sz w:val="14"/>
                <w:szCs w:val="14"/>
                <w:color w:val="auto"/>
              </w:rPr>
              <w:t>Yes</w:t>
            </w:r>
          </w:p>
        </w:tc>
        <w:tc>
          <w:tcPr>
            <w:tcW w:w="760" w:type="dxa"/>
            <w:vAlign w:val="bottom"/>
          </w:tcPr>
          <w:p>
            <w:pPr>
              <w:ind w:left="280"/>
              <w:spacing w:after="0"/>
              <w:rPr>
                <w:sz w:val="20"/>
                <w:szCs w:val="20"/>
                <w:color w:val="auto"/>
              </w:rPr>
            </w:pPr>
            <w:r>
              <w:rPr>
                <w:rFonts w:ascii="Arial" w:cs="Arial" w:eastAsia="Arial" w:hAnsi="Arial"/>
                <w:sz w:val="14"/>
                <w:szCs w:val="14"/>
                <w:color w:val="auto"/>
              </w:rPr>
              <w:t>No</w:t>
            </w:r>
          </w:p>
        </w:tc>
        <w:tc>
          <w:tcPr>
            <w:tcW w:w="500" w:type="dxa"/>
            <w:vAlign w:val="bottom"/>
          </w:tcPr>
          <w:p>
            <w:pPr>
              <w:ind w:left="26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Arial" w:cs="Arial" w:eastAsia="Arial" w:hAnsi="Arial"/>
                <w:sz w:val="14"/>
                <w:szCs w:val="14"/>
                <w:color w:val="auto"/>
                <w:w w:val="94"/>
              </w:rPr>
              <w:t>and adversely affect value of IP or result in MAC)</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79"/>
              </w:rPr>
              <w:t>7)</w:t>
            </w:r>
          </w:p>
        </w:tc>
        <w:tc>
          <w:tcPr>
            <w:tcW w:w="3160" w:type="dxa"/>
            <w:vAlign w:val="bottom"/>
            <w:gridSpan w:val="3"/>
          </w:tcPr>
          <w:p>
            <w:pPr>
              <w:ind w:left="260"/>
              <w:spacing w:after="0"/>
              <w:rPr>
                <w:sz w:val="20"/>
                <w:szCs w:val="20"/>
                <w:color w:val="auto"/>
              </w:rPr>
            </w:pPr>
            <w:r>
              <w:rPr>
                <w:rFonts w:ascii="Arial" w:cs="Arial" w:eastAsia="Arial" w:hAnsi="Arial"/>
                <w:sz w:val="14"/>
                <w:szCs w:val="14"/>
                <w:color w:val="auto"/>
              </w:rPr>
              <w:t>Total amount of Borrower’s cash and Cash</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vMerge w:val="continue"/>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Arial" w:cs="Arial" w:eastAsia="Arial" w:hAnsi="Arial"/>
                <w:sz w:val="14"/>
                <w:szCs w:val="14"/>
                <w:color w:val="auto"/>
                <w:w w:val="95"/>
              </w:rPr>
              <w:t>Equivalents held at Western Alliance Bank at the</w:t>
            </w:r>
          </w:p>
        </w:tc>
        <w:tc>
          <w:tcPr>
            <w:tcW w:w="3060" w:type="dxa"/>
            <w:vAlign w:val="bottom"/>
            <w:gridSpan w:val="2"/>
          </w:tcPr>
          <w:p>
            <w:pPr>
              <w:ind w:left="40"/>
              <w:spacing w:after="0"/>
              <w:rPr>
                <w:sz w:val="20"/>
                <w:szCs w:val="20"/>
                <w:color w:val="auto"/>
              </w:rPr>
            </w:pPr>
            <w:r>
              <w:rPr>
                <w:rFonts w:ascii="Arial" w:cs="Arial" w:eastAsia="Arial" w:hAnsi="Arial"/>
                <w:sz w:val="14"/>
                <w:szCs w:val="14"/>
                <w:color w:val="auto"/>
                <w:w w:val="95"/>
              </w:rPr>
              <w:t>At all times, beginning 45 days after Effective Date</w:t>
            </w:r>
          </w:p>
        </w:tc>
        <w:tc>
          <w:tcPr>
            <w:tcW w:w="1020" w:type="dxa"/>
            <w:vAlign w:val="bottom"/>
          </w:tcPr>
          <w:p>
            <w:pPr>
              <w:ind w:left="80"/>
              <w:spacing w:after="0"/>
              <w:rPr>
                <w:sz w:val="20"/>
                <w:szCs w:val="20"/>
                <w:color w:val="auto"/>
              </w:rPr>
            </w:pPr>
            <w:r>
              <w:rPr>
                <w:rFonts w:ascii="Arial" w:cs="Arial" w:eastAsia="Arial" w:hAnsi="Arial"/>
                <w:sz w:val="14"/>
                <w:szCs w:val="14"/>
                <w:color w:val="auto"/>
              </w:rPr>
              <w:t>$________</w:t>
            </w:r>
          </w:p>
        </w:tc>
        <w:tc>
          <w:tcPr>
            <w:tcW w:w="1080" w:type="dxa"/>
            <w:vAlign w:val="bottom"/>
          </w:tcPr>
          <w:p>
            <w:pPr>
              <w:ind w:left="580"/>
              <w:spacing w:after="0"/>
              <w:rPr>
                <w:sz w:val="20"/>
                <w:szCs w:val="20"/>
                <w:color w:val="auto"/>
              </w:rPr>
            </w:pPr>
            <w:r>
              <w:rPr>
                <w:rFonts w:ascii="Arial" w:cs="Arial" w:eastAsia="Arial" w:hAnsi="Arial"/>
                <w:sz w:val="14"/>
                <w:szCs w:val="14"/>
                <w:color w:val="auto"/>
              </w:rPr>
              <w:t>Yes</w:t>
            </w:r>
          </w:p>
        </w:tc>
        <w:tc>
          <w:tcPr>
            <w:tcW w:w="760" w:type="dxa"/>
            <w:vAlign w:val="bottom"/>
          </w:tcPr>
          <w:p>
            <w:pPr>
              <w:ind w:left="280"/>
              <w:spacing w:after="0"/>
              <w:rPr>
                <w:sz w:val="20"/>
                <w:szCs w:val="20"/>
                <w:color w:val="auto"/>
              </w:rPr>
            </w:pPr>
            <w:r>
              <w:rPr>
                <w:rFonts w:ascii="Arial" w:cs="Arial" w:eastAsia="Arial" w:hAnsi="Arial"/>
                <w:sz w:val="14"/>
                <w:szCs w:val="14"/>
                <w:color w:val="auto"/>
              </w:rPr>
              <w:t>No</w:t>
            </w:r>
          </w:p>
        </w:tc>
        <w:tc>
          <w:tcPr>
            <w:tcW w:w="500" w:type="dxa"/>
            <w:vAlign w:val="bottom"/>
          </w:tcPr>
          <w:p>
            <w:pPr>
              <w:ind w:left="26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w w:val="97"/>
              </w:rPr>
              <w:t>last day of the measurement period</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Deposit and Securities Accounts</w:t>
            </w: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492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9"/>
              </w:rPr>
              <w:t>(Please list all accounts; attach separate sheet if additional space needed)</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260" w:type="dxa"/>
            <w:vAlign w:val="bottom"/>
          </w:tcPr>
          <w:p>
            <w:pPr>
              <w:spacing w:after="0"/>
              <w:rPr>
                <w:sz w:val="24"/>
                <w:szCs w:val="24"/>
                <w:color w:val="auto"/>
              </w:rPr>
            </w:pPr>
          </w:p>
        </w:tc>
        <w:tc>
          <w:tcPr>
            <w:tcW w:w="2420" w:type="dxa"/>
            <w:vAlign w:val="bottom"/>
            <w:gridSpan w:val="2"/>
          </w:tcPr>
          <w:p>
            <w:pPr>
              <w:ind w:left="280"/>
              <w:spacing w:after="0"/>
              <w:rPr>
                <w:sz w:val="20"/>
                <w:szCs w:val="20"/>
                <w:color w:val="auto"/>
              </w:rPr>
            </w:pPr>
            <w:r>
              <w:rPr>
                <w:rFonts w:ascii="Arial" w:cs="Arial" w:eastAsia="Arial" w:hAnsi="Arial"/>
                <w:sz w:val="14"/>
                <w:szCs w:val="14"/>
                <w:b w:val="1"/>
                <w:bCs w:val="1"/>
                <w:color w:val="auto"/>
              </w:rPr>
              <w:t>Institution Name</w:t>
            </w:r>
          </w:p>
        </w:tc>
        <w:tc>
          <w:tcPr>
            <w:tcW w:w="2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Account Number</w:t>
            </w:r>
          </w:p>
        </w:tc>
        <w:tc>
          <w:tcPr>
            <w:tcW w:w="1300" w:type="dxa"/>
            <w:vAlign w:val="bottom"/>
          </w:tcPr>
          <w:p>
            <w:pPr>
              <w:ind w:left="360"/>
              <w:spacing w:after="0"/>
              <w:rPr>
                <w:sz w:val="20"/>
                <w:szCs w:val="20"/>
                <w:color w:val="auto"/>
              </w:rPr>
            </w:pPr>
            <w:r>
              <w:rPr>
                <w:rFonts w:ascii="Arial" w:cs="Arial" w:eastAsia="Arial" w:hAnsi="Arial"/>
                <w:sz w:val="14"/>
                <w:szCs w:val="14"/>
                <w:b w:val="1"/>
                <w:bCs w:val="1"/>
                <w:color w:val="auto"/>
                <w:w w:val="94"/>
              </w:rPr>
              <w:t>New Account?</w:t>
            </w:r>
          </w:p>
        </w:tc>
        <w:tc>
          <w:tcPr>
            <w:tcW w:w="2860" w:type="dxa"/>
            <w:vAlign w:val="bottom"/>
            <w:gridSpan w:val="3"/>
          </w:tcPr>
          <w:p>
            <w:pPr>
              <w:ind w:left="520"/>
              <w:spacing w:after="0"/>
              <w:rPr>
                <w:sz w:val="20"/>
                <w:szCs w:val="20"/>
                <w:color w:val="auto"/>
              </w:rPr>
            </w:pPr>
            <w:r>
              <w:rPr>
                <w:rFonts w:ascii="Arial" w:cs="Arial" w:eastAsia="Arial" w:hAnsi="Arial"/>
                <w:sz w:val="14"/>
                <w:szCs w:val="14"/>
                <w:b w:val="1"/>
                <w:bCs w:val="1"/>
                <w:color w:val="auto"/>
                <w:w w:val="92"/>
              </w:rPr>
              <w:t>Account Control Agreement in place?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1)</w:t>
            </w: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Yes</w:t>
            </w:r>
          </w:p>
        </w:tc>
        <w:tc>
          <w:tcPr>
            <w:tcW w:w="1020" w:type="dxa"/>
            <w:vAlign w:val="bottom"/>
          </w:tcPr>
          <w:p>
            <w:pPr>
              <w:ind w:left="80"/>
              <w:spacing w:after="0"/>
              <w:rPr>
                <w:sz w:val="20"/>
                <w:szCs w:val="20"/>
                <w:color w:val="auto"/>
              </w:rPr>
            </w:pPr>
            <w:r>
              <w:rPr>
                <w:rFonts w:ascii="Arial" w:cs="Arial" w:eastAsia="Arial" w:hAnsi="Arial"/>
                <w:sz w:val="14"/>
                <w:szCs w:val="14"/>
                <w:color w:val="auto"/>
              </w:rPr>
              <w:t>No</w:t>
            </w:r>
          </w:p>
        </w:tc>
        <w:tc>
          <w:tcPr>
            <w:tcW w:w="1080" w:type="dxa"/>
            <w:vAlign w:val="bottom"/>
          </w:tcPr>
          <w:p>
            <w:pPr>
              <w:ind w:left="300"/>
              <w:spacing w:after="0"/>
              <w:rPr>
                <w:sz w:val="20"/>
                <w:szCs w:val="20"/>
                <w:color w:val="auto"/>
              </w:rPr>
            </w:pPr>
            <w:r>
              <w:rPr>
                <w:rFonts w:ascii="Arial" w:cs="Arial" w:eastAsia="Arial" w:hAnsi="Arial"/>
                <w:sz w:val="14"/>
                <w:szCs w:val="14"/>
                <w:color w:val="auto"/>
              </w:rPr>
              <w:t>Yes</w:t>
            </w:r>
          </w:p>
        </w:tc>
        <w:tc>
          <w:tcPr>
            <w:tcW w:w="7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24"/>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2)</w:t>
            </w: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Yes</w:t>
            </w:r>
          </w:p>
        </w:tc>
        <w:tc>
          <w:tcPr>
            <w:tcW w:w="1020" w:type="dxa"/>
            <w:vAlign w:val="bottom"/>
          </w:tcPr>
          <w:p>
            <w:pPr>
              <w:ind w:left="80"/>
              <w:spacing w:after="0"/>
              <w:rPr>
                <w:sz w:val="20"/>
                <w:szCs w:val="20"/>
                <w:color w:val="auto"/>
              </w:rPr>
            </w:pPr>
            <w:r>
              <w:rPr>
                <w:rFonts w:ascii="Arial" w:cs="Arial" w:eastAsia="Arial" w:hAnsi="Arial"/>
                <w:sz w:val="14"/>
                <w:szCs w:val="14"/>
                <w:color w:val="auto"/>
              </w:rPr>
              <w:t>No</w:t>
            </w:r>
          </w:p>
        </w:tc>
        <w:tc>
          <w:tcPr>
            <w:tcW w:w="1080" w:type="dxa"/>
            <w:vAlign w:val="bottom"/>
          </w:tcPr>
          <w:p>
            <w:pPr>
              <w:ind w:left="300"/>
              <w:spacing w:after="0"/>
              <w:rPr>
                <w:sz w:val="20"/>
                <w:szCs w:val="20"/>
                <w:color w:val="auto"/>
              </w:rPr>
            </w:pPr>
            <w:r>
              <w:rPr>
                <w:rFonts w:ascii="Arial" w:cs="Arial" w:eastAsia="Arial" w:hAnsi="Arial"/>
                <w:sz w:val="14"/>
                <w:szCs w:val="14"/>
                <w:color w:val="auto"/>
              </w:rPr>
              <w:t>Yes</w:t>
            </w:r>
          </w:p>
        </w:tc>
        <w:tc>
          <w:tcPr>
            <w:tcW w:w="7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24"/>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3)</w:t>
            </w: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Yes</w:t>
            </w:r>
          </w:p>
        </w:tc>
        <w:tc>
          <w:tcPr>
            <w:tcW w:w="1020" w:type="dxa"/>
            <w:vAlign w:val="bottom"/>
          </w:tcPr>
          <w:p>
            <w:pPr>
              <w:ind w:left="80"/>
              <w:spacing w:after="0"/>
              <w:rPr>
                <w:sz w:val="20"/>
                <w:szCs w:val="20"/>
                <w:color w:val="auto"/>
              </w:rPr>
            </w:pPr>
            <w:r>
              <w:rPr>
                <w:rFonts w:ascii="Arial" w:cs="Arial" w:eastAsia="Arial" w:hAnsi="Arial"/>
                <w:sz w:val="14"/>
                <w:szCs w:val="14"/>
                <w:color w:val="auto"/>
              </w:rPr>
              <w:t>No</w:t>
            </w:r>
          </w:p>
        </w:tc>
        <w:tc>
          <w:tcPr>
            <w:tcW w:w="1080" w:type="dxa"/>
            <w:vAlign w:val="bottom"/>
          </w:tcPr>
          <w:p>
            <w:pPr>
              <w:ind w:left="300"/>
              <w:spacing w:after="0"/>
              <w:rPr>
                <w:sz w:val="20"/>
                <w:szCs w:val="20"/>
                <w:color w:val="auto"/>
              </w:rPr>
            </w:pPr>
            <w:r>
              <w:rPr>
                <w:rFonts w:ascii="Arial" w:cs="Arial" w:eastAsia="Arial" w:hAnsi="Arial"/>
                <w:sz w:val="14"/>
                <w:szCs w:val="14"/>
                <w:color w:val="auto"/>
              </w:rPr>
              <w:t>Yes</w:t>
            </w:r>
          </w:p>
        </w:tc>
        <w:tc>
          <w:tcPr>
            <w:tcW w:w="7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24"/>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4)</w:t>
            </w: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Yes</w:t>
            </w:r>
          </w:p>
        </w:tc>
        <w:tc>
          <w:tcPr>
            <w:tcW w:w="1020" w:type="dxa"/>
            <w:vAlign w:val="bottom"/>
          </w:tcPr>
          <w:p>
            <w:pPr>
              <w:ind w:left="80"/>
              <w:spacing w:after="0"/>
              <w:rPr>
                <w:sz w:val="20"/>
                <w:szCs w:val="20"/>
                <w:color w:val="auto"/>
              </w:rPr>
            </w:pPr>
            <w:r>
              <w:rPr>
                <w:rFonts w:ascii="Arial" w:cs="Arial" w:eastAsia="Arial" w:hAnsi="Arial"/>
                <w:sz w:val="14"/>
                <w:szCs w:val="14"/>
                <w:color w:val="auto"/>
              </w:rPr>
              <w:t>No</w:t>
            </w:r>
          </w:p>
        </w:tc>
        <w:tc>
          <w:tcPr>
            <w:tcW w:w="1080" w:type="dxa"/>
            <w:vAlign w:val="bottom"/>
          </w:tcPr>
          <w:p>
            <w:pPr>
              <w:ind w:left="300"/>
              <w:spacing w:after="0"/>
              <w:rPr>
                <w:sz w:val="20"/>
                <w:szCs w:val="20"/>
                <w:color w:val="auto"/>
              </w:rPr>
            </w:pPr>
            <w:r>
              <w:rPr>
                <w:rFonts w:ascii="Arial" w:cs="Arial" w:eastAsia="Arial" w:hAnsi="Arial"/>
                <w:sz w:val="14"/>
                <w:szCs w:val="14"/>
                <w:color w:val="auto"/>
              </w:rPr>
              <w:t>Yes</w:t>
            </w:r>
          </w:p>
        </w:tc>
        <w:tc>
          <w:tcPr>
            <w:tcW w:w="7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Financial Covenants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7.13 – Minimum Liquidity</w:t>
      </w:r>
      <w:r>
        <w:rPr>
          <w:rFonts w:ascii="Arial" w:cs="Arial" w:eastAsia="Arial" w:hAnsi="Arial"/>
          <w:sz w:val="14"/>
          <w:szCs w:val="14"/>
          <w:color w:val="auto"/>
        </w:rPr>
        <w:t>:</w:t>
      </w:r>
    </w:p>
    <w:p>
      <w:pPr>
        <w:spacing w:after="0" w:line="185" w:lineRule="exact"/>
        <w:rPr>
          <w:sz w:val="20"/>
          <w:szCs w:val="20"/>
          <w:color w:val="auto"/>
        </w:rPr>
      </w:pPr>
    </w:p>
    <w:p>
      <w:pPr>
        <w:ind w:left="480" w:hanging="220"/>
        <w:spacing w:after="0"/>
        <w:tabs>
          <w:tab w:leader="none" w:pos="48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Unrestricted cash and Cash Equivalents:</w:t>
      </w:r>
    </w:p>
    <w:p>
      <w:pPr>
        <w:spacing w:after="0" w:line="191" w:lineRule="exact"/>
        <w:rPr>
          <w:rFonts w:ascii="Arial" w:cs="Arial" w:eastAsia="Arial" w:hAnsi="Arial"/>
          <w:sz w:val="14"/>
          <w:szCs w:val="14"/>
          <w:b w:val="1"/>
          <w:bCs w:val="1"/>
          <w:color w:val="auto"/>
        </w:rPr>
      </w:pPr>
    </w:p>
    <w:p>
      <w:pPr>
        <w:ind w:left="260" w:right="4220"/>
        <w:spacing w:after="0" w:line="284" w:lineRule="auto"/>
        <w:tabs>
          <w:tab w:leader="none" w:pos="473"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Principal payments due on interest-bearing liabilities for the upcoming seven (7) fiscal months (clause (i)):</w:t>
      </w:r>
    </w:p>
    <w:p>
      <w:pPr>
        <w:spacing w:after="0" w:line="142" w:lineRule="exact"/>
        <w:rPr>
          <w:rFonts w:ascii="Arial" w:cs="Arial" w:eastAsia="Arial" w:hAnsi="Arial"/>
          <w:sz w:val="14"/>
          <w:szCs w:val="14"/>
          <w:b w:val="1"/>
          <w:bCs w:val="1"/>
          <w:color w:val="auto"/>
        </w:rPr>
      </w:pPr>
    </w:p>
    <w:p>
      <w:pPr>
        <w:jc w:val="both"/>
        <w:ind w:left="260" w:right="4220"/>
        <w:spacing w:after="0" w:line="264" w:lineRule="auto"/>
        <w:tabs>
          <w:tab w:leader="none" w:pos="516"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The cash spent in respect of operations and capital expenditures by Borrower per month as determined based on the average taken over the most recently completed seven fiscal months (excluding principal payments made in respect of interest-bearing liabilities made in such period) (clause (ii)):</w:t>
      </w:r>
    </w:p>
    <w:p>
      <w:pPr>
        <w:spacing w:after="0" w:line="156" w:lineRule="exact"/>
        <w:rPr>
          <w:rFonts w:ascii="Arial" w:cs="Arial" w:eastAsia="Arial" w:hAnsi="Arial"/>
          <w:sz w:val="14"/>
          <w:szCs w:val="14"/>
          <w:b w:val="1"/>
          <w:bCs w:val="1"/>
          <w:color w:val="auto"/>
        </w:rPr>
      </w:pPr>
    </w:p>
    <w:p>
      <w:pPr>
        <w:ind w:left="480" w:hanging="220"/>
        <w:spacing w:after="0"/>
        <w:tabs>
          <w:tab w:leader="none" w:pos="48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7x Line 3 (clause (ii))</w:t>
      </w:r>
    </w:p>
    <w:p>
      <w:pPr>
        <w:spacing w:after="0" w:line="191" w:lineRule="exact"/>
        <w:rPr>
          <w:rFonts w:ascii="Arial" w:cs="Arial" w:eastAsia="Arial" w:hAnsi="Arial"/>
          <w:sz w:val="14"/>
          <w:szCs w:val="14"/>
          <w:b w:val="1"/>
          <w:bCs w:val="1"/>
          <w:color w:val="auto"/>
        </w:rPr>
      </w:pPr>
    </w:p>
    <w:p>
      <w:pPr>
        <w:ind w:left="480" w:hanging="220"/>
        <w:spacing w:after="0"/>
        <w:tabs>
          <w:tab w:leader="none" w:pos="48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Line 2 plus Line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13335</wp:posOffset>
            </wp:positionV>
            <wp:extent cx="256286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-210185</wp:posOffset>
            </wp:positionV>
            <wp:extent cx="25628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-433705</wp:posOffset>
            </wp:positionV>
            <wp:extent cx="256286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-982980</wp:posOffset>
            </wp:positionV>
            <wp:extent cx="25628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698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-1315085</wp:posOffset>
            </wp:positionV>
            <wp:extent cx="256286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698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6.  </w:t>
            </w:r>
            <w:r>
              <w:rPr>
                <w:rFonts w:ascii="Arial" w:cs="Arial" w:eastAsia="Arial" w:hAnsi="Arial"/>
                <w:sz w:val="14"/>
                <w:szCs w:val="14"/>
                <w:color w:val="auto"/>
              </w:rPr>
              <w:t>Is Line 1 greater than or equal to Line 5?</w:t>
            </w:r>
          </w:p>
        </w:tc>
        <w:tc>
          <w:tcPr>
            <w:tcW w:w="1600" w:type="dxa"/>
            <w:vAlign w:val="bottom"/>
          </w:tcPr>
          <w:p>
            <w:pPr>
              <w:ind w:left="480"/>
              <w:spacing w:after="0"/>
              <w:rPr>
                <w:sz w:val="20"/>
                <w:szCs w:val="20"/>
                <w:color w:val="auto"/>
              </w:rPr>
            </w:pPr>
            <w:r>
              <w:rPr>
                <w:rFonts w:ascii="Arial" w:cs="Arial" w:eastAsia="Arial" w:hAnsi="Arial"/>
                <w:sz w:val="14"/>
                <w:szCs w:val="14"/>
                <w:color w:val="auto"/>
              </w:rPr>
              <w:t>Yes</w:t>
            </w:r>
          </w:p>
        </w:tc>
        <w:tc>
          <w:tcPr>
            <w:tcW w:w="1860" w:type="dxa"/>
            <w:vAlign w:val="bottom"/>
          </w:tcPr>
          <w:p>
            <w:pPr>
              <w:ind w:left="900"/>
              <w:spacing w:after="0"/>
              <w:rPr>
                <w:sz w:val="20"/>
                <w:szCs w:val="20"/>
                <w:color w:val="auto"/>
              </w:rPr>
            </w:pPr>
            <w:r>
              <w:rPr>
                <w:rFonts w:ascii="Arial" w:cs="Arial" w:eastAsia="Arial" w:hAnsi="Arial"/>
                <w:sz w:val="14"/>
                <w:szCs w:val="14"/>
                <w:color w:val="auto"/>
              </w:rPr>
              <w:t>No</w:t>
            </w:r>
          </w:p>
        </w:tc>
        <w:tc>
          <w:tcPr>
            <w:tcW w:w="1060" w:type="dxa"/>
            <w:vAlign w:val="bottom"/>
          </w:tcPr>
          <w:p>
            <w:pPr>
              <w:spacing w:after="0"/>
              <w:rPr>
                <w:sz w:val="16"/>
                <w:szCs w:val="16"/>
                <w:color w:val="auto"/>
              </w:rPr>
            </w:pPr>
          </w:p>
        </w:tc>
      </w:tr>
      <w:tr>
        <w:trPr>
          <w:trHeight w:val="310"/>
        </w:trPr>
        <w:tc>
          <w:tcPr>
            <w:tcW w:w="2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Other Matters</w:t>
            </w:r>
          </w:p>
        </w:tc>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3"/>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79"/>
              </w:rPr>
              <w:t>1)</w:t>
            </w:r>
          </w:p>
        </w:tc>
        <w:tc>
          <w:tcPr>
            <w:tcW w:w="5320" w:type="dxa"/>
            <w:vAlign w:val="bottom"/>
            <w:gridSpan w:val="2"/>
          </w:tcPr>
          <w:p>
            <w:pPr>
              <w:ind w:left="80"/>
              <w:spacing w:after="0"/>
              <w:rPr>
                <w:sz w:val="20"/>
                <w:szCs w:val="20"/>
                <w:color w:val="auto"/>
              </w:rPr>
            </w:pPr>
            <w:r>
              <w:rPr>
                <w:rFonts w:ascii="Arial" w:cs="Arial" w:eastAsia="Arial" w:hAnsi="Arial"/>
                <w:sz w:val="14"/>
                <w:szCs w:val="14"/>
                <w:color w:val="auto"/>
                <w:w w:val="99"/>
              </w:rPr>
              <w:t>Have there been any changes in Key Persons since the last Compliance Certificate?</w:t>
            </w:r>
          </w:p>
        </w:tc>
        <w:tc>
          <w:tcPr>
            <w:tcW w:w="1600" w:type="dxa"/>
            <w:vAlign w:val="bottom"/>
          </w:tcPr>
          <w:p>
            <w:pPr>
              <w:spacing w:after="0"/>
              <w:rPr>
                <w:sz w:val="24"/>
                <w:szCs w:val="24"/>
                <w:color w:val="auto"/>
              </w:rPr>
            </w:pPr>
          </w:p>
        </w:tc>
        <w:tc>
          <w:tcPr>
            <w:tcW w:w="1860" w:type="dxa"/>
            <w:vAlign w:val="bottom"/>
          </w:tcPr>
          <w:p>
            <w:pPr>
              <w:ind w:left="1220"/>
              <w:spacing w:after="0"/>
              <w:rPr>
                <w:sz w:val="20"/>
                <w:szCs w:val="20"/>
                <w:color w:val="auto"/>
              </w:rPr>
            </w:pPr>
            <w:r>
              <w:rPr>
                <w:rFonts w:ascii="Arial" w:cs="Arial" w:eastAsia="Arial" w:hAnsi="Arial"/>
                <w:sz w:val="14"/>
                <w:szCs w:val="14"/>
                <w:color w:val="auto"/>
              </w:rPr>
              <w:t>Yes</w:t>
            </w:r>
          </w:p>
        </w:tc>
        <w:tc>
          <w:tcPr>
            <w:tcW w:w="1060" w:type="dxa"/>
            <w:vAlign w:val="bottom"/>
          </w:tcPr>
          <w:p>
            <w:pPr>
              <w:ind w:left="420"/>
              <w:spacing w:after="0"/>
              <w:rPr>
                <w:sz w:val="20"/>
                <w:szCs w:val="20"/>
                <w:color w:val="auto"/>
              </w:rPr>
            </w:pPr>
            <w:r>
              <w:rPr>
                <w:rFonts w:ascii="Arial" w:cs="Arial" w:eastAsia="Arial" w:hAnsi="Arial"/>
                <w:sz w:val="14"/>
                <w:szCs w:val="14"/>
                <w:color w:val="auto"/>
              </w:rPr>
              <w:t>No</w:t>
            </w:r>
          </w:p>
        </w:tc>
      </w:tr>
      <w:tr>
        <w:trPr>
          <w:trHeight w:val="611"/>
        </w:trPr>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19" w:name="page120"/>
    <w:bookmarkEnd w:id="119"/>
    <w:p>
      <w:pPr>
        <w:ind w:left="337" w:hanging="337"/>
        <w:spacing w:after="0"/>
        <w:tabs>
          <w:tab w:leader="none" w:pos="337"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Have there been any transfers/sales/disposals/retirement of Collateral or IP prohibited by the Loan Agreement?</w:t>
      </w:r>
    </w:p>
    <w:p>
      <w:pPr>
        <w:spacing w:after="0" w:line="180" w:lineRule="exact"/>
        <w:rPr>
          <w:rFonts w:ascii="Arial" w:cs="Arial" w:eastAsia="Arial" w:hAnsi="Arial"/>
          <w:sz w:val="14"/>
          <w:szCs w:val="14"/>
          <w:b w:val="1"/>
          <w:bCs w:val="1"/>
          <w:color w:val="auto"/>
        </w:rPr>
      </w:pPr>
    </w:p>
    <w:p>
      <w:pPr>
        <w:ind w:left="337" w:right="580" w:hanging="337"/>
        <w:spacing w:after="0" w:line="183" w:lineRule="auto"/>
        <w:tabs>
          <w:tab w:leader="none" w:pos="337" w:val="left"/>
        </w:tabs>
        <w:numPr>
          <w:ilvl w:val="0"/>
          <w:numId w:val="111"/>
        </w:numPr>
        <w:rPr>
          <w:rFonts w:ascii="Arial" w:cs="Arial" w:eastAsia="Arial" w:hAnsi="Arial"/>
          <w:sz w:val="26"/>
          <w:szCs w:val="26"/>
          <w:b w:val="1"/>
          <w:bCs w:val="1"/>
          <w:color w:val="auto"/>
          <w:vertAlign w:val="subscript"/>
        </w:rPr>
      </w:pPr>
      <w:r>
        <w:rPr>
          <w:rFonts w:ascii="Arial" w:cs="Arial" w:eastAsia="Arial" w:hAnsi="Arial"/>
          <w:sz w:val="14"/>
          <w:szCs w:val="14"/>
          <w:color w:val="auto"/>
        </w:rPr>
        <w:t>Have there been any new or pending claims or causes of action against Borrower that involve more than Two Hundred Fifty Thousand Dollars ($250,000.00)?</w:t>
      </w:r>
    </w:p>
    <w:p>
      <w:pPr>
        <w:spacing w:after="0" w:line="161" w:lineRule="exact"/>
        <w:rPr>
          <w:rFonts w:ascii="Arial" w:cs="Arial" w:eastAsia="Arial" w:hAnsi="Arial"/>
          <w:sz w:val="26"/>
          <w:szCs w:val="26"/>
          <w:b w:val="1"/>
          <w:bCs w:val="1"/>
          <w:color w:val="auto"/>
          <w:vertAlign w:val="subscript"/>
        </w:rPr>
      </w:pPr>
    </w:p>
    <w:p>
      <w:pPr>
        <w:ind w:left="337" w:right="240" w:hanging="337"/>
        <w:spacing w:after="0" w:line="183" w:lineRule="auto"/>
        <w:tabs>
          <w:tab w:leader="none" w:pos="337" w:val="left"/>
        </w:tabs>
        <w:numPr>
          <w:ilvl w:val="0"/>
          <w:numId w:val="111"/>
        </w:numPr>
        <w:rPr>
          <w:rFonts w:ascii="Arial" w:cs="Arial" w:eastAsia="Arial" w:hAnsi="Arial"/>
          <w:sz w:val="26"/>
          <w:szCs w:val="26"/>
          <w:b w:val="1"/>
          <w:bCs w:val="1"/>
          <w:color w:val="auto"/>
          <w:vertAlign w:val="subscript"/>
        </w:rPr>
      </w:pPr>
      <w:r>
        <w:rPr>
          <w:rFonts w:ascii="Arial" w:cs="Arial" w:eastAsia="Arial" w:hAnsi="Arial"/>
          <w:sz w:val="14"/>
          <w:szCs w:val="14"/>
          <w:color w:val="auto"/>
        </w:rPr>
        <w:t>Has Borrower provided the Collateral Agent with all notices required to be delivered under Sections 6.2(a) and 6.2(b) of the Loan Agreement?</w:t>
      </w:r>
    </w:p>
    <w:p>
      <w:pPr>
        <w:spacing w:after="0" w:line="89" w:lineRule="exact"/>
        <w:rPr>
          <w:rFonts w:ascii="Arial" w:cs="Arial" w:eastAsia="Arial" w:hAnsi="Arial"/>
          <w:sz w:val="26"/>
          <w:szCs w:val="26"/>
          <w:b w:val="1"/>
          <w:bCs w:val="1"/>
          <w:color w:val="auto"/>
          <w:vertAlign w:val="subscript"/>
        </w:rPr>
      </w:pPr>
    </w:p>
    <w:p>
      <w:pPr>
        <w:ind w:left="337" w:hanging="337"/>
        <w:spacing w:after="0"/>
        <w:tabs>
          <w:tab w:leader="none" w:pos="337" w:val="left"/>
        </w:tabs>
        <w:numPr>
          <w:ilvl w:val="0"/>
          <w:numId w:val="111"/>
        </w:numPr>
        <w:rPr>
          <w:rFonts w:ascii="Arial" w:cs="Arial" w:eastAsia="Arial" w:hAnsi="Arial"/>
          <w:sz w:val="22"/>
          <w:szCs w:val="22"/>
          <w:b w:val="1"/>
          <w:bCs w:val="1"/>
          <w:color w:val="auto"/>
          <w:vertAlign w:val="subscript"/>
        </w:rPr>
      </w:pPr>
      <w:r>
        <w:rPr>
          <w:rFonts w:ascii="Arial" w:cs="Arial" w:eastAsia="Arial" w:hAnsi="Arial"/>
          <w:sz w:val="12"/>
          <w:szCs w:val="12"/>
          <w:color w:val="auto"/>
        </w:rPr>
        <w:t>With respect to each Foreign Subsidiary, do any hold assets worth One Hundred Thousand Dollars ($100,000) or more in book value?</w:t>
      </w:r>
    </w:p>
    <w:p>
      <w:pPr>
        <w:spacing w:after="0" w:line="331" w:lineRule="exact"/>
        <w:rPr>
          <w:rFonts w:ascii="Arial" w:cs="Arial" w:eastAsia="Arial" w:hAnsi="Arial"/>
          <w:sz w:val="22"/>
          <w:szCs w:val="22"/>
          <w:b w:val="1"/>
          <w:bCs w:val="1"/>
          <w:color w:val="auto"/>
          <w:vertAlign w:val="subscript"/>
        </w:rPr>
      </w:pPr>
    </w:p>
    <w:p>
      <w:pPr>
        <w:ind w:left="337" w:right="260" w:hanging="337"/>
        <w:spacing w:after="0" w:line="183" w:lineRule="auto"/>
        <w:tabs>
          <w:tab w:leader="none" w:pos="337" w:val="left"/>
        </w:tabs>
        <w:numPr>
          <w:ilvl w:val="0"/>
          <w:numId w:val="111"/>
        </w:numPr>
        <w:rPr>
          <w:rFonts w:ascii="Arial" w:cs="Arial" w:eastAsia="Arial" w:hAnsi="Arial"/>
          <w:sz w:val="26"/>
          <w:szCs w:val="26"/>
          <w:b w:val="1"/>
          <w:bCs w:val="1"/>
          <w:color w:val="auto"/>
          <w:vertAlign w:val="subscript"/>
        </w:rPr>
      </w:pPr>
      <w:r>
        <w:rPr>
          <w:rFonts w:ascii="Arial" w:cs="Arial" w:eastAsia="Arial" w:hAnsi="Arial"/>
          <w:sz w:val="14"/>
          <w:szCs w:val="14"/>
          <w:color w:val="auto"/>
        </w:rPr>
        <w:t>If the answer to question 5 is Yes, has the Company provided certificates representing a pledge of 65% of the stock, units or other evidence of ownership held by Borrower or Guarantor of such Foreign Subsidiary?</w:t>
      </w:r>
    </w:p>
    <w:p>
      <w:pPr>
        <w:spacing w:after="0" w:line="161" w:lineRule="exact"/>
        <w:rPr>
          <w:rFonts w:ascii="Arial" w:cs="Arial" w:eastAsia="Arial" w:hAnsi="Arial"/>
          <w:sz w:val="26"/>
          <w:szCs w:val="26"/>
          <w:b w:val="1"/>
          <w:bCs w:val="1"/>
          <w:color w:val="auto"/>
          <w:vertAlign w:val="subscript"/>
        </w:rPr>
      </w:pPr>
    </w:p>
    <w:p>
      <w:pPr>
        <w:ind w:left="337" w:right="2900" w:hanging="337"/>
        <w:spacing w:after="0" w:line="538" w:lineRule="auto"/>
        <w:tabs>
          <w:tab w:leader="none" w:pos="337"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Have you entered into a Material Agreement since the last Compliance Certificate? [If yes,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642112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26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352"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352"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352"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26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ectPr>
          <w:pgSz w:w="11900" w:h="16838" w:orient="portrait"/>
          <w:cols w:equalWidth="0" w:num="2">
            <w:col w:w="7977" w:space="420"/>
            <w:col w:w="1240"/>
          </w:cols>
          <w:pgMar w:left="903" w:top="129" w:right="135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auto"/>
        </w:rPr>
        <w:t>Exceptions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Please explain any exceptions with respect to the certification above: (If no exceptions exist, state “No exceptions.” Attach separate sheet if additional space needed.)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ARDELYX, INC.</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-100965</wp:posOffset>
            </wp:positionV>
            <wp:extent cx="219011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9011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19685</wp:posOffset>
            </wp:positionV>
            <wp:extent cx="219011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90115" cy="698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-94615</wp:posOffset>
            </wp:positionV>
            <wp:extent cx="219011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90115" cy="698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gridSpan w:val="3"/>
          </w:tcPr>
          <w:p>
            <w:pPr>
              <w:ind w:left="5040"/>
              <w:spacing w:after="0"/>
              <w:rPr>
                <w:sz w:val="20"/>
                <w:szCs w:val="20"/>
                <w:color w:val="auto"/>
              </w:rPr>
            </w:pPr>
            <w:r>
              <w:rPr>
                <w:rFonts w:ascii="Arial" w:cs="Arial" w:eastAsia="Arial" w:hAnsi="Arial"/>
                <w:sz w:val="14"/>
                <w:szCs w:val="14"/>
                <w:b w:val="1"/>
                <w:bCs w:val="1"/>
                <w:color w:val="auto"/>
              </w:rPr>
              <w:t>COLLATERAL AGENT USE ONLY</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2"/>
        </w:trPr>
        <w:tc>
          <w:tcPr>
            <w:tcW w:w="6080" w:type="dxa"/>
            <w:vAlign w:val="bottom"/>
          </w:tcPr>
          <w:p>
            <w:pPr>
              <w:ind w:left="5040"/>
              <w:spacing w:after="0"/>
              <w:rPr>
                <w:sz w:val="20"/>
                <w:szCs w:val="20"/>
                <w:color w:val="auto"/>
              </w:rPr>
            </w:pPr>
            <w:r>
              <w:rPr>
                <w:rFonts w:ascii="Arial" w:cs="Arial" w:eastAsia="Arial" w:hAnsi="Arial"/>
                <w:sz w:val="14"/>
                <w:szCs w:val="14"/>
                <w:color w:val="auto"/>
              </w:rPr>
              <w:t>Received by:</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Date:</w:t>
            </w:r>
          </w:p>
        </w:tc>
        <w:tc>
          <w:tcPr>
            <w:tcW w:w="1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6080" w:type="dxa"/>
            <w:vAlign w:val="bottom"/>
          </w:tcPr>
          <w:p>
            <w:pPr>
              <w:ind w:left="5040"/>
              <w:spacing w:after="0"/>
              <w:rPr>
                <w:sz w:val="20"/>
                <w:szCs w:val="20"/>
                <w:color w:val="auto"/>
              </w:rPr>
            </w:pPr>
            <w:r>
              <w:rPr>
                <w:rFonts w:ascii="Arial" w:cs="Arial" w:eastAsia="Arial" w:hAnsi="Arial"/>
                <w:sz w:val="14"/>
                <w:szCs w:val="14"/>
                <w:color w:val="auto"/>
              </w:rPr>
              <w:t>Verified by:</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Date:</w:t>
            </w:r>
          </w:p>
        </w:tc>
        <w:tc>
          <w:tcPr>
            <w:tcW w:w="1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1"/>
        </w:trPr>
        <w:tc>
          <w:tcPr>
            <w:tcW w:w="6380" w:type="dxa"/>
            <w:vAlign w:val="bottom"/>
            <w:gridSpan w:val="2"/>
          </w:tcPr>
          <w:p>
            <w:pPr>
              <w:ind w:left="5040"/>
              <w:spacing w:after="0"/>
              <w:rPr>
                <w:sz w:val="20"/>
                <w:szCs w:val="20"/>
                <w:color w:val="auto"/>
              </w:rPr>
            </w:pPr>
            <w:r>
              <w:rPr>
                <w:rFonts w:ascii="Arial" w:cs="Arial" w:eastAsia="Arial" w:hAnsi="Arial"/>
                <w:sz w:val="14"/>
                <w:szCs w:val="14"/>
                <w:color w:val="auto"/>
              </w:rPr>
              <w:t>Compliance Status:</w:t>
            </w:r>
          </w:p>
        </w:tc>
        <w:tc>
          <w:tcPr>
            <w:tcW w:w="1080" w:type="dxa"/>
            <w:vAlign w:val="bottom"/>
          </w:tcPr>
          <w:p>
            <w:pPr>
              <w:ind w:left="200"/>
              <w:spacing w:after="0"/>
              <w:rPr>
                <w:sz w:val="20"/>
                <w:szCs w:val="20"/>
                <w:color w:val="auto"/>
              </w:rPr>
            </w:pPr>
            <w:r>
              <w:rPr>
                <w:rFonts w:ascii="Arial" w:cs="Arial" w:eastAsia="Arial" w:hAnsi="Arial"/>
                <w:sz w:val="14"/>
                <w:szCs w:val="14"/>
                <w:color w:val="auto"/>
              </w:rPr>
              <w:t>Yes</w:t>
            </w:r>
          </w:p>
        </w:tc>
        <w:tc>
          <w:tcPr>
            <w:tcW w:w="2640" w:type="dxa"/>
            <w:vAlign w:val="bottom"/>
            <w:gridSpan w:val="4"/>
          </w:tcPr>
          <w:p>
            <w:pPr>
              <w:ind w:left="140"/>
              <w:spacing w:after="0"/>
              <w:rPr>
                <w:sz w:val="20"/>
                <w:szCs w:val="20"/>
                <w:color w:val="auto"/>
              </w:rPr>
            </w:pPr>
            <w:r>
              <w:rPr>
                <w:rFonts w:ascii="Arial" w:cs="Arial" w:eastAsia="Arial" w:hAnsi="Arial"/>
                <w:sz w:val="14"/>
                <w:szCs w:val="14"/>
                <w:color w:val="auto"/>
              </w:rPr>
              <w:t>No</w:t>
            </w:r>
          </w:p>
        </w:tc>
      </w:tr>
      <w:tr>
        <w:trPr>
          <w:trHeight w:val="782"/>
        </w:trPr>
        <w:tc>
          <w:tcPr>
            <w:tcW w:w="6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21" w:name="page122"/>
    <w:bookmarkEnd w:id="121"/>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EXHIBIT E</w:t>
            </w:r>
          </w:p>
        </w:tc>
        <w:tc>
          <w:tcPr>
            <w:tcW w:w="3580" w:type="dxa"/>
            <w:vAlign w:val="bottom"/>
          </w:tcPr>
          <w:p>
            <w:pPr>
              <w:spacing w:after="0"/>
              <w:rPr>
                <w:sz w:val="16"/>
                <w:szCs w:val="16"/>
                <w:color w:val="auto"/>
              </w:rPr>
            </w:pPr>
          </w:p>
        </w:tc>
      </w:tr>
      <w:tr>
        <w:trPr>
          <w:trHeight w:val="310"/>
        </w:trPr>
        <w:tc>
          <w:tcPr>
            <w:tcW w:w="1080" w:type="dxa"/>
            <w:vAlign w:val="bottom"/>
          </w:tcPr>
          <w:p>
            <w:pPr>
              <w:spacing w:after="0"/>
              <w:rPr>
                <w:sz w:val="24"/>
                <w:szCs w:val="24"/>
                <w:color w:val="auto"/>
              </w:rPr>
            </w:pPr>
          </w:p>
        </w:tc>
        <w:tc>
          <w:tcPr>
            <w:tcW w:w="5420" w:type="dxa"/>
            <w:vAlign w:val="bottom"/>
            <w:gridSpan w:val="2"/>
          </w:tcPr>
          <w:p>
            <w:pPr>
              <w:jc w:val="center"/>
              <w:ind w:left="2469"/>
              <w:spacing w:after="0"/>
              <w:rPr>
                <w:sz w:val="20"/>
                <w:szCs w:val="20"/>
                <w:color w:val="auto"/>
              </w:rPr>
            </w:pPr>
            <w:r>
              <w:rPr>
                <w:rFonts w:ascii="Arial" w:cs="Arial" w:eastAsia="Arial" w:hAnsi="Arial"/>
                <w:sz w:val="14"/>
                <w:szCs w:val="14"/>
                <w:b w:val="1"/>
                <w:bCs w:val="1"/>
                <w:color w:val="auto"/>
              </w:rPr>
              <w:t>CORPORATE BORROWING CERTIFICATE</w:t>
            </w:r>
          </w:p>
        </w:tc>
        <w:tc>
          <w:tcPr>
            <w:tcW w:w="3580" w:type="dxa"/>
            <w:vAlign w:val="bottom"/>
          </w:tcPr>
          <w:p>
            <w:pPr>
              <w:spacing w:after="0"/>
              <w:rPr>
                <w:sz w:val="24"/>
                <w:szCs w:val="24"/>
                <w:color w:val="auto"/>
              </w:rPr>
            </w:pPr>
          </w:p>
        </w:tc>
      </w:tr>
      <w:tr>
        <w:trPr>
          <w:trHeight w:val="339"/>
        </w:trPr>
        <w:tc>
          <w:tcPr>
            <w:tcW w:w="1080" w:type="dxa"/>
            <w:vAlign w:val="bottom"/>
          </w:tcPr>
          <w:p>
            <w:pPr>
              <w:spacing w:after="0"/>
              <w:rPr>
                <w:sz w:val="20"/>
                <w:szCs w:val="20"/>
                <w:color w:val="auto"/>
              </w:rPr>
            </w:pPr>
            <w:r>
              <w:rPr>
                <w:rFonts w:ascii="Arial" w:cs="Arial" w:eastAsia="Arial" w:hAnsi="Arial"/>
                <w:sz w:val="14"/>
                <w:szCs w:val="14"/>
                <w:b w:val="1"/>
                <w:bCs w:val="1"/>
                <w:color w:val="auto"/>
              </w:rPr>
              <w:t>BORROWER:</w:t>
            </w:r>
          </w:p>
        </w:tc>
        <w:tc>
          <w:tcPr>
            <w:tcW w:w="2540" w:type="dxa"/>
            <w:vAlign w:val="bottom"/>
          </w:tcPr>
          <w:p>
            <w:pPr>
              <w:ind w:left="200"/>
              <w:spacing w:after="0"/>
              <w:rPr>
                <w:sz w:val="20"/>
                <w:szCs w:val="20"/>
                <w:color w:val="auto"/>
              </w:rPr>
            </w:pPr>
            <w:r>
              <w:rPr>
                <w:rFonts w:ascii="Arial" w:cs="Arial" w:eastAsia="Arial" w:hAnsi="Arial"/>
                <w:sz w:val="14"/>
                <w:szCs w:val="14"/>
                <w:color w:val="auto"/>
              </w:rPr>
              <w:t>ARDELYX, INC.</w:t>
            </w:r>
          </w:p>
        </w:tc>
        <w:tc>
          <w:tcPr>
            <w:tcW w:w="2880" w:type="dxa"/>
            <w:vAlign w:val="bottom"/>
            <w:tcBorders>
              <w:top w:val="single" w:sz="8" w:color="auto"/>
            </w:tcBorders>
          </w:tcPr>
          <w:p>
            <w:pPr>
              <w:spacing w:after="0"/>
              <w:rPr>
                <w:sz w:val="24"/>
                <w:szCs w:val="24"/>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w w:val="96"/>
              </w:rPr>
              <w:t>DATE</w:t>
            </w:r>
            <w:r>
              <w:rPr>
                <w:rFonts w:ascii="Arial" w:cs="Arial" w:eastAsia="Arial" w:hAnsi="Arial"/>
                <w:sz w:val="14"/>
                <w:szCs w:val="14"/>
                <w:color w:val="auto"/>
                <w:w w:val="96"/>
              </w:rPr>
              <w:t>: May 16, 2018</w:t>
            </w:r>
          </w:p>
        </w:tc>
      </w:tr>
      <w:tr>
        <w:trPr>
          <w:trHeight w:val="175"/>
        </w:trPr>
        <w:tc>
          <w:tcPr>
            <w:tcW w:w="108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5420" w:type="dxa"/>
            <w:vAlign w:val="bottom"/>
            <w:gridSpan w:val="2"/>
          </w:tcPr>
          <w:p>
            <w:pPr>
              <w:ind w:left="200"/>
              <w:spacing w:after="0"/>
              <w:rPr>
                <w:sz w:val="20"/>
                <w:szCs w:val="20"/>
                <w:color w:val="auto"/>
              </w:rPr>
            </w:pPr>
            <w:r>
              <w:rPr>
                <w:rFonts w:ascii="Arial" w:cs="Arial" w:eastAsia="Arial" w:hAnsi="Arial"/>
                <w:sz w:val="14"/>
                <w:szCs w:val="14"/>
                <w:color w:val="auto"/>
              </w:rPr>
              <w:t>SOLAR CAPITAL LTD., as Collateral Agent and Lender</w:t>
            </w:r>
          </w:p>
        </w:tc>
        <w:tc>
          <w:tcPr>
            <w:tcW w:w="3580" w:type="dxa"/>
            <w:vAlign w:val="bottom"/>
          </w:tcPr>
          <w:p>
            <w:pPr>
              <w:spacing w:after="0"/>
              <w:rPr>
                <w:sz w:val="15"/>
                <w:szCs w:val="15"/>
                <w:color w:val="auto"/>
              </w:rPr>
            </w:pPr>
          </w:p>
        </w:tc>
      </w:tr>
      <w:tr>
        <w:trPr>
          <w:trHeight w:val="181"/>
        </w:trPr>
        <w:tc>
          <w:tcPr>
            <w:tcW w:w="1080" w:type="dxa"/>
            <w:vAlign w:val="bottom"/>
          </w:tcPr>
          <w:p>
            <w:pPr>
              <w:spacing w:after="0"/>
              <w:rPr>
                <w:sz w:val="15"/>
                <w:szCs w:val="15"/>
                <w:color w:val="auto"/>
              </w:rPr>
            </w:pPr>
          </w:p>
        </w:tc>
        <w:tc>
          <w:tcPr>
            <w:tcW w:w="5420" w:type="dxa"/>
            <w:vAlign w:val="bottom"/>
            <w:gridSpan w:val="2"/>
          </w:tcPr>
          <w:p>
            <w:pPr>
              <w:ind w:left="200"/>
              <w:spacing w:after="0"/>
              <w:rPr>
                <w:sz w:val="20"/>
                <w:szCs w:val="20"/>
                <w:color w:val="auto"/>
              </w:rPr>
            </w:pPr>
            <w:r>
              <w:rPr>
                <w:rFonts w:ascii="Arial" w:cs="Arial" w:eastAsia="Arial" w:hAnsi="Arial"/>
                <w:sz w:val="14"/>
                <w:szCs w:val="14"/>
                <w:color w:val="auto"/>
              </w:rPr>
              <w:t>WESTERN ALLIANCE BANK, as Lender</w:t>
            </w:r>
          </w:p>
        </w:tc>
        <w:tc>
          <w:tcPr>
            <w:tcW w:w="3580" w:type="dxa"/>
            <w:vAlign w:val="bottom"/>
          </w:tcPr>
          <w:p>
            <w:pPr>
              <w:spacing w:after="0"/>
              <w:rPr>
                <w:sz w:val="15"/>
                <w:szCs w:val="15"/>
                <w:color w:val="auto"/>
              </w:rPr>
            </w:pPr>
          </w:p>
        </w:tc>
      </w:tr>
    </w:tbl>
    <w:p>
      <w:pPr>
        <w:spacing w:after="0" w:line="161" w:lineRule="exact"/>
        <w:rPr>
          <w:sz w:val="20"/>
          <w:szCs w:val="20"/>
          <w:color w:val="auto"/>
        </w:rPr>
      </w:pPr>
    </w:p>
    <w:p>
      <w:pPr>
        <w:ind w:left="1"/>
        <w:spacing w:after="0"/>
        <w:rPr>
          <w:sz w:val="20"/>
          <w:szCs w:val="20"/>
          <w:color w:val="auto"/>
        </w:rPr>
      </w:pPr>
      <w:r>
        <w:rPr>
          <w:rFonts w:ascii="Arial" w:cs="Arial" w:eastAsia="Arial" w:hAnsi="Arial"/>
          <w:sz w:val="14"/>
          <w:szCs w:val="14"/>
          <w:color w:val="auto"/>
        </w:rPr>
        <w:t>I hereby certify, solely in my capacity as an officer of Borrower and not in my individual capacity, as follows, as of the date set forth above:</w:t>
      </w:r>
    </w:p>
    <w:p>
      <w:pPr>
        <w:spacing w:after="0" w:line="181" w:lineRule="exact"/>
        <w:rPr>
          <w:sz w:val="20"/>
          <w:szCs w:val="20"/>
          <w:color w:val="auto"/>
        </w:rPr>
      </w:pPr>
    </w:p>
    <w:p>
      <w:pPr>
        <w:ind w:left="541" w:hanging="541"/>
        <w:spacing w:after="0"/>
        <w:tabs>
          <w:tab w:leader="none" w:pos="54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 am the Secretary or other officer of Borrower. My title is as set forth below.</w:t>
      </w:r>
    </w:p>
    <w:p>
      <w:pPr>
        <w:spacing w:after="0" w:line="180" w:lineRule="exact"/>
        <w:rPr>
          <w:rFonts w:ascii="Arial" w:cs="Arial" w:eastAsia="Arial" w:hAnsi="Arial"/>
          <w:sz w:val="14"/>
          <w:szCs w:val="14"/>
          <w:color w:val="auto"/>
        </w:rPr>
      </w:pPr>
    </w:p>
    <w:p>
      <w:pPr>
        <w:ind w:left="541" w:hanging="541"/>
        <w:spacing w:after="0"/>
        <w:tabs>
          <w:tab w:leader="none" w:pos="54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Borrower’s exact legal name is set forth above. Borrower is a corporation existing under the laws of the State of Delaware.</w:t>
      </w:r>
    </w:p>
    <w:p>
      <w:pPr>
        <w:spacing w:after="0" w:line="180" w:lineRule="exact"/>
        <w:rPr>
          <w:rFonts w:ascii="Arial" w:cs="Arial" w:eastAsia="Arial" w:hAnsi="Arial"/>
          <w:sz w:val="14"/>
          <w:szCs w:val="14"/>
          <w:color w:val="auto"/>
        </w:rPr>
      </w:pPr>
    </w:p>
    <w:p>
      <w:pPr>
        <w:jc w:val="both"/>
        <w:ind w:left="1" w:hanging="1"/>
        <w:spacing w:after="0" w:line="264" w:lineRule="auto"/>
        <w:tabs>
          <w:tab w:leader="none" w:pos="569"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Exhibit B</w:t>
      </w:r>
      <w:r>
        <w:rPr>
          <w:rFonts w:ascii="Arial" w:cs="Arial" w:eastAsia="Arial" w:hAnsi="Arial"/>
          <w:sz w:val="14"/>
          <w:szCs w:val="14"/>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45" w:lineRule="exact"/>
        <w:rPr>
          <w:rFonts w:ascii="Arial" w:cs="Arial" w:eastAsia="Arial" w:hAnsi="Arial"/>
          <w:sz w:val="14"/>
          <w:szCs w:val="14"/>
          <w:color w:val="auto"/>
        </w:rPr>
      </w:pPr>
    </w:p>
    <w:p>
      <w:pPr>
        <w:jc w:val="both"/>
        <w:ind w:left="1" w:hanging="1"/>
        <w:spacing w:after="0" w:line="299" w:lineRule="auto"/>
        <w:tabs>
          <w:tab w:leader="none" w:pos="64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following resolutions were duly and validly adopted by Borrower’s board of directors (or a duly authorized committee thereof)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Balance of Page Intentionally Left Blank</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394970</wp:posOffset>
            </wp:positionV>
            <wp:extent cx="642112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21120" cy="13335"/>
                    </a:xfrm>
                    <a:prstGeom prst="rect">
                      <a:avLst/>
                    </a:prstGeom>
                    <a:noFill/>
                  </pic:spPr>
                </pic:pic>
              </a:graphicData>
            </a:graphic>
          </wp:anchor>
        </w:drawing>
      </w:r>
    </w:p>
    <w:p>
      <w:pPr>
        <w:sectPr>
          <w:pgSz w:w="11900" w:h="16838" w:orient="portrait"/>
          <w:cols w:equalWidth="0" w:num="1">
            <w:col w:w="10101"/>
          </w:cols>
          <w:pgMar w:left="899" w:top="125" w:right="89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that</w:t>
      </w:r>
      <w:r>
        <w:rPr>
          <w:rFonts w:ascii="Arial" w:cs="Arial" w:eastAsia="Arial" w:hAnsi="Arial"/>
          <w:sz w:val="14"/>
          <w:szCs w:val="14"/>
          <w:b w:val="1"/>
          <w:bCs w:val="1"/>
          <w:color w:val="auto"/>
        </w:rPr>
        <w:t xml:space="preserve"> any one </w:t>
      </w:r>
      <w:r>
        <w:rPr>
          <w:rFonts w:ascii="Arial" w:cs="Arial" w:eastAsia="Arial" w:hAnsi="Arial"/>
          <w:sz w:val="14"/>
          <w:szCs w:val="14"/>
          <w:color w:val="auto"/>
        </w:rPr>
        <w:t>of the following officers or employees of Borrower, whose names, titles and signatures are below, may act on behalf of Borrower:</w:t>
      </w:r>
    </w:p>
    <w:p>
      <w:pPr>
        <w:spacing w:after="0" w:line="89"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Authorized t</w:t>
            </w:r>
          </w:p>
        </w:tc>
      </w:tr>
      <w:tr>
        <w:trPr>
          <w:trHeight w:val="171"/>
        </w:trPr>
        <w:tc>
          <w:tcPr>
            <w:tcW w:w="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Add or Remo</w:t>
            </w:r>
          </w:p>
        </w:tc>
      </w:tr>
      <w:tr>
        <w:trPr>
          <w:trHeight w:val="149"/>
        </w:trPr>
        <w:tc>
          <w:tcPr>
            <w:tcW w:w="340" w:type="dxa"/>
            <w:vAlign w:val="bottom"/>
          </w:tcPr>
          <w:p>
            <w:pPr>
              <w:spacing w:after="0" w:line="149" w:lineRule="exact"/>
              <w:rPr>
                <w:sz w:val="20"/>
                <w:szCs w:val="20"/>
                <w:color w:val="auto"/>
              </w:rPr>
            </w:pPr>
            <w:r>
              <w:rPr>
                <w:rFonts w:ascii="Arial" w:cs="Arial" w:eastAsia="Arial" w:hAnsi="Arial"/>
                <w:sz w:val="14"/>
                <w:szCs w:val="14"/>
                <w:color w:val="auto"/>
                <w:w w:val="85"/>
              </w:rPr>
              <w:t>Name</w:t>
            </w:r>
          </w:p>
        </w:tc>
        <w:tc>
          <w:tcPr>
            <w:tcW w:w="7920" w:type="dxa"/>
            <w:vAlign w:val="bottom"/>
            <w:gridSpan w:val="3"/>
          </w:tcPr>
          <w:p>
            <w:pPr>
              <w:ind w:left="4400"/>
              <w:spacing w:after="0" w:line="149" w:lineRule="exact"/>
              <w:rPr>
                <w:sz w:val="20"/>
                <w:szCs w:val="20"/>
                <w:color w:val="auto"/>
              </w:rPr>
            </w:pPr>
            <w:r>
              <w:rPr>
                <w:rFonts w:ascii="Arial" w:cs="Arial" w:eastAsia="Arial" w:hAnsi="Arial"/>
                <w:sz w:val="14"/>
                <w:szCs w:val="14"/>
                <w:color w:val="auto"/>
              </w:rPr>
              <w:t>Title</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Signature</w:t>
            </w:r>
          </w:p>
        </w:tc>
        <w:tc>
          <w:tcPr>
            <w:tcW w:w="4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Signatories</w:t>
            </w:r>
          </w:p>
        </w:tc>
      </w:tr>
      <w:tr>
        <w:trPr>
          <w:trHeight w:val="20"/>
        </w:trPr>
        <w:tc>
          <w:tcPr>
            <w:tcW w:w="3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jc w:val="right"/>
        <w:ind w:right="2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10795</wp:posOffset>
            </wp:positionV>
            <wp:extent cx="100330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03300" cy="698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10795</wp:posOffset>
            </wp:positionV>
            <wp:extent cx="16541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54175" cy="698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10795</wp:posOffset>
            </wp:positionV>
            <wp:extent cx="10033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3300" cy="6985"/>
                    </a:xfrm>
                    <a:prstGeom prst="rect">
                      <a:avLst/>
                    </a:prstGeom>
                    <a:noFill/>
                  </pic:spPr>
                </pic:pic>
              </a:graphicData>
            </a:graphic>
          </wp:anchor>
        </w:drawing>
      </w:r>
    </w:p>
    <w:p>
      <w:pPr>
        <w:spacing w:after="0" w:line="1" w:lineRule="exact"/>
        <w:rPr>
          <w:sz w:val="20"/>
          <w:szCs w:val="20"/>
          <w:color w:val="auto"/>
        </w:rPr>
      </w:pPr>
    </w:p>
    <w:p>
      <w:pPr>
        <w:jc w:val="right"/>
        <w:ind w:right="2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635</wp:posOffset>
            </wp:positionV>
            <wp:extent cx="100330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03300" cy="698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635</wp:posOffset>
            </wp:positionV>
            <wp:extent cx="165417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54175" cy="698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635</wp:posOffset>
            </wp:positionV>
            <wp:extent cx="10033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03300" cy="6985"/>
                    </a:xfrm>
                    <a:prstGeom prst="rect">
                      <a:avLst/>
                    </a:prstGeom>
                    <a:noFill/>
                  </pic:spPr>
                </pic:pic>
              </a:graphicData>
            </a:graphic>
          </wp:anchor>
        </w:drawing>
      </w:r>
    </w:p>
    <w:p>
      <w:pPr>
        <w:jc w:val="right"/>
        <w:ind w:right="2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635</wp:posOffset>
            </wp:positionV>
            <wp:extent cx="100330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3300" cy="698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635</wp:posOffset>
            </wp:positionV>
            <wp:extent cx="165417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54175" cy="698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635</wp:posOffset>
            </wp:positionV>
            <wp:extent cx="100330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3300" cy="6985"/>
                    </a:xfrm>
                    <a:prstGeom prst="rect">
                      <a:avLst/>
                    </a:prstGeom>
                    <a:noFill/>
                  </pic:spPr>
                </pic:pic>
              </a:graphicData>
            </a:graphic>
          </wp:anchor>
        </w:drawing>
      </w:r>
    </w:p>
    <w:p>
      <w:pPr>
        <w:jc w:val="right"/>
        <w:ind w:right="2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635</wp:posOffset>
            </wp:positionV>
            <wp:extent cx="10033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03300" cy="698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635</wp:posOffset>
            </wp:positionV>
            <wp:extent cx="16541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4175" cy="698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635</wp:posOffset>
            </wp:positionV>
            <wp:extent cx="10033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03300" cy="6985"/>
                    </a:xfrm>
                    <a:prstGeom prst="rect">
                      <a:avLst/>
                    </a:prstGeom>
                    <a:noFill/>
                  </pic:spPr>
                </pic:pic>
              </a:graphicData>
            </a:graphic>
          </wp:anchor>
        </w:drawing>
      </w:r>
    </w:p>
    <w:p>
      <w:pPr>
        <w:spacing w:after="0" w:line="148" w:lineRule="exact"/>
        <w:rPr>
          <w:sz w:val="20"/>
          <w:szCs w:val="20"/>
          <w:color w:val="auto"/>
        </w:rPr>
      </w:pPr>
    </w:p>
    <w:p>
      <w:pPr>
        <w:ind w:right="760"/>
        <w:spacing w:after="0" w:line="290" w:lineRule="auto"/>
        <w:rPr>
          <w:sz w:val="20"/>
          <w:szCs w:val="20"/>
          <w:color w:val="auto"/>
        </w:rPr>
      </w:pPr>
      <w:r>
        <w:rPr>
          <w:rFonts w:ascii="Arial" w:cs="Arial" w:eastAsia="Arial" w:hAnsi="Arial"/>
          <w:sz w:val="14"/>
          <w:szCs w:val="14"/>
          <w:b w:val="1"/>
          <w:bCs w:val="1"/>
          <w:color w:val="auto"/>
        </w:rPr>
        <w:t xml:space="preserve">RESOLVED FURTHER, </w:t>
      </w:r>
      <w:r>
        <w:rPr>
          <w:rFonts w:ascii="Arial" w:cs="Arial" w:eastAsia="Arial" w:hAnsi="Arial"/>
          <w:sz w:val="14"/>
          <w:szCs w:val="14"/>
          <w:color w:val="auto"/>
        </w:rPr>
        <w:t>that</w:t>
      </w:r>
      <w:r>
        <w:rPr>
          <w:rFonts w:ascii="Arial" w:cs="Arial" w:eastAsia="Arial" w:hAnsi="Arial"/>
          <w:sz w:val="14"/>
          <w:szCs w:val="14"/>
          <w:b w:val="1"/>
          <w:bCs w:val="1"/>
          <w:color w:val="auto"/>
        </w:rPr>
        <w:t xml:space="preserve"> any one </w:t>
      </w:r>
      <w:r>
        <w:rPr>
          <w:rFonts w:ascii="Arial" w:cs="Arial" w:eastAsia="Arial" w:hAnsi="Arial"/>
          <w:sz w:val="14"/>
          <w:szCs w:val="14"/>
          <w:color w:val="auto"/>
        </w:rPr>
        <w:t>of the persons designated above with a checked box beside his or her name may, from time to time, add or remove any</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individuals to and from the above list of persons authorized to act on behalf of Borrower.</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RESOLVED FURTHER, </w:t>
      </w:r>
      <w:r>
        <w:rPr>
          <w:rFonts w:ascii="Arial" w:cs="Arial" w:eastAsia="Arial" w:hAnsi="Arial"/>
          <w:sz w:val="14"/>
          <w:szCs w:val="14"/>
          <w:color w:val="auto"/>
        </w:rPr>
        <w:t>that such individuals may, on behalf of Borrower:</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 Money</w:t>
      </w:r>
      <w:r>
        <w:rPr>
          <w:rFonts w:ascii="Arial" w:cs="Arial" w:eastAsia="Arial" w:hAnsi="Arial"/>
          <w:sz w:val="14"/>
          <w:szCs w:val="14"/>
          <w:color w:val="auto"/>
        </w:rPr>
        <w:t>. Borrow money from the Lenders.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Execute Loan Documents</w:t>
      </w:r>
      <w:r>
        <w:rPr>
          <w:rFonts w:ascii="Arial" w:cs="Arial" w:eastAsia="Arial" w:hAnsi="Arial"/>
          <w:sz w:val="14"/>
          <w:szCs w:val="14"/>
          <w:color w:val="auto"/>
        </w:rPr>
        <w:t>. Execute any loan documents any Lender requires.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 Security</w:t>
      </w:r>
      <w:r>
        <w:rPr>
          <w:rFonts w:ascii="Arial" w:cs="Arial" w:eastAsia="Arial" w:hAnsi="Arial"/>
          <w:sz w:val="14"/>
          <w:szCs w:val="14"/>
          <w:color w:val="auto"/>
        </w:rPr>
        <w:t>. Grant Collateral Agent a security interest in any of Borrower’s assets (excluding intellectual property).</w:t>
      </w:r>
    </w:p>
    <w:p>
      <w:pPr>
        <w:spacing w:after="0" w:line="181" w:lineRule="exact"/>
        <w:rPr>
          <w:sz w:val="20"/>
          <w:szCs w:val="20"/>
          <w:color w:val="auto"/>
        </w:rPr>
      </w:pPr>
    </w:p>
    <w:p>
      <w:pPr>
        <w:ind w:right="760"/>
        <w:spacing w:after="0" w:line="290" w:lineRule="auto"/>
        <w:rPr>
          <w:sz w:val="20"/>
          <w:szCs w:val="20"/>
          <w:color w:val="auto"/>
        </w:rPr>
      </w:pPr>
      <w:r>
        <w:rPr>
          <w:rFonts w:ascii="Arial" w:cs="Arial" w:eastAsia="Arial" w:hAnsi="Arial"/>
          <w:sz w:val="14"/>
          <w:szCs w:val="14"/>
          <w:b w:val="1"/>
          <w:bCs w:val="1"/>
          <w:color w:val="auto"/>
        </w:rPr>
        <w:t>Negotiate Items</w:t>
      </w:r>
      <w:r>
        <w:rPr>
          <w:rFonts w:ascii="Arial" w:cs="Arial" w:eastAsia="Arial" w:hAnsi="Arial"/>
          <w:sz w:val="14"/>
          <w:szCs w:val="14"/>
          <w:color w:val="auto"/>
        </w:rPr>
        <w:t>. Negotiate or discount all drafts, trade acceptances, promissory notes, or other indebtedness in which Borrower has an interest and receive cash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use the proceeds.</w:t>
      </w:r>
    </w:p>
    <w:p>
      <w:pPr>
        <w:spacing w:after="0" w:line="123" w:lineRule="exact"/>
        <w:rPr>
          <w:sz w:val="20"/>
          <w:szCs w:val="20"/>
          <w:color w:val="auto"/>
        </w:rPr>
      </w:pPr>
    </w:p>
    <w:p>
      <w:pPr>
        <w:ind w:right="760"/>
        <w:spacing w:after="0" w:line="290" w:lineRule="auto"/>
        <w:rPr>
          <w:sz w:val="20"/>
          <w:szCs w:val="20"/>
          <w:color w:val="auto"/>
        </w:rPr>
      </w:pPr>
      <w:r>
        <w:rPr>
          <w:rFonts w:ascii="Arial" w:cs="Arial" w:eastAsia="Arial" w:hAnsi="Arial"/>
          <w:sz w:val="14"/>
          <w:szCs w:val="14"/>
          <w:b w:val="1"/>
          <w:bCs w:val="1"/>
          <w:color w:val="auto"/>
        </w:rPr>
        <w:t>Further Acts</w:t>
      </w:r>
      <w:r>
        <w:rPr>
          <w:rFonts w:ascii="Arial" w:cs="Arial" w:eastAsia="Arial" w:hAnsi="Arial"/>
          <w:sz w:val="14"/>
          <w:szCs w:val="14"/>
          <w:color w:val="auto"/>
        </w:rPr>
        <w:t>. Designate other individuals to request advances, pay fees and costs and execute other documents or agreements (including documents or agreement that</w:t>
      </w:r>
      <w:r>
        <w:rPr>
          <w:rFonts w:ascii="Arial" w:cs="Arial" w:eastAsia="Arial" w:hAnsi="Arial"/>
          <w:sz w:val="14"/>
          <w:szCs w:val="14"/>
          <w:b w:val="1"/>
          <w:bCs w:val="1"/>
          <w:color w:val="auto"/>
        </w:rPr>
        <w:t xml:space="preserve"> </w:t>
      </w:r>
      <w:r>
        <w:rPr>
          <w:rFonts w:ascii="Arial" w:cs="Arial" w:eastAsia="Arial" w:hAnsi="Arial"/>
          <w:sz w:val="14"/>
          <w:szCs w:val="14"/>
          <w:color w:val="auto"/>
        </w:rPr>
        <w:t>waive Borrower’s right to a jury trial) they believe to be necessary to effectuate such resolutions.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RESOLVED FURTHER, </w:t>
      </w:r>
      <w:r>
        <w:rPr>
          <w:rFonts w:ascii="Arial" w:cs="Arial" w:eastAsia="Arial" w:hAnsi="Arial"/>
          <w:sz w:val="14"/>
          <w:szCs w:val="14"/>
          <w:color w:val="auto"/>
        </w:rPr>
        <w:t>that all acts authorized by the above resolutions and any prior acts relating thereto are ratified.</w:t>
      </w:r>
    </w:p>
    <w:p>
      <w:pPr>
        <w:spacing w:after="0" w:line="181"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Balance of Page Intentionally Left Blank</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394970</wp:posOffset>
            </wp:positionV>
            <wp:extent cx="642112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1120" cy="13335"/>
                    </a:xfrm>
                    <a:prstGeom prst="rect">
                      <a:avLst/>
                    </a:prstGeom>
                    <a:noFill/>
                  </pic:spPr>
                </pic:pic>
              </a:graphicData>
            </a:graphic>
          </wp:anchor>
        </w:drawing>
      </w:r>
    </w:p>
    <w:p>
      <w:pPr>
        <w:sectPr>
          <w:pgSz w:w="11900" w:h="16838" w:orient="portrait"/>
          <w:cols w:equalWidth="0" w:num="1">
            <w:col w:w="10340"/>
          </w:cols>
          <w:pgMar w:left="1420" w:top="125" w:right="139" w:bottom="1440" w:gutter="0" w:footer="0" w:header="0"/>
        </w:sectPr>
      </w:pPr>
    </w:p>
    <w:bookmarkStart w:id="123" w:name="page124"/>
    <w:bookmarkEnd w:id="123"/>
    <w:p>
      <w:pPr>
        <w:ind w:left="541" w:hanging="541"/>
        <w:spacing w:after="0"/>
        <w:tabs>
          <w:tab w:leader="none" w:pos="54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persons listed above are Borrower’s officers or employees with their titles and signatures shown next to their names.</w:t>
      </w:r>
    </w:p>
    <w:p>
      <w:pPr>
        <w:spacing w:after="0" w:line="177" w:lineRule="exact"/>
        <w:rPr>
          <w:sz w:val="20"/>
          <w:szCs w:val="20"/>
          <w:color w:val="auto"/>
        </w:rPr>
      </w:pPr>
    </w:p>
    <w:p>
      <w:pPr>
        <w:ind w:left="5061"/>
        <w:spacing w:after="0"/>
        <w:rPr>
          <w:sz w:val="20"/>
          <w:szCs w:val="20"/>
          <w:color w:val="auto"/>
        </w:rPr>
      </w:pPr>
      <w:r>
        <w:rPr>
          <w:rFonts w:ascii="Arial" w:cs="Arial" w:eastAsia="Arial" w:hAnsi="Arial"/>
          <w:sz w:val="14"/>
          <w:szCs w:val="14"/>
          <w:b w:val="1"/>
          <w:bCs w:val="1"/>
          <w:color w:val="auto"/>
        </w:rPr>
        <w:t>By:</w:t>
      </w:r>
    </w:p>
    <w:p>
      <w:pPr>
        <w:spacing w:after="0" w:line="24" w:lineRule="exact"/>
        <w:rPr>
          <w:sz w:val="20"/>
          <w:szCs w:val="20"/>
          <w:color w:val="auto"/>
        </w:rPr>
      </w:pPr>
    </w:p>
    <w:p>
      <w:pPr>
        <w:ind w:left="5061"/>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-100965</wp:posOffset>
            </wp:positionV>
            <wp:extent cx="282765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27655" cy="6985"/>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4"/>
          <w:szCs w:val="14"/>
          <w:b w:val="1"/>
          <w:bCs w:val="1"/>
          <w:color w:val="auto"/>
        </w:rPr>
        <w:t>Title:</w:t>
      </w:r>
    </w:p>
    <w:p>
      <w:pPr>
        <w:spacing w:after="0" w:line="171" w:lineRule="exact"/>
        <w:rPr>
          <w:sz w:val="20"/>
          <w:szCs w:val="20"/>
          <w:color w:val="auto"/>
        </w:rPr>
      </w:pPr>
    </w:p>
    <w:p>
      <w:pPr>
        <w:ind w:left="1" w:hanging="1"/>
        <w:spacing w:after="0" w:line="284" w:lineRule="auto"/>
        <w:tabs>
          <w:tab w:leader="none" w:pos="253"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If the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35" w:lineRule="exact"/>
        <w:rPr>
          <w:sz w:val="20"/>
          <w:szCs w:val="20"/>
          <w:color w:val="auto"/>
        </w:rPr>
      </w:pPr>
    </w:p>
    <w:p>
      <w:pPr>
        <w:ind w:left="1"/>
        <w:spacing w:after="0"/>
        <w:rPr>
          <w:sz w:val="20"/>
          <w:szCs w:val="20"/>
          <w:color w:val="auto"/>
        </w:rPr>
      </w:pPr>
      <w:r>
        <w:rPr>
          <w:rFonts w:ascii="Arial" w:cs="Arial" w:eastAsia="Arial" w:hAnsi="Arial"/>
          <w:sz w:val="14"/>
          <w:szCs w:val="14"/>
          <w:color w:val="auto"/>
        </w:rPr>
        <w:t>I, the [_________] of Borrower, hereby certify as to paragraphs 1 through 5 above, as [_________] on the date set forth above.</w:t>
      </w:r>
    </w:p>
    <w:p>
      <w:pPr>
        <w:spacing w:after="0" w:line="177" w:lineRule="exact"/>
        <w:rPr>
          <w:sz w:val="20"/>
          <w:szCs w:val="20"/>
          <w:color w:val="auto"/>
        </w:rPr>
      </w:pPr>
    </w:p>
    <w:p>
      <w:pPr>
        <w:ind w:left="5061"/>
        <w:spacing w:after="0"/>
        <w:rPr>
          <w:sz w:val="20"/>
          <w:szCs w:val="20"/>
          <w:color w:val="auto"/>
        </w:rPr>
      </w:pPr>
      <w:r>
        <w:rPr>
          <w:rFonts w:ascii="Arial" w:cs="Arial" w:eastAsia="Arial" w:hAnsi="Arial"/>
          <w:sz w:val="14"/>
          <w:szCs w:val="14"/>
          <w:b w:val="1"/>
          <w:bCs w:val="1"/>
          <w:color w:val="auto"/>
        </w:rPr>
        <w:t>By:</w:t>
      </w:r>
    </w:p>
    <w:p>
      <w:pPr>
        <w:spacing w:after="0" w:line="24" w:lineRule="exact"/>
        <w:rPr>
          <w:sz w:val="20"/>
          <w:szCs w:val="20"/>
          <w:color w:val="auto"/>
        </w:rPr>
      </w:pPr>
    </w:p>
    <w:p>
      <w:pPr>
        <w:ind w:left="5061"/>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-100965</wp:posOffset>
            </wp:positionV>
            <wp:extent cx="28816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81630" cy="6985"/>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494665</wp:posOffset>
            </wp:positionV>
            <wp:extent cx="642112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21120" cy="13335"/>
                    </a:xfrm>
                    <a:prstGeom prst="rect">
                      <a:avLst/>
                    </a:prstGeom>
                    <a:noFill/>
                  </pic:spPr>
                </pic:pic>
              </a:graphicData>
            </a:graphic>
          </wp:anchor>
        </w:drawing>
      </w:r>
    </w:p>
    <w:p>
      <w:pPr>
        <w:sectPr>
          <w:pgSz w:w="11900" w:h="16838" w:orient="portrait"/>
          <w:cols w:equalWidth="0" w:num="1">
            <w:col w:w="10101"/>
          </w:cols>
          <w:pgMar w:left="899" w:top="129" w:right="89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4"/>
          <w:szCs w:val="14"/>
          <w:b w:val="1"/>
          <w:bCs w:val="1"/>
          <w:u w:val="single" w:color="auto"/>
          <w:color w:val="auto"/>
        </w:rPr>
        <w:t>EXHIBIT A</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Certificate of Incorporation (including amendments)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392430</wp:posOffset>
            </wp:positionV>
            <wp:extent cx="642112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Bylaws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407035</wp:posOffset>
            </wp:positionV>
            <wp:extent cx="642112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4"/>
          <w:szCs w:val="14"/>
          <w:b w:val="1"/>
          <w:bCs w:val="1"/>
          <w:color w:val="auto"/>
        </w:rPr>
        <w:t>Exhibit 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Secured Promissory Note</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NOTE WAS ISSUED WITH “ORIGINAL ISSUE DISCOUNT” WITHIN THE MEANING OF SECTION 1272, ET SEQ. OF THE INTERNAL REVENUE CODE OF 1986, AS AMENDED. UPON WRITTEN REQUEST, THE BORROWER WILL PROVIDE TO ANY HOLDER OF THE NOTE (1) THE ISSUE PRICE AND DATE OF THE NOTE, (2) THE AMOUNT OF ORIGINAL ISSUE DISCOUNT ON THE NOTE AND (3) THE ORIGINAL YIELD TO MATURITY OF THE NOTE. SUCH REQUEST SHOULD BE SENT TO THE BORROWER AT ARDELYX, INC., 34175 ARDENWOOD BLVD., SUITE 200, FREMONT, CA 94555, ATTN: MARK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0" w:type="dxa"/>
            <w:vAlign w:val="bottom"/>
            <w:gridSpan w:val="3"/>
          </w:tcPr>
          <w:p>
            <w:pPr>
              <w:spacing w:after="0"/>
              <w:rPr>
                <w:sz w:val="20"/>
                <w:szCs w:val="20"/>
                <w:color w:val="auto"/>
              </w:rPr>
            </w:pPr>
            <w:r>
              <w:rPr>
                <w:rFonts w:ascii="Arial" w:cs="Arial" w:eastAsia="Arial" w:hAnsi="Arial"/>
                <w:sz w:val="14"/>
                <w:szCs w:val="14"/>
                <w:color w:val="auto"/>
              </w:rPr>
              <w:t>KAUFMANN, EMAIL: [____________].</w:t>
            </w:r>
          </w:p>
        </w:tc>
        <w:tc>
          <w:tcPr>
            <w:tcW w:w="6800" w:type="dxa"/>
            <w:vAlign w:val="bottom"/>
          </w:tcPr>
          <w:p>
            <w:pPr>
              <w:spacing w:after="0"/>
              <w:rPr>
                <w:sz w:val="15"/>
                <w:szCs w:val="15"/>
                <w:color w:val="auto"/>
              </w:rPr>
            </w:pPr>
          </w:p>
        </w:tc>
      </w:tr>
      <w:tr>
        <w:trPr>
          <w:trHeight w:val="318"/>
        </w:trPr>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0" w:type="dxa"/>
            <w:vAlign w:val="bottom"/>
          </w:tcPr>
          <w:p>
            <w:pPr>
              <w:jc w:val="center"/>
              <w:ind w:right="3009"/>
              <w:spacing w:after="0"/>
              <w:rPr>
                <w:sz w:val="20"/>
                <w:szCs w:val="20"/>
                <w:color w:val="auto"/>
              </w:rPr>
            </w:pPr>
            <w:r>
              <w:rPr>
                <w:rFonts w:ascii="Arial" w:cs="Arial" w:eastAsia="Arial" w:hAnsi="Arial"/>
                <w:sz w:val="14"/>
                <w:szCs w:val="14"/>
                <w:b w:val="1"/>
                <w:bCs w:val="1"/>
                <w:color w:val="auto"/>
              </w:rPr>
              <w:t>SECURED PROMISSORY NOTE</w:t>
            </w:r>
          </w:p>
        </w:tc>
      </w:tr>
      <w:tr>
        <w:trPr>
          <w:trHeight w:val="185"/>
        </w:trPr>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0" w:type="dxa"/>
            <w:vAlign w:val="bottom"/>
          </w:tcPr>
          <w:p>
            <w:pPr>
              <w:jc w:val="center"/>
              <w:ind w:right="2989"/>
              <w:spacing w:after="0"/>
              <w:rPr>
                <w:sz w:val="20"/>
                <w:szCs w:val="20"/>
                <w:color w:val="auto"/>
              </w:rPr>
            </w:pPr>
            <w:r>
              <w:rPr>
                <w:rFonts w:ascii="Arial" w:cs="Arial" w:eastAsia="Arial" w:hAnsi="Arial"/>
                <w:sz w:val="14"/>
                <w:szCs w:val="14"/>
                <w:b w:val="1"/>
                <w:bCs w:val="1"/>
                <w:color w:val="auto"/>
                <w:w w:val="96"/>
              </w:rPr>
              <w:t>(Term Loan)</w:t>
            </w:r>
          </w:p>
        </w:tc>
      </w:tr>
      <w:tr>
        <w:trPr>
          <w:trHeight w:val="342"/>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0" w:type="dxa"/>
            <w:vAlign w:val="bottom"/>
          </w:tcPr>
          <w:p>
            <w:pPr>
              <w:ind w:left="5880"/>
              <w:spacing w:after="0"/>
              <w:rPr>
                <w:sz w:val="20"/>
                <w:szCs w:val="20"/>
                <w:color w:val="auto"/>
              </w:rPr>
            </w:pPr>
            <w:r>
              <w:rPr>
                <w:rFonts w:ascii="Arial" w:cs="Arial" w:eastAsia="Arial" w:hAnsi="Arial"/>
                <w:sz w:val="14"/>
                <w:szCs w:val="14"/>
                <w:color w:val="auto"/>
                <w:w w:val="99"/>
              </w:rPr>
              <w:t>Dated: [DATE]</w:t>
            </w:r>
          </w:p>
        </w:tc>
      </w:tr>
    </w:tbl>
    <w:p>
      <w:pPr>
        <w:spacing w:after="0" w:line="160" w:lineRule="exact"/>
        <w:rPr>
          <w:sz w:val="20"/>
          <w:szCs w:val="20"/>
          <w:color w:val="auto"/>
        </w:rPr>
      </w:pPr>
    </w:p>
    <w:p>
      <w:pPr>
        <w:jc w:val="both"/>
        <w:ind w:firstLine="513"/>
        <w:spacing w:after="0" w:line="282" w:lineRule="auto"/>
        <w:rPr>
          <w:sz w:val="20"/>
          <w:szCs w:val="20"/>
          <w:color w:val="auto"/>
        </w:rPr>
      </w:pPr>
      <w:r>
        <w:rPr>
          <w:rFonts w:ascii="Arial" w:cs="Arial" w:eastAsia="Arial" w:hAnsi="Arial"/>
          <w:sz w:val="13"/>
          <w:szCs w:val="13"/>
          <w:color w:val="auto"/>
        </w:rPr>
        <w:t>FOR VALUE RECEIVED, the undersigned, ARDELYX, INC., a Delaware corporation with offices located at 34175 Ardenwood Blvd., Suite 200, Fremont, CA 94555 (“</w:t>
      </w:r>
      <w:r>
        <w:rPr>
          <w:rFonts w:ascii="Arial" w:cs="Arial" w:eastAsia="Arial" w:hAnsi="Arial"/>
          <w:sz w:val="13"/>
          <w:szCs w:val="13"/>
          <w:b w:val="1"/>
          <w:bCs w:val="1"/>
          <w:color w:val="auto"/>
        </w:rPr>
        <w:t>Borrower</w:t>
      </w:r>
      <w:r>
        <w:rPr>
          <w:rFonts w:ascii="Arial" w:cs="Arial" w:eastAsia="Arial" w:hAnsi="Arial"/>
          <w:sz w:val="13"/>
          <w:szCs w:val="13"/>
          <w:color w:val="auto"/>
        </w:rPr>
        <w:t>”) HEREBY PROMISES TO PAY [___________] (“</w:t>
      </w:r>
      <w:r>
        <w:rPr>
          <w:rFonts w:ascii="Arial" w:cs="Arial" w:eastAsia="Arial" w:hAnsi="Arial"/>
          <w:sz w:val="13"/>
          <w:szCs w:val="13"/>
          <w:b w:val="1"/>
          <w:bCs w:val="1"/>
          <w:color w:val="auto"/>
        </w:rPr>
        <w:t>Lender</w:t>
      </w:r>
      <w:r>
        <w:rPr>
          <w:rFonts w:ascii="Arial" w:cs="Arial" w:eastAsia="Arial" w:hAnsi="Arial"/>
          <w:sz w:val="13"/>
          <w:szCs w:val="13"/>
          <w:color w:val="auto"/>
        </w:rPr>
        <w:t>”) the principal amount of [___________] DOLLARS ($______________) or such lesser amount as</w:t>
      </w:r>
    </w:p>
    <w:p>
      <w:pPr>
        <w:jc w:val="both"/>
        <w:spacing w:after="0" w:line="258" w:lineRule="auto"/>
        <w:rPr>
          <w:sz w:val="20"/>
          <w:szCs w:val="20"/>
          <w:color w:val="auto"/>
        </w:rPr>
      </w:pPr>
      <w:r>
        <w:rPr>
          <w:rFonts w:ascii="Arial" w:cs="Arial" w:eastAsia="Arial" w:hAnsi="Arial"/>
          <w:sz w:val="14"/>
          <w:szCs w:val="14"/>
          <w:color w:val="auto"/>
        </w:rPr>
        <w:t>shall equal the outstanding principal balance of the Term Loan made to Borrower by Lender, plus interest on the aggregate unpaid principal amount of such Term Loan, at the rates and in accordance with the terms of the Loan and Security Agreement dated May 16, 2018 by and among Borrower, Lender, Solar Capital Ltd., as Collateral Agent, and the other Lenders from time to time party thereto (as amended, restated, supplemented or otherwise modified from time to time, the “</w:t>
      </w:r>
      <w:r>
        <w:rPr>
          <w:rFonts w:ascii="Arial" w:cs="Arial" w:eastAsia="Arial" w:hAnsi="Arial"/>
          <w:sz w:val="14"/>
          <w:szCs w:val="14"/>
          <w:b w:val="1"/>
          <w:bCs w:val="1"/>
          <w:color w:val="auto"/>
        </w:rPr>
        <w:t>Loan Agreement</w:t>
      </w:r>
      <w:r>
        <w:rPr>
          <w:rFonts w:ascii="Arial" w:cs="Arial" w:eastAsia="Arial" w:hAnsi="Arial"/>
          <w:sz w:val="14"/>
          <w:szCs w:val="14"/>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Principal, interest and all other amounts due with respect to the Term Loan, are payable in lawful money of the United States of America to Lender as set forth in the Loan Agreement and this Secured Promissory Note (this “</w:t>
      </w:r>
      <w:r>
        <w:rPr>
          <w:rFonts w:ascii="Arial" w:cs="Arial" w:eastAsia="Arial" w:hAnsi="Arial"/>
          <w:sz w:val="14"/>
          <w:szCs w:val="14"/>
          <w:b w:val="1"/>
          <w:bCs w:val="1"/>
          <w:color w:val="auto"/>
        </w:rPr>
        <w:t>Note</w:t>
      </w:r>
      <w:r>
        <w:rPr>
          <w:rFonts w:ascii="Arial" w:cs="Arial" w:eastAsia="Arial" w:hAnsi="Arial"/>
          <w:sz w:val="14"/>
          <w:szCs w:val="14"/>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This Note may not be prepaid except as set forth in Section 2.2 (c) and Section 2.2(d) of the Loan Agreement.</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This Note and the obligation of Borrower to repay the unpaid principal amount of the Term Loan, interest on the Term Loan and all other amounts due Lender under the Loan Agreement is secured under the Loan Agreement.</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Presentment for payment, demand, notice of protest and all other demands and notices of any kind in connection with the execution, delivery, performance and enforcement of this Note are hereby waived.</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Borrower shall pay all fees and expenses, including, without limitation, attorneys’ fees and costs, incurred by Lender in the enforcement or attempt to enforce any of Borrower’s obligations hereunder not performed when due subject to the terms of the Loan Agreement.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This Note shall be governed by, and construed and interpreted in accordance with, the internal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392430</wp:posOffset>
            </wp:positionV>
            <wp:extent cx="642112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27" w:name="page128"/>
    <w:bookmarkEnd w:id="127"/>
    <w:p>
      <w:pPr>
        <w:jc w:val="both"/>
        <w:spacing w:after="0" w:line="291" w:lineRule="auto"/>
        <w:rPr>
          <w:sz w:val="20"/>
          <w:szCs w:val="20"/>
          <w:color w:val="auto"/>
        </w:rPr>
      </w:pPr>
      <w:r>
        <w:rPr>
          <w:rFonts w:ascii="Arial" w:cs="Arial" w:eastAsia="Arial" w:hAnsi="Arial"/>
          <w:sz w:val="13"/>
          <w:szCs w:val="13"/>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Balance of Page Intentionally Left Blank</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503555</wp:posOffset>
            </wp:positionV>
            <wp:extent cx="642112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color w:val="auto"/>
        </w:rPr>
        <w:t>IN WITNESS WHEREOF, Borrower has caused this Note to be duly executed by one of its officers thereunto duly authorized on the date hereof.</w:t>
      </w:r>
    </w:p>
    <w:p>
      <w:pPr>
        <w:spacing w:after="0" w:line="210"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BORROWER:</w:t>
      </w:r>
    </w:p>
    <w:p>
      <w:pPr>
        <w:spacing w:after="0" w:line="185" w:lineRule="exact"/>
        <w:rPr>
          <w:sz w:val="20"/>
          <w:szCs w:val="20"/>
          <w:color w:val="auto"/>
        </w:rPr>
      </w:pPr>
    </w:p>
    <w:p>
      <w:pPr>
        <w:ind w:left="4540"/>
        <w:spacing w:after="0"/>
        <w:tabs>
          <w:tab w:leader="none" w:pos="5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-6350</wp:posOffset>
            </wp:positionV>
            <wp:extent cx="65532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5320" cy="6985"/>
                    </a:xfrm>
                    <a:prstGeom prst="rect">
                      <a:avLst/>
                    </a:prstGeom>
                    <a:noFill/>
                  </pic:spPr>
                </pic:pic>
              </a:graphicData>
            </a:graphic>
          </wp:anchor>
        </w:drawing>
      </w: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-100965</wp:posOffset>
            </wp:positionV>
            <wp:extent cx="288163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81630" cy="6985"/>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19685</wp:posOffset>
            </wp:positionV>
            <wp:extent cx="28816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81630" cy="698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-94615</wp:posOffset>
            </wp:positionV>
            <wp:extent cx="28816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81630" cy="698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514985</wp:posOffset>
            </wp:positionV>
            <wp:extent cx="642112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039"/>
          </w:cols>
          <w:pgMar w:left="1420" w:top="129"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4"/>
          <w:szCs w:val="14"/>
          <w:b w:val="1"/>
          <w:bCs w:val="1"/>
          <w:color w:val="auto"/>
        </w:rPr>
        <w:t>LOAN AND PAYMENTS OF PRINCIPAL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gridSpan w:val="2"/>
            <w:vMerge w:val="restart"/>
          </w:tcPr>
          <w:p>
            <w:pPr>
              <w:ind w:left="780"/>
              <w:spacing w:after="0"/>
              <w:rPr>
                <w:sz w:val="20"/>
                <w:szCs w:val="20"/>
                <w:color w:val="auto"/>
              </w:rPr>
            </w:pPr>
            <w:r>
              <w:rPr>
                <w:rFonts w:ascii="Arial" w:cs="Arial" w:eastAsia="Arial" w:hAnsi="Arial"/>
                <w:sz w:val="11"/>
                <w:szCs w:val="11"/>
                <w:b w:val="1"/>
                <w:bCs w:val="1"/>
                <w:color w:val="auto"/>
              </w:rPr>
              <w:t>Date</w:t>
            </w:r>
          </w:p>
        </w:tc>
        <w:tc>
          <w:tcPr>
            <w:tcW w:w="2920" w:type="dxa"/>
            <w:vAlign w:val="bottom"/>
            <w:gridSpan w:val="2"/>
            <w:vMerge w:val="restart"/>
          </w:tcPr>
          <w:p>
            <w:pPr>
              <w:ind w:left="1020"/>
              <w:spacing w:after="0"/>
              <w:rPr>
                <w:sz w:val="20"/>
                <w:szCs w:val="20"/>
                <w:color w:val="auto"/>
              </w:rPr>
            </w:pPr>
            <w:r>
              <w:rPr>
                <w:rFonts w:ascii="Arial" w:cs="Arial" w:eastAsia="Arial" w:hAnsi="Arial"/>
                <w:sz w:val="11"/>
                <w:szCs w:val="11"/>
                <w:b w:val="1"/>
                <w:bCs w:val="1"/>
                <w:color w:val="auto"/>
              </w:rPr>
              <w:t>Interest Rate</w:t>
            </w:r>
          </w:p>
        </w:tc>
        <w:tc>
          <w:tcPr>
            <w:tcW w:w="13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Principal</w:t>
            </w:r>
          </w:p>
        </w:tc>
        <w:tc>
          <w:tcPr>
            <w:tcW w:w="2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Scheduled</w:t>
            </w:r>
          </w:p>
        </w:tc>
        <w:tc>
          <w:tcPr>
            <w:tcW w:w="182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Notation By</w:t>
            </w:r>
          </w:p>
        </w:tc>
        <w:tc>
          <w:tcPr>
            <w:tcW w:w="0" w:type="dxa"/>
            <w:vAlign w:val="bottom"/>
          </w:tcPr>
          <w:p>
            <w:pPr>
              <w:spacing w:after="0"/>
              <w:rPr>
                <w:sz w:val="1"/>
                <w:szCs w:val="1"/>
                <w:color w:val="auto"/>
              </w:rPr>
            </w:pPr>
          </w:p>
        </w:tc>
      </w:tr>
      <w:tr>
        <w:trPr>
          <w:trHeight w:val="135"/>
        </w:trPr>
        <w:tc>
          <w:tcPr>
            <w:tcW w:w="1960" w:type="dxa"/>
            <w:vAlign w:val="bottom"/>
            <w:gridSpan w:val="2"/>
            <w:vMerge w:val="continue"/>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Amount</w:t>
            </w:r>
          </w:p>
        </w:tc>
        <w:tc>
          <w:tcPr>
            <w:tcW w:w="2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Payment Amount</w:t>
            </w: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4"/>
        </w:trPr>
        <w:tc>
          <w:tcPr>
            <w:tcW w:w="17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125" w:right="8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4"/>
          <w:szCs w:val="14"/>
          <w:b w:val="1"/>
          <w:bCs w:val="1"/>
          <w:color w:val="auto"/>
        </w:rPr>
        <w:t>EXHIBIT G-1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U.S. TAX COMPLIANCE CERTIFICATE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 Foreign Lenders That Are Not Partnerships For U.S. Federal Income Tax Purposes)</w:t>
      </w:r>
    </w:p>
    <w:p>
      <w:pPr>
        <w:spacing w:after="0" w:line="75" w:lineRule="exact"/>
        <w:rPr>
          <w:sz w:val="20"/>
          <w:szCs w:val="20"/>
          <w:color w:val="auto"/>
        </w:rPr>
      </w:pPr>
    </w:p>
    <w:p>
      <w:pPr>
        <w:ind w:right="100" w:firstLine="513"/>
        <w:spacing w:after="0" w:line="299" w:lineRule="auto"/>
        <w:rPr>
          <w:sz w:val="20"/>
          <w:szCs w:val="20"/>
          <w:color w:val="auto"/>
        </w:rPr>
      </w:pPr>
      <w:r>
        <w:rPr>
          <w:rFonts w:ascii="Arial" w:cs="Arial" w:eastAsia="Arial" w:hAnsi="Arial"/>
          <w:sz w:val="13"/>
          <w:szCs w:val="13"/>
          <w:color w:val="auto"/>
        </w:rPr>
        <w:t>Reference is hereby made to the Loan and Security Agreement (as the same may be amended, supplemented or otherwise modified from time to time, the “</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May 16, 2018, among Solar Capital Ltd. (“</w:t>
      </w:r>
      <w:r>
        <w:rPr>
          <w:rFonts w:ascii="Arial" w:cs="Arial" w:eastAsia="Arial" w:hAnsi="Arial"/>
          <w:sz w:val="13"/>
          <w:szCs w:val="13"/>
          <w:u w:val="single" w:color="auto"/>
          <w:color w:val="auto"/>
        </w:rPr>
        <w:t>Solar</w:t>
      </w:r>
      <w:r>
        <w:rPr>
          <w:rFonts w:ascii="Arial" w:cs="Arial" w:eastAsia="Arial" w:hAnsi="Arial"/>
          <w:sz w:val="13"/>
          <w:szCs w:val="13"/>
          <w:color w:val="auto"/>
        </w:rPr>
        <w:t>”), as collateral agent, and the lenders listed on Schedule 1.1 thereof or otherwise a party thereto from time to time (together with any other lenders party hereto, the “</w:t>
      </w:r>
      <w:r>
        <w:rPr>
          <w:rFonts w:ascii="Arial" w:cs="Arial" w:eastAsia="Arial" w:hAnsi="Arial"/>
          <w:sz w:val="13"/>
          <w:szCs w:val="13"/>
          <w:u w:val="single" w:color="auto"/>
          <w:color w:val="auto"/>
        </w:rPr>
        <w:t>Lenders</w:t>
      </w:r>
      <w:r>
        <w:rPr>
          <w:rFonts w:ascii="Arial" w:cs="Arial" w:eastAsia="Arial" w:hAnsi="Arial"/>
          <w:sz w:val="13"/>
          <w:szCs w:val="13"/>
          <w:color w:val="auto"/>
        </w:rPr>
        <w:t>” and each a “</w:t>
      </w:r>
      <w:r>
        <w:rPr>
          <w:rFonts w:ascii="Arial" w:cs="Arial" w:eastAsia="Arial" w:hAnsi="Arial"/>
          <w:sz w:val="13"/>
          <w:szCs w:val="13"/>
          <w:u w:val="single" w:color="auto"/>
          <w:color w:val="auto"/>
        </w:rPr>
        <w:t>Lender</w:t>
      </w:r>
      <w:r>
        <w:rPr>
          <w:rFonts w:ascii="Arial" w:cs="Arial" w:eastAsia="Arial" w:hAnsi="Arial"/>
          <w:sz w:val="13"/>
          <w:szCs w:val="13"/>
          <w:color w:val="auto"/>
        </w:rPr>
        <w:t>”), and Ardelyx, Inc. (“</w:t>
      </w:r>
      <w:r>
        <w:rPr>
          <w:rFonts w:ascii="Arial" w:cs="Arial" w:eastAsia="Arial" w:hAnsi="Arial"/>
          <w:sz w:val="13"/>
          <w:szCs w:val="13"/>
          <w:u w:val="single" w:color="auto"/>
          <w:color w:val="auto"/>
        </w:rPr>
        <w:t>Borrower</w:t>
      </w:r>
      <w:r>
        <w:rPr>
          <w:rFonts w:ascii="Arial" w:cs="Arial" w:eastAsia="Arial" w:hAnsi="Arial"/>
          <w:sz w:val="13"/>
          <w:szCs w:val="13"/>
          <w:color w:val="auto"/>
        </w:rPr>
        <w:t>”), and their successors and assigns.</w:t>
      </w:r>
    </w:p>
    <w:p>
      <w:pPr>
        <w:spacing w:after="0" w:line="125" w:lineRule="exact"/>
        <w:rPr>
          <w:sz w:val="20"/>
          <w:szCs w:val="20"/>
          <w:color w:val="auto"/>
        </w:rPr>
      </w:pPr>
    </w:p>
    <w:p>
      <w:pPr>
        <w:ind w:right="280" w:firstLine="513"/>
        <w:spacing w:after="0" w:line="264" w:lineRule="auto"/>
        <w:rPr>
          <w:sz w:val="20"/>
          <w:szCs w:val="20"/>
          <w:color w:val="auto"/>
        </w:rPr>
      </w:pPr>
      <w:r>
        <w:rPr>
          <w:rFonts w:ascii="Arial" w:cs="Arial" w:eastAsia="Arial" w:hAnsi="Arial"/>
          <w:sz w:val="14"/>
          <w:szCs w:val="14"/>
          <w:color w:val="auto"/>
        </w:rPr>
        <w:t>Pursuant to the provisions of Section 2.5(e) of the Loan Agreement, the undersigned hereby certifies that (i) it is the sole record and beneficial owner of the Term Loan(s) (as well as any secured promissory notes (“</w:t>
      </w:r>
      <w:r>
        <w:rPr>
          <w:rFonts w:ascii="Arial" w:cs="Arial" w:eastAsia="Arial" w:hAnsi="Arial"/>
          <w:sz w:val="14"/>
          <w:szCs w:val="14"/>
          <w:u w:val="single" w:color="auto"/>
          <w:color w:val="auto"/>
        </w:rPr>
        <w:t>Note(s)</w:t>
      </w:r>
      <w:r>
        <w:rPr>
          <w:rFonts w:ascii="Arial" w:cs="Arial" w:eastAsia="Arial" w:hAnsi="Arial"/>
          <w:sz w:val="14"/>
          <w:szCs w:val="14"/>
          <w:color w:val="auto"/>
        </w:rPr>
        <w:t>”) evidencing such Term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46" w:lineRule="exact"/>
        <w:rPr>
          <w:sz w:val="20"/>
          <w:szCs w:val="20"/>
          <w:color w:val="auto"/>
        </w:rPr>
      </w:pPr>
    </w:p>
    <w:p>
      <w:pPr>
        <w:ind w:right="200" w:firstLine="513"/>
        <w:spacing w:after="0" w:line="264" w:lineRule="auto"/>
        <w:rPr>
          <w:sz w:val="20"/>
          <w:szCs w:val="20"/>
          <w:color w:val="auto"/>
        </w:rPr>
      </w:pPr>
      <w:r>
        <w:rPr>
          <w:rFonts w:ascii="Arial" w:cs="Arial" w:eastAsia="Arial" w:hAnsi="Arial"/>
          <w:sz w:val="14"/>
          <w:szCs w:val="14"/>
          <w:color w:val="auto"/>
        </w:rPr>
        <w:t>The undersigned has furnished Borrower with a certificate of its non-U.S. Person status on IRS Form W-8BEN or W-8BEN-E, as applicable. By executing this certificate, the undersigned agrees that (1) if the information provided on this certificate changes, the undersigned shall promptly so inform Borrower, and (2) the undersigned shall have at all times furnished Borrower with a properly completed and currently effective certificate in either the calendar year in which each payment is to be made to the undersigned, or in either of the two calendar years preceding such payments.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[NAME OF LENDER]</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-101600</wp:posOffset>
            </wp:positionV>
            <wp:extent cx="293560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35605" cy="69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Title: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w w:val="95"/>
              </w:rPr>
              <w:t>Date:</w:t>
            </w:r>
          </w:p>
        </w:tc>
        <w:tc>
          <w:tcPr>
            <w:tcW w:w="9760" w:type="dxa"/>
            <w:vAlign w:val="bottom"/>
            <w:gridSpan w:val="4"/>
          </w:tcPr>
          <w:p>
            <w:pPr>
              <w:jc w:val="right"/>
              <w:ind w:right="8660"/>
              <w:spacing w:after="0"/>
              <w:rPr>
                <w:sz w:val="20"/>
                <w:szCs w:val="20"/>
                <w:color w:val="auto"/>
              </w:rPr>
            </w:pPr>
            <w:r>
              <w:rPr>
                <w:rFonts w:ascii="Arial" w:cs="Arial" w:eastAsia="Arial" w:hAnsi="Arial"/>
                <w:sz w:val="14"/>
                <w:szCs w:val="14"/>
                <w:color w:val="auto"/>
              </w:rPr>
              <w:t>, 20[ ]</w:t>
            </w:r>
          </w:p>
        </w:tc>
      </w:tr>
      <w:tr>
        <w:trPr>
          <w:trHeight w:val="782"/>
        </w:trPr>
        <w:tc>
          <w:tcPr>
            <w:tcW w:w="34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4"/>
          <w:szCs w:val="14"/>
          <w:b w:val="1"/>
          <w:bCs w:val="1"/>
          <w:color w:val="auto"/>
        </w:rPr>
        <w:t>EXHIBIT G-2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U.S. TAX COMPLIANCE CERTIFICATE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 Foreign Participants That Are Not Partnerships For U.S. Federal Income Tax Purposes)</w:t>
      </w:r>
    </w:p>
    <w:p>
      <w:pPr>
        <w:spacing w:after="0" w:line="75" w:lineRule="exact"/>
        <w:rPr>
          <w:sz w:val="20"/>
          <w:szCs w:val="20"/>
          <w:color w:val="auto"/>
        </w:rPr>
      </w:pPr>
    </w:p>
    <w:p>
      <w:pPr>
        <w:jc w:val="both"/>
        <w:ind w:firstLine="513"/>
        <w:spacing w:after="0" w:line="299" w:lineRule="auto"/>
        <w:rPr>
          <w:sz w:val="20"/>
          <w:szCs w:val="20"/>
          <w:color w:val="auto"/>
        </w:rPr>
      </w:pPr>
      <w:r>
        <w:rPr>
          <w:rFonts w:ascii="Arial" w:cs="Arial" w:eastAsia="Arial" w:hAnsi="Arial"/>
          <w:sz w:val="13"/>
          <w:szCs w:val="13"/>
          <w:color w:val="auto"/>
        </w:rPr>
        <w:t>Reference is hereby made to the Loan and Security Agreement (as the same may be amended, supplemented or otherwise modified from time to time, the “</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[_____], 2018, among Solar Capital Ltd. (“</w:t>
      </w:r>
      <w:r>
        <w:rPr>
          <w:rFonts w:ascii="Arial" w:cs="Arial" w:eastAsia="Arial" w:hAnsi="Arial"/>
          <w:sz w:val="13"/>
          <w:szCs w:val="13"/>
          <w:u w:val="single" w:color="auto"/>
          <w:color w:val="auto"/>
        </w:rPr>
        <w:t>Solar</w:t>
      </w:r>
      <w:r>
        <w:rPr>
          <w:rFonts w:ascii="Arial" w:cs="Arial" w:eastAsia="Arial" w:hAnsi="Arial"/>
          <w:sz w:val="13"/>
          <w:szCs w:val="13"/>
          <w:color w:val="auto"/>
        </w:rPr>
        <w:t>”), as collateral agent, and the lenders listed on Schedule 1.1 thereof or otherwise a party thereto from time to time (together with any other lenders party hereto, the “</w:t>
      </w:r>
      <w:r>
        <w:rPr>
          <w:rFonts w:ascii="Arial" w:cs="Arial" w:eastAsia="Arial" w:hAnsi="Arial"/>
          <w:sz w:val="13"/>
          <w:szCs w:val="13"/>
          <w:u w:val="single" w:color="auto"/>
          <w:color w:val="auto"/>
        </w:rPr>
        <w:t>Lenders</w:t>
      </w:r>
      <w:r>
        <w:rPr>
          <w:rFonts w:ascii="Arial" w:cs="Arial" w:eastAsia="Arial" w:hAnsi="Arial"/>
          <w:sz w:val="13"/>
          <w:szCs w:val="13"/>
          <w:color w:val="auto"/>
        </w:rPr>
        <w:t>” and each a “</w:t>
      </w:r>
      <w:r>
        <w:rPr>
          <w:rFonts w:ascii="Arial" w:cs="Arial" w:eastAsia="Arial" w:hAnsi="Arial"/>
          <w:sz w:val="13"/>
          <w:szCs w:val="13"/>
          <w:u w:val="single" w:color="auto"/>
          <w:color w:val="auto"/>
        </w:rPr>
        <w:t>Lender</w:t>
      </w:r>
      <w:r>
        <w:rPr>
          <w:rFonts w:ascii="Arial" w:cs="Arial" w:eastAsia="Arial" w:hAnsi="Arial"/>
          <w:sz w:val="13"/>
          <w:szCs w:val="13"/>
          <w:color w:val="auto"/>
        </w:rPr>
        <w:t>”), and Ardelyx, Inc. (“</w:t>
      </w:r>
      <w:r>
        <w:rPr>
          <w:rFonts w:ascii="Arial" w:cs="Arial" w:eastAsia="Arial" w:hAnsi="Arial"/>
          <w:sz w:val="13"/>
          <w:szCs w:val="13"/>
          <w:u w:val="single" w:color="auto"/>
          <w:color w:val="auto"/>
        </w:rPr>
        <w:t>Borrower</w:t>
      </w:r>
      <w:r>
        <w:rPr>
          <w:rFonts w:ascii="Arial" w:cs="Arial" w:eastAsia="Arial" w:hAnsi="Arial"/>
          <w:sz w:val="13"/>
          <w:szCs w:val="13"/>
          <w:color w:val="auto"/>
        </w:rPr>
        <w:t>”), and their successors and assigns.</w:t>
      </w:r>
    </w:p>
    <w:p>
      <w:pPr>
        <w:spacing w:after="0" w:line="125"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4"/>
          <w:szCs w:val="14"/>
          <w:color w:val="auto"/>
        </w:rPr>
        <w:t>Pursuant to the provisions of Section 2.5(e)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46"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4"/>
          <w:szCs w:val="14"/>
          <w:color w:val="auto"/>
        </w:rPr>
        <w:t>The undersigned has furnished its participating Lender with a certificate of its non-U.S. Person status on IRS Form W-8BEN or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[NAME OF PARTICIPANT]</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-101600</wp:posOffset>
            </wp:positionV>
            <wp:extent cx="299021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90215" cy="698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Title: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w w:val="95"/>
              </w:rPr>
              <w:t>Date:</w:t>
            </w:r>
          </w:p>
        </w:tc>
        <w:tc>
          <w:tcPr>
            <w:tcW w:w="9760" w:type="dxa"/>
            <w:vAlign w:val="bottom"/>
            <w:gridSpan w:val="4"/>
          </w:tcPr>
          <w:p>
            <w:pPr>
              <w:jc w:val="right"/>
              <w:ind w:right="8560"/>
              <w:spacing w:after="0"/>
              <w:rPr>
                <w:sz w:val="20"/>
                <w:szCs w:val="20"/>
                <w:color w:val="auto"/>
              </w:rPr>
            </w:pPr>
            <w:r>
              <w:rPr>
                <w:rFonts w:ascii="Arial" w:cs="Arial" w:eastAsia="Arial" w:hAnsi="Arial"/>
                <w:sz w:val="14"/>
                <w:szCs w:val="14"/>
                <w:color w:val="auto"/>
              </w:rPr>
              <w:t>, 20[ ]</w:t>
            </w:r>
          </w:p>
        </w:tc>
      </w:tr>
      <w:tr>
        <w:trPr>
          <w:trHeight w:val="782"/>
        </w:trPr>
        <w:tc>
          <w:tcPr>
            <w:tcW w:w="3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4"/>
          <w:szCs w:val="14"/>
          <w:b w:val="1"/>
          <w:bCs w:val="1"/>
          <w:color w:val="auto"/>
        </w:rPr>
        <w:t>EXHIBIT G-3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U.S. TAX COMPLIANCE CERTIFICATE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 Foreign Participants That Are Partnerships For U.S. Federal Income Tax Purposes)</w:t>
      </w:r>
    </w:p>
    <w:p>
      <w:pPr>
        <w:spacing w:after="0" w:line="75" w:lineRule="exact"/>
        <w:rPr>
          <w:sz w:val="20"/>
          <w:szCs w:val="20"/>
          <w:color w:val="auto"/>
        </w:rPr>
      </w:pPr>
    </w:p>
    <w:p>
      <w:pPr>
        <w:jc w:val="both"/>
        <w:ind w:firstLine="513"/>
        <w:spacing w:after="0" w:line="299" w:lineRule="auto"/>
        <w:rPr>
          <w:sz w:val="20"/>
          <w:szCs w:val="20"/>
          <w:color w:val="auto"/>
        </w:rPr>
      </w:pPr>
      <w:r>
        <w:rPr>
          <w:rFonts w:ascii="Arial" w:cs="Arial" w:eastAsia="Arial" w:hAnsi="Arial"/>
          <w:sz w:val="13"/>
          <w:szCs w:val="13"/>
          <w:color w:val="auto"/>
        </w:rPr>
        <w:t>Reference is hereby made to the Loan and Security Agreement (as the same may be amended, supplemented or otherwise modified from time to time, the “</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May 16, 2018, among Solar Capital Ltd. (“</w:t>
      </w:r>
      <w:r>
        <w:rPr>
          <w:rFonts w:ascii="Arial" w:cs="Arial" w:eastAsia="Arial" w:hAnsi="Arial"/>
          <w:sz w:val="13"/>
          <w:szCs w:val="13"/>
          <w:u w:val="single" w:color="auto"/>
          <w:color w:val="auto"/>
        </w:rPr>
        <w:t>Solar</w:t>
      </w:r>
      <w:r>
        <w:rPr>
          <w:rFonts w:ascii="Arial" w:cs="Arial" w:eastAsia="Arial" w:hAnsi="Arial"/>
          <w:sz w:val="13"/>
          <w:szCs w:val="13"/>
          <w:color w:val="auto"/>
        </w:rPr>
        <w:t>”), as collateral agent, and the lenders listed on Schedule 1.1 thereof or otherwise a party thereto from time to time (together with any other lenders party hereto, the “</w:t>
      </w:r>
      <w:r>
        <w:rPr>
          <w:rFonts w:ascii="Arial" w:cs="Arial" w:eastAsia="Arial" w:hAnsi="Arial"/>
          <w:sz w:val="13"/>
          <w:szCs w:val="13"/>
          <w:u w:val="single" w:color="auto"/>
          <w:color w:val="auto"/>
        </w:rPr>
        <w:t>Lenders</w:t>
      </w:r>
      <w:r>
        <w:rPr>
          <w:rFonts w:ascii="Arial" w:cs="Arial" w:eastAsia="Arial" w:hAnsi="Arial"/>
          <w:sz w:val="13"/>
          <w:szCs w:val="13"/>
          <w:color w:val="auto"/>
        </w:rPr>
        <w:t>” and each a “</w:t>
      </w:r>
      <w:r>
        <w:rPr>
          <w:rFonts w:ascii="Arial" w:cs="Arial" w:eastAsia="Arial" w:hAnsi="Arial"/>
          <w:sz w:val="13"/>
          <w:szCs w:val="13"/>
          <w:u w:val="single" w:color="auto"/>
          <w:color w:val="auto"/>
        </w:rPr>
        <w:t>Lender</w:t>
      </w:r>
      <w:r>
        <w:rPr>
          <w:rFonts w:ascii="Arial" w:cs="Arial" w:eastAsia="Arial" w:hAnsi="Arial"/>
          <w:sz w:val="13"/>
          <w:szCs w:val="13"/>
          <w:color w:val="auto"/>
        </w:rPr>
        <w:t>”), and Ardelyx, Inc. (“</w:t>
      </w:r>
      <w:r>
        <w:rPr>
          <w:rFonts w:ascii="Arial" w:cs="Arial" w:eastAsia="Arial" w:hAnsi="Arial"/>
          <w:sz w:val="13"/>
          <w:szCs w:val="13"/>
          <w:u w:val="single" w:color="auto"/>
          <w:color w:val="auto"/>
        </w:rPr>
        <w:t>Borrower</w:t>
      </w:r>
      <w:r>
        <w:rPr>
          <w:rFonts w:ascii="Arial" w:cs="Arial" w:eastAsia="Arial" w:hAnsi="Arial"/>
          <w:sz w:val="13"/>
          <w:szCs w:val="13"/>
          <w:color w:val="auto"/>
        </w:rPr>
        <w:t>”), and their successors and assigns.</w:t>
      </w:r>
    </w:p>
    <w:p>
      <w:pPr>
        <w:spacing w:after="0" w:line="125" w:lineRule="exact"/>
        <w:rPr>
          <w:sz w:val="20"/>
          <w:szCs w:val="20"/>
          <w:color w:val="auto"/>
        </w:rPr>
      </w:pPr>
    </w:p>
    <w:p>
      <w:pPr>
        <w:jc w:val="both"/>
        <w:ind w:firstLine="513"/>
        <w:spacing w:after="0" w:line="260" w:lineRule="auto"/>
        <w:rPr>
          <w:sz w:val="20"/>
          <w:szCs w:val="20"/>
          <w:color w:val="auto"/>
        </w:rPr>
      </w:pPr>
      <w:r>
        <w:rPr>
          <w:rFonts w:ascii="Arial" w:cs="Arial" w:eastAsia="Arial" w:hAnsi="Arial"/>
          <w:sz w:val="14"/>
          <w:szCs w:val="14"/>
          <w:color w:val="auto"/>
        </w:rPr>
        <w:t>Pursuant to the provisions of Section 2.5(e)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49" w:lineRule="exact"/>
        <w:rPr>
          <w:sz w:val="20"/>
          <w:szCs w:val="20"/>
          <w:color w:val="auto"/>
        </w:rPr>
      </w:pPr>
    </w:p>
    <w:p>
      <w:pPr>
        <w:jc w:val="both"/>
        <w:ind w:firstLine="513"/>
        <w:spacing w:after="0" w:line="260" w:lineRule="auto"/>
        <w:rPr>
          <w:sz w:val="20"/>
          <w:szCs w:val="20"/>
          <w:color w:val="auto"/>
        </w:rPr>
      </w:pPr>
      <w:r>
        <w:rPr>
          <w:rFonts w:ascii="Arial" w:cs="Arial" w:eastAsia="Arial" w:hAnsi="Arial"/>
          <w:sz w:val="14"/>
          <w:szCs w:val="14"/>
          <w:color w:val="auto"/>
        </w:rPr>
        <w:t>The undersigned has furnished its participating Lender with IRS Form W-8IMY accompanied by one of the following forms from each of its partners/members that is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[NAME OF PARTICIPANT]</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-101600</wp:posOffset>
            </wp:positionV>
            <wp:extent cx="293560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35605" cy="69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Title: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w w:val="95"/>
              </w:rPr>
              <w:t>Date:</w:t>
            </w:r>
          </w:p>
        </w:tc>
        <w:tc>
          <w:tcPr>
            <w:tcW w:w="9760" w:type="dxa"/>
            <w:vAlign w:val="bottom"/>
            <w:gridSpan w:val="4"/>
          </w:tcPr>
          <w:p>
            <w:pPr>
              <w:jc w:val="right"/>
              <w:ind w:right="8560"/>
              <w:spacing w:after="0"/>
              <w:rPr>
                <w:sz w:val="20"/>
                <w:szCs w:val="20"/>
                <w:color w:val="auto"/>
              </w:rPr>
            </w:pPr>
            <w:r>
              <w:rPr>
                <w:rFonts w:ascii="Arial" w:cs="Arial" w:eastAsia="Arial" w:hAnsi="Arial"/>
                <w:sz w:val="14"/>
                <w:szCs w:val="14"/>
                <w:color w:val="auto"/>
              </w:rPr>
              <w:t>, 20[ ]</w:t>
            </w:r>
          </w:p>
        </w:tc>
      </w:tr>
      <w:tr>
        <w:trPr>
          <w:trHeight w:val="782"/>
        </w:trPr>
        <w:tc>
          <w:tcPr>
            <w:tcW w:w="3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25" w:right="89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4"/>
          <w:szCs w:val="14"/>
          <w:b w:val="1"/>
          <w:bCs w:val="1"/>
          <w:color w:val="auto"/>
        </w:rPr>
        <w:t>EXHIBIT G-4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U.S. TAX COMPLIANCE CERTIFICATE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 Foreign Lenders That Are Partnerships For U.S. Federal Income Tax Purposes)</w:t>
      </w:r>
    </w:p>
    <w:p>
      <w:pPr>
        <w:spacing w:after="0" w:line="75" w:lineRule="exact"/>
        <w:rPr>
          <w:sz w:val="20"/>
          <w:szCs w:val="20"/>
          <w:color w:val="auto"/>
        </w:rPr>
      </w:pPr>
    </w:p>
    <w:p>
      <w:pPr>
        <w:jc w:val="both"/>
        <w:ind w:left="1" w:firstLine="513"/>
        <w:spacing w:after="0" w:line="299" w:lineRule="auto"/>
        <w:rPr>
          <w:sz w:val="20"/>
          <w:szCs w:val="20"/>
          <w:color w:val="auto"/>
        </w:rPr>
      </w:pPr>
      <w:r>
        <w:rPr>
          <w:rFonts w:ascii="Arial" w:cs="Arial" w:eastAsia="Arial" w:hAnsi="Arial"/>
          <w:sz w:val="13"/>
          <w:szCs w:val="13"/>
          <w:color w:val="auto"/>
        </w:rPr>
        <w:t>Reference is hereby made to the Loan and Security Agreement (as the same may be amended, supplemented or otherwise modified from time to time, the “</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May 16, 2018, among Solar Capital Ltd. (“</w:t>
      </w:r>
      <w:r>
        <w:rPr>
          <w:rFonts w:ascii="Arial" w:cs="Arial" w:eastAsia="Arial" w:hAnsi="Arial"/>
          <w:sz w:val="13"/>
          <w:szCs w:val="13"/>
          <w:u w:val="single" w:color="auto"/>
          <w:color w:val="auto"/>
        </w:rPr>
        <w:t>Solar</w:t>
      </w:r>
      <w:r>
        <w:rPr>
          <w:rFonts w:ascii="Arial" w:cs="Arial" w:eastAsia="Arial" w:hAnsi="Arial"/>
          <w:sz w:val="13"/>
          <w:szCs w:val="13"/>
          <w:color w:val="auto"/>
        </w:rPr>
        <w:t>”), as collateral agent, and the lenders listed on Schedule 1.1 thereof or otherwise a party thereto from time to time (together with any other lenders party hereto, the “</w:t>
      </w:r>
      <w:r>
        <w:rPr>
          <w:rFonts w:ascii="Arial" w:cs="Arial" w:eastAsia="Arial" w:hAnsi="Arial"/>
          <w:sz w:val="13"/>
          <w:szCs w:val="13"/>
          <w:u w:val="single" w:color="auto"/>
          <w:color w:val="auto"/>
        </w:rPr>
        <w:t>Lenders</w:t>
      </w:r>
      <w:r>
        <w:rPr>
          <w:rFonts w:ascii="Arial" w:cs="Arial" w:eastAsia="Arial" w:hAnsi="Arial"/>
          <w:sz w:val="13"/>
          <w:szCs w:val="13"/>
          <w:color w:val="auto"/>
        </w:rPr>
        <w:t>” and each a “</w:t>
      </w:r>
      <w:r>
        <w:rPr>
          <w:rFonts w:ascii="Arial" w:cs="Arial" w:eastAsia="Arial" w:hAnsi="Arial"/>
          <w:sz w:val="13"/>
          <w:szCs w:val="13"/>
          <w:u w:val="single" w:color="auto"/>
          <w:color w:val="auto"/>
        </w:rPr>
        <w:t>Lender</w:t>
      </w:r>
      <w:r>
        <w:rPr>
          <w:rFonts w:ascii="Arial" w:cs="Arial" w:eastAsia="Arial" w:hAnsi="Arial"/>
          <w:sz w:val="13"/>
          <w:szCs w:val="13"/>
          <w:color w:val="auto"/>
        </w:rPr>
        <w:t>”), and Ardelyx, Inc. (“</w:t>
      </w:r>
      <w:r>
        <w:rPr>
          <w:rFonts w:ascii="Arial" w:cs="Arial" w:eastAsia="Arial" w:hAnsi="Arial"/>
          <w:sz w:val="13"/>
          <w:szCs w:val="13"/>
          <w:u w:val="single" w:color="auto"/>
          <w:color w:val="auto"/>
        </w:rPr>
        <w:t>Borrower</w:t>
      </w:r>
      <w:r>
        <w:rPr>
          <w:rFonts w:ascii="Arial" w:cs="Arial" w:eastAsia="Arial" w:hAnsi="Arial"/>
          <w:sz w:val="13"/>
          <w:szCs w:val="13"/>
          <w:color w:val="auto"/>
        </w:rPr>
        <w:t>”), and their successors and assigns.</w:t>
      </w:r>
    </w:p>
    <w:p>
      <w:pPr>
        <w:spacing w:after="0" w:line="125" w:lineRule="exact"/>
        <w:rPr>
          <w:sz w:val="20"/>
          <w:szCs w:val="20"/>
          <w:color w:val="auto"/>
        </w:rPr>
      </w:pPr>
    </w:p>
    <w:p>
      <w:pPr>
        <w:jc w:val="both"/>
        <w:ind w:left="1" w:firstLine="513"/>
        <w:spacing w:after="0" w:line="259" w:lineRule="auto"/>
        <w:rPr>
          <w:sz w:val="20"/>
          <w:szCs w:val="20"/>
          <w:color w:val="auto"/>
        </w:rPr>
      </w:pPr>
      <w:r>
        <w:rPr>
          <w:rFonts w:ascii="Arial" w:cs="Arial" w:eastAsia="Arial" w:hAnsi="Arial"/>
          <w:sz w:val="14"/>
          <w:szCs w:val="14"/>
          <w:color w:val="auto"/>
        </w:rPr>
        <w:t>Pursuant to the provisions of Section 2.5(e) of the Loan Agreement, the undersigned hereby certifies that (i) it is the sole record owner of the Term Loan(s) (as well as any secured promissory notes (“</w:t>
      </w:r>
      <w:r>
        <w:rPr>
          <w:rFonts w:ascii="Arial" w:cs="Arial" w:eastAsia="Arial" w:hAnsi="Arial"/>
          <w:sz w:val="14"/>
          <w:szCs w:val="14"/>
          <w:u w:val="single" w:color="auto"/>
          <w:color w:val="auto"/>
        </w:rPr>
        <w:t>Note(s)</w:t>
      </w:r>
      <w:r>
        <w:rPr>
          <w:rFonts w:ascii="Arial" w:cs="Arial" w:eastAsia="Arial" w:hAnsi="Arial"/>
          <w:sz w:val="14"/>
          <w:szCs w:val="14"/>
          <w:color w:val="auto"/>
        </w:rPr>
        <w:t>”) evidencing such Term Loan(s)) in respect of which it is providing this certificate, (ii) its direct or indirect partners/members are the sole beneficial owners of such Term Loan(s) (as well as any Note(s) evidencing such Term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51" w:lineRule="exact"/>
        <w:rPr>
          <w:sz w:val="20"/>
          <w:szCs w:val="20"/>
          <w:color w:val="auto"/>
        </w:rPr>
      </w:pPr>
    </w:p>
    <w:p>
      <w:pPr>
        <w:jc w:val="both"/>
        <w:ind w:left="1" w:firstLine="513"/>
        <w:spacing w:after="0" w:line="279" w:lineRule="auto"/>
        <w:rPr>
          <w:sz w:val="20"/>
          <w:szCs w:val="20"/>
          <w:color w:val="auto"/>
        </w:rPr>
      </w:pPr>
      <w:r>
        <w:rPr>
          <w:rFonts w:ascii="Arial" w:cs="Arial" w:eastAsia="Arial" w:hAnsi="Arial"/>
          <w:sz w:val="13"/>
          <w:szCs w:val="13"/>
          <w:color w:val="auto"/>
        </w:rPr>
        <w:t>The undersigned has furnished Borrower with IRS Form W-8IMY accompanied by one of the following forms from each of its partners/members that is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w:t>
      </w:r>
    </w:p>
    <w:p>
      <w:pPr>
        <w:spacing w:after="0" w:line="1" w:lineRule="exact"/>
        <w:rPr>
          <w:sz w:val="20"/>
          <w:szCs w:val="20"/>
          <w:color w:val="auto"/>
        </w:rPr>
      </w:pPr>
    </w:p>
    <w:p>
      <w:pPr>
        <w:jc w:val="both"/>
        <w:ind w:left="1" w:hanging="1"/>
        <w:spacing w:after="0" w:line="262" w:lineRule="auto"/>
        <w:tabs>
          <w:tab w:leader="none" w:pos="20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if the information provided on this certificate changes, the undersigned shall promptly so inform Borrower, and (2) the undersigned shall have at all times furnished Borrower with a properly completed and currently effective certificate in either the calendar year in which each payment is to be made to the undersigned, or in either of the two calendar years preceding such payments.</w:t>
      </w:r>
    </w:p>
    <w:p>
      <w:pPr>
        <w:spacing w:after="0" w:line="146" w:lineRule="exact"/>
        <w:rPr>
          <w:sz w:val="20"/>
          <w:szCs w:val="20"/>
          <w:color w:val="auto"/>
        </w:rPr>
      </w:pPr>
    </w:p>
    <w:p>
      <w:pPr>
        <w:ind w:left="521"/>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4"/>
          <w:szCs w:val="14"/>
          <w:color w:val="auto"/>
        </w:rPr>
        <w:t>[NAME OF LENDER]</w:t>
      </w:r>
    </w:p>
    <w:p>
      <w:pPr>
        <w:spacing w:after="0" w:line="352" w:lineRule="exact"/>
        <w:rPr>
          <w:sz w:val="20"/>
          <w:szCs w:val="20"/>
          <w:color w:val="auto"/>
        </w:rPr>
      </w:pPr>
    </w:p>
    <w:p>
      <w:pPr>
        <w:ind w:left="1"/>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21"/>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-101600</wp:posOffset>
            </wp:positionV>
            <wp:extent cx="293560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35605" cy="6985"/>
                    </a:xfrm>
                    <a:prstGeom prst="rect">
                      <a:avLst/>
                    </a:prstGeom>
                    <a:noFill/>
                  </pic:spPr>
                </pic:pic>
              </a:graphicData>
            </a:graphic>
          </wp:anchor>
        </w:drawing>
      </w:r>
    </w:p>
    <w:p>
      <w:pPr>
        <w:ind w:left="521"/>
        <w:spacing w:after="0"/>
        <w:rPr>
          <w:sz w:val="20"/>
          <w:szCs w:val="20"/>
          <w:color w:val="auto"/>
        </w:rPr>
      </w:pPr>
      <w:r>
        <w:rPr>
          <w:rFonts w:ascii="Arial" w:cs="Arial" w:eastAsia="Arial" w:hAnsi="Arial"/>
          <w:sz w:val="14"/>
          <w:szCs w:val="14"/>
          <w:color w:val="auto"/>
        </w:rPr>
        <w:t>Title:</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w w:val="95"/>
              </w:rPr>
              <w:t>Date:</w:t>
            </w:r>
          </w:p>
        </w:tc>
        <w:tc>
          <w:tcPr>
            <w:tcW w:w="9760" w:type="dxa"/>
            <w:vAlign w:val="bottom"/>
            <w:gridSpan w:val="4"/>
          </w:tcPr>
          <w:p>
            <w:pPr>
              <w:jc w:val="right"/>
              <w:ind w:right="8560"/>
              <w:spacing w:after="0"/>
              <w:rPr>
                <w:sz w:val="20"/>
                <w:szCs w:val="20"/>
                <w:color w:val="auto"/>
              </w:rPr>
            </w:pPr>
            <w:r>
              <w:rPr>
                <w:rFonts w:ascii="Arial" w:cs="Arial" w:eastAsia="Arial" w:hAnsi="Arial"/>
                <w:sz w:val="14"/>
                <w:szCs w:val="14"/>
                <w:color w:val="auto"/>
              </w:rPr>
              <w:t>, 20[ ]</w:t>
            </w:r>
          </w:p>
        </w:tc>
      </w:tr>
      <w:tr>
        <w:trPr>
          <w:trHeight w:val="782"/>
        </w:trPr>
        <w:tc>
          <w:tcPr>
            <w:tcW w:w="3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r>
    </w:tbl>
    <w:p>
      <w:pPr>
        <w:sectPr>
          <w:pgSz w:w="11900" w:h="16838" w:orient="portrait"/>
          <w:cols w:equalWidth="0" w:num="1">
            <w:col w:w="10101"/>
          </w:cols>
          <w:pgMar w:left="899" w:top="125" w:right="8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10.2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Exit Fee Agreement</w:t>
      </w:r>
    </w:p>
    <w:p>
      <w:pPr>
        <w:spacing w:after="0" w:line="179" w:lineRule="exact"/>
        <w:rPr>
          <w:sz w:val="20"/>
          <w:szCs w:val="20"/>
          <w:color w:val="auto"/>
        </w:rPr>
      </w:pPr>
    </w:p>
    <w:p>
      <w:pPr>
        <w:jc w:val="both"/>
        <w:ind w:firstLine="513"/>
        <w:spacing w:after="0" w:line="249" w:lineRule="auto"/>
        <w:rPr>
          <w:sz w:val="20"/>
          <w:szCs w:val="20"/>
          <w:color w:val="auto"/>
        </w:rPr>
      </w:pPr>
      <w:r>
        <w:rPr>
          <w:rFonts w:ascii="Arial" w:cs="Arial" w:eastAsia="Arial" w:hAnsi="Arial"/>
          <w:sz w:val="16"/>
          <w:szCs w:val="16"/>
          <w:color w:val="auto"/>
        </w:rPr>
        <w:t>This agreement (as the same may be amended, restated, modified, or supplemented from time to time, this “</w:t>
      </w:r>
      <w:r>
        <w:rPr>
          <w:rFonts w:ascii="Arial" w:cs="Arial" w:eastAsia="Arial" w:hAnsi="Arial"/>
          <w:sz w:val="16"/>
          <w:szCs w:val="16"/>
          <w:b w:val="1"/>
          <w:bCs w:val="1"/>
          <w:color w:val="auto"/>
        </w:rPr>
        <w:t>Exit Fee Agreement</w:t>
      </w:r>
      <w:r>
        <w:rPr>
          <w:rFonts w:ascii="Arial" w:cs="Arial" w:eastAsia="Arial" w:hAnsi="Arial"/>
          <w:sz w:val="16"/>
          <w:szCs w:val="16"/>
          <w:color w:val="auto"/>
        </w:rPr>
        <w:t>”), dated as of May 16, 2018 (the “</w:t>
      </w:r>
      <w:r>
        <w:rPr>
          <w:rFonts w:ascii="Arial" w:cs="Arial" w:eastAsia="Arial" w:hAnsi="Arial"/>
          <w:sz w:val="16"/>
          <w:szCs w:val="16"/>
          <w:b w:val="1"/>
          <w:bCs w:val="1"/>
          <w:color w:val="auto"/>
        </w:rPr>
        <w:t>Effective Date</w:t>
      </w:r>
      <w:r>
        <w:rPr>
          <w:rFonts w:ascii="Arial" w:cs="Arial" w:eastAsia="Arial" w:hAnsi="Arial"/>
          <w:sz w:val="16"/>
          <w:szCs w:val="16"/>
          <w:color w:val="auto"/>
        </w:rPr>
        <w:t>”), is by and among Ardelyx, Inc., a Delaware corporation (“</w:t>
      </w:r>
      <w:r>
        <w:rPr>
          <w:rFonts w:ascii="Arial" w:cs="Arial" w:eastAsia="Arial" w:hAnsi="Arial"/>
          <w:sz w:val="16"/>
          <w:szCs w:val="16"/>
          <w:b w:val="1"/>
          <w:bCs w:val="1"/>
          <w:color w:val="auto"/>
        </w:rPr>
        <w:t>Borrower</w:t>
      </w:r>
      <w:r>
        <w:rPr>
          <w:rFonts w:ascii="Arial" w:cs="Arial" w:eastAsia="Arial" w:hAnsi="Arial"/>
          <w:sz w:val="16"/>
          <w:szCs w:val="16"/>
          <w:color w:val="auto"/>
        </w:rPr>
        <w:t>”), Solar Capital Ltd., a Maryland corporation (“</w:t>
      </w:r>
      <w:r>
        <w:rPr>
          <w:rFonts w:ascii="Arial" w:cs="Arial" w:eastAsia="Arial" w:hAnsi="Arial"/>
          <w:sz w:val="16"/>
          <w:szCs w:val="16"/>
          <w:b w:val="1"/>
          <w:bCs w:val="1"/>
          <w:color w:val="auto"/>
        </w:rPr>
        <w:t>Solar</w:t>
      </w:r>
      <w:r>
        <w:rPr>
          <w:rFonts w:ascii="Arial" w:cs="Arial" w:eastAsia="Arial" w:hAnsi="Arial"/>
          <w:sz w:val="16"/>
          <w:szCs w:val="16"/>
          <w:color w:val="auto"/>
        </w:rPr>
        <w:t>”), and Western Alliance Bank, an Arizona corporation (“</w:t>
      </w:r>
      <w:r>
        <w:rPr>
          <w:rFonts w:ascii="Arial" w:cs="Arial" w:eastAsia="Arial" w:hAnsi="Arial"/>
          <w:sz w:val="16"/>
          <w:szCs w:val="16"/>
          <w:b w:val="1"/>
          <w:bCs w:val="1"/>
          <w:color w:val="auto"/>
        </w:rPr>
        <w:t>Western Alliance Bank</w:t>
      </w:r>
      <w:r>
        <w:rPr>
          <w:rFonts w:ascii="Arial" w:cs="Arial" w:eastAsia="Arial" w:hAnsi="Arial"/>
          <w:sz w:val="16"/>
          <w:szCs w:val="16"/>
          <w:color w:val="auto"/>
        </w:rPr>
        <w:t>”).</w:t>
      </w:r>
    </w:p>
    <w:p>
      <w:pPr>
        <w:spacing w:after="0" w:line="153"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5"/>
          <w:szCs w:val="15"/>
          <w:color w:val="auto"/>
        </w:rPr>
        <w:t>Reference is made to the Loan and Security Agreement, dated as of the date hereof (the “</w:t>
      </w:r>
      <w:r>
        <w:rPr>
          <w:rFonts w:ascii="Arial" w:cs="Arial" w:eastAsia="Arial" w:hAnsi="Arial"/>
          <w:sz w:val="15"/>
          <w:szCs w:val="15"/>
          <w:b w:val="1"/>
          <w:bCs w:val="1"/>
          <w:color w:val="auto"/>
        </w:rPr>
        <w:t>Loan Agreement</w:t>
      </w:r>
      <w:r>
        <w:rPr>
          <w:rFonts w:ascii="Arial" w:cs="Arial" w:eastAsia="Arial" w:hAnsi="Arial"/>
          <w:sz w:val="15"/>
          <w:szCs w:val="15"/>
          <w:color w:val="auto"/>
        </w:rPr>
        <w:t>”), by and among Solar, as collateral agent (in such capacity, “</w:t>
      </w:r>
      <w:r>
        <w:rPr>
          <w:rFonts w:ascii="Arial" w:cs="Arial" w:eastAsia="Arial" w:hAnsi="Arial"/>
          <w:sz w:val="15"/>
          <w:szCs w:val="15"/>
          <w:b w:val="1"/>
          <w:bCs w:val="1"/>
          <w:color w:val="auto"/>
        </w:rPr>
        <w:t>Collateral Agent</w:t>
      </w:r>
      <w:r>
        <w:rPr>
          <w:rFonts w:ascii="Arial" w:cs="Arial" w:eastAsia="Arial" w:hAnsi="Arial"/>
          <w:sz w:val="15"/>
          <w:szCs w:val="15"/>
          <w:color w:val="auto"/>
        </w:rPr>
        <w:t>”), the lenders party thereto from time to time, including Solar in its capacity as a lender and Western Alliance Bank (each a “</w:t>
      </w:r>
      <w:r>
        <w:rPr>
          <w:rFonts w:ascii="Arial" w:cs="Arial" w:eastAsia="Arial" w:hAnsi="Arial"/>
          <w:sz w:val="15"/>
          <w:szCs w:val="15"/>
          <w:b w:val="1"/>
          <w:bCs w:val="1"/>
          <w:color w:val="auto"/>
        </w:rPr>
        <w:t>Lender</w:t>
      </w:r>
      <w:r>
        <w:rPr>
          <w:rFonts w:ascii="Arial" w:cs="Arial" w:eastAsia="Arial" w:hAnsi="Arial"/>
          <w:sz w:val="15"/>
          <w:szCs w:val="15"/>
          <w:color w:val="auto"/>
        </w:rPr>
        <w:t>” and collectively, the “</w:t>
      </w:r>
      <w:r>
        <w:rPr>
          <w:rFonts w:ascii="Arial" w:cs="Arial" w:eastAsia="Arial" w:hAnsi="Arial"/>
          <w:sz w:val="15"/>
          <w:szCs w:val="15"/>
          <w:b w:val="1"/>
          <w:bCs w:val="1"/>
          <w:color w:val="auto"/>
        </w:rPr>
        <w:t>Lenders</w:t>
      </w:r>
      <w:r>
        <w:rPr>
          <w:rFonts w:ascii="Arial" w:cs="Arial" w:eastAsia="Arial" w:hAnsi="Arial"/>
          <w:sz w:val="15"/>
          <w:szCs w:val="15"/>
          <w:color w:val="auto"/>
        </w:rPr>
        <w:t>”), and Borrower. As a condition precedent to the Lenders’ entry into the Loan Agreement, the Lenders require that Borrower agree to pay to the Lenders a fee upon the occurrence of certain events (as described herein). Capitalized terms used herein and not otherwise defined herein have the meanings assigned to them in the Loan Agreement.</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Therefore, in consideration of the Lenders entering into the Loan Agreement, Borrower hereby agrees as follows:</w:t>
      </w:r>
    </w:p>
    <w:p>
      <w:pPr>
        <w:spacing w:after="0" w:line="175" w:lineRule="exact"/>
        <w:rPr>
          <w:sz w:val="20"/>
          <w:szCs w:val="20"/>
          <w:color w:val="auto"/>
        </w:rPr>
      </w:pPr>
    </w:p>
    <w:p>
      <w:pPr>
        <w:jc w:val="both"/>
        <w:ind w:left="520" w:hanging="264"/>
        <w:spacing w:after="0" w:line="297" w:lineRule="auto"/>
        <w:tabs>
          <w:tab w:leader="none" w:pos="58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Exit Event</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hereof, “</w:t>
      </w:r>
      <w:r>
        <w:rPr>
          <w:rFonts w:ascii="Arial" w:cs="Arial" w:eastAsia="Arial" w:hAnsi="Arial"/>
          <w:sz w:val="13"/>
          <w:szCs w:val="13"/>
          <w:b w:val="1"/>
          <w:bCs w:val="1"/>
          <w:color w:val="auto"/>
        </w:rPr>
        <w:t>Exit Event</w:t>
      </w:r>
      <w:r>
        <w:rPr>
          <w:rFonts w:ascii="Arial" w:cs="Arial" w:eastAsia="Arial" w:hAnsi="Arial"/>
          <w:sz w:val="13"/>
          <w:szCs w:val="13"/>
          <w:color w:val="auto"/>
        </w:rPr>
        <w:t>” shall mean the first to occur of: (a) any liquidation, dissolution or winding up of Borrower, whether</w:t>
      </w:r>
      <w:r>
        <w:rPr>
          <w:rFonts w:ascii="Arial" w:cs="Arial" w:eastAsia="Arial" w:hAnsi="Arial"/>
          <w:sz w:val="13"/>
          <w:szCs w:val="13"/>
          <w:b w:val="1"/>
          <w:bCs w:val="1"/>
          <w:color w:val="auto"/>
        </w:rPr>
        <w:t xml:space="preserve"> </w:t>
      </w:r>
      <w:r>
        <w:rPr>
          <w:rFonts w:ascii="Arial" w:cs="Arial" w:eastAsia="Arial" w:hAnsi="Arial"/>
          <w:sz w:val="13"/>
          <w:szCs w:val="13"/>
          <w:color w:val="auto"/>
        </w:rPr>
        <w:t>voluntary or involuntary, which results in cash or other non-cash consideration to the stockholders of Borrower; (b) a consolidation, merger or reverse merger of Borrower with or into another corporation or entity or other reorganization or similar transaction or series of related transactions involving Borrower which result in stockholders of Borrower immediately prior to such transaction or series of related transactions owning less than fifty percent (50%) of the outstanding capital stock of the surviving entity (treating all securities convertible or exchangeable into or exercisable for shares of common stock as having been fully converted, exchanged and exercised, and deemed to be outstanding for purposes of this clause, without regard to any exercise, conversion or exchange limitations therein); (c) a sale, lease, transfer, exclusive license, exchange, dividend or other disposition of all or substantially all of the assets of Borrower; (d) the issuance and/or sale by Borrower in one or a series of related transactions of shares of its common stock (“</w:t>
      </w:r>
      <w:r>
        <w:rPr>
          <w:rFonts w:ascii="Arial" w:cs="Arial" w:eastAsia="Arial" w:hAnsi="Arial"/>
          <w:sz w:val="13"/>
          <w:szCs w:val="13"/>
          <w:b w:val="1"/>
          <w:bCs w:val="1"/>
          <w:color w:val="auto"/>
        </w:rPr>
        <w:t>Common Stock</w:t>
      </w:r>
      <w:r>
        <w:rPr>
          <w:rFonts w:ascii="Arial" w:cs="Arial" w:eastAsia="Arial" w:hAnsi="Arial"/>
          <w:sz w:val="13"/>
          <w:szCs w:val="13"/>
          <w:color w:val="auto"/>
        </w:rPr>
        <w:t>”) (or securities convertible or exchangeable into or exercisable for shares of Common Stock) constituting more than fifty percent (50%) of the shares of Common Stock outstanding immediately following such issuance (treating all securities convertible or exchangeable into or exercisable for shares of Common Stock as having been fully converted, exchanged and exercised, and deemed to be outstanding for purposes of this clause without regard to any exercise, conversion or exchange limitations therein) to parties other than its then existing investors; (e) any other form of acquisition or business combination where Borrower is the target of such acquisition and where a change of control occurs such that the person that acquires Borrower has the power after such transaction to elect a majority of the board of directors of Borrower as a result of such transaction; and (f) FDA marketing approval for a New Drug Application of Tenaphor (i) for the treatment of Hyperphosphatemia in End-Stage Renal Disease Patients on Dialysis (ESRD-HD) and (ii) for the treatment of IBS-C.</w:t>
      </w:r>
    </w:p>
    <w:p>
      <w:pPr>
        <w:spacing w:after="0" w:line="310" w:lineRule="exact"/>
        <w:rPr>
          <w:rFonts w:ascii="Arial" w:cs="Arial" w:eastAsia="Arial" w:hAnsi="Arial"/>
          <w:sz w:val="13"/>
          <w:szCs w:val="13"/>
          <w:b w:val="1"/>
          <w:bCs w:val="1"/>
          <w:color w:val="auto"/>
        </w:rPr>
      </w:pPr>
    </w:p>
    <w:p>
      <w:pPr>
        <w:jc w:val="both"/>
        <w:ind w:left="520" w:hanging="264"/>
        <w:spacing w:after="0" w:line="249" w:lineRule="auto"/>
        <w:tabs>
          <w:tab w:leader="none" w:pos="538"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Exit Event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agrees to provide the Lenders with (a) to the extent Borrower has such ability, five (5) days’ prior written notice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such Exit Event and (b) written notice of the Exit Event as soon as practicable following the occurrence of such Exit Event, but in any event not more than five (5) Business Days after such Exit Event.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35" w:name="page136"/>
    <w:bookmarkEnd w:id="135"/>
    <w:p>
      <w:pPr>
        <w:jc w:val="both"/>
        <w:ind w:left="264" w:hanging="264"/>
        <w:spacing w:after="0" w:line="334" w:lineRule="auto"/>
        <w:tabs>
          <w:tab w:leader="none" w:pos="282"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Exit Fee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agrees to pay to each Lender in accordance with its Pro Rata Share, in immediately available funds, a fee (the “</w:t>
      </w:r>
      <w:r>
        <w:rPr>
          <w:rFonts w:ascii="Arial" w:cs="Arial" w:eastAsia="Arial" w:hAnsi="Arial"/>
          <w:sz w:val="13"/>
          <w:szCs w:val="13"/>
          <w:b w:val="1"/>
          <w:bCs w:val="1"/>
          <w:color w:val="auto"/>
        </w:rPr>
        <w:t>Exit Fee</w:t>
      </w:r>
      <w:r>
        <w:rPr>
          <w:rFonts w:ascii="Arial" w:cs="Arial" w:eastAsia="Arial" w:hAnsi="Arial"/>
          <w:sz w:val="13"/>
          <w:szCs w:val="13"/>
          <w:color w:val="auto"/>
        </w:rPr>
        <w:t>”) upon the</w:t>
      </w:r>
      <w:r>
        <w:rPr>
          <w:rFonts w:ascii="Arial" w:cs="Arial" w:eastAsia="Arial" w:hAnsi="Arial"/>
          <w:sz w:val="13"/>
          <w:szCs w:val="13"/>
          <w:b w:val="1"/>
          <w:bCs w:val="1"/>
          <w:color w:val="auto"/>
        </w:rPr>
        <w:t xml:space="preserve"> </w:t>
      </w:r>
      <w:r>
        <w:rPr>
          <w:rFonts w:ascii="Arial" w:cs="Arial" w:eastAsia="Arial" w:hAnsi="Arial"/>
          <w:sz w:val="13"/>
          <w:szCs w:val="13"/>
          <w:color w:val="auto"/>
        </w:rPr>
        <w:t>occurrence of an Exit Event in the amount equal to a total for all Lenders of One Million Five Hundred Thousand Dollars ($1,500,000); provided, that notwithstanding the foregoing, the Exit Fee shall be considered fully earned on the date hereof, subject to the terms of this Exit Fee Agreement.</w:t>
      </w:r>
    </w:p>
    <w:p>
      <w:pPr>
        <w:spacing w:after="0" w:line="101" w:lineRule="exact"/>
        <w:rPr>
          <w:rFonts w:ascii="Arial" w:cs="Arial" w:eastAsia="Arial" w:hAnsi="Arial"/>
          <w:sz w:val="13"/>
          <w:szCs w:val="13"/>
          <w:b w:val="1"/>
          <w:bCs w:val="1"/>
          <w:color w:val="auto"/>
        </w:rPr>
      </w:pPr>
    </w:p>
    <w:p>
      <w:pPr>
        <w:jc w:val="both"/>
        <w:ind w:left="264" w:hanging="264"/>
        <w:spacing w:after="0" w:line="249" w:lineRule="auto"/>
        <w:tabs>
          <w:tab w:leader="none" w:pos="28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Exit Fee shall be paid to the Lenders no later than five (5) Business Days after the consummation of the Exit Event. Failure to so timely</w:t>
      </w:r>
      <w:r>
        <w:rPr>
          <w:rFonts w:ascii="Arial" w:cs="Arial" w:eastAsia="Arial" w:hAnsi="Arial"/>
          <w:sz w:val="16"/>
          <w:szCs w:val="16"/>
          <w:b w:val="1"/>
          <w:bCs w:val="1"/>
          <w:color w:val="auto"/>
        </w:rPr>
        <w:t xml:space="preserve"> </w:t>
      </w:r>
      <w:r>
        <w:rPr>
          <w:rFonts w:ascii="Arial" w:cs="Arial" w:eastAsia="Arial" w:hAnsi="Arial"/>
          <w:sz w:val="16"/>
          <w:szCs w:val="16"/>
          <w:color w:val="auto"/>
        </w:rPr>
        <w:t>pay the full amount of the Exit Fee to the Lenders shall be an Event of Default under the Loan Agreement, so long as the Loan Agreement is then in effect.</w:t>
      </w:r>
    </w:p>
    <w:p>
      <w:pPr>
        <w:spacing w:after="0" w:line="153" w:lineRule="exact"/>
        <w:rPr>
          <w:rFonts w:ascii="Arial" w:cs="Arial" w:eastAsia="Arial" w:hAnsi="Arial"/>
          <w:sz w:val="16"/>
          <w:szCs w:val="16"/>
          <w:b w:val="1"/>
          <w:bCs w:val="1"/>
          <w:color w:val="auto"/>
        </w:rPr>
      </w:pPr>
    </w:p>
    <w:p>
      <w:pPr>
        <w:jc w:val="both"/>
        <w:ind w:left="264" w:hanging="264"/>
        <w:spacing w:after="0" w:line="263" w:lineRule="auto"/>
        <w:tabs>
          <w:tab w:leader="none" w:pos="303"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 Assignment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Exit Fee Agreement shall be binding on Borrower and its respective successors and assigns and shall terminate upon</w:t>
      </w:r>
      <w:r>
        <w:rPr>
          <w:rFonts w:ascii="Arial" w:cs="Arial" w:eastAsia="Arial" w:hAnsi="Arial"/>
          <w:sz w:val="15"/>
          <w:szCs w:val="15"/>
          <w:b w:val="1"/>
          <w:bCs w:val="1"/>
          <w:color w:val="auto"/>
        </w:rPr>
        <w:t xml:space="preserve"> </w:t>
      </w:r>
      <w:r>
        <w:rPr>
          <w:rFonts w:ascii="Arial" w:cs="Arial" w:eastAsia="Arial" w:hAnsi="Arial"/>
          <w:sz w:val="15"/>
          <w:szCs w:val="15"/>
          <w:color w:val="auto"/>
        </w:rPr>
        <w:t>the earlier to occur of (a) payment in full of the Exit Fee pursuant to the terms herein, or (b) the tenth anniversary of the Effective Date (the “</w:t>
      </w:r>
      <w:r>
        <w:rPr>
          <w:rFonts w:ascii="Arial" w:cs="Arial" w:eastAsia="Arial" w:hAnsi="Arial"/>
          <w:sz w:val="15"/>
          <w:szCs w:val="15"/>
          <w:b w:val="1"/>
          <w:bCs w:val="1"/>
          <w:color w:val="auto"/>
        </w:rPr>
        <w:t>Termination Date</w:t>
      </w:r>
      <w:r>
        <w:rPr>
          <w:rFonts w:ascii="Arial" w:cs="Arial" w:eastAsia="Arial" w:hAnsi="Arial"/>
          <w:sz w:val="15"/>
          <w:szCs w:val="15"/>
          <w:color w:val="auto"/>
        </w:rPr>
        <w:t>”). For the avoidance of doubt, the Exit Fee survives the termination of the Loan Agreement or any other Loan Document. Borrower may not assign this Exit Fee Agreement. Each Lender may assign this Exit Fee Agreement solely in connection with, and subject to the terms of, an assignment or transfer made pursuant to the terms of Section 12.1 of the Loan Agreement.</w:t>
      </w:r>
    </w:p>
    <w:p>
      <w:pPr>
        <w:spacing w:after="0" w:line="144" w:lineRule="exact"/>
        <w:rPr>
          <w:rFonts w:ascii="Arial" w:cs="Arial" w:eastAsia="Arial" w:hAnsi="Arial"/>
          <w:sz w:val="15"/>
          <w:szCs w:val="15"/>
          <w:b w:val="1"/>
          <w:bCs w:val="1"/>
          <w:color w:val="auto"/>
        </w:rPr>
      </w:pPr>
    </w:p>
    <w:p>
      <w:pPr>
        <w:jc w:val="both"/>
        <w:ind w:left="264" w:hanging="264"/>
        <w:spacing w:after="0" w:line="274" w:lineRule="auto"/>
        <w:tabs>
          <w:tab w:leader="none" w:pos="325"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EXIT FEE AGREEMENT SHALL BE CONSTRUED IN ACCORDANCE WITH AND GOVERNED BY THE LAW</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STATE OF NEW YORK, WITHOUT REGARD TO CONFLICTS OF LAW PRINCIPLES THAT WOULD REQUIRE THE APPLICATION OF THE LAWS OF ANOTHER JURISDICTION (OTHER THAN SECTION 5-1401 OF THE GENERAL OBLIGATIONS LAW).</w:t>
      </w:r>
    </w:p>
    <w:p>
      <w:pPr>
        <w:spacing w:after="0" w:line="135" w:lineRule="exact"/>
        <w:rPr>
          <w:rFonts w:ascii="Arial" w:cs="Arial" w:eastAsia="Arial" w:hAnsi="Arial"/>
          <w:sz w:val="15"/>
          <w:szCs w:val="15"/>
          <w:b w:val="1"/>
          <w:bCs w:val="1"/>
          <w:color w:val="auto"/>
        </w:rPr>
      </w:pPr>
    </w:p>
    <w:p>
      <w:pPr>
        <w:jc w:val="both"/>
        <w:ind w:left="264" w:hanging="264"/>
        <w:spacing w:after="0" w:line="297" w:lineRule="auto"/>
        <w:tabs>
          <w:tab w:leader="none" w:pos="303"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agrees to indemnify, defend and hold Collateral Agent and the Lenders and their respective directors, officers,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consultants, agents, attorneys, or any other Person affiliated with or representing Collateral Agent or the Lenders (each, an “</w:t>
      </w:r>
      <w:r>
        <w:rPr>
          <w:rFonts w:ascii="Arial" w:cs="Arial" w:eastAsia="Arial" w:hAnsi="Arial"/>
          <w:sz w:val="13"/>
          <w:szCs w:val="13"/>
          <w:b w:val="1"/>
          <w:bCs w:val="1"/>
          <w:color w:val="auto"/>
        </w:rPr>
        <w:t>Indemnified Person</w:t>
      </w:r>
      <w:r>
        <w:rPr>
          <w:rFonts w:ascii="Arial" w:cs="Arial" w:eastAsia="Arial" w:hAnsi="Arial"/>
          <w:sz w:val="13"/>
          <w:szCs w:val="13"/>
          <w:color w:val="auto"/>
        </w:rPr>
        <w:t>”) harmless against: (a) all obligations, demands, claims, and liabilities (collectively, “</w:t>
      </w:r>
      <w:r>
        <w:rPr>
          <w:rFonts w:ascii="Arial" w:cs="Arial" w:eastAsia="Arial" w:hAnsi="Arial"/>
          <w:sz w:val="13"/>
          <w:szCs w:val="13"/>
          <w:b w:val="1"/>
          <w:bCs w:val="1"/>
          <w:color w:val="auto"/>
        </w:rPr>
        <w:t>Claims</w:t>
      </w:r>
      <w:r>
        <w:rPr>
          <w:rFonts w:ascii="Arial" w:cs="Arial" w:eastAsia="Arial" w:hAnsi="Arial"/>
          <w:sz w:val="13"/>
          <w:szCs w:val="13"/>
          <w:color w:val="auto"/>
        </w:rPr>
        <w:t>”) asserted by any other party in connection with; related to; following; or arising from, out of or under, the transactions contemplated by this Exit Fee Agreement; and (b) all losses or Lenders’ Expenses incurred, or paid by an Indemnified Person in connection with; related to; following; or arising from, out of or under, the transactions contemplated by this Exit Fee Agreement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200" w:lineRule="exact"/>
        <w:rPr>
          <w:sz w:val="20"/>
          <w:szCs w:val="20"/>
          <w:color w:val="auto"/>
        </w:rPr>
      </w:pPr>
    </w:p>
    <w:p>
      <w:pPr>
        <w:spacing w:after="0" w:line="279"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67310</wp:posOffset>
            </wp:positionV>
            <wp:extent cx="642112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844"/>
          </w:cols>
          <w:pgMar w:left="1156" w:top="121" w:right="899" w:bottom="1440" w:gutter="0" w:footer="0" w:header="0"/>
        </w:sectPr>
      </w:pPr>
    </w:p>
    <w:bookmarkStart w:id="136" w:name="page137"/>
    <w:bookmarkEnd w:id="136"/>
    <w:p>
      <w:pPr>
        <w:ind w:left="264" w:right="220" w:hanging="264"/>
        <w:spacing w:after="0" w:line="376" w:lineRule="auto"/>
        <w:tabs>
          <w:tab w:leader="none" w:pos="282"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w:t>
      </w:r>
      <w:r>
        <w:rPr>
          <w:rFonts w:ascii="Arial" w:cs="Arial" w:eastAsia="Arial" w:hAnsi="Arial"/>
          <w:sz w:val="13"/>
          <w:szCs w:val="13"/>
          <w:b w:val="1"/>
          <w:bCs w:val="1"/>
          <w:color w:val="auto"/>
        </w:rPr>
        <w:t xml:space="preserve">. </w:t>
      </w:r>
      <w:r>
        <w:rPr>
          <w:rFonts w:ascii="Arial" w:cs="Arial" w:eastAsia="Arial" w:hAnsi="Arial"/>
          <w:sz w:val="13"/>
          <w:szCs w:val="13"/>
          <w:color w:val="auto"/>
        </w:rPr>
        <w:t>No amendment, modification, termination or waiver of any provision of this Exit Fee Agreement shall in any event be effective unless</w:t>
      </w:r>
      <w:r>
        <w:rPr>
          <w:rFonts w:ascii="Arial" w:cs="Arial" w:eastAsia="Arial" w:hAnsi="Arial"/>
          <w:sz w:val="13"/>
          <w:szCs w:val="13"/>
          <w:b w:val="1"/>
          <w:bCs w:val="1"/>
          <w:color w:val="auto"/>
        </w:rPr>
        <w:t xml:space="preserve"> </w:t>
      </w:r>
      <w:r>
        <w:rPr>
          <w:rFonts w:ascii="Arial" w:cs="Arial" w:eastAsia="Arial" w:hAnsi="Arial"/>
          <w:sz w:val="13"/>
          <w:szCs w:val="13"/>
          <w:color w:val="auto"/>
        </w:rPr>
        <w:t>the same shall be in writing and signed by Borrower, Collateral Agent and each Lender (including any permitted assigns of such parties).</w:t>
      </w:r>
    </w:p>
    <w:p>
      <w:pPr>
        <w:spacing w:after="0" w:line="75" w:lineRule="exact"/>
        <w:rPr>
          <w:rFonts w:ascii="Arial" w:cs="Arial" w:eastAsia="Arial" w:hAnsi="Arial"/>
          <w:sz w:val="13"/>
          <w:szCs w:val="13"/>
          <w:b w:val="1"/>
          <w:bCs w:val="1"/>
          <w:color w:val="auto"/>
        </w:rPr>
      </w:pPr>
    </w:p>
    <w:p>
      <w:pPr>
        <w:ind w:left="264" w:hanging="264"/>
        <w:spacing w:after="0" w:line="262" w:lineRule="auto"/>
        <w:tabs>
          <w:tab w:leader="none" w:pos="282"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 of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provision of this Exit Fee Agreement is severable from every other provision in determining the enforceability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w:t>
      </w:r>
    </w:p>
    <w:p>
      <w:pPr>
        <w:spacing w:after="0" w:line="142" w:lineRule="exact"/>
        <w:rPr>
          <w:rFonts w:ascii="Arial" w:cs="Arial" w:eastAsia="Arial" w:hAnsi="Arial"/>
          <w:sz w:val="16"/>
          <w:szCs w:val="16"/>
          <w:b w:val="1"/>
          <w:bCs w:val="1"/>
          <w:color w:val="auto"/>
        </w:rPr>
      </w:pPr>
    </w:p>
    <w:p>
      <w:pPr>
        <w:ind w:left="264" w:right="80" w:hanging="264"/>
        <w:spacing w:after="0" w:line="245" w:lineRule="auto"/>
        <w:tabs>
          <w:tab w:leader="none" w:pos="282"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Exit Fee Agreement may be executed in any number of counterparts and by different parties on separate counterparts,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when executed and delivered, is an original, and all taken together, constitute one Exit Fee Agreement. Delivery of an executed counterpart of a signature page of this Exit Fee Agreement by facsimile, portable document format (.pdf) or other electronic transmission will be as effective as delivery of a manually executed counterpart hereof.</w:t>
      </w:r>
    </w:p>
    <w:p>
      <w:pPr>
        <w:spacing w:after="0" w:line="160" w:lineRule="exact"/>
        <w:rPr>
          <w:sz w:val="20"/>
          <w:szCs w:val="20"/>
          <w:color w:val="auto"/>
        </w:rPr>
      </w:pPr>
    </w:p>
    <w:p>
      <w:pPr>
        <w:jc w:val="center"/>
        <w:ind w:right="236"/>
        <w:spacing w:after="0"/>
        <w:rPr>
          <w:sz w:val="20"/>
          <w:szCs w:val="20"/>
          <w:color w:val="auto"/>
        </w:rPr>
      </w:pPr>
      <w:r>
        <w:rPr>
          <w:rFonts w:ascii="Arial" w:cs="Arial" w:eastAsia="Arial" w:hAnsi="Arial"/>
          <w:sz w:val="16"/>
          <w:szCs w:val="16"/>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67310</wp:posOffset>
            </wp:positionV>
            <wp:extent cx="642112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844"/>
          </w:cols>
          <w:pgMar w:left="1156" w:top="121" w:right="89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auto"/>
        </w:rPr>
        <w:t>AGREED: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ARDELYX,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as Borrower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4380" w:type="dxa"/>
            <w:vAlign w:val="bottom"/>
            <w:tcBorders>
              <w:bottom w:val="single" w:sz="8" w:color="auto"/>
            </w:tcBorders>
          </w:tcPr>
          <w:p>
            <w:pPr>
              <w:spacing w:after="0"/>
              <w:rPr>
                <w:sz w:val="17"/>
                <w:szCs w:val="17"/>
                <w:color w:val="auto"/>
              </w:rPr>
            </w:pPr>
          </w:p>
        </w:tc>
      </w:tr>
      <w:tr>
        <w:trPr>
          <w:trHeight w:val="158"/>
        </w:trPr>
        <w:tc>
          <w:tcPr>
            <w:tcW w:w="660" w:type="dxa"/>
            <w:vAlign w:val="bottom"/>
          </w:tcPr>
          <w:p>
            <w:pPr>
              <w:spacing w:after="0" w:line="158" w:lineRule="exact"/>
              <w:rPr>
                <w:sz w:val="20"/>
                <w:szCs w:val="20"/>
                <w:color w:val="auto"/>
              </w:rPr>
            </w:pPr>
            <w:r>
              <w:rPr>
                <w:rFonts w:ascii="Arial" w:cs="Arial" w:eastAsia="Arial" w:hAnsi="Arial"/>
                <w:sz w:val="16"/>
                <w:szCs w:val="16"/>
                <w:color w:val="auto"/>
              </w:rPr>
              <w:t>Name:</w:t>
            </w:r>
          </w:p>
        </w:tc>
        <w:tc>
          <w:tcPr>
            <w:tcW w:w="4380" w:type="dxa"/>
            <w:vAlign w:val="bottom"/>
          </w:tcPr>
          <w:p>
            <w:pPr>
              <w:spacing w:after="0" w:line="158" w:lineRule="exact"/>
              <w:rPr>
                <w:sz w:val="20"/>
                <w:szCs w:val="20"/>
                <w:color w:val="auto"/>
              </w:rPr>
            </w:pPr>
            <w:r>
              <w:rPr>
                <w:rFonts w:ascii="Arial" w:cs="Arial" w:eastAsia="Arial" w:hAnsi="Arial"/>
                <w:sz w:val="16"/>
                <w:szCs w:val="16"/>
                <w:color w:val="auto"/>
              </w:rPr>
              <w:t>Mark Kaufmann</w:t>
            </w:r>
          </w:p>
        </w:tc>
      </w:tr>
      <w:tr>
        <w:trPr>
          <w:trHeight w:val="199"/>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438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99" w:lineRule="exact"/>
        <w:rPr>
          <w:sz w:val="20"/>
          <w:szCs w:val="20"/>
          <w:color w:val="auto"/>
        </w:rPr>
      </w:pPr>
    </w:p>
    <w:p>
      <w:pPr>
        <w:jc w:val="right"/>
        <w:ind w:right="3439"/>
        <w:spacing w:after="0"/>
        <w:rPr>
          <w:sz w:val="20"/>
          <w:szCs w:val="20"/>
          <w:color w:val="auto"/>
        </w:rPr>
      </w:pPr>
      <w:r>
        <w:rPr>
          <w:rFonts w:ascii="Arial" w:cs="Arial" w:eastAsia="Arial" w:hAnsi="Arial"/>
          <w:sz w:val="14"/>
          <w:szCs w:val="14"/>
          <w:i w:val="1"/>
          <w:iCs w:val="1"/>
          <w:color w:val="auto"/>
        </w:rPr>
        <w:t>[Signature Page Exit Fee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59"/>
          </w:cols>
          <w:pgMar w:left="900" w:top="153" w:right="1440"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auto"/>
        </w:rPr>
        <w:t>AGREED: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SOLAR CAPITAL LTD.</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as Collateral Agent and a Lender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4380" w:type="dxa"/>
            <w:vAlign w:val="bottom"/>
            <w:tcBorders>
              <w:bottom w:val="single" w:sz="8" w:color="auto"/>
            </w:tcBorders>
          </w:tcPr>
          <w:p>
            <w:pPr>
              <w:spacing w:after="0"/>
              <w:rPr>
                <w:sz w:val="17"/>
                <w:szCs w:val="17"/>
                <w:color w:val="auto"/>
              </w:rPr>
            </w:pPr>
          </w:p>
        </w:tc>
      </w:tr>
      <w:tr>
        <w:trPr>
          <w:trHeight w:val="158"/>
        </w:trPr>
        <w:tc>
          <w:tcPr>
            <w:tcW w:w="660" w:type="dxa"/>
            <w:vAlign w:val="bottom"/>
          </w:tcPr>
          <w:p>
            <w:pPr>
              <w:spacing w:after="0" w:line="158" w:lineRule="exact"/>
              <w:rPr>
                <w:sz w:val="20"/>
                <w:szCs w:val="20"/>
                <w:color w:val="auto"/>
              </w:rPr>
            </w:pPr>
            <w:r>
              <w:rPr>
                <w:rFonts w:ascii="Arial" w:cs="Arial" w:eastAsia="Arial" w:hAnsi="Arial"/>
                <w:sz w:val="16"/>
                <w:szCs w:val="16"/>
                <w:color w:val="auto"/>
              </w:rPr>
              <w:t>Name:</w:t>
            </w:r>
          </w:p>
        </w:tc>
        <w:tc>
          <w:tcPr>
            <w:tcW w:w="4380" w:type="dxa"/>
            <w:vAlign w:val="bottom"/>
          </w:tcPr>
          <w:p>
            <w:pPr>
              <w:spacing w:after="0" w:line="158" w:lineRule="exact"/>
              <w:rPr>
                <w:sz w:val="20"/>
                <w:szCs w:val="20"/>
                <w:color w:val="auto"/>
              </w:rPr>
            </w:pPr>
            <w:r>
              <w:rPr>
                <w:rFonts w:ascii="Arial" w:cs="Arial" w:eastAsia="Arial" w:hAnsi="Arial"/>
                <w:sz w:val="16"/>
                <w:szCs w:val="16"/>
                <w:color w:val="auto"/>
              </w:rPr>
              <w:t>Anthony J. Storino</w:t>
            </w:r>
          </w:p>
        </w:tc>
      </w:tr>
      <w:tr>
        <w:trPr>
          <w:trHeight w:val="199"/>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4380" w:type="dxa"/>
            <w:vAlign w:val="bottom"/>
          </w:tcPr>
          <w:p>
            <w:pPr>
              <w:spacing w:after="0"/>
              <w:rPr>
                <w:sz w:val="20"/>
                <w:szCs w:val="20"/>
                <w:color w:val="auto"/>
              </w:rPr>
            </w:pPr>
            <w:r>
              <w:rPr>
                <w:rFonts w:ascii="Arial" w:cs="Arial" w:eastAsia="Arial" w:hAnsi="Arial"/>
                <w:sz w:val="16"/>
                <w:szCs w:val="16"/>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439"/>
        <w:spacing w:after="0"/>
        <w:rPr>
          <w:sz w:val="20"/>
          <w:szCs w:val="20"/>
          <w:color w:val="auto"/>
        </w:rPr>
      </w:pPr>
      <w:r>
        <w:rPr>
          <w:rFonts w:ascii="Arial" w:cs="Arial" w:eastAsia="Arial" w:hAnsi="Arial"/>
          <w:sz w:val="14"/>
          <w:szCs w:val="14"/>
          <w:i w:val="1"/>
          <w:iCs w:val="1"/>
          <w:color w:val="auto"/>
        </w:rPr>
        <w:t>[Signature Page Exit Fee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59"/>
          </w:cols>
          <w:pgMar w:left="900" w:top="122" w:right="1440"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auto"/>
        </w:rPr>
        <w:t>AGREED: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WESTERN ALLIANCE BANK</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as a Lender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4380" w:type="dxa"/>
            <w:vAlign w:val="bottom"/>
            <w:tcBorders>
              <w:bottom w:val="single" w:sz="8" w:color="auto"/>
            </w:tcBorders>
          </w:tcPr>
          <w:p>
            <w:pPr>
              <w:spacing w:after="0"/>
              <w:rPr>
                <w:sz w:val="17"/>
                <w:szCs w:val="17"/>
                <w:color w:val="auto"/>
              </w:rPr>
            </w:pPr>
          </w:p>
        </w:tc>
      </w:tr>
      <w:tr>
        <w:trPr>
          <w:trHeight w:val="158"/>
        </w:trPr>
        <w:tc>
          <w:tcPr>
            <w:tcW w:w="660" w:type="dxa"/>
            <w:vAlign w:val="bottom"/>
          </w:tcPr>
          <w:p>
            <w:pPr>
              <w:spacing w:after="0" w:line="158" w:lineRule="exact"/>
              <w:rPr>
                <w:sz w:val="20"/>
                <w:szCs w:val="20"/>
                <w:color w:val="auto"/>
              </w:rPr>
            </w:pPr>
            <w:r>
              <w:rPr>
                <w:rFonts w:ascii="Arial" w:cs="Arial" w:eastAsia="Arial" w:hAnsi="Arial"/>
                <w:sz w:val="16"/>
                <w:szCs w:val="16"/>
                <w:color w:val="auto"/>
              </w:rPr>
              <w:t>Name:</w:t>
            </w:r>
          </w:p>
        </w:tc>
        <w:tc>
          <w:tcPr>
            <w:tcW w:w="4380" w:type="dxa"/>
            <w:vAlign w:val="bottom"/>
          </w:tcPr>
          <w:p>
            <w:pPr>
              <w:spacing w:after="0" w:line="158" w:lineRule="exact"/>
              <w:rPr>
                <w:sz w:val="20"/>
                <w:szCs w:val="20"/>
                <w:color w:val="auto"/>
              </w:rPr>
            </w:pPr>
            <w:r>
              <w:rPr>
                <w:rFonts w:ascii="Arial" w:cs="Arial" w:eastAsia="Arial" w:hAnsi="Arial"/>
                <w:sz w:val="16"/>
                <w:szCs w:val="16"/>
                <w:color w:val="auto"/>
              </w:rPr>
              <w:t>Bill Wickline</w:t>
            </w:r>
          </w:p>
        </w:tc>
      </w:tr>
      <w:tr>
        <w:trPr>
          <w:trHeight w:val="199"/>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4380" w:type="dxa"/>
            <w:vAlign w:val="bottom"/>
          </w:tcPr>
          <w:p>
            <w:pPr>
              <w:spacing w:after="0"/>
              <w:rPr>
                <w:sz w:val="20"/>
                <w:szCs w:val="20"/>
                <w:color w:val="auto"/>
              </w:rPr>
            </w:pPr>
            <w:r>
              <w:rPr>
                <w:rFonts w:ascii="Arial" w:cs="Arial" w:eastAsia="Arial" w:hAnsi="Arial"/>
                <w:sz w:val="16"/>
                <w:szCs w:val="16"/>
                <w:color w:val="auto"/>
              </w:rPr>
              <w:t>Director of Portfolio Management</w:t>
            </w:r>
          </w:p>
        </w:tc>
      </w:tr>
    </w:tbl>
    <w:p>
      <w:pPr>
        <w:spacing w:after="0" w:line="200" w:lineRule="exact"/>
        <w:rPr>
          <w:sz w:val="20"/>
          <w:szCs w:val="20"/>
          <w:color w:val="auto"/>
        </w:rPr>
      </w:pPr>
    </w:p>
    <w:p>
      <w:pPr>
        <w:spacing w:after="0" w:line="309" w:lineRule="exact"/>
        <w:rPr>
          <w:sz w:val="20"/>
          <w:szCs w:val="20"/>
          <w:color w:val="auto"/>
        </w:rPr>
      </w:pPr>
    </w:p>
    <w:p>
      <w:pPr>
        <w:jc w:val="right"/>
        <w:ind w:right="3439"/>
        <w:spacing w:after="0"/>
        <w:rPr>
          <w:sz w:val="20"/>
          <w:szCs w:val="20"/>
          <w:color w:val="auto"/>
        </w:rPr>
      </w:pPr>
      <w:r>
        <w:rPr>
          <w:rFonts w:ascii="Arial" w:cs="Arial" w:eastAsia="Arial" w:hAnsi="Arial"/>
          <w:sz w:val="14"/>
          <w:szCs w:val="14"/>
          <w:i w:val="1"/>
          <w:iCs w:val="1"/>
          <w:color w:val="auto"/>
        </w:rPr>
        <w:t>[Signature Page Exit Fee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9559"/>
          </w:cols>
          <w:pgMar w:left="900" w:top="121"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Exhibit 10.3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TRANSITION AND SEPARATION AGREEMENT</w:t>
      </w:r>
    </w:p>
    <w:p>
      <w:pPr>
        <w:spacing w:after="0" w:line="185" w:lineRule="exact"/>
        <w:rPr>
          <w:sz w:val="20"/>
          <w:szCs w:val="20"/>
          <w:color w:val="auto"/>
        </w:rPr>
      </w:pPr>
    </w:p>
    <w:p>
      <w:pPr>
        <w:ind w:right="20" w:firstLine="349"/>
        <w:spacing w:after="0" w:line="284" w:lineRule="auto"/>
        <w:rPr>
          <w:sz w:val="20"/>
          <w:szCs w:val="20"/>
          <w:color w:val="auto"/>
        </w:rPr>
      </w:pPr>
      <w:r>
        <w:rPr>
          <w:rFonts w:ascii="Arial" w:cs="Arial" w:eastAsia="Arial" w:hAnsi="Arial"/>
          <w:sz w:val="14"/>
          <w:szCs w:val="14"/>
          <w:color w:val="auto"/>
        </w:rPr>
        <w:t>This Transition and Separation Agreement (the “</w:t>
      </w:r>
      <w:r>
        <w:rPr>
          <w:rFonts w:ascii="Arial" w:cs="Arial" w:eastAsia="Arial" w:hAnsi="Arial"/>
          <w:sz w:val="14"/>
          <w:szCs w:val="14"/>
          <w:u w:val="single" w:color="auto"/>
          <w:color w:val="auto"/>
        </w:rPr>
        <w:t>Agreement</w:t>
      </w:r>
      <w:r>
        <w:rPr>
          <w:rFonts w:ascii="Arial" w:cs="Arial" w:eastAsia="Arial" w:hAnsi="Arial"/>
          <w:sz w:val="14"/>
          <w:szCs w:val="14"/>
          <w:color w:val="auto"/>
        </w:rPr>
        <w:t>”) by and between Reginald Seeto, MBBS (“</w:t>
      </w:r>
      <w:r>
        <w:rPr>
          <w:rFonts w:ascii="Arial" w:cs="Arial" w:eastAsia="Arial" w:hAnsi="Arial"/>
          <w:sz w:val="14"/>
          <w:szCs w:val="14"/>
          <w:u w:val="single" w:color="auto"/>
          <w:color w:val="auto"/>
        </w:rPr>
        <w:t>Executive</w:t>
      </w:r>
      <w:r>
        <w:rPr>
          <w:rFonts w:ascii="Arial" w:cs="Arial" w:eastAsia="Arial" w:hAnsi="Arial"/>
          <w:sz w:val="14"/>
          <w:szCs w:val="14"/>
          <w:color w:val="auto"/>
        </w:rPr>
        <w:t>”) and Ardelyx, Inc. (the “</w:t>
      </w:r>
      <w:r>
        <w:rPr>
          <w:rFonts w:ascii="Arial" w:cs="Arial" w:eastAsia="Arial" w:hAnsi="Arial"/>
          <w:sz w:val="14"/>
          <w:szCs w:val="14"/>
          <w:u w:val="single" w:color="auto"/>
          <w:color w:val="auto"/>
        </w:rPr>
        <w:t>Company</w:t>
      </w:r>
      <w:r>
        <w:rPr>
          <w:rFonts w:ascii="Arial" w:cs="Arial" w:eastAsia="Arial" w:hAnsi="Arial"/>
          <w:sz w:val="14"/>
          <w:szCs w:val="14"/>
          <w:color w:val="auto"/>
        </w:rPr>
        <w:t>”), is made effective as of the date Executive signs this Agreement (the “</w:t>
      </w:r>
      <w:r>
        <w:rPr>
          <w:rFonts w:ascii="Arial" w:cs="Arial" w:eastAsia="Arial" w:hAnsi="Arial"/>
          <w:sz w:val="14"/>
          <w:szCs w:val="14"/>
          <w:u w:val="single" w:color="auto"/>
          <w:color w:val="auto"/>
        </w:rPr>
        <w:t>Effective Date</w:t>
      </w:r>
      <w:r>
        <w:rPr>
          <w:rFonts w:ascii="Arial" w:cs="Arial" w:eastAsia="Arial" w:hAnsi="Arial"/>
          <w:sz w:val="14"/>
          <w:szCs w:val="14"/>
          <w:color w:val="auto"/>
        </w:rPr>
        <w:t>”) with reference to the following facts: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 Executive currently serves as the Company’s Chief Operating Officer.</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 xml:space="preserve">B. Executive and the Company entered into a Change in Control Severance Agreement effective as of October 22, 2016 (the “Pre-Existing </w:t>
      </w:r>
      <w:r>
        <w:rPr>
          <w:rFonts w:ascii="Arial" w:cs="Arial" w:eastAsia="Arial" w:hAnsi="Arial"/>
          <w:sz w:val="13"/>
          <w:szCs w:val="13"/>
          <w:u w:val="single" w:color="auto"/>
          <w:color w:val="auto"/>
        </w:rPr>
        <w:t>Agreement</w:t>
      </w:r>
      <w:r>
        <w:rPr>
          <w:rFonts w:ascii="Arial" w:cs="Arial" w:eastAsia="Arial" w:hAnsi="Arial"/>
          <w:sz w:val="13"/>
          <w:szCs w:val="13"/>
          <w:color w:val="auto"/>
        </w:rPr>
        <w: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 Executive’s employment with the Company and status as an officer and employee of the Company, will end effective upon the Resignation Date (as defined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171" w:lineRule="exact"/>
        <w:rPr>
          <w:sz w:val="20"/>
          <w:szCs w:val="20"/>
          <w:color w:val="auto"/>
        </w:rPr>
      </w:pPr>
    </w:p>
    <w:p>
      <w:pPr>
        <w:ind w:right="120" w:firstLine="697"/>
        <w:spacing w:after="0" w:line="284" w:lineRule="auto"/>
        <w:rPr>
          <w:sz w:val="20"/>
          <w:szCs w:val="20"/>
          <w:color w:val="auto"/>
        </w:rPr>
      </w:pPr>
      <w:r>
        <w:rPr>
          <w:rFonts w:ascii="Arial" w:cs="Arial" w:eastAsia="Arial" w:hAnsi="Arial"/>
          <w:sz w:val="14"/>
          <w:szCs w:val="14"/>
          <w:color w:val="auto"/>
        </w:rPr>
        <w:t>D. Executive and the Company want to end their relationship amicably and also to establish the obligations of the parties including, without limitation, all amounts due and owing to Executive.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NOW, THEREFORE, in consideration of the mutual covenants and agreements hereinafter set forth, the parties agree as follows:</w:t>
      </w:r>
    </w:p>
    <w:p>
      <w:pPr>
        <w:spacing w:after="0" w:line="181" w:lineRule="exact"/>
        <w:rPr>
          <w:sz w:val="20"/>
          <w:szCs w:val="20"/>
          <w:color w:val="auto"/>
        </w:rPr>
      </w:pPr>
    </w:p>
    <w:p>
      <w:pPr>
        <w:ind w:right="20" w:firstLine="348"/>
        <w:spacing w:after="0" w:line="284" w:lineRule="auto"/>
        <w:tabs>
          <w:tab w:leader="none" w:pos="527"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Resignation Date</w:t>
      </w:r>
      <w:r>
        <w:rPr>
          <w:rFonts w:ascii="Arial" w:cs="Arial" w:eastAsia="Arial" w:hAnsi="Arial"/>
          <w:sz w:val="13"/>
          <w:szCs w:val="13"/>
          <w:color w:val="auto"/>
        </w:rPr>
        <w:t>. Executive acknowledges and agrees that his status as an officer and employee of the Company will end effective as of the earliest of (a) August 3, 2018 (the “</w:t>
      </w:r>
      <w:r>
        <w:rPr>
          <w:rFonts w:ascii="Arial" w:cs="Arial" w:eastAsia="Arial" w:hAnsi="Arial"/>
          <w:sz w:val="13"/>
          <w:szCs w:val="13"/>
          <w:u w:val="single" w:color="auto"/>
          <w:color w:val="auto"/>
        </w:rPr>
        <w:t>Planned Resignation Date</w:t>
      </w:r>
      <w:r>
        <w:rPr>
          <w:rFonts w:ascii="Arial" w:cs="Arial" w:eastAsia="Arial" w:hAnsi="Arial"/>
          <w:sz w:val="13"/>
          <w:szCs w:val="13"/>
          <w:color w:val="auto"/>
        </w:rPr>
        <w:t>”), (b) the date Executive takes any action that constitutes “Cause” under the Pre-Existing Agreement and (c) the date Executive voluntarily resigns from the Company (such earliest date, the “</w:t>
      </w:r>
      <w:r>
        <w:rPr>
          <w:rFonts w:ascii="Arial" w:cs="Arial" w:eastAsia="Arial" w:hAnsi="Arial"/>
          <w:sz w:val="13"/>
          <w:szCs w:val="13"/>
          <w:u w:val="single" w:color="auto"/>
          <w:color w:val="auto"/>
        </w:rPr>
        <w:t>Resignation Date</w:t>
      </w:r>
      <w:r>
        <w:rPr>
          <w:rFonts w:ascii="Arial" w:cs="Arial" w:eastAsia="Arial" w:hAnsi="Arial"/>
          <w:sz w:val="13"/>
          <w:szCs w:val="13"/>
          <w:color w:val="auto"/>
        </w:rPr>
        <w:t xml:space="preserve">”). Executive hereby agrees to execute such further document(s) as shall be determined by the Company as necessary or desirable to give effect to the end of Executive’s status as an officer of the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documents shall not be inconsistent with any of the terms of this Agreement. From the Effective Date through the Resignation Date, Executive’s employment with the Company shall continue in effect, and Executive shall enjoy the same salary, benefits and other compensation terms as in effect on the Effective Date.</w:t>
      </w:r>
    </w:p>
    <w:p>
      <w:pPr>
        <w:spacing w:after="0" w:line="134" w:lineRule="exact"/>
        <w:rPr>
          <w:rFonts w:ascii="Arial" w:cs="Arial" w:eastAsia="Arial" w:hAnsi="Arial"/>
          <w:sz w:val="13"/>
          <w:szCs w:val="13"/>
          <w:color w:val="auto"/>
        </w:rPr>
      </w:pPr>
    </w:p>
    <w:p>
      <w:pPr>
        <w:ind w:firstLine="348"/>
        <w:spacing w:after="0" w:line="260" w:lineRule="auto"/>
        <w:tabs>
          <w:tab w:leader="none" w:pos="527"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Severance Payments and Benefits</w:t>
      </w:r>
      <w:r>
        <w:rPr>
          <w:rFonts w:ascii="Arial" w:cs="Arial" w:eastAsia="Arial" w:hAnsi="Arial"/>
          <w:sz w:val="14"/>
          <w:szCs w:val="14"/>
          <w:color w:val="auto"/>
        </w:rPr>
        <w:t xml:space="preserve">. The Company hereby agrees, subject to the Resignation Date occurring on the Planned Resignation Date, Executive delivering to the Company a General Release of Claims substantially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Release of Claims</w:t>
      </w:r>
      <w:r>
        <w:rPr>
          <w:rFonts w:ascii="Arial" w:cs="Arial" w:eastAsia="Arial" w:hAnsi="Arial"/>
          <w:sz w:val="14"/>
          <w:szCs w:val="14"/>
          <w:color w:val="auto"/>
        </w:rPr>
        <w:t>”) on or within twenty-one (21) days following the Resignation Date, Executive not revoking the Release of Claims within the seven (7)-day period following his execution of the Release of Claims (the “</w:t>
      </w:r>
      <w:r>
        <w:rPr>
          <w:rFonts w:ascii="Arial" w:cs="Arial" w:eastAsia="Arial" w:hAnsi="Arial"/>
          <w:sz w:val="14"/>
          <w:szCs w:val="14"/>
          <w:u w:val="single" w:color="auto"/>
          <w:color w:val="auto"/>
        </w:rPr>
        <w:t>Revocation Period</w:t>
      </w:r>
      <w:r>
        <w:rPr>
          <w:rFonts w:ascii="Arial" w:cs="Arial" w:eastAsia="Arial" w:hAnsi="Arial"/>
          <w:sz w:val="14"/>
          <w:szCs w:val="14"/>
          <w:color w:val="auto"/>
        </w:rPr>
        <w:t>”), and Executive’s performance of his continuing obligations under Section 8 below and otherwise pursuant to this Agreement and the Proprietary Information and Inventions Assignment Agreement entered into between Executive and the Company, effective as of October 22, 2016 (the “</w:t>
      </w:r>
      <w:r>
        <w:rPr>
          <w:rFonts w:ascii="Arial" w:cs="Arial" w:eastAsia="Arial" w:hAnsi="Arial"/>
          <w:sz w:val="14"/>
          <w:szCs w:val="14"/>
          <w:u w:val="single" w:color="auto"/>
          <w:color w:val="auto"/>
        </w:rPr>
        <w:t>Confidential Information Agreement</w:t>
      </w:r>
      <w:r>
        <w:rPr>
          <w:rFonts w:ascii="Arial" w:cs="Arial" w:eastAsia="Arial" w:hAnsi="Arial"/>
          <w:sz w:val="14"/>
          <w:szCs w:val="14"/>
          <w:color w:val="auto"/>
        </w:rPr>
        <w:t>”), to provide the payments and benefits set forth in this Section 2.</w:t>
      </w:r>
    </w:p>
    <w:p>
      <w:pPr>
        <w:spacing w:after="0" w:line="149" w:lineRule="exact"/>
        <w:rPr>
          <w:sz w:val="20"/>
          <w:szCs w:val="20"/>
          <w:color w:val="auto"/>
        </w:rPr>
      </w:pPr>
    </w:p>
    <w:p>
      <w:pPr>
        <w:ind w:right="160" w:firstLine="348"/>
        <w:spacing w:after="0" w:line="324" w:lineRule="auto"/>
        <w:tabs>
          <w:tab w:leader="none" w:pos="542" w:val="left"/>
        </w:tabs>
        <w:numPr>
          <w:ilvl w:val="0"/>
          <w:numId w:val="120"/>
        </w:numPr>
        <w:rPr>
          <w:rFonts w:ascii="Arial" w:cs="Arial" w:eastAsia="Arial" w:hAnsi="Arial"/>
          <w:sz w:val="13"/>
          <w:szCs w:val="13"/>
          <w:color w:val="auto"/>
        </w:rPr>
      </w:pPr>
      <w:r>
        <w:rPr>
          <w:rFonts w:ascii="Arial" w:cs="Arial" w:eastAsia="Arial" w:hAnsi="Arial"/>
          <w:sz w:val="13"/>
          <w:szCs w:val="13"/>
          <w:i w:val="1"/>
          <w:iCs w:val="1"/>
          <w:color w:val="auto"/>
        </w:rPr>
        <w:t>Severance Payments</w:t>
      </w:r>
      <w:r>
        <w:rPr>
          <w:rFonts w:ascii="Arial" w:cs="Arial" w:eastAsia="Arial" w:hAnsi="Arial"/>
          <w:sz w:val="13"/>
          <w:szCs w:val="13"/>
          <w:color w:val="auto"/>
        </w:rPr>
        <w:t>. Within five (5) business day following the end of the Revocation Period, the Company shall make a lump sum cash payment to Executive in an</w:t>
      </w:r>
      <w:r>
        <w:rPr>
          <w:rFonts w:ascii="Arial" w:cs="Arial" w:eastAsia="Arial" w:hAnsi="Arial"/>
          <w:sz w:val="13"/>
          <w:szCs w:val="13"/>
          <w:i w:val="1"/>
          <w:iCs w:val="1"/>
          <w:color w:val="auto"/>
        </w:rPr>
        <w:t xml:space="preserve"> </w:t>
      </w:r>
      <w:r>
        <w:rPr>
          <w:rFonts w:ascii="Arial" w:cs="Arial" w:eastAsia="Arial" w:hAnsi="Arial"/>
          <w:sz w:val="13"/>
          <w:szCs w:val="13"/>
          <w:color w:val="auto"/>
        </w:rPr>
        <w:t>amount equal to $417,000 (the “</w:t>
      </w:r>
      <w:r>
        <w:rPr>
          <w:rFonts w:ascii="Arial" w:cs="Arial" w:eastAsia="Arial" w:hAnsi="Arial"/>
          <w:sz w:val="13"/>
          <w:szCs w:val="13"/>
          <w:u w:val="single" w:color="auto"/>
          <w:color w:val="auto"/>
        </w:rPr>
        <w:t>Severance Payment</w:t>
      </w:r>
      <w:r>
        <w:rPr>
          <w:rFonts w:ascii="Arial" w:cs="Arial" w:eastAsia="Arial" w:hAnsi="Arial"/>
          <w:sz w:val="13"/>
          <w:szCs w:val="13"/>
          <w:color w:val="auto"/>
        </w:rPr>
        <w:t>”). The Severance Payment shall be subject to authorized payroll deductions and required tax withholding.</w:t>
      </w:r>
    </w:p>
    <w:p>
      <w:pPr>
        <w:spacing w:after="0" w:line="108" w:lineRule="exact"/>
        <w:rPr>
          <w:rFonts w:ascii="Arial" w:cs="Arial" w:eastAsia="Arial" w:hAnsi="Arial"/>
          <w:sz w:val="13"/>
          <w:szCs w:val="13"/>
          <w:color w:val="auto"/>
        </w:rPr>
      </w:pPr>
    </w:p>
    <w:p>
      <w:pPr>
        <w:ind w:right="80" w:firstLine="348"/>
        <w:spacing w:after="0" w:line="284" w:lineRule="auto"/>
        <w:tabs>
          <w:tab w:leader="none" w:pos="550" w:val="left"/>
        </w:tabs>
        <w:numPr>
          <w:ilvl w:val="0"/>
          <w:numId w:val="120"/>
        </w:numPr>
        <w:rPr>
          <w:rFonts w:ascii="Arial" w:cs="Arial" w:eastAsia="Arial" w:hAnsi="Arial"/>
          <w:sz w:val="13"/>
          <w:szCs w:val="13"/>
          <w:i w:val="1"/>
          <w:iCs w:val="1"/>
          <w:color w:val="auto"/>
        </w:rPr>
      </w:pPr>
      <w:r>
        <w:rPr>
          <w:rFonts w:ascii="Arial" w:cs="Arial" w:eastAsia="Arial" w:hAnsi="Arial"/>
          <w:sz w:val="13"/>
          <w:szCs w:val="13"/>
          <w:i w:val="1"/>
          <w:iCs w:val="1"/>
          <w:color w:val="auto"/>
        </w:rPr>
        <w:t>COBRA Reimbursement</w:t>
      </w:r>
      <w:r>
        <w:rPr>
          <w:rFonts w:ascii="Arial" w:cs="Arial" w:eastAsia="Arial" w:hAnsi="Arial"/>
          <w:sz w:val="13"/>
          <w:szCs w:val="13"/>
          <w:color w:val="auto"/>
        </w:rPr>
        <w:t>. Provided that Executive timely elects to receive continued healthcare coverage pursuant to the Consolidated Omnibus Budget Reconciliation</w:t>
      </w:r>
      <w:r>
        <w:rPr>
          <w:rFonts w:ascii="Arial" w:cs="Arial" w:eastAsia="Arial" w:hAnsi="Arial"/>
          <w:sz w:val="13"/>
          <w:szCs w:val="13"/>
          <w:i w:val="1"/>
          <w:iCs w:val="1"/>
          <w:color w:val="auto"/>
        </w:rPr>
        <w:t xml:space="preserve"> </w:t>
      </w:r>
      <w:r>
        <w:rPr>
          <w:rFonts w:ascii="Arial" w:cs="Arial" w:eastAsia="Arial" w:hAnsi="Arial"/>
          <w:sz w:val="13"/>
          <w:szCs w:val="13"/>
          <w:color w:val="auto"/>
        </w:rPr>
        <w:t>Act of 1985, as amended, or applicable state law (collectively referred to as “</w:t>
      </w:r>
      <w:r>
        <w:rPr>
          <w:rFonts w:ascii="Arial" w:cs="Arial" w:eastAsia="Arial" w:hAnsi="Arial"/>
          <w:sz w:val="13"/>
          <w:szCs w:val="13"/>
          <w:u w:val="single" w:color="auto"/>
          <w:color w:val="auto"/>
        </w:rPr>
        <w:t>COBRA</w:t>
      </w:r>
      <w:r>
        <w:rPr>
          <w:rFonts w:ascii="Arial" w:cs="Arial" w:eastAsia="Arial" w:hAnsi="Arial"/>
          <w:sz w:val="13"/>
          <w:szCs w:val="13"/>
          <w:color w:val="auto"/>
        </w:rPr>
        <w:t>”), the Company will reimburse COBRA premiums paid by Executive through the earlier of (i) the first anniversary of the Resignation Date, or (ii) the date upon which Executive and Executive’s covered dependents, if any, become eligible for healthcare coverage under another employer’s plan(s). Notwithstanding the foregoing, (x) if any plan pursuant to which such benefits are provided is not, or ceases prior to the expiration of the period of continuation coverage to be, exempt from the application of Section 409A of the Code under Treasury Regulation Section 1.409A-1(a)(5), or (y) the Company is otherwise unable to continue to cover Executive under its group health plans without penalty under applicable law (including without limitation,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642112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5" w:right="899" w:bottom="1440" w:gutter="0" w:footer="0" w:header="0"/>
        </w:sectPr>
      </w:pPr>
    </w:p>
    <w:bookmarkStart w:id="141" w:name="page142"/>
    <w:bookmarkEnd w:id="141"/>
    <w:p>
      <w:pPr>
        <w:ind w:right="140"/>
        <w:spacing w:after="0" w:line="269" w:lineRule="auto"/>
        <w:rPr>
          <w:sz w:val="20"/>
          <w:szCs w:val="20"/>
          <w:color w:val="auto"/>
        </w:rPr>
      </w:pPr>
      <w:r>
        <w:rPr>
          <w:rFonts w:ascii="Arial" w:cs="Arial" w:eastAsia="Arial" w:hAnsi="Arial"/>
          <w:sz w:val="14"/>
          <w:szCs w:val="14"/>
          <w:color w:val="auto"/>
        </w:rPr>
        <w:t>2716 of the Public Health Service Act), then, in either case, an amount equal to each remaining Company subsidy shall thereafter be paid to Executive in substantially equal monthly installments. After the Company ceases to pay premiums pursuant to this Section 2(b), Executive may, if eligible, elect to continue healthcare coverage at Executive’s expense in accordance the provisions of COBRA.</w:t>
      </w:r>
    </w:p>
    <w:p>
      <w:pPr>
        <w:spacing w:after="0" w:line="142" w:lineRule="exact"/>
        <w:rPr>
          <w:sz w:val="20"/>
          <w:szCs w:val="20"/>
          <w:color w:val="auto"/>
        </w:rPr>
      </w:pPr>
    </w:p>
    <w:p>
      <w:pPr>
        <w:ind w:left="520" w:hanging="172"/>
        <w:spacing w:after="0"/>
        <w:tabs>
          <w:tab w:leader="none" w:pos="520"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Final Paycheck; Payment of Accrued Wages and Expenses</w:t>
      </w:r>
      <w:r>
        <w:rPr>
          <w:rFonts w:ascii="Arial" w:cs="Arial" w:eastAsia="Arial" w:hAnsi="Arial"/>
          <w:sz w:val="14"/>
          <w:szCs w:val="14"/>
          <w:color w:val="auto"/>
        </w:rPr>
        <w:t>.</w:t>
      </w:r>
    </w:p>
    <w:p>
      <w:pPr>
        <w:spacing w:after="0" w:line="181" w:lineRule="exact"/>
        <w:rPr>
          <w:sz w:val="20"/>
          <w:szCs w:val="20"/>
          <w:color w:val="auto"/>
        </w:rPr>
      </w:pPr>
    </w:p>
    <w:p>
      <w:pPr>
        <w:jc w:val="both"/>
        <w:ind w:firstLine="348"/>
        <w:spacing w:after="0" w:line="269" w:lineRule="auto"/>
        <w:tabs>
          <w:tab w:leader="none" w:pos="542"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Final Paycheck</w:t>
      </w:r>
      <w:r>
        <w:rPr>
          <w:rFonts w:ascii="Arial" w:cs="Arial" w:eastAsia="Arial" w:hAnsi="Arial"/>
          <w:sz w:val="14"/>
          <w:szCs w:val="14"/>
          <w:color w:val="auto"/>
        </w:rPr>
        <w:t>. On, or as soon as administratively practicable following, the Resignation Date, the Company will pay Executive all accrued but unpaid base salary and</w:t>
      </w:r>
      <w:r>
        <w:rPr>
          <w:rFonts w:ascii="Arial" w:cs="Arial" w:eastAsia="Arial" w:hAnsi="Arial"/>
          <w:sz w:val="14"/>
          <w:szCs w:val="14"/>
          <w:i w:val="1"/>
          <w:iCs w:val="1"/>
          <w:color w:val="auto"/>
        </w:rPr>
        <w:t xml:space="preserve"> </w:t>
      </w:r>
      <w:r>
        <w:rPr>
          <w:rFonts w:ascii="Arial" w:cs="Arial" w:eastAsia="Arial" w:hAnsi="Arial"/>
          <w:sz w:val="14"/>
          <w:szCs w:val="14"/>
          <w:color w:val="auto"/>
        </w:rPr>
        <w:t>all accrued and unused vacation or other paid time off earned through the Resignation Date, subject to standard payroll deductions and withholding. Executive is entitled to these payments regardless of whether Executive executes this Agreement or a Release of Claims.</w:t>
      </w:r>
    </w:p>
    <w:p>
      <w:pPr>
        <w:spacing w:after="0" w:line="142" w:lineRule="exact"/>
        <w:rPr>
          <w:rFonts w:ascii="Arial" w:cs="Arial" w:eastAsia="Arial" w:hAnsi="Arial"/>
          <w:sz w:val="14"/>
          <w:szCs w:val="14"/>
          <w:color w:val="auto"/>
        </w:rPr>
      </w:pPr>
    </w:p>
    <w:p>
      <w:pPr>
        <w:jc w:val="both"/>
        <w:ind w:right="200" w:firstLine="348"/>
        <w:spacing w:after="0" w:line="264" w:lineRule="auto"/>
        <w:tabs>
          <w:tab w:leader="none" w:pos="550"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Business Expenses</w:t>
      </w:r>
      <w:r>
        <w:rPr>
          <w:rFonts w:ascii="Arial" w:cs="Arial" w:eastAsia="Arial" w:hAnsi="Arial"/>
          <w:sz w:val="14"/>
          <w:szCs w:val="14"/>
          <w:color w:val="auto"/>
        </w:rPr>
        <w:t>. The Company shall reimburse Executive for all outstanding expenses incurred prior to the Resignation Date which are consistent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policies in effect from time to time with respect to travel and other business expenses, subject to the Company’s requirements with respect to reporting and documenting such expenses, including, without limitation, expenses incurred pursuant to Executive’s services as a director of any of the Company’s subsidiaries. Executive is entitled to these payments regardless of whether Executive executes this Agreement or a Release of Claims.</w:t>
      </w:r>
    </w:p>
    <w:p>
      <w:pPr>
        <w:spacing w:after="0" w:line="146" w:lineRule="exact"/>
        <w:rPr>
          <w:sz w:val="20"/>
          <w:szCs w:val="20"/>
          <w:color w:val="auto"/>
        </w:rPr>
      </w:pPr>
    </w:p>
    <w:p>
      <w:pPr>
        <w:ind w:left="520" w:hanging="172"/>
        <w:spacing w:after="0"/>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Transition Consulting Services</w:t>
      </w:r>
      <w:r>
        <w:rPr>
          <w:rFonts w:ascii="Arial" w:cs="Arial" w:eastAsia="Arial" w:hAnsi="Arial"/>
          <w:sz w:val="14"/>
          <w:szCs w:val="14"/>
          <w:color w:val="auto"/>
        </w:rPr>
        <w:t>.</w:t>
      </w:r>
    </w:p>
    <w:p>
      <w:pPr>
        <w:spacing w:after="0" w:line="181" w:lineRule="exact"/>
        <w:rPr>
          <w:sz w:val="20"/>
          <w:szCs w:val="20"/>
          <w:color w:val="auto"/>
        </w:rPr>
      </w:pPr>
    </w:p>
    <w:p>
      <w:pPr>
        <w:ind w:firstLine="348"/>
        <w:spacing w:after="0" w:line="284" w:lineRule="auto"/>
        <w:tabs>
          <w:tab w:leader="none" w:pos="550" w:val="left"/>
        </w:tabs>
        <w:numPr>
          <w:ilvl w:val="0"/>
          <w:numId w:val="124"/>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Consulting Services. </w:t>
      </w:r>
      <w:r>
        <w:rPr>
          <w:rFonts w:ascii="Arial" w:cs="Arial" w:eastAsia="Arial" w:hAnsi="Arial"/>
          <w:sz w:val="13"/>
          <w:szCs w:val="13"/>
          <w:color w:val="auto"/>
        </w:rPr>
        <w:t>In the event the Resignation Date occurs on the Planned Resignation Date, then during the period commencing on the Resignation Date and</w:t>
      </w:r>
      <w:r>
        <w:rPr>
          <w:rFonts w:ascii="Arial" w:cs="Arial" w:eastAsia="Arial" w:hAnsi="Arial"/>
          <w:sz w:val="13"/>
          <w:szCs w:val="13"/>
          <w:i w:val="1"/>
          <w:iCs w:val="1"/>
          <w:color w:val="auto"/>
        </w:rPr>
        <w:t xml:space="preserve"> </w:t>
      </w:r>
      <w:r>
        <w:rPr>
          <w:rFonts w:ascii="Arial" w:cs="Arial" w:eastAsia="Arial" w:hAnsi="Arial"/>
          <w:sz w:val="13"/>
          <w:szCs w:val="13"/>
          <w:color w:val="auto"/>
        </w:rPr>
        <w:t>ending on December 15, 2018 or such earlier date set forth in a written notice provided by the Company or Executive to the other party (the “</w:t>
      </w:r>
      <w:r>
        <w:rPr>
          <w:rFonts w:ascii="Arial" w:cs="Arial" w:eastAsia="Arial" w:hAnsi="Arial"/>
          <w:sz w:val="13"/>
          <w:szCs w:val="13"/>
          <w:u w:val="single" w:color="auto"/>
          <w:color w:val="auto"/>
        </w:rPr>
        <w:t>Consulting Period</w:t>
      </w:r>
      <w:r>
        <w:rPr>
          <w:rFonts w:ascii="Arial" w:cs="Arial" w:eastAsia="Arial" w:hAnsi="Arial"/>
          <w:sz w:val="13"/>
          <w:szCs w:val="13"/>
          <w:color w:val="auto"/>
        </w:rPr>
        <w:t>”), Executive shall provide consulting services to the Company when and as requested by the Company. Such consulting services shall include, without limitation, efforts aimed at concluding and transitioning projects commenced by Executive prior to the Resignation Date, and such other services as may be reasonably requested by the Company. The Company shall reimburse Executive for all expenses incurred during the Consulting Period which are consistent with the Company’s policies in effect from time to time with respect to travel and other business expenses, subject to the Company’s requirements with respect to reporting and documenting such expenses.</w:t>
      </w:r>
    </w:p>
    <w:p>
      <w:pPr>
        <w:spacing w:after="0" w:line="134" w:lineRule="exact"/>
        <w:rPr>
          <w:sz w:val="20"/>
          <w:szCs w:val="20"/>
          <w:color w:val="auto"/>
        </w:rPr>
      </w:pPr>
    </w:p>
    <w:p>
      <w:pPr>
        <w:ind w:right="80" w:firstLine="349"/>
        <w:spacing w:after="0" w:line="280" w:lineRule="auto"/>
        <w:rPr>
          <w:sz w:val="20"/>
          <w:szCs w:val="20"/>
          <w:color w:val="auto"/>
        </w:rPr>
      </w:pP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b</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Equity Awards.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consideration for the transition consulting services to be provided to the Company under this Section 4, the stock option grants and restricted stock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unit awards granted to Executive by the Company prior to the Resignation Date (collectively, the “</w:t>
      </w:r>
      <w:r>
        <w:rPr>
          <w:rFonts w:ascii="Arial" w:cs="Arial" w:eastAsia="Arial" w:hAnsi="Arial"/>
          <w:sz w:val="13"/>
          <w:szCs w:val="13"/>
          <w:u w:val="single" w:color="auto"/>
          <w:color w:val="auto"/>
        </w:rPr>
        <w:t>Equity Awards</w:t>
      </w:r>
      <w:r>
        <w:rPr>
          <w:rFonts w:ascii="Arial" w:cs="Arial" w:eastAsia="Arial" w:hAnsi="Arial"/>
          <w:sz w:val="13"/>
          <w:szCs w:val="13"/>
          <w:color w:val="auto"/>
        </w:rPr>
        <w:t>”), shall continue to vest in accordance with their existing vesting schedules throughout the Consulting Period, subject to Executive’s continued service to the Company on each applicable vesting date. Executive shall not be entitled to receive any additional consideration for the transition consulting services. The Equity Awards shall at all times remain subject in all respects to the terms and conditions of the applicable Equity Award agreements between Executive and the Company (the “</w:t>
      </w:r>
      <w:r>
        <w:rPr>
          <w:rFonts w:ascii="Arial" w:cs="Arial" w:eastAsia="Arial" w:hAnsi="Arial"/>
          <w:sz w:val="13"/>
          <w:szCs w:val="13"/>
          <w:u w:val="single" w:color="auto"/>
          <w:color w:val="auto"/>
        </w:rPr>
        <w:t>Award Agreements</w:t>
      </w:r>
      <w:r>
        <w:rPr>
          <w:rFonts w:ascii="Arial" w:cs="Arial" w:eastAsia="Arial" w:hAnsi="Arial"/>
          <w:sz w:val="13"/>
          <w:szCs w:val="13"/>
          <w:color w:val="auto"/>
        </w:rPr>
        <w:t>”) and the Company’s applicable equity incentive plan. All unvested shares subject to Equity Awards held by Executive at the end of the Consulting Period shall terminate and be forfeited as of the last day of the Consulting Period. If Executive desires to exercise any vested options, Executive must follow the procedures set forth in applicable Award Agreement, including payment of the exercise price and any withholding obligations. If by the expiration dates set forth in the applicable Award Agreements, the Company has not received a duly executed notice of exercise and remuneration in accordance with Executive’s Award Agreements, Executive’s vested options shall automatically terminate for no consideration and be of no further effect.</w:t>
      </w:r>
    </w:p>
    <w:p>
      <w:pPr>
        <w:spacing w:after="0" w:line="139" w:lineRule="exact"/>
        <w:rPr>
          <w:sz w:val="20"/>
          <w:szCs w:val="20"/>
          <w:color w:val="auto"/>
        </w:rPr>
      </w:pPr>
    </w:p>
    <w:p>
      <w:pPr>
        <w:ind w:firstLine="349"/>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w:t>
      </w:r>
      <w:r>
        <w:rPr>
          <w:rFonts w:ascii="Arial" w:cs="Arial" w:eastAsia="Arial" w:hAnsi="Arial"/>
          <w:sz w:val="14"/>
          <w:szCs w:val="14"/>
          <w:color w:val="auto"/>
        </w:rPr>
        <w:t xml:space="preserve">) </w:t>
      </w:r>
      <w:r>
        <w:rPr>
          <w:rFonts w:ascii="Arial" w:cs="Arial" w:eastAsia="Arial" w:hAnsi="Arial"/>
          <w:sz w:val="14"/>
          <w:szCs w:val="14"/>
          <w:i w:val="1"/>
          <w:iCs w:val="1"/>
          <w:color w:val="auto"/>
        </w:rPr>
        <w:t>Benefits</w:t>
      </w:r>
      <w:r>
        <w:rPr>
          <w:rFonts w:ascii="Arial" w:cs="Arial" w:eastAsia="Arial" w:hAnsi="Arial"/>
          <w:sz w:val="14"/>
          <w:szCs w:val="14"/>
          <w:color w:val="auto"/>
        </w:rPr>
        <w:t>. Executive understands and agrees that during the Consulting Period Executive shall not be eligible to participate in or accrue benefits under any Company benefit plan for which status as an employee of the Company is a condition of such participation or accrual. To the extent that Executive was deemed eligible to participate, as an employee, in any Company benefit plan, he hereby waives his participation.</w:t>
      </w:r>
    </w:p>
    <w:p>
      <w:pPr>
        <w:spacing w:after="0" w:line="142" w:lineRule="exact"/>
        <w:rPr>
          <w:sz w:val="20"/>
          <w:szCs w:val="20"/>
          <w:color w:val="auto"/>
        </w:rPr>
      </w:pPr>
    </w:p>
    <w:p>
      <w:pPr>
        <w:ind w:right="540" w:firstLine="348"/>
        <w:spacing w:after="0" w:line="371" w:lineRule="auto"/>
        <w:tabs>
          <w:tab w:leader="none" w:pos="550" w:val="left"/>
        </w:tabs>
        <w:numPr>
          <w:ilvl w:val="0"/>
          <w:numId w:val="125"/>
        </w:numPr>
        <w:rPr>
          <w:rFonts w:ascii="Arial" w:cs="Arial" w:eastAsia="Arial" w:hAnsi="Arial"/>
          <w:sz w:val="12"/>
          <w:szCs w:val="12"/>
          <w:color w:val="auto"/>
        </w:rPr>
      </w:pPr>
      <w:r>
        <w:rPr>
          <w:rFonts w:ascii="Arial" w:cs="Arial" w:eastAsia="Arial" w:hAnsi="Arial"/>
          <w:sz w:val="12"/>
          <w:szCs w:val="12"/>
          <w:i w:val="1"/>
          <w:iCs w:val="1"/>
          <w:color w:val="auto"/>
        </w:rPr>
        <w:t>Independent Contractor Status</w:t>
      </w:r>
      <w:r>
        <w:rPr>
          <w:rFonts w:ascii="Arial" w:cs="Arial" w:eastAsia="Arial" w:hAnsi="Arial"/>
          <w:sz w:val="12"/>
          <w:szCs w:val="12"/>
          <w:color w:val="auto"/>
        </w:rPr>
        <w:t>. Executive and the Company acknowledge and agree that, during the Consulting Period, Executive shall be an independent</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contractor. During the Consulting Period and thereafter, Executive shall not be an agent or employee of the Company and shall not be authorized to act on behalf of the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42" w:name="page143"/>
    <w:bookmarkEnd w:id="142"/>
    <w:p>
      <w:pPr>
        <w:ind w:right="60"/>
        <w:spacing w:after="0" w:line="269" w:lineRule="auto"/>
        <w:rPr>
          <w:sz w:val="20"/>
          <w:szCs w:val="20"/>
          <w:color w:val="auto"/>
        </w:rPr>
      </w:pPr>
      <w:r>
        <w:rPr>
          <w:rFonts w:ascii="Arial" w:cs="Arial" w:eastAsia="Arial" w:hAnsi="Arial"/>
          <w:sz w:val="14"/>
          <w:szCs w:val="14"/>
          <w:color w:val="auto"/>
        </w:rPr>
        <w:t>Company. Personal income and self-employment taxes for Equity Awards that vest during the Consulting Period shall be the sole responsibility of Executive. Executive agrees to indemnify and hold the Company and the other entities released herein harmless for any tax claims or penalties resulting from any failure by Executive to make required personal income and self-employment tax payments with respect to such Equity Awards.</w:t>
      </w:r>
    </w:p>
    <w:p>
      <w:pPr>
        <w:spacing w:after="0" w:line="99" w:lineRule="exact"/>
        <w:rPr>
          <w:sz w:val="20"/>
          <w:szCs w:val="20"/>
          <w:color w:val="auto"/>
        </w:rPr>
      </w:pPr>
    </w:p>
    <w:p>
      <w:pPr>
        <w:ind w:firstLine="348"/>
        <w:spacing w:after="0" w:line="260" w:lineRule="auto"/>
        <w:tabs>
          <w:tab w:leader="none" w:pos="491"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Full Payment</w:t>
      </w:r>
      <w:r>
        <w:rPr>
          <w:rFonts w:ascii="Arial" w:cs="Arial" w:eastAsia="Arial" w:hAnsi="Arial"/>
          <w:sz w:val="14"/>
          <w:szCs w:val="14"/>
          <w:color w:val="auto"/>
        </w:rPr>
        <w:t>. Executive acknowledges that the payment and arrangements herein shall constitute full and complete satisfaction of any and all amounts properly due and owing to Executive as a result of his employment with the Company and the end of such employment relationship, and as a result of Executive’s transition consulting services to the Company hereunder. Executive further acknowledges that, other than the Confidential Information Agreement and the Award Agreements, this Agreement shall supersede each agreement entered into between Executive and the Company regarding Executive’s employment, including, without limitation, the Pre-Existing Agreement and any offer letter, or employment agreement, and each such agreement other than the Award Agreements and the Confidential Information Agreement shall be deemed terminated and of no further effect as of the Resignation Date.</w:t>
      </w:r>
    </w:p>
    <w:p>
      <w:pPr>
        <w:spacing w:after="0" w:line="106" w:lineRule="exact"/>
        <w:rPr>
          <w:rFonts w:ascii="Arial" w:cs="Arial" w:eastAsia="Arial" w:hAnsi="Arial"/>
          <w:sz w:val="14"/>
          <w:szCs w:val="14"/>
          <w:color w:val="auto"/>
        </w:rPr>
      </w:pPr>
    </w:p>
    <w:p>
      <w:pPr>
        <w:ind w:right="100" w:firstLine="348"/>
        <w:spacing w:after="0" w:line="269" w:lineRule="auto"/>
        <w:tabs>
          <w:tab w:leader="none" w:pos="527"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Executive’s Release of the Company</w:t>
      </w:r>
      <w:r>
        <w:rPr>
          <w:rFonts w:ascii="Arial" w:cs="Arial" w:eastAsia="Arial" w:hAnsi="Arial"/>
          <w:sz w:val="14"/>
          <w:szCs w:val="14"/>
          <w:color w:val="auto"/>
        </w:rPr>
        <w:t>. Executive agrees that the consideration set forth in this Agreement represents settlement in full of all outstanding obligations owed to Executive by the Company and its current and former officers, directors, employees, agents, investors, attorneys, affiliates, divisions, and subsidiaries, and predecessor and successor corporations and assigns (collectively, the “</w:t>
      </w:r>
      <w:r>
        <w:rPr>
          <w:rFonts w:ascii="Arial" w:cs="Arial" w:eastAsia="Arial" w:hAnsi="Arial"/>
          <w:sz w:val="14"/>
          <w:szCs w:val="14"/>
          <w:u w:val="single" w:color="auto"/>
          <w:color w:val="auto"/>
        </w:rPr>
        <w:t>Releasees</w:t>
      </w:r>
      <w:r>
        <w:rPr>
          <w:rFonts w:ascii="Arial" w:cs="Arial" w:eastAsia="Arial" w:hAnsi="Arial"/>
          <w:sz w:val="14"/>
          <w:szCs w:val="14"/>
          <w:color w:val="auto"/>
        </w:rPr>
        <w:t>”).</w:t>
      </w:r>
    </w:p>
    <w:p>
      <w:pPr>
        <w:spacing w:after="0" w:line="99" w:lineRule="exact"/>
        <w:rPr>
          <w:sz w:val="20"/>
          <w:szCs w:val="20"/>
          <w:color w:val="auto"/>
        </w:rPr>
      </w:pPr>
    </w:p>
    <w:p>
      <w:pPr>
        <w:jc w:val="both"/>
        <w:ind w:right="80" w:firstLine="348"/>
        <w:spacing w:after="0" w:line="291" w:lineRule="auto"/>
        <w:tabs>
          <w:tab w:leader="none" w:pos="54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Executive, on his own behalf and on behalf of his family members, heirs, executors, administrators,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pacing w:after="0" w:line="86" w:lineRule="exact"/>
        <w:rPr>
          <w:rFonts w:ascii="Arial" w:cs="Arial" w:eastAsia="Arial" w:hAnsi="Arial"/>
          <w:sz w:val="13"/>
          <w:szCs w:val="13"/>
          <w:color w:val="auto"/>
        </w:rPr>
      </w:pPr>
    </w:p>
    <w:p>
      <w:pPr>
        <w:ind w:left="1100" w:hanging="239"/>
        <w:spacing w:after="0"/>
        <w:tabs>
          <w:tab w:leader="none" w:pos="110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and all claims relating to or arising from Executive’s employment relationship with Company and the end of such employment relationship;</w:t>
      </w:r>
    </w:p>
    <w:p>
      <w:pPr>
        <w:spacing w:after="0" w:line="137" w:lineRule="exact"/>
        <w:rPr>
          <w:rFonts w:ascii="Arial" w:cs="Arial" w:eastAsia="Arial" w:hAnsi="Arial"/>
          <w:sz w:val="14"/>
          <w:szCs w:val="14"/>
          <w:color w:val="auto"/>
        </w:rPr>
      </w:pPr>
    </w:p>
    <w:p>
      <w:pPr>
        <w:ind w:left="340" w:right="20" w:firstLine="521"/>
        <w:spacing w:after="0" w:line="291" w:lineRule="auto"/>
        <w:tabs>
          <w:tab w:leader="none" w:pos="1098"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86" w:lineRule="exact"/>
        <w:rPr>
          <w:rFonts w:ascii="Arial" w:cs="Arial" w:eastAsia="Arial" w:hAnsi="Arial"/>
          <w:sz w:val="13"/>
          <w:szCs w:val="13"/>
          <w:color w:val="auto"/>
        </w:rPr>
      </w:pPr>
    </w:p>
    <w:p>
      <w:pPr>
        <w:ind w:left="340" w:right="40" w:firstLine="521"/>
        <w:spacing w:after="0" w:line="260" w:lineRule="auto"/>
        <w:tabs>
          <w:tab w:leader="none" w:pos="1101"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the California Family Rights Act; the California Labor Code, except as prohibited by law; the California Workers’ Compensation Act, except as prohibited by law; and the California Fair Employment and Housing Act;</w:t>
      </w:r>
    </w:p>
    <w:p>
      <w:pPr>
        <w:spacing w:after="0" w:line="106" w:lineRule="exact"/>
        <w:rPr>
          <w:rFonts w:ascii="Arial" w:cs="Arial" w:eastAsia="Arial" w:hAnsi="Arial"/>
          <w:sz w:val="14"/>
          <w:szCs w:val="14"/>
          <w:color w:val="auto"/>
        </w:rPr>
      </w:pPr>
    </w:p>
    <w:p>
      <w:pPr>
        <w:ind w:left="1100" w:hanging="239"/>
        <w:spacing w:after="0"/>
        <w:tabs>
          <w:tab w:leader="none" w:pos="110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and all claims for violation of the federal or any state constitution;</w:t>
      </w:r>
    </w:p>
    <w:p>
      <w:pPr>
        <w:spacing w:after="0" w:line="137" w:lineRule="exact"/>
        <w:rPr>
          <w:rFonts w:ascii="Arial" w:cs="Arial" w:eastAsia="Arial" w:hAnsi="Arial"/>
          <w:sz w:val="14"/>
          <w:szCs w:val="14"/>
          <w:color w:val="auto"/>
        </w:rPr>
      </w:pPr>
    </w:p>
    <w:p>
      <w:pPr>
        <w:ind w:left="1100" w:hanging="239"/>
        <w:spacing w:after="0"/>
        <w:tabs>
          <w:tab w:leader="none" w:pos="110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and all claims arising out of any other laws and regulations relating to employment or employment discrimination;</w:t>
      </w:r>
    </w:p>
    <w:p>
      <w:pPr>
        <w:spacing w:after="0" w:line="137" w:lineRule="exact"/>
        <w:rPr>
          <w:rFonts w:ascii="Arial" w:cs="Arial" w:eastAsia="Arial" w:hAnsi="Arial"/>
          <w:sz w:val="14"/>
          <w:szCs w:val="14"/>
          <w:color w:val="auto"/>
        </w:rPr>
      </w:pPr>
    </w:p>
    <w:p>
      <w:pPr>
        <w:ind w:left="340" w:right="20" w:firstLine="521"/>
        <w:spacing w:after="0" w:line="284" w:lineRule="auto"/>
        <w:tabs>
          <w:tab w:leader="none" w:pos="1094"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claim for any loss, cost, damage, or expense arising out of any dispute over the non-withholding or other tax treatment of any of the proceeds received by Executive as a result of this Agreement;</w:t>
      </w:r>
    </w:p>
    <w:p>
      <w:pPr>
        <w:spacing w:after="0" w:line="88" w:lineRule="exact"/>
        <w:rPr>
          <w:rFonts w:ascii="Arial" w:cs="Arial" w:eastAsia="Arial" w:hAnsi="Arial"/>
          <w:sz w:val="14"/>
          <w:szCs w:val="14"/>
          <w:color w:val="auto"/>
        </w:rPr>
      </w:pPr>
    </w:p>
    <w:p>
      <w:pPr>
        <w:ind w:left="1140" w:hanging="279"/>
        <w:spacing w:after="0"/>
        <w:tabs>
          <w:tab w:leader="none" w:pos="114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any and all claims for attorneys’ fees and costs.</w:t>
      </w:r>
    </w:p>
    <w:p>
      <w:pPr>
        <w:spacing w:after="0" w:line="137" w:lineRule="exact"/>
        <w:rPr>
          <w:rFonts w:ascii="Arial" w:cs="Arial" w:eastAsia="Arial" w:hAnsi="Arial"/>
          <w:sz w:val="14"/>
          <w:szCs w:val="14"/>
          <w:color w:val="auto"/>
        </w:rPr>
      </w:pPr>
    </w:p>
    <w:p>
      <w:pPr>
        <w:ind w:right="400" w:firstLine="348"/>
        <w:spacing w:after="0" w:line="284" w:lineRule="auto"/>
        <w:tabs>
          <w:tab w:leader="none" w:pos="55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extend to any obligations incurred under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43" w:name="page144"/>
    <w:bookmarkEnd w:id="143"/>
    <w:p>
      <w:pPr>
        <w:ind w:right="60"/>
        <w:spacing w:after="0" w:line="284" w:lineRule="auto"/>
        <w:rPr>
          <w:sz w:val="20"/>
          <w:szCs w:val="20"/>
          <w:color w:val="auto"/>
        </w:rPr>
      </w:pPr>
      <w:r>
        <w:rPr>
          <w:rFonts w:ascii="Arial" w:cs="Arial" w:eastAsia="Arial" w:hAnsi="Arial"/>
          <w:sz w:val="13"/>
          <w:szCs w:val="13"/>
          <w:color w:val="auto"/>
        </w:rPr>
        <w:t>this Agreement or the Award Agreements. This release does not release claims or rights that cannot be released as a matter of law, including, but not limited to, claims under Division 3, Article 2 of the California Labor Code (which includes California Labor Code Section 2802 regarding indemnity for necessary expenditures or losses by Executive) any other indemnification, defense, or hold-harmless rights Executive may have, and Executive’s right to bring to the attention of the Equal Employment Opportunity Commission or California Department of Fair Employment and Housing claims of discrimination, harassment or retaliation; provided, however, that Executive does release his right to obtain damages for any such claims. This release does not release claims or rights that Executive may have as a shareholder of the Company or for benefits under any benefit plan or to participation in any such plan pursuant to the terms thereof or applicable law.</w:t>
      </w:r>
    </w:p>
    <w:p>
      <w:pPr>
        <w:spacing w:after="0" w:line="134" w:lineRule="exact"/>
        <w:rPr>
          <w:sz w:val="20"/>
          <w:szCs w:val="20"/>
          <w:color w:val="auto"/>
        </w:rPr>
      </w:pPr>
    </w:p>
    <w:p>
      <w:pPr>
        <w:ind w:right="60" w:firstLine="348"/>
        <w:spacing w:after="0" w:line="284" w:lineRule="auto"/>
        <w:tabs>
          <w:tab w:leader="none" w:pos="54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Executive acknowledges that he has been advised to consult with legal counsel and is familiar with the provisions of California Civil Code Section 1542, a statute that otherwise prohibits unknown claims, which provides as follows:</w:t>
      </w:r>
    </w:p>
    <w:p>
      <w:pPr>
        <w:spacing w:after="0" w:line="132" w:lineRule="exact"/>
        <w:rPr>
          <w:sz w:val="20"/>
          <w:szCs w:val="20"/>
          <w:color w:val="auto"/>
        </w:rPr>
      </w:pPr>
    </w:p>
    <w:p>
      <w:pPr>
        <w:ind w:right="100" w:firstLine="349"/>
        <w:spacing w:after="0" w:line="269" w:lineRule="auto"/>
        <w:rPr>
          <w:sz w:val="20"/>
          <w:szCs w:val="20"/>
          <w:color w:val="auto"/>
        </w:rPr>
      </w:pPr>
      <w:r>
        <w:rPr>
          <w:rFonts w:ascii="Arial" w:cs="Arial" w:eastAsia="Arial" w:hAnsi="Arial"/>
          <w:sz w:val="14"/>
          <w:szCs w:val="14"/>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2" w:lineRule="exact"/>
        <w:rPr>
          <w:sz w:val="20"/>
          <w:szCs w:val="20"/>
          <w:color w:val="auto"/>
        </w:rPr>
      </w:pPr>
    </w:p>
    <w:p>
      <w:pPr>
        <w:ind w:right="80" w:firstLine="349"/>
        <w:spacing w:after="0" w:line="284" w:lineRule="auto"/>
        <w:rPr>
          <w:sz w:val="20"/>
          <w:szCs w:val="20"/>
          <w:color w:val="auto"/>
        </w:rPr>
      </w:pPr>
      <w:r>
        <w:rPr>
          <w:rFonts w:ascii="Arial" w:cs="Arial" w:eastAsia="Arial" w:hAnsi="Arial"/>
          <w:sz w:val="14"/>
          <w:szCs w:val="14"/>
          <w:color w:val="auto"/>
        </w:rPr>
        <w:t>Executive, being aware of said code section, agrees to expressly waive any rights he may have thereunder, as well as under any other statute or common law principles of similar effect.</w:t>
      </w:r>
    </w:p>
    <w:p>
      <w:pPr>
        <w:spacing w:after="0" w:line="132" w:lineRule="exact"/>
        <w:rPr>
          <w:sz w:val="20"/>
          <w:szCs w:val="20"/>
          <w:color w:val="auto"/>
        </w:rPr>
      </w:pPr>
    </w:p>
    <w:p>
      <w:pPr>
        <w:ind w:left="520" w:hanging="172"/>
        <w:spacing w:after="0"/>
        <w:tabs>
          <w:tab w:leader="none" w:pos="520"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Non-Disparagement; Transfer of Company Property</w:t>
      </w:r>
      <w:r>
        <w:rPr>
          <w:rFonts w:ascii="Arial" w:cs="Arial" w:eastAsia="Arial" w:hAnsi="Arial"/>
          <w:sz w:val="14"/>
          <w:szCs w:val="14"/>
          <w:color w:val="auto"/>
        </w:rPr>
        <w:t>.</w:t>
      </w:r>
    </w:p>
    <w:p>
      <w:pPr>
        <w:spacing w:after="0" w:line="181" w:lineRule="exact"/>
        <w:rPr>
          <w:sz w:val="20"/>
          <w:szCs w:val="20"/>
          <w:color w:val="auto"/>
        </w:rPr>
      </w:pPr>
    </w:p>
    <w:p>
      <w:pPr>
        <w:ind w:firstLine="348"/>
        <w:spacing w:after="0" w:line="264" w:lineRule="auto"/>
        <w:tabs>
          <w:tab w:leader="none" w:pos="542" w:val="left"/>
        </w:tabs>
        <w:numPr>
          <w:ilvl w:val="0"/>
          <w:numId w:val="130"/>
        </w:numPr>
        <w:rPr>
          <w:rFonts w:ascii="Arial" w:cs="Arial" w:eastAsia="Arial" w:hAnsi="Arial"/>
          <w:sz w:val="14"/>
          <w:szCs w:val="14"/>
          <w:color w:val="auto"/>
        </w:rPr>
      </w:pPr>
      <w:r>
        <w:rPr>
          <w:rFonts w:ascii="Arial" w:cs="Arial" w:eastAsia="Arial" w:hAnsi="Arial"/>
          <w:sz w:val="14"/>
          <w:szCs w:val="14"/>
          <w:i w:val="1"/>
          <w:iCs w:val="1"/>
          <w:color w:val="auto"/>
        </w:rPr>
        <w:t>Non-Disparagement</w:t>
      </w:r>
      <w:r>
        <w:rPr>
          <w:rFonts w:ascii="Arial" w:cs="Arial" w:eastAsia="Arial" w:hAnsi="Arial"/>
          <w:sz w:val="14"/>
          <w:szCs w:val="14"/>
          <w:color w:val="auto"/>
        </w:rPr>
        <w:t>. Executive agrees that he shall not disparage, criticize or defame the Company, its affiliates and their respective affiliates, directors, officers,</w:t>
      </w:r>
      <w:r>
        <w:rPr>
          <w:rFonts w:ascii="Arial" w:cs="Arial" w:eastAsia="Arial" w:hAnsi="Arial"/>
          <w:sz w:val="14"/>
          <w:szCs w:val="14"/>
          <w:i w:val="1"/>
          <w:iCs w:val="1"/>
          <w:color w:val="auto"/>
        </w:rPr>
        <w:t xml:space="preserve"> </w:t>
      </w:r>
      <w:r>
        <w:rPr>
          <w:rFonts w:ascii="Arial" w:cs="Arial" w:eastAsia="Arial" w:hAnsi="Arial"/>
          <w:sz w:val="14"/>
          <w:szCs w:val="14"/>
          <w:color w:val="auto"/>
        </w:rPr>
        <w:t>agents, partners, stockholders, employees, products, services, technology or business, either publicly or privately. The Company agrees that it shall not, and it shall instruct its officers and members of the Board of Directors to not, disparage, criticize or defame Executive either publicly or privately. Nothing in this Section 7(a) shall have application to any evidence or testimony required by any court, arbitrator or government agency.</w:t>
      </w:r>
    </w:p>
    <w:p>
      <w:pPr>
        <w:spacing w:after="0" w:line="145" w:lineRule="exact"/>
        <w:rPr>
          <w:rFonts w:ascii="Arial" w:cs="Arial" w:eastAsia="Arial" w:hAnsi="Arial"/>
          <w:sz w:val="14"/>
          <w:szCs w:val="14"/>
          <w:color w:val="auto"/>
        </w:rPr>
      </w:pPr>
    </w:p>
    <w:p>
      <w:pPr>
        <w:ind w:right="140" w:firstLine="348"/>
        <w:spacing w:after="0" w:line="324" w:lineRule="auto"/>
        <w:tabs>
          <w:tab w:leader="none" w:pos="550"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Transfer of Company Property</w:t>
      </w:r>
      <w:r>
        <w:rPr>
          <w:rFonts w:ascii="Arial" w:cs="Arial" w:eastAsia="Arial" w:hAnsi="Arial"/>
          <w:sz w:val="13"/>
          <w:szCs w:val="13"/>
          <w:color w:val="auto"/>
        </w:rPr>
        <w:t>. On or before the last day of the Consulting Period, Executive shall turn over to the Company all files, memoranda, records,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documents, and any other physical or personal property which are the property of the Company and which he has in his possession, custody or control at such date.</w:t>
      </w:r>
    </w:p>
    <w:p>
      <w:pPr>
        <w:spacing w:after="0" w:line="109" w:lineRule="exact"/>
        <w:rPr>
          <w:sz w:val="20"/>
          <w:szCs w:val="20"/>
          <w:color w:val="auto"/>
        </w:rPr>
      </w:pPr>
    </w:p>
    <w:p>
      <w:pPr>
        <w:ind w:left="500" w:hanging="152"/>
        <w:spacing w:after="0"/>
        <w:tabs>
          <w:tab w:leader="none" w:pos="500"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Confidentiality; Non-Solicitation</w:t>
      </w:r>
      <w:r>
        <w:rPr>
          <w:rFonts w:ascii="Arial" w:cs="Arial" w:eastAsia="Arial" w:hAnsi="Arial"/>
          <w:sz w:val="14"/>
          <w:szCs w:val="14"/>
          <w:color w:val="auto"/>
        </w:rPr>
        <w:t>.</w:t>
      </w:r>
    </w:p>
    <w:p>
      <w:pPr>
        <w:spacing w:after="0" w:line="18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xml:space="preserve">(a) </w:t>
      </w:r>
      <w:r>
        <w:rPr>
          <w:rFonts w:ascii="Arial" w:cs="Arial" w:eastAsia="Arial" w:hAnsi="Arial"/>
          <w:sz w:val="14"/>
          <w:szCs w:val="14"/>
          <w:i w:val="1"/>
          <w:iCs w:val="1"/>
          <w:color w:val="auto"/>
        </w:rPr>
        <w:t>Confidentiality</w:t>
      </w:r>
      <w:r>
        <w:rPr>
          <w:rFonts w:ascii="Arial" w:cs="Arial" w:eastAsia="Arial" w:hAnsi="Arial"/>
          <w:sz w:val="14"/>
          <w:szCs w:val="14"/>
          <w:color w:val="auto"/>
        </w:rPr>
        <w:t>.</w:t>
      </w:r>
    </w:p>
    <w:p>
      <w:pPr>
        <w:spacing w:after="0" w:line="180" w:lineRule="exact"/>
        <w:rPr>
          <w:rFonts w:ascii="Arial" w:cs="Arial" w:eastAsia="Arial" w:hAnsi="Arial"/>
          <w:sz w:val="14"/>
          <w:szCs w:val="14"/>
          <w:color w:val="auto"/>
        </w:rPr>
      </w:pPr>
    </w:p>
    <w:p>
      <w:pPr>
        <w:ind w:left="520" w:right="20" w:firstLine="504"/>
        <w:spacing w:after="0" w:line="257" w:lineRule="auto"/>
        <w:tabs>
          <w:tab w:leader="none" w:pos="1202" w:val="left"/>
        </w:tabs>
        <w:numPr>
          <w:ilvl w:val="1"/>
          <w:numId w:val="131"/>
        </w:numPr>
        <w:rPr>
          <w:rFonts w:ascii="Arial" w:cs="Arial" w:eastAsia="Arial" w:hAnsi="Arial"/>
          <w:sz w:val="14"/>
          <w:szCs w:val="14"/>
          <w:color w:val="auto"/>
        </w:rPr>
      </w:pPr>
      <w:r>
        <w:rPr>
          <w:rFonts w:ascii="Arial" w:cs="Arial" w:eastAsia="Arial" w:hAnsi="Arial"/>
          <w:sz w:val="14"/>
          <w:szCs w:val="14"/>
          <w:color w:val="auto"/>
        </w:rPr>
        <w:t xml:space="preserve">While Executive is employed by the Company, during the Consulting Period and thereafter, Executive shall not directly or indirectly disclose or make available to any person, firm, corporation, association or other entity for any reason or purpose whatsoever, any Confidential Information (as defined below). On or before the last day of the Consulting Period,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Executive shall not be obligated to treat as confidential, or return to the Company copies of any Confidential Information that (A) was publicly known at the time of disclosure to Executive, or (B) becomes publicly known or available thereafter other than by any means in violation of this Agreement, the Confidential Information Agreement or any other duty owed to the Company by any person or entity. For purposes of this Agreement, the term “Confidential Information” shall mean information, technical data, know-how or trade secrets disclosed to Executive or known by Executive as a consequence of or through his or her relationship with the Company, relating to research, products, developments, inventions, processes, techniques, chemical structures, finances, business plans or regulatory strategies of the Company and its affiliates. In addition, for the avoidance of doubt, Executive shall continue to be subject to the Confidential Information Agreement.</w:t>
      </w:r>
    </w:p>
    <w:p>
      <w:pPr>
        <w:spacing w:after="0" w:line="153" w:lineRule="exact"/>
        <w:rPr>
          <w:rFonts w:ascii="Arial" w:cs="Arial" w:eastAsia="Arial" w:hAnsi="Arial"/>
          <w:sz w:val="14"/>
          <w:szCs w:val="14"/>
          <w:color w:val="auto"/>
        </w:rPr>
      </w:pPr>
    </w:p>
    <w:p>
      <w:pPr>
        <w:ind w:left="520" w:right="20" w:firstLine="504"/>
        <w:spacing w:after="0" w:line="284" w:lineRule="auto"/>
        <w:tabs>
          <w:tab w:leader="none" w:pos="1242" w:val="left"/>
        </w:tabs>
        <w:numPr>
          <w:ilvl w:val="1"/>
          <w:numId w:val="131"/>
        </w:numPr>
        <w:rPr>
          <w:rFonts w:ascii="Arial" w:cs="Arial" w:eastAsia="Arial" w:hAnsi="Arial"/>
          <w:sz w:val="14"/>
          <w:szCs w:val="14"/>
          <w:color w:val="auto"/>
        </w:rPr>
      </w:pPr>
      <w:r>
        <w:rPr>
          <w:rFonts w:ascii="Arial" w:cs="Arial" w:eastAsia="Arial" w:hAnsi="Arial"/>
          <w:sz w:val="14"/>
          <w:szCs w:val="14"/>
          <w:color w:val="auto"/>
        </w:rPr>
        <w:t>For the avoidance of doubt, nothing in this Agreement will be construed to prohibit Executive from filing a charge with, reporting possible violations to, or participating or cooperating with any</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080"/>
          </w:cols>
          <w:pgMar w:left="900" w:top="129" w:right="919" w:bottom="1440" w:gutter="0" w:footer="0" w:header="0"/>
        </w:sectPr>
      </w:pPr>
    </w:p>
    <w:bookmarkStart w:id="144" w:name="page145"/>
    <w:bookmarkEnd w:id="144"/>
    <w:p>
      <w:pPr>
        <w:ind w:left="520" w:right="20"/>
        <w:spacing w:after="0" w:line="279" w:lineRule="auto"/>
        <w:rPr>
          <w:sz w:val="20"/>
          <w:szCs w:val="20"/>
          <w:color w:val="auto"/>
        </w:rPr>
      </w:pPr>
      <w:r>
        <w:rPr>
          <w:rFonts w:ascii="Arial" w:cs="Arial" w:eastAsia="Arial" w:hAnsi="Arial"/>
          <w:sz w:val="13"/>
          <w:szCs w:val="13"/>
          <w:color w:val="auto"/>
        </w:rPr>
        <w:t>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Executive may not disclose information of the Company or any of its affiliates that is protected by the attorney-client privilege, except as otherwise required by law. Executive does not need the prior authorization of the Company to make any such reports or disclosures, and Executive is not required to notify the Company that he has made such reports or disclosures.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38" w:lineRule="exact"/>
        <w:rPr>
          <w:sz w:val="20"/>
          <w:szCs w:val="20"/>
          <w:color w:val="auto"/>
        </w:rPr>
      </w:pPr>
    </w:p>
    <w:p>
      <w:pPr>
        <w:ind w:right="20" w:firstLine="348"/>
        <w:spacing w:after="0" w:line="258" w:lineRule="auto"/>
        <w:tabs>
          <w:tab w:leader="none" w:pos="550" w:val="left"/>
        </w:tabs>
        <w:numPr>
          <w:ilvl w:val="0"/>
          <w:numId w:val="132"/>
        </w:numPr>
        <w:rPr>
          <w:rFonts w:ascii="Arial" w:cs="Arial" w:eastAsia="Arial" w:hAnsi="Arial"/>
          <w:sz w:val="14"/>
          <w:szCs w:val="14"/>
          <w:color w:val="auto"/>
        </w:rPr>
      </w:pPr>
      <w:r>
        <w:rPr>
          <w:rFonts w:ascii="Arial" w:cs="Arial" w:eastAsia="Arial" w:hAnsi="Arial"/>
          <w:sz w:val="14"/>
          <w:szCs w:val="14"/>
          <w:i w:val="1"/>
          <w:iCs w:val="1"/>
          <w:color w:val="auto"/>
        </w:rPr>
        <w:t>Non-Solicitation</w:t>
      </w:r>
      <w:r>
        <w:rPr>
          <w:rFonts w:ascii="Arial" w:cs="Arial" w:eastAsia="Arial" w:hAnsi="Arial"/>
          <w:sz w:val="14"/>
          <w:szCs w:val="14"/>
          <w:color w:val="auto"/>
        </w:rPr>
        <w:t>. In addition to Executive’s obligations under the Confidential Information Agreement, Executive shall not for a period of one (1) years following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Resignation Date,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 general advertisement to which an employee of the Company responds shall in no event be deemed to result in a breach of this Section 8(b). Executive also agrees not divert or attempt to divert any actual or potential business of the Company. If it is determined by a court of competent jurisdiction in any state that any restriction in this Section 8(b)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53" w:lineRule="exact"/>
        <w:rPr>
          <w:sz w:val="20"/>
          <w:szCs w:val="20"/>
          <w:color w:val="auto"/>
        </w:rPr>
      </w:pPr>
    </w:p>
    <w:p>
      <w:pPr>
        <w:ind w:firstLine="348"/>
        <w:spacing w:after="0" w:line="258" w:lineRule="auto"/>
        <w:tabs>
          <w:tab w:leader="none" w:pos="491" w:val="left"/>
        </w:tabs>
        <w:numPr>
          <w:ilvl w:val="0"/>
          <w:numId w:val="133"/>
        </w:numPr>
        <w:rPr>
          <w:rFonts w:ascii="Arial" w:cs="Arial" w:eastAsia="Arial" w:hAnsi="Arial"/>
          <w:sz w:val="14"/>
          <w:szCs w:val="14"/>
          <w:color w:val="auto"/>
        </w:rPr>
      </w:pPr>
      <w:r>
        <w:rPr>
          <w:rFonts w:ascii="Arial" w:cs="Arial" w:eastAsia="Arial" w:hAnsi="Arial"/>
          <w:sz w:val="14"/>
          <w:szCs w:val="14"/>
          <w:u w:val="single" w:color="auto"/>
          <w:color w:val="auto"/>
        </w:rPr>
        <w:t>Executive Representations</w:t>
      </w:r>
      <w:r>
        <w:rPr>
          <w:rFonts w:ascii="Arial" w:cs="Arial" w:eastAsia="Arial" w:hAnsi="Arial"/>
          <w:sz w:val="14"/>
          <w:szCs w:val="14"/>
          <w:color w:val="auto"/>
        </w:rPr>
        <w:t>. Executive warrants and represents that (a) he has not filed or authorized the filing of any complaints, charges or lawsuits against the Company or any affiliate of the Company with any governmental agency or court, and that if, unbeknownst to Executive, such a complaint, charge or lawsuit has been filed on his behalf, he will use reasonable best efforts to immediately cause it to be withdrawn and dismissed, and (b) he has no known workplace injuries or occupational diseases and has been provided and/or has not been denied any leave requested under the Family and Medical Leave Act or any similar state law, and (c) he has received the Company’s Insider Trading Compliance Policy and agrees to continue to abide by all applicable terms therein, including specifically, Section IV (C) which states, “With the exception of the preclearance requirement, the insider trading laws continue to apply to all transactions in the Company’s securities even after termination of service of service to the Company. If an individual is in the possession of material non-public information when his or her service terminates, that individual may not trade in the Company’s securities until that information has become public or is no longer material.”</w:t>
      </w:r>
    </w:p>
    <w:p>
      <w:pPr>
        <w:spacing w:after="0" w:line="153" w:lineRule="exact"/>
        <w:rPr>
          <w:rFonts w:ascii="Arial" w:cs="Arial" w:eastAsia="Arial" w:hAnsi="Arial"/>
          <w:sz w:val="14"/>
          <w:szCs w:val="14"/>
          <w:color w:val="auto"/>
        </w:rPr>
      </w:pPr>
    </w:p>
    <w:p>
      <w:pPr>
        <w:ind w:right="60" w:firstLine="348"/>
        <w:spacing w:after="0" w:line="282" w:lineRule="auto"/>
        <w:tabs>
          <w:tab w:leader="none" w:pos="562"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No Assignment by Executive</w:t>
      </w:r>
      <w:r>
        <w:rPr>
          <w:rFonts w:ascii="Arial" w:cs="Arial" w:eastAsia="Arial" w:hAnsi="Arial"/>
          <w:sz w:val="13"/>
          <w:szCs w:val="13"/>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spacing w:after="0" w:line="137" w:lineRule="exact"/>
        <w:rPr>
          <w:rFonts w:ascii="Arial" w:cs="Arial" w:eastAsia="Arial" w:hAnsi="Arial"/>
          <w:sz w:val="13"/>
          <w:szCs w:val="13"/>
          <w:color w:val="auto"/>
        </w:rPr>
      </w:pPr>
    </w:p>
    <w:p>
      <w:pPr>
        <w:ind w:right="500" w:firstLine="348"/>
        <w:spacing w:after="0" w:line="324" w:lineRule="auto"/>
        <w:tabs>
          <w:tab w:leader="none" w:pos="557"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45" w:name="page146"/>
    <w:bookmarkEnd w:id="145"/>
    <w:p>
      <w:pPr>
        <w:ind w:right="20" w:firstLine="348"/>
        <w:spacing w:after="0" w:line="284" w:lineRule="auto"/>
        <w:tabs>
          <w:tab w:leader="none" w:pos="562" w:val="left"/>
        </w:tabs>
        <w:numPr>
          <w:ilvl w:val="0"/>
          <w:numId w:val="134"/>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xml:space="preserve">. This Agreement, together with the Confidential Information Agreement, the Award Agreements and the form of General Release of Claims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comprise the entire agreement between the parties with regard to the subject matter hereof and supersedes, in their entirety, any other agreements between Executive and the Company with regard to the subject matter hereof, including without limitation, the Pre-Existing Agreement. Executive acknowledges that there are no other agreements, written, oral or implied, and that he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134" w:lineRule="exact"/>
        <w:rPr>
          <w:rFonts w:ascii="Arial" w:cs="Arial" w:eastAsia="Arial" w:hAnsi="Arial"/>
          <w:sz w:val="13"/>
          <w:szCs w:val="13"/>
          <w:color w:val="auto"/>
        </w:rPr>
      </w:pPr>
    </w:p>
    <w:p>
      <w:pPr>
        <w:jc w:val="both"/>
        <w:ind w:right="340" w:firstLine="348"/>
        <w:spacing w:after="0" w:line="269" w:lineRule="auto"/>
        <w:tabs>
          <w:tab w:leader="none" w:pos="562"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Company Assignment and Successors</w:t>
      </w:r>
      <w:r>
        <w:rPr>
          <w:rFonts w:ascii="Arial" w:cs="Arial" w:eastAsia="Arial" w:hAnsi="Arial"/>
          <w:sz w:val="14"/>
          <w:szCs w:val="14"/>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42" w:lineRule="exact"/>
        <w:rPr>
          <w:rFonts w:ascii="Arial" w:cs="Arial" w:eastAsia="Arial" w:hAnsi="Arial"/>
          <w:sz w:val="14"/>
          <w:szCs w:val="14"/>
          <w:color w:val="auto"/>
        </w:rPr>
      </w:pPr>
    </w:p>
    <w:p>
      <w:pPr>
        <w:jc w:val="both"/>
        <w:ind w:right="40" w:firstLine="348"/>
        <w:spacing w:after="0" w:line="269" w:lineRule="auto"/>
        <w:tabs>
          <w:tab w:leader="none" w:pos="562"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Maintaining Confidential Information</w:t>
      </w:r>
      <w:r>
        <w:rPr>
          <w:rFonts w:ascii="Arial" w:cs="Arial" w:eastAsia="Arial" w:hAnsi="Arial"/>
          <w:sz w:val="14"/>
          <w:szCs w:val="14"/>
          <w:color w:val="auto"/>
        </w:rPr>
        <w:t>. Executive reaffirms his obligations under the Confidential Information Agreement. Executive acknowledges and agrees that the payments and benefits provided in Sections 2 and 4 above shall be subject to Executive’s continued compliance with Executive’s obligations under the Confidential Information Agreement.</w:t>
      </w:r>
    </w:p>
    <w:p>
      <w:pPr>
        <w:spacing w:after="0" w:line="142" w:lineRule="exact"/>
        <w:rPr>
          <w:rFonts w:ascii="Arial" w:cs="Arial" w:eastAsia="Arial" w:hAnsi="Arial"/>
          <w:sz w:val="14"/>
          <w:szCs w:val="14"/>
          <w:color w:val="auto"/>
        </w:rPr>
      </w:pPr>
    </w:p>
    <w:p>
      <w:pPr>
        <w:ind w:left="560" w:hanging="212"/>
        <w:spacing w:after="0"/>
        <w:tabs>
          <w:tab w:leader="none" w:pos="560"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Executive’s Cooperation</w:t>
      </w:r>
      <w:r>
        <w:rPr>
          <w:rFonts w:ascii="Arial" w:cs="Arial" w:eastAsia="Arial" w:hAnsi="Arial"/>
          <w:sz w:val="14"/>
          <w:szCs w:val="14"/>
          <w:color w:val="auto"/>
        </w:rPr>
        <w:t>. Executive further agrees that:</w:t>
      </w:r>
    </w:p>
    <w:p>
      <w:pPr>
        <w:spacing w:after="0" w:line="181" w:lineRule="exact"/>
        <w:rPr>
          <w:sz w:val="20"/>
          <w:szCs w:val="20"/>
          <w:color w:val="auto"/>
        </w:rPr>
      </w:pPr>
    </w:p>
    <w:p>
      <w:pPr>
        <w:ind w:firstLine="348"/>
        <w:spacing w:after="0" w:line="269" w:lineRule="auto"/>
        <w:tabs>
          <w:tab w:leader="none" w:pos="542" w:val="left"/>
        </w:tabs>
        <w:numPr>
          <w:ilvl w:val="0"/>
          <w:numId w:val="135"/>
        </w:numPr>
        <w:rPr>
          <w:rFonts w:ascii="Arial" w:cs="Arial" w:eastAsia="Arial" w:hAnsi="Arial"/>
          <w:sz w:val="14"/>
          <w:szCs w:val="14"/>
          <w:color w:val="auto"/>
        </w:rPr>
      </w:pPr>
      <w:r>
        <w:rPr>
          <w:rFonts w:ascii="Arial" w:cs="Arial" w:eastAsia="Arial" w:hAnsi="Arial"/>
          <w:sz w:val="14"/>
          <w:szCs w:val="14"/>
          <w:i w:val="1"/>
          <w:iCs w:val="1"/>
          <w:color w:val="auto"/>
        </w:rPr>
        <w:t>Transition</w:t>
      </w:r>
      <w:r>
        <w:rPr>
          <w:rFonts w:ascii="Arial" w:cs="Arial" w:eastAsia="Arial" w:hAnsi="Arial"/>
          <w:sz w:val="14"/>
          <w:szCs w:val="14"/>
          <w:color w:val="auto"/>
        </w:rPr>
        <w:t>. From the Effective Date through the Resignation Date, Executive shall continue to provide full-time services to the Company, shall continue to discharge all</w:t>
      </w:r>
      <w:r>
        <w:rPr>
          <w:rFonts w:ascii="Arial" w:cs="Arial" w:eastAsia="Arial" w:hAnsi="Arial"/>
          <w:sz w:val="14"/>
          <w:szCs w:val="14"/>
          <w:i w:val="1"/>
          <w:iCs w:val="1"/>
          <w:color w:val="auto"/>
        </w:rPr>
        <w:t xml:space="preserve"> </w:t>
      </w:r>
      <w:r>
        <w:rPr>
          <w:rFonts w:ascii="Arial" w:cs="Arial" w:eastAsia="Arial" w:hAnsi="Arial"/>
          <w:sz w:val="14"/>
          <w:szCs w:val="14"/>
          <w:color w:val="auto"/>
        </w:rPr>
        <w:t>duties of the position of the Chief Operating Officer, and shall cooperate with the Company in the preparation and presentation of public statements regarding Executive’s planned departure from the Company.</w:t>
      </w:r>
    </w:p>
    <w:p>
      <w:pPr>
        <w:spacing w:after="0" w:line="142" w:lineRule="exact"/>
        <w:rPr>
          <w:rFonts w:ascii="Arial" w:cs="Arial" w:eastAsia="Arial" w:hAnsi="Arial"/>
          <w:sz w:val="14"/>
          <w:szCs w:val="14"/>
          <w:color w:val="auto"/>
        </w:rPr>
      </w:pPr>
    </w:p>
    <w:p>
      <w:pPr>
        <w:ind w:right="240" w:firstLine="348"/>
        <w:spacing w:after="0" w:line="277" w:lineRule="auto"/>
        <w:tabs>
          <w:tab w:leader="none" w:pos="550" w:val="left"/>
        </w:tabs>
        <w:numPr>
          <w:ilvl w:val="0"/>
          <w:numId w:val="135"/>
        </w:numPr>
        <w:rPr>
          <w:rFonts w:ascii="Arial" w:cs="Arial" w:eastAsia="Arial" w:hAnsi="Arial"/>
          <w:sz w:val="13"/>
          <w:szCs w:val="13"/>
          <w:color w:val="auto"/>
        </w:rPr>
      </w:pPr>
      <w:r>
        <w:rPr>
          <w:rFonts w:ascii="Arial" w:cs="Arial" w:eastAsia="Arial" w:hAnsi="Arial"/>
          <w:sz w:val="13"/>
          <w:szCs w:val="13"/>
          <w:i w:val="1"/>
          <w:iCs w:val="1"/>
          <w:color w:val="auto"/>
        </w:rPr>
        <w:t>Investigations</w:t>
      </w:r>
      <w:r>
        <w:rPr>
          <w:rFonts w:ascii="Arial" w:cs="Arial" w:eastAsia="Arial" w:hAnsi="Arial"/>
          <w:sz w:val="13"/>
          <w:szCs w:val="13"/>
          <w:color w:val="auto"/>
        </w:rPr>
        <w:t>. After the Resignation Date, Executive shall use reasonable efforts to cooperate with the Company and its affiliates, upon the Company’s reasonable</w:t>
      </w:r>
      <w:r>
        <w:rPr>
          <w:rFonts w:ascii="Arial" w:cs="Arial" w:eastAsia="Arial" w:hAnsi="Arial"/>
          <w:sz w:val="13"/>
          <w:szCs w:val="13"/>
          <w:i w:val="1"/>
          <w:iCs w:val="1"/>
          <w:color w:val="auto"/>
        </w:rPr>
        <w:t xml:space="preserve"> </w:t>
      </w:r>
      <w:r>
        <w:rPr>
          <w:rFonts w:ascii="Arial" w:cs="Arial" w:eastAsia="Arial" w:hAnsi="Arial"/>
          <w:sz w:val="13"/>
          <w:szCs w:val="13"/>
          <w:color w:val="auto"/>
        </w:rPr>
        <w:t>request, with respect to any internal investigation or administrative, regulatory or judicial proceeding involving matters within the scope of Executive’s duties and responsibilities to the Company or its affiliates during his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his</w:t>
      </w:r>
    </w:p>
    <w:p>
      <w:pPr>
        <w:spacing w:after="0" w:line="1" w:lineRule="exact"/>
        <w:rPr>
          <w:rFonts w:ascii="Arial" w:cs="Arial" w:eastAsia="Arial" w:hAnsi="Arial"/>
          <w:sz w:val="13"/>
          <w:szCs w:val="13"/>
          <w:color w:val="auto"/>
        </w:rPr>
      </w:pPr>
    </w:p>
    <w:p>
      <w:pPr>
        <w:jc w:val="both"/>
        <w:ind w:right="80"/>
        <w:spacing w:after="0" w:line="259" w:lineRule="auto"/>
        <w:rPr>
          <w:rFonts w:ascii="Arial" w:cs="Arial" w:eastAsia="Arial" w:hAnsi="Arial"/>
          <w:sz w:val="13"/>
          <w:szCs w:val="13"/>
          <w:color w:val="auto"/>
        </w:rPr>
      </w:pPr>
      <w:r>
        <w:rPr>
          <w:rFonts w:ascii="Arial" w:cs="Arial" w:eastAsia="Arial" w:hAnsi="Arial"/>
          <w:sz w:val="14"/>
          <w:szCs w:val="14"/>
          <w:color w:val="auto"/>
        </w:rPr>
        <w:t xml:space="preserve">employment);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such request by the Company shall not be unduly burdensome or interfere with Executive’s personal schedule or ability to engage in gainful employment, consulting or other work, and the Company shall pay, upon invoicing by Executive, all reasonably incurred fees for his time in so cooperating (which shall not exceed one thousand dollars ($1,000) per eight hour day), and reimburse Executive for his actual, reasonable, out-of-pocket expenses (including without limitation, any and all reasonable attorney’s fees and costs) incurred in connection with providing any such cooperation.</w:t>
      </w:r>
    </w:p>
    <w:p>
      <w:pPr>
        <w:spacing w:after="0" w:line="149" w:lineRule="exact"/>
        <w:rPr>
          <w:sz w:val="20"/>
          <w:szCs w:val="20"/>
          <w:color w:val="auto"/>
        </w:rPr>
      </w:pPr>
    </w:p>
    <w:p>
      <w:pPr>
        <w:ind w:right="100" w:firstLine="349"/>
        <w:spacing w:after="0" w:line="284" w:lineRule="auto"/>
        <w:rPr>
          <w:sz w:val="20"/>
          <w:szCs w:val="20"/>
          <w:color w:val="auto"/>
        </w:rPr>
      </w:pPr>
      <w:r>
        <w:rPr>
          <w:rFonts w:ascii="Arial" w:cs="Arial" w:eastAsia="Arial" w:hAnsi="Arial"/>
          <w:sz w:val="14"/>
          <w:szCs w:val="14"/>
          <w:color w:val="auto"/>
        </w:rPr>
        <w:t>IN WITNESS WHEREOF, the undersigned have caused this Transition and Separation Agreement to be duly executed and delivered as of the date indicated next to their respective signatures below.</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191"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Reginald Seeto, MBBS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-101600</wp:posOffset>
            </wp:positionV>
            <wp:extent cx="32004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0400" cy="6985"/>
                    </a:xfrm>
                    <a:prstGeom prst="rect">
                      <a:avLst/>
                    </a:prstGeom>
                    <a:noFill/>
                  </pic:spPr>
                </pic:pic>
              </a:graphicData>
            </a:graphic>
          </wp:anchor>
        </w:drawing>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ARDELYX,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Mike Raab,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-101600</wp:posOffset>
            </wp:positionV>
            <wp:extent cx="299021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90215"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4"/>
          <w:szCs w:val="14"/>
          <w:b w:val="1"/>
          <w:bCs w:val="1"/>
          <w:u w:val="single" w:color="auto"/>
          <w:color w:val="auto"/>
        </w:rPr>
        <w:t>EXHIBIT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GENERAL RELEASE OF CLAIMS</w:t>
      </w:r>
    </w:p>
    <w:p>
      <w:pPr>
        <w:spacing w:after="0" w:line="185" w:lineRule="exact"/>
        <w:rPr>
          <w:sz w:val="20"/>
          <w:szCs w:val="20"/>
          <w:color w:val="auto"/>
        </w:rPr>
      </w:pPr>
    </w:p>
    <w:p>
      <w:pPr>
        <w:jc w:val="both"/>
        <w:ind w:right="60" w:firstLine="349"/>
        <w:spacing w:after="0" w:line="269" w:lineRule="auto"/>
        <w:rPr>
          <w:sz w:val="20"/>
          <w:szCs w:val="20"/>
          <w:color w:val="auto"/>
        </w:rPr>
      </w:pPr>
      <w:r>
        <w:rPr>
          <w:rFonts w:ascii="Arial" w:cs="Arial" w:eastAsia="Arial" w:hAnsi="Arial"/>
          <w:sz w:val="14"/>
          <w:szCs w:val="14"/>
          <w:color w:val="auto"/>
        </w:rPr>
        <w:t>This General Release of Claims (“</w:t>
      </w:r>
      <w:r>
        <w:rPr>
          <w:rFonts w:ascii="Arial" w:cs="Arial" w:eastAsia="Arial" w:hAnsi="Arial"/>
          <w:sz w:val="14"/>
          <w:szCs w:val="14"/>
          <w:u w:val="single" w:color="auto"/>
          <w:color w:val="auto"/>
        </w:rPr>
        <w:t>Release</w:t>
      </w:r>
      <w:r>
        <w:rPr>
          <w:rFonts w:ascii="Arial" w:cs="Arial" w:eastAsia="Arial" w:hAnsi="Arial"/>
          <w:sz w:val="14"/>
          <w:szCs w:val="14"/>
          <w:color w:val="auto"/>
        </w:rPr>
        <w:t>”) is entered into as of , between Reginald Seeto (“</w:t>
      </w:r>
      <w:r>
        <w:rPr>
          <w:rFonts w:ascii="Arial" w:cs="Arial" w:eastAsia="Arial" w:hAnsi="Arial"/>
          <w:sz w:val="14"/>
          <w:szCs w:val="14"/>
          <w:u w:val="single" w:color="auto"/>
          <w:color w:val="auto"/>
        </w:rPr>
        <w:t>Executive</w:t>
      </w:r>
      <w:r>
        <w:rPr>
          <w:rFonts w:ascii="Arial" w:cs="Arial" w:eastAsia="Arial" w:hAnsi="Arial"/>
          <w:sz w:val="14"/>
          <w:szCs w:val="14"/>
          <w:color w:val="auto"/>
        </w:rPr>
        <w:t>”) and Ardelyx, Inc. (the “</w:t>
      </w:r>
      <w:r>
        <w:rPr>
          <w:rFonts w:ascii="Arial" w:cs="Arial" w:eastAsia="Arial" w:hAnsi="Arial"/>
          <w:sz w:val="14"/>
          <w:szCs w:val="14"/>
          <w:u w:val="single" w:color="auto"/>
          <w:color w:val="auto"/>
        </w:rPr>
        <w:t>Company</w:t>
      </w:r>
      <w:r>
        <w:rPr>
          <w:rFonts w:ascii="Arial" w:cs="Arial" w:eastAsia="Arial" w:hAnsi="Arial"/>
          <w:sz w:val="14"/>
          <w:szCs w:val="14"/>
          <w:color w:val="auto"/>
        </w:rPr>
        <w:t>”) (collectively referred to herein as the “</w:t>
      </w:r>
      <w:r>
        <w:rPr>
          <w:rFonts w:ascii="Arial" w:cs="Arial" w:eastAsia="Arial" w:hAnsi="Arial"/>
          <w:sz w:val="14"/>
          <w:szCs w:val="14"/>
          <w:u w:val="single" w:color="auto"/>
          <w:color w:val="auto"/>
        </w:rPr>
        <w:t>Parties</w:t>
      </w:r>
      <w:r>
        <w:rPr>
          <w:rFonts w:ascii="Arial" w:cs="Arial" w:eastAsia="Arial" w:hAnsi="Arial"/>
          <w:sz w:val="14"/>
          <w:szCs w:val="14"/>
          <w:color w:val="auto"/>
        </w:rPr>
        <w:t>”), effective eight (8) days after Executive’s signature hereto (the “</w:t>
      </w:r>
      <w:r>
        <w:rPr>
          <w:rFonts w:ascii="Arial" w:cs="Arial" w:eastAsia="Arial" w:hAnsi="Arial"/>
          <w:sz w:val="14"/>
          <w:szCs w:val="14"/>
          <w:u w:val="single" w:color="auto"/>
          <w:color w:val="auto"/>
        </w:rPr>
        <w:t>Effective Date</w:t>
      </w:r>
      <w:r>
        <w:rPr>
          <w:rFonts w:ascii="Arial" w:cs="Arial" w:eastAsia="Arial" w:hAnsi="Arial"/>
          <w:sz w:val="14"/>
          <w:szCs w:val="14"/>
          <w:color w:val="auto"/>
        </w:rPr>
        <w:t>”), unless Executive revokes his acceptance of this Release as provided in Paragraph 1(c), below.</w:t>
      </w:r>
    </w:p>
    <w:p>
      <w:pPr>
        <w:spacing w:after="0" w:line="142" w:lineRule="exact"/>
        <w:rPr>
          <w:sz w:val="20"/>
          <w:szCs w:val="20"/>
          <w:color w:val="auto"/>
        </w:rPr>
      </w:pPr>
    </w:p>
    <w:p>
      <w:pPr>
        <w:ind w:left="500" w:hanging="152"/>
        <w:spacing w:after="0"/>
        <w:tabs>
          <w:tab w:leader="none" w:pos="500"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auto"/>
        </w:rPr>
        <w:t>Executive’s Release of the Company</w:t>
      </w:r>
      <w:r>
        <w:rPr>
          <w:rFonts w:ascii="Arial" w:cs="Arial" w:eastAsia="Arial" w:hAnsi="Arial"/>
          <w:sz w:val="14"/>
          <w:szCs w:val="14"/>
          <w:color w:val="auto"/>
        </w:rPr>
        <w:t>.</w:t>
      </w:r>
    </w:p>
    <w:p>
      <w:pPr>
        <w:spacing w:after="0" w:line="181" w:lineRule="exact"/>
        <w:rPr>
          <w:sz w:val="20"/>
          <w:szCs w:val="20"/>
          <w:color w:val="auto"/>
        </w:rPr>
      </w:pPr>
    </w:p>
    <w:p>
      <w:pPr>
        <w:ind w:right="80" w:firstLine="348"/>
        <w:spacing w:after="0" w:line="286" w:lineRule="auto"/>
        <w:tabs>
          <w:tab w:leader="none" w:pos="542" w:val="left"/>
        </w:tabs>
        <w:numPr>
          <w:ilvl w:val="0"/>
          <w:numId w:val="137"/>
        </w:numPr>
        <w:rPr>
          <w:rFonts w:ascii="Arial" w:cs="Arial" w:eastAsia="Arial" w:hAnsi="Arial"/>
          <w:sz w:val="13"/>
          <w:szCs w:val="13"/>
          <w:color w:val="auto"/>
        </w:rPr>
      </w:pPr>
      <w:r>
        <w:rPr>
          <w:rFonts w:ascii="Arial" w:cs="Arial" w:eastAsia="Arial" w:hAnsi="Arial"/>
          <w:sz w:val="13"/>
          <w:szCs w:val="13"/>
          <w:color w:val="auto"/>
        </w:rPr>
        <w:t>Executive,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Arial" w:cs="Arial" w:eastAsia="Arial" w:hAnsi="Arial"/>
          <w:sz w:val="13"/>
          <w:szCs w:val="13"/>
          <w:u w:val="single" w:color="auto"/>
          <w:color w:val="auto"/>
        </w:rPr>
        <w:t>Releasees</w:t>
      </w:r>
      <w:r>
        <w:rPr>
          <w:rFonts w:ascii="Arial" w:cs="Arial" w:eastAsia="Arial" w:hAnsi="Arial"/>
          <w:sz w:val="13"/>
          <w:szCs w:val="13"/>
          <w:color w:val="auto"/>
        </w:rPr>
        <w:t>”)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spacing w:after="0" w:line="134" w:lineRule="exact"/>
        <w:rPr>
          <w:rFonts w:ascii="Arial" w:cs="Arial" w:eastAsia="Arial" w:hAnsi="Arial"/>
          <w:sz w:val="13"/>
          <w:szCs w:val="13"/>
          <w:color w:val="auto"/>
        </w:rPr>
      </w:pPr>
    </w:p>
    <w:p>
      <w:pPr>
        <w:ind w:left="760" w:hanging="248"/>
        <w:spacing w:after="0"/>
        <w:tabs>
          <w:tab w:leader="none" w:pos="76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any and all claims relating to or arising from Executive’s employment relationship with Company and the end of such employment relationship;</w:t>
      </w:r>
    </w:p>
    <w:p>
      <w:pPr>
        <w:spacing w:after="0" w:line="180" w:lineRule="exact"/>
        <w:rPr>
          <w:rFonts w:ascii="Arial" w:cs="Arial" w:eastAsia="Arial" w:hAnsi="Arial"/>
          <w:sz w:val="14"/>
          <w:szCs w:val="14"/>
          <w:color w:val="auto"/>
        </w:rPr>
      </w:pPr>
    </w:p>
    <w:p>
      <w:pPr>
        <w:ind w:firstLine="512"/>
        <w:spacing w:after="0" w:line="291" w:lineRule="auto"/>
        <w:tabs>
          <w:tab w:leader="none" w:pos="758" w:val="left"/>
        </w:tabs>
        <w:numPr>
          <w:ilvl w:val="1"/>
          <w:numId w:val="137"/>
        </w:numPr>
        <w:rPr>
          <w:rFonts w:ascii="Arial" w:cs="Arial" w:eastAsia="Arial" w:hAnsi="Arial"/>
          <w:sz w:val="13"/>
          <w:szCs w:val="13"/>
          <w:color w:val="auto"/>
        </w:rPr>
      </w:pPr>
      <w:r>
        <w:rPr>
          <w:rFonts w:ascii="Arial" w:cs="Arial" w:eastAsia="Arial" w:hAnsi="Arial"/>
          <w:sz w:val="13"/>
          <w:szCs w:val="13"/>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29" w:lineRule="exact"/>
        <w:rPr>
          <w:rFonts w:ascii="Arial" w:cs="Arial" w:eastAsia="Arial" w:hAnsi="Arial"/>
          <w:sz w:val="13"/>
          <w:szCs w:val="13"/>
          <w:color w:val="auto"/>
        </w:rPr>
      </w:pPr>
    </w:p>
    <w:p>
      <w:pPr>
        <w:ind w:right="20" w:firstLine="512"/>
        <w:spacing w:after="0" w:line="284" w:lineRule="auto"/>
        <w:tabs>
          <w:tab w:leader="none" w:pos="762" w:val="left"/>
        </w:tabs>
        <w:numPr>
          <w:ilvl w:val="1"/>
          <w:numId w:val="137"/>
        </w:numPr>
        <w:rPr>
          <w:rFonts w:ascii="Arial" w:cs="Arial" w:eastAsia="Arial" w:hAnsi="Arial"/>
          <w:sz w:val="13"/>
          <w:szCs w:val="13"/>
          <w:color w:val="auto"/>
        </w:rPr>
      </w:pPr>
      <w:r>
        <w:rPr>
          <w:rFonts w:ascii="Arial" w:cs="Arial" w:eastAsia="Arial" w:hAnsi="Arial"/>
          <w:sz w:val="13"/>
          <w:szCs w:val="13"/>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the Employee Retirement Income Security Act of 1974; the Worker Adjustment and Retraining Notification Act; the Family and Medical Leave Act, except as prohibited by law; the Sarbanes-Oxley Act of 2002, except as prohibited by law; the Uniformed Services Employment and Reemployment Rights Act; the California Family Rights Act; the California Labor Code, except as prohibited by law; the California Workers’ Compensation Act, except as prohibited by law; and the California Fair Employment and Housing Act;</w:t>
      </w:r>
    </w:p>
    <w:p>
      <w:pPr>
        <w:spacing w:after="0" w:line="134" w:lineRule="exact"/>
        <w:rPr>
          <w:rFonts w:ascii="Arial" w:cs="Arial" w:eastAsia="Arial" w:hAnsi="Arial"/>
          <w:sz w:val="13"/>
          <w:szCs w:val="13"/>
          <w:color w:val="auto"/>
        </w:rPr>
      </w:pPr>
    </w:p>
    <w:p>
      <w:pPr>
        <w:ind w:left="760" w:hanging="248"/>
        <w:spacing w:after="0"/>
        <w:tabs>
          <w:tab w:leader="none" w:pos="76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any and all claims for violation of the federal or any state constitution;</w:t>
      </w:r>
    </w:p>
    <w:p>
      <w:pPr>
        <w:spacing w:after="0" w:line="180" w:lineRule="exact"/>
        <w:rPr>
          <w:rFonts w:ascii="Arial" w:cs="Arial" w:eastAsia="Arial" w:hAnsi="Arial"/>
          <w:sz w:val="14"/>
          <w:szCs w:val="14"/>
          <w:color w:val="auto"/>
        </w:rPr>
      </w:pPr>
    </w:p>
    <w:p>
      <w:pPr>
        <w:ind w:left="740" w:hanging="228"/>
        <w:spacing w:after="0"/>
        <w:tabs>
          <w:tab w:leader="none" w:pos="74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any and all claims arising out of any other laws and regulations relating to employment or employment discrimination;</w:t>
      </w:r>
    </w:p>
    <w:p>
      <w:pPr>
        <w:spacing w:after="0" w:line="180" w:lineRule="exact"/>
        <w:rPr>
          <w:rFonts w:ascii="Arial" w:cs="Arial" w:eastAsia="Arial" w:hAnsi="Arial"/>
          <w:sz w:val="14"/>
          <w:szCs w:val="14"/>
          <w:color w:val="auto"/>
        </w:rPr>
      </w:pPr>
    </w:p>
    <w:p>
      <w:pPr>
        <w:ind w:right="340" w:firstLine="512"/>
        <w:spacing w:after="0" w:line="371" w:lineRule="auto"/>
        <w:tabs>
          <w:tab w:leader="none" w:pos="754" w:val="left"/>
        </w:tabs>
        <w:numPr>
          <w:ilvl w:val="1"/>
          <w:numId w:val="137"/>
        </w:numPr>
        <w:rPr>
          <w:rFonts w:ascii="Arial" w:cs="Arial" w:eastAsia="Arial" w:hAnsi="Arial"/>
          <w:sz w:val="12"/>
          <w:szCs w:val="12"/>
          <w:color w:val="auto"/>
        </w:rPr>
      </w:pPr>
      <w:r>
        <w:rPr>
          <w:rFonts w:ascii="Arial" w:cs="Arial" w:eastAsia="Arial" w:hAnsi="Arial"/>
          <w:sz w:val="12"/>
          <w:szCs w:val="12"/>
          <w:color w:val="auto"/>
        </w:rPr>
        <w:t>any claim for any loss, cost, damage, or expense arising out of any dispute over the non-withholding or other tax treatment of any of the proceeds received by Executive as a result of the Transition and Separation Agreement entered into between the Parties as of [________], 2018 (the “</w:t>
      </w:r>
      <w:r>
        <w:rPr>
          <w:rFonts w:ascii="Arial" w:cs="Arial" w:eastAsia="Arial" w:hAnsi="Arial"/>
          <w:sz w:val="12"/>
          <w:szCs w:val="12"/>
          <w:u w:val="single" w:color="auto"/>
          <w:color w:val="auto"/>
        </w:rPr>
        <w:t>Transition and Separation Agreement</w:t>
      </w:r>
      <w:r>
        <w:rPr>
          <w:rFonts w:ascii="Arial" w:cs="Arial" w:eastAsia="Arial" w:hAnsi="Arial"/>
          <w:sz w:val="12"/>
          <w:szCs w:val="12"/>
          <w:color w:val="auto"/>
        </w:rPr>
        <w:t>”);</w:t>
      </w:r>
    </w:p>
    <w:p>
      <w:pPr>
        <w:spacing w:after="0" w:line="85" w:lineRule="exact"/>
        <w:rPr>
          <w:rFonts w:ascii="Arial" w:cs="Arial" w:eastAsia="Arial" w:hAnsi="Arial"/>
          <w:sz w:val="12"/>
          <w:szCs w:val="12"/>
          <w:color w:val="auto"/>
        </w:rPr>
      </w:pPr>
    </w:p>
    <w:p>
      <w:pPr>
        <w:ind w:left="800" w:hanging="288"/>
        <w:spacing w:after="0"/>
        <w:tabs>
          <w:tab w:leader="none" w:pos="80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any claim for breach of contract or breach of the implied covenant of good faith and fair dealing;</w:t>
      </w:r>
    </w:p>
    <w:p>
      <w:pPr>
        <w:spacing w:after="0" w:line="180" w:lineRule="exact"/>
        <w:rPr>
          <w:rFonts w:ascii="Arial" w:cs="Arial" w:eastAsia="Arial" w:hAnsi="Arial"/>
          <w:sz w:val="14"/>
          <w:szCs w:val="14"/>
          <w:color w:val="auto"/>
        </w:rPr>
      </w:pPr>
    </w:p>
    <w:p>
      <w:pPr>
        <w:ind w:left="840" w:hanging="328"/>
        <w:spacing w:after="0"/>
        <w:tabs>
          <w:tab w:leader="none" w:pos="84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any and all claims for attorneys’ fees and costs.</w:t>
      </w:r>
    </w:p>
    <w:p>
      <w:pPr>
        <w:spacing w:after="0" w:line="181" w:lineRule="exact"/>
        <w:rPr>
          <w:sz w:val="20"/>
          <w:szCs w:val="20"/>
          <w:color w:val="auto"/>
        </w:rPr>
      </w:pPr>
    </w:p>
    <w:p>
      <w:pPr>
        <w:ind w:right="200" w:firstLine="512"/>
        <w:spacing w:after="0" w:line="291" w:lineRule="auto"/>
        <w:tabs>
          <w:tab w:leader="none" w:pos="714" w:val="left"/>
        </w:tabs>
        <w:numPr>
          <w:ilvl w:val="0"/>
          <w:numId w:val="138"/>
        </w:numPr>
        <w:rPr>
          <w:rFonts w:ascii="Arial" w:cs="Arial" w:eastAsia="Arial" w:hAnsi="Arial"/>
          <w:sz w:val="13"/>
          <w:szCs w:val="13"/>
          <w:color w:val="auto"/>
        </w:rPr>
      </w:pPr>
      <w:r>
        <w:rPr>
          <w:rFonts w:ascii="Arial" w:cs="Arial" w:eastAsia="Arial" w:hAnsi="Arial"/>
          <w:sz w:val="13"/>
          <w:szCs w:val="13"/>
          <w:color w:val="auto"/>
        </w:rPr>
        <w:t>Executive agrees that the release set forth in this Section shall be and remain in effect in all respects as a complete general release as to the matters released. This release does not extend to any obligations incurred under the Transition and Separation Agreement or the Award Agreements (as defined in the Transition and Separation Agreement). This release does not release claims or rights that cannot be released as a matter of law, including, but not limited to, claims under Division 3, Article 2 of the California Labor Code (which includes California Labor Code Section 2802 regarding indemnity for necessary expenditures or losses by Executive) any other</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080"/>
          </w:cols>
          <w:pgMar w:left="900" w:top="125" w:right="919" w:bottom="1440" w:gutter="0" w:footer="0" w:header="0"/>
        </w:sectPr>
      </w:pPr>
    </w:p>
    <w:bookmarkStart w:id="147" w:name="page148"/>
    <w:bookmarkEnd w:id="147"/>
    <w:p>
      <w:pPr>
        <w:ind w:right="180"/>
        <w:spacing w:after="0" w:line="264" w:lineRule="auto"/>
        <w:rPr>
          <w:sz w:val="20"/>
          <w:szCs w:val="20"/>
          <w:color w:val="auto"/>
        </w:rPr>
      </w:pPr>
      <w:r>
        <w:rPr>
          <w:rFonts w:ascii="Arial" w:cs="Arial" w:eastAsia="Arial" w:hAnsi="Arial"/>
          <w:sz w:val="14"/>
          <w:szCs w:val="14"/>
          <w:color w:val="auto"/>
        </w:rPr>
        <w:t>indemnification, defense, or hold-harmless rights Executive may have, and Executive’s right to bring to the attention of the Equal Employment Opportunity Commission or California Department of Fair Employment and Housing claims of discrimination, harassment or retaliation; provided, however, that Executive does release his right to obtain damages for any such claims. This release does not release claims or rights that Executive may have as a shareholder of the Company or for vested benefits under any benefit plan or to continued participation in any such plan pursuant to the terms thereof or applicable law.</w:t>
      </w:r>
    </w:p>
    <w:p>
      <w:pPr>
        <w:spacing w:after="0" w:line="146" w:lineRule="exact"/>
        <w:rPr>
          <w:sz w:val="20"/>
          <w:szCs w:val="20"/>
          <w:color w:val="auto"/>
        </w:rPr>
      </w:pPr>
    </w:p>
    <w:p>
      <w:pPr>
        <w:ind w:firstLine="512"/>
        <w:spacing w:after="0" w:line="278" w:lineRule="auto"/>
        <w:tabs>
          <w:tab w:leader="none" w:pos="706"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Acknowledgment of Waiver of Claims under ADEA</w:t>
      </w:r>
      <w:r>
        <w:rPr>
          <w:rFonts w:ascii="Arial" w:cs="Arial" w:eastAsia="Arial" w:hAnsi="Arial"/>
          <w:sz w:val="13"/>
          <w:szCs w:val="13"/>
          <w:color w:val="auto"/>
        </w:rPr>
        <w:t>. Executive acknowledges that he is waiving and releasing any rights he may have under the Age Discrimination in Employment Act of 1967 (“</w:t>
      </w:r>
      <w:r>
        <w:rPr>
          <w:rFonts w:ascii="Arial" w:cs="Arial" w:eastAsia="Arial" w:hAnsi="Arial"/>
          <w:sz w:val="13"/>
          <w:szCs w:val="13"/>
          <w:u w:val="single" w:color="auto"/>
          <w:color w:val="auto"/>
        </w:rPr>
        <w:t>ADEA</w:t>
      </w:r>
      <w:r>
        <w:rPr>
          <w:rFonts w:ascii="Arial" w:cs="Arial" w:eastAsia="Arial" w:hAnsi="Arial"/>
          <w:sz w:val="13"/>
          <w:szCs w:val="13"/>
          <w:color w:val="auto"/>
        </w:rPr>
        <w:t>”), and that this waiver and release is knowing and voluntary. Executive acknowledges that this waiver and release does not apply to any rights or claims that may arise under the ADEA after the Effective Date of this Release. Executive acknowledges that the consideration given for this waiver and release is in addition to anything of value to which Executive was already entitled. Executive further acknowledges that he has been advised by this writing that: (a) he should consult with an attorney prior to executing this Release; (b) he has twenty-one (21) days within which to consider this Release; (c) he has seven (7) days following his execution of this Release to revoke this Release; (d) this Release shall not be effective until after the revocation period has expired and Executive will not receive the severance and other benefits provided by Section 2 of the Transition and Separation Agreement unless and until the revocation period has expired;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Company’s General Counsel in less than the 21-day period identified above, Executive hereby acknowledges that he has freely and voluntarily chosen to waive the time period allotted for considering this Release. To revoke his acceptance of this Release, Executive must contact the Company’s General Counsel by email at egrammer@ardelyx.com no later than 5 p.m. on the 7</w:t>
      </w:r>
      <w:r>
        <w:rPr>
          <w:rFonts w:ascii="Arial" w:cs="Arial" w:eastAsia="Arial" w:hAnsi="Arial"/>
          <w:sz w:val="7"/>
          <w:szCs w:val="7"/>
          <w:color w:val="auto"/>
        </w:rPr>
        <w:t>th</w:t>
      </w:r>
      <w:r>
        <w:rPr>
          <w:rFonts w:ascii="Arial" w:cs="Arial" w:eastAsia="Arial" w:hAnsi="Arial"/>
          <w:sz w:val="13"/>
          <w:szCs w:val="13"/>
          <w:color w:val="auto"/>
        </w:rPr>
        <w:t xml:space="preserve"> day following Executive’s signature of this Release.</w:t>
      </w:r>
    </w:p>
    <w:p>
      <w:pPr>
        <w:spacing w:after="0" w:line="142" w:lineRule="exact"/>
        <w:rPr>
          <w:rFonts w:ascii="Arial" w:cs="Arial" w:eastAsia="Arial" w:hAnsi="Arial"/>
          <w:sz w:val="13"/>
          <w:szCs w:val="13"/>
          <w:color w:val="auto"/>
        </w:rPr>
      </w:pPr>
    </w:p>
    <w:p>
      <w:pPr>
        <w:ind w:right="60" w:firstLine="512"/>
        <w:spacing w:after="0" w:line="284" w:lineRule="auto"/>
        <w:tabs>
          <w:tab w:leader="none" w:pos="714"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California Civil Code Section 1542</w:t>
      </w:r>
      <w:r>
        <w:rPr>
          <w:rFonts w:ascii="Arial" w:cs="Arial" w:eastAsia="Arial" w:hAnsi="Arial"/>
          <w:sz w:val="14"/>
          <w:szCs w:val="14"/>
          <w:color w:val="auto"/>
        </w:rPr>
        <w:t>. Executive acknowledges that he has been advised to consult with legal counsel and is familiar with the provisions of California Civil Code Section 1542, a statute that otherwise prohibits unknown claims, which provides as follows:</w:t>
      </w:r>
    </w:p>
    <w:p>
      <w:pPr>
        <w:spacing w:after="0" w:line="132"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2"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Executive, being aware of said code section, agrees to expressly waive any rights he may have thereunder, as well as under any other statute or common law principles of similar effect.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u w:val="single" w:color="auto"/>
          <w:color w:val="auto"/>
        </w:rPr>
        <w:t>Executive Representations</w:t>
      </w:r>
      <w:r>
        <w:rPr>
          <w:rFonts w:ascii="Arial" w:cs="Arial" w:eastAsia="Arial" w:hAnsi="Arial"/>
          <w:sz w:val="14"/>
          <w:szCs w:val="14"/>
          <w:color w:val="auto"/>
        </w:rPr>
        <w:t>. Executive represents and warrants that:</w:t>
      </w:r>
    </w:p>
    <w:p>
      <w:pPr>
        <w:spacing w:after="0" w:line="181" w:lineRule="exact"/>
        <w:rPr>
          <w:sz w:val="20"/>
          <w:szCs w:val="20"/>
          <w:color w:val="auto"/>
        </w:rPr>
      </w:pPr>
    </w:p>
    <w:p>
      <w:pPr>
        <w:ind w:right="500" w:firstLine="512"/>
        <w:spacing w:after="0" w:line="284" w:lineRule="auto"/>
        <w:tabs>
          <w:tab w:leader="none" w:pos="706"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To Executive’s knowledge, Executive has returned to the Company all Company property in Executive’s possession and if he discovers additional Company property in his possession he will promptly return it to the Company;</w:t>
      </w:r>
    </w:p>
    <w:p>
      <w:pPr>
        <w:spacing w:after="0" w:line="131" w:lineRule="exact"/>
        <w:rPr>
          <w:rFonts w:ascii="Arial" w:cs="Arial" w:eastAsia="Arial" w:hAnsi="Arial"/>
          <w:sz w:val="14"/>
          <w:szCs w:val="14"/>
          <w:color w:val="auto"/>
        </w:rPr>
      </w:pPr>
    </w:p>
    <w:p>
      <w:pPr>
        <w:ind w:right="220" w:firstLine="512"/>
        <w:spacing w:after="0" w:line="284" w:lineRule="auto"/>
        <w:tabs>
          <w:tab w:leader="none" w:pos="71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Except as Executive has informed the Company in writing, Executive is not owed wages, commissions, bonuses or other compensation, other than any payments that become due under Sections 3 and 4(b) of the Transition and Separation Agreement;</w:t>
      </w:r>
    </w:p>
    <w:p>
      <w:pPr>
        <w:spacing w:after="0" w:line="131" w:lineRule="exact"/>
        <w:rPr>
          <w:rFonts w:ascii="Arial" w:cs="Arial" w:eastAsia="Arial" w:hAnsi="Arial"/>
          <w:sz w:val="14"/>
          <w:szCs w:val="14"/>
          <w:color w:val="auto"/>
        </w:rPr>
      </w:pPr>
    </w:p>
    <w:p>
      <w:pPr>
        <w:ind w:right="220" w:firstLine="512"/>
        <w:spacing w:after="0" w:line="269" w:lineRule="auto"/>
        <w:tabs>
          <w:tab w:leader="none" w:pos="706" w:val="left"/>
        </w:tabs>
        <w:numPr>
          <w:ilvl w:val="0"/>
          <w:numId w:val="140"/>
        </w:numPr>
        <w:rPr>
          <w:rFonts w:ascii="Arial" w:cs="Arial" w:eastAsia="Arial" w:hAnsi="Arial"/>
          <w:sz w:val="14"/>
          <w:szCs w:val="14"/>
          <w:color w:val="auto"/>
        </w:rPr>
      </w:pPr>
      <w:r>
        <w:rPr>
          <w:rFonts w:ascii="Arial" w:cs="Arial" w:eastAsia="Arial" w:hAnsi="Arial"/>
          <w:sz w:val="14"/>
          <w:szCs w:val="14"/>
          <w:color w:val="auto"/>
        </w:rPr>
        <w:t>During the course of Executive’s employment Executive did not sustain any injuries for which Executive might be entitled to compensation pursuant to worker’s compensation law or Executive has disclosed any injuries of which he is currently, reasonably aware for which he might be entitled to compensation pursuant to worker’s compensation law;</w:t>
      </w:r>
    </w:p>
    <w:p>
      <w:pPr>
        <w:spacing w:after="0" w:line="142" w:lineRule="exact"/>
        <w:rPr>
          <w:rFonts w:ascii="Arial" w:cs="Arial" w:eastAsia="Arial" w:hAnsi="Arial"/>
          <w:sz w:val="14"/>
          <w:szCs w:val="14"/>
          <w:color w:val="auto"/>
        </w:rPr>
      </w:pPr>
    </w:p>
    <w:p>
      <w:pPr>
        <w:ind w:right="600" w:firstLine="512"/>
        <w:spacing w:after="0" w:line="284" w:lineRule="auto"/>
        <w:tabs>
          <w:tab w:leader="none" w:pos="71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From the date Executive executed the Transition and Separation Agreement through the date Executive executes this Release, Executive has not made any disparaging comments about the Company, nor will Executive do so in the future; and</w:t>
      </w:r>
    </w:p>
    <w:p>
      <w:pPr>
        <w:spacing w:after="0" w:line="131" w:lineRule="exact"/>
        <w:rPr>
          <w:rFonts w:ascii="Arial" w:cs="Arial" w:eastAsia="Arial" w:hAnsi="Arial"/>
          <w:sz w:val="14"/>
          <w:szCs w:val="14"/>
          <w:color w:val="auto"/>
        </w:rPr>
      </w:pPr>
    </w:p>
    <w:p>
      <w:pPr>
        <w:ind w:right="60" w:firstLine="512"/>
        <w:spacing w:after="0" w:line="284" w:lineRule="auto"/>
        <w:tabs>
          <w:tab w:leader="none" w:pos="706" w:val="left"/>
        </w:tabs>
        <w:numPr>
          <w:ilvl w:val="0"/>
          <w:numId w:val="140"/>
        </w:numPr>
        <w:rPr>
          <w:rFonts w:ascii="Arial" w:cs="Arial" w:eastAsia="Arial" w:hAnsi="Arial"/>
          <w:sz w:val="14"/>
          <w:szCs w:val="14"/>
          <w:color w:val="auto"/>
        </w:rPr>
      </w:pPr>
      <w:r>
        <w:rPr>
          <w:rFonts w:ascii="Arial" w:cs="Arial" w:eastAsia="Arial" w:hAnsi="Arial"/>
          <w:sz w:val="14"/>
          <w:szCs w:val="14"/>
          <w:color w:val="auto"/>
        </w:rPr>
        <w:t>Executive has not initiated any adversarial proceedings of any kind against the Company or against any other person or entity released herein, nor will Executive do so in the future with respect to any claims released hereby, except as specifically allowed by this Release.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642112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21120" cy="20320"/>
                    </a:xfrm>
                    <a:prstGeom prst="rect">
                      <a:avLst/>
                    </a:prstGeom>
                    <a:noFill/>
                  </pic:spPr>
                </pic:pic>
              </a:graphicData>
            </a:graphic>
          </wp:anchor>
        </w:drawing>
      </w:r>
    </w:p>
    <w:p>
      <w:pPr>
        <w:sectPr>
          <w:pgSz w:w="11900" w:h="16838" w:orient="portrait"/>
          <w:cols w:equalWidth="0" w:num="1">
            <w:col w:w="10100"/>
          </w:cols>
          <w:pgMar w:left="900" w:top="129" w:right="899" w:bottom="1440" w:gutter="0" w:footer="0" w:header="0"/>
        </w:sectPr>
      </w:pPr>
    </w:p>
    <w:bookmarkStart w:id="148" w:name="page149"/>
    <w:bookmarkEnd w:id="148"/>
    <w:p>
      <w:pPr>
        <w:ind w:right="160" w:firstLine="512"/>
        <w:spacing w:after="0" w:line="28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Continuing Obligations</w:t>
      </w:r>
      <w:r>
        <w:rPr>
          <w:rFonts w:ascii="Arial" w:cs="Arial" w:eastAsia="Arial" w:hAnsi="Arial"/>
          <w:sz w:val="14"/>
          <w:szCs w:val="14"/>
          <w:color w:val="auto"/>
        </w:rPr>
        <w:t>. Executive reaffirms his obligations under the Transition and Separation Agreement and under the Confidential Information Agreement (as defined in the Transition and Separation Agreement).</w:t>
      </w:r>
    </w:p>
    <w:p>
      <w:pPr>
        <w:spacing w:after="0" w:line="131" w:lineRule="exact"/>
        <w:rPr>
          <w:rFonts w:ascii="Arial" w:cs="Arial" w:eastAsia="Arial" w:hAnsi="Arial"/>
          <w:sz w:val="14"/>
          <w:szCs w:val="14"/>
          <w:color w:val="auto"/>
        </w:rPr>
      </w:pPr>
    </w:p>
    <w:p>
      <w:pPr>
        <w:ind w:right="600" w:firstLine="512"/>
        <w:spacing w:after="0" w:line="28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Cooperation with the Company</w:t>
      </w:r>
      <w:r>
        <w:rPr>
          <w:rFonts w:ascii="Arial" w:cs="Arial" w:eastAsia="Arial" w:hAnsi="Arial"/>
          <w:sz w:val="14"/>
          <w:szCs w:val="14"/>
          <w:color w:val="auto"/>
        </w:rPr>
        <w:t>. Executive reaffirms his obligations to cooperate with the Company pursuant to Section 15 of the Transition and Separation Agreement.</w:t>
      </w:r>
    </w:p>
    <w:p>
      <w:pPr>
        <w:spacing w:after="0" w:line="131" w:lineRule="exact"/>
        <w:rPr>
          <w:rFonts w:ascii="Arial" w:cs="Arial" w:eastAsia="Arial" w:hAnsi="Arial"/>
          <w:sz w:val="14"/>
          <w:szCs w:val="14"/>
          <w:color w:val="auto"/>
        </w:rPr>
      </w:pPr>
    </w:p>
    <w:p>
      <w:pPr>
        <w:ind w:right="200" w:firstLine="512"/>
        <w:spacing w:after="0" w:line="28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The provisions of this Release are severable. If any provision is held to be invalid or unenforceable, it shall not affect the validity or enforceability of any other provision.</w:t>
      </w:r>
    </w:p>
    <w:p>
      <w:pPr>
        <w:spacing w:after="0" w:line="131" w:lineRule="exact"/>
        <w:rPr>
          <w:rFonts w:ascii="Arial" w:cs="Arial" w:eastAsia="Arial" w:hAnsi="Arial"/>
          <w:sz w:val="14"/>
          <w:szCs w:val="14"/>
          <w:color w:val="auto"/>
        </w:rPr>
      </w:pPr>
    </w:p>
    <w:p>
      <w:pPr>
        <w:ind w:right="640" w:firstLine="512"/>
        <w:spacing w:after="0" w:line="28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Choice of Law</w:t>
      </w:r>
      <w:r>
        <w:rPr>
          <w:rFonts w:ascii="Arial" w:cs="Arial" w:eastAsia="Arial" w:hAnsi="Arial"/>
          <w:sz w:val="14"/>
          <w:szCs w:val="14"/>
          <w:color w:val="auto"/>
        </w:rPr>
        <w:t>. This Release shall in all respects be governed and construed in accordance with the laws of the State of California, including all matters of construction, validity and performance, without regard to conflicts of law principles.</w:t>
      </w:r>
    </w:p>
    <w:p>
      <w:pPr>
        <w:spacing w:after="0" w:line="131" w:lineRule="exact"/>
        <w:rPr>
          <w:rFonts w:ascii="Arial" w:cs="Arial" w:eastAsia="Arial" w:hAnsi="Arial"/>
          <w:sz w:val="14"/>
          <w:szCs w:val="14"/>
          <w:color w:val="auto"/>
        </w:rPr>
      </w:pPr>
    </w:p>
    <w:p>
      <w:pPr>
        <w:ind w:right="120" w:firstLine="512"/>
        <w:spacing w:after="0" w:line="26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Integration Clause</w:t>
      </w:r>
      <w:r>
        <w:rPr>
          <w:rFonts w:ascii="Arial" w:cs="Arial" w:eastAsia="Arial" w:hAnsi="Arial"/>
          <w:sz w:val="14"/>
          <w:szCs w:val="14"/>
          <w:color w:val="auto"/>
        </w:rPr>
        <w:t>. This Release and the Transition and Separation Agreement, the Confidential Information Agreement, and the Award Agreements contain the Parties’ entire agreement with regard to the transition and separation of Executive’s employment, and supersede and replace any prior agreements as to those matters, whether oral or written, including without limitation, the Pre-Existing Agreement. This Release may not be changed or modified, in whole or in part, except by an instrument in writing signed by Executive and the President &amp; Chief Executive Officer of the Company.</w:t>
      </w:r>
    </w:p>
    <w:p>
      <w:pPr>
        <w:spacing w:after="0" w:line="145" w:lineRule="exact"/>
        <w:rPr>
          <w:rFonts w:ascii="Arial" w:cs="Arial" w:eastAsia="Arial" w:hAnsi="Arial"/>
          <w:sz w:val="14"/>
          <w:szCs w:val="14"/>
          <w:color w:val="auto"/>
        </w:rPr>
      </w:pPr>
    </w:p>
    <w:p>
      <w:pPr>
        <w:ind w:right="140" w:firstLine="512"/>
        <w:spacing w:after="0" w:line="28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Execution in Counterparts</w:t>
      </w:r>
      <w:r>
        <w:rPr>
          <w:rFonts w:ascii="Arial" w:cs="Arial" w:eastAsia="Arial" w:hAnsi="Arial"/>
          <w:sz w:val="14"/>
          <w:szCs w:val="14"/>
          <w:color w:val="auto"/>
        </w:rPr>
        <w:t>. This Release may be executed in counterparts with the same force and effectiveness as though executed in a single document. Facsimile signatures shall have the same force and effectiveness as original signatures.</w:t>
      </w:r>
    </w:p>
    <w:p>
      <w:pPr>
        <w:spacing w:after="0" w:line="131" w:lineRule="exact"/>
        <w:rPr>
          <w:rFonts w:ascii="Arial" w:cs="Arial" w:eastAsia="Arial" w:hAnsi="Arial"/>
          <w:sz w:val="14"/>
          <w:szCs w:val="14"/>
          <w:color w:val="auto"/>
        </w:rPr>
      </w:pPr>
    </w:p>
    <w:p>
      <w:pPr>
        <w:ind w:right="160" w:firstLine="512"/>
        <w:spacing w:after="0" w:line="284" w:lineRule="auto"/>
        <w:tabs>
          <w:tab w:leader="none" w:pos="655"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Intent to be Bound</w:t>
      </w:r>
      <w:r>
        <w:rPr>
          <w:rFonts w:ascii="Arial" w:cs="Arial" w:eastAsia="Arial" w:hAnsi="Arial"/>
          <w:sz w:val="14"/>
          <w:szCs w:val="14"/>
          <w:color w:val="auto"/>
        </w:rPr>
        <w:t>. The Parties have carefully read this Release in its entirety; fully understand and agree to its terms and provisions; and intend and agree that it is final and binding on all Parties.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 WITNESS WHEREOF, and intending to be legally bound, the Parties have executed the foregoing on the dates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gridSpan w:val="2"/>
          </w:tcPr>
          <w:p>
            <w:pPr>
              <w:spacing w:after="0"/>
              <w:rPr>
                <w:sz w:val="20"/>
                <w:szCs w:val="20"/>
                <w:color w:val="auto"/>
              </w:rPr>
            </w:pPr>
            <w:r>
              <w:rPr>
                <w:rFonts w:ascii="Arial" w:cs="Arial" w:eastAsia="Arial" w:hAnsi="Arial"/>
                <w:sz w:val="14"/>
                <w:szCs w:val="14"/>
                <w:color w:val="auto"/>
              </w:rPr>
              <w:t>EXECUTIVE</w:t>
            </w:r>
          </w:p>
        </w:tc>
        <w:tc>
          <w:tcPr>
            <w:tcW w:w="20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ARDELYX, INC.</w:t>
            </w:r>
          </w:p>
        </w:tc>
        <w:tc>
          <w:tcPr>
            <w:tcW w:w="0" w:type="dxa"/>
            <w:vAlign w:val="bottom"/>
          </w:tcPr>
          <w:p>
            <w:pPr>
              <w:spacing w:after="0"/>
              <w:rPr>
                <w:sz w:val="1"/>
                <w:szCs w:val="1"/>
                <w:color w:val="auto"/>
              </w:rPr>
            </w:pPr>
          </w:p>
        </w:tc>
      </w:tr>
      <w:tr>
        <w:trPr>
          <w:trHeight w:val="342"/>
        </w:trPr>
        <w:tc>
          <w:tcPr>
            <w:tcW w:w="20" w:type="dxa"/>
            <w:vAlign w:val="bottom"/>
            <w:vMerge w:val="restart"/>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940" w:type="dxa"/>
            <w:vAlign w:val="bottom"/>
          </w:tcPr>
          <w:p>
            <w:pPr>
              <w:spacing w:after="0" w:line="151" w:lineRule="exact"/>
              <w:rPr>
                <w:sz w:val="20"/>
                <w:szCs w:val="20"/>
                <w:color w:val="auto"/>
              </w:rPr>
            </w:pPr>
            <w:r>
              <w:rPr>
                <w:rFonts w:ascii="Arial" w:cs="Arial" w:eastAsia="Arial" w:hAnsi="Arial"/>
                <w:sz w:val="14"/>
                <w:szCs w:val="14"/>
                <w:color w:val="auto"/>
              </w:rPr>
              <w:t>Reginald Seeto, MBBS</w:t>
            </w:r>
          </w:p>
        </w:tc>
        <w:tc>
          <w:tcPr>
            <w:tcW w:w="200" w:type="dxa"/>
            <w:vAlign w:val="bottom"/>
          </w:tcPr>
          <w:p>
            <w:pPr>
              <w:spacing w:after="0"/>
              <w:rPr>
                <w:sz w:val="13"/>
                <w:szCs w:val="13"/>
                <w:color w:val="auto"/>
              </w:rPr>
            </w:pPr>
          </w:p>
        </w:tc>
        <w:tc>
          <w:tcPr>
            <w:tcW w:w="4940" w:type="dxa"/>
            <w:vAlign w:val="bottom"/>
          </w:tcPr>
          <w:p>
            <w:pPr>
              <w:spacing w:after="0" w:line="151" w:lineRule="exact"/>
              <w:rPr>
                <w:sz w:val="20"/>
                <w:szCs w:val="20"/>
                <w:color w:val="auto"/>
              </w:rPr>
            </w:pPr>
            <w:r>
              <w:rPr>
                <w:rFonts w:ascii="Arial" w:cs="Arial" w:eastAsia="Arial" w:hAnsi="Arial"/>
                <w:sz w:val="14"/>
                <w:szCs w:val="14"/>
                <w:color w:val="auto"/>
              </w:rPr>
              <w:t>By: Mike Raab</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Title: President &amp; CEO</w:t>
            </w:r>
          </w:p>
        </w:tc>
        <w:tc>
          <w:tcPr>
            <w:tcW w:w="0" w:type="dxa"/>
            <w:vAlign w:val="bottom"/>
          </w:tcPr>
          <w:p>
            <w:pPr>
              <w:spacing w:after="0"/>
              <w:rPr>
                <w:sz w:val="1"/>
                <w:szCs w:val="1"/>
                <w:color w:val="auto"/>
              </w:rPr>
            </w:pPr>
          </w:p>
        </w:tc>
      </w:tr>
      <w:tr>
        <w:trPr>
          <w:trHeight w:val="342"/>
        </w:trPr>
        <w:tc>
          <w:tcPr>
            <w:tcW w:w="4960" w:type="dxa"/>
            <w:vAlign w:val="bottom"/>
            <w:gridSpan w:val="2"/>
          </w:tcPr>
          <w:p>
            <w:pPr>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129" w:right="8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 Michael Raab, certify that:</w:t>
      </w:r>
    </w:p>
    <w:p>
      <w:pPr>
        <w:spacing w:after="0" w:line="149" w:lineRule="exact"/>
        <w:rPr>
          <w:sz w:val="20"/>
          <w:szCs w:val="20"/>
          <w:color w:val="auto"/>
        </w:rPr>
      </w:pPr>
    </w:p>
    <w:p>
      <w:pPr>
        <w:ind w:left="340" w:hanging="335"/>
        <w:spacing w:after="0" w:line="161" w:lineRule="exact"/>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 have reviewed this Quarterly Report on Form 10</w:t>
      </w:r>
      <w:r>
        <w:rPr>
          <w:rFonts w:ascii="MS PGothic" w:cs="MS PGothic" w:eastAsia="MS PGothic" w:hAnsi="MS PGothic"/>
          <w:sz w:val="14"/>
          <w:szCs w:val="14"/>
          <w:color w:val="auto"/>
        </w:rPr>
        <w:t>‑</w:t>
      </w:r>
      <w:r>
        <w:rPr>
          <w:rFonts w:ascii="Arial" w:cs="Arial" w:eastAsia="Arial" w:hAnsi="Arial"/>
          <w:sz w:val="14"/>
          <w:szCs w:val="14"/>
          <w:color w:val="auto"/>
        </w:rPr>
        <w:t>Q of Ardelyx, Inc.;</w:t>
      </w:r>
    </w:p>
    <w:p>
      <w:pPr>
        <w:spacing w:after="0" w:line="148" w:lineRule="exact"/>
        <w:rPr>
          <w:rFonts w:ascii="Arial" w:cs="Arial" w:eastAsia="Arial" w:hAnsi="Arial"/>
          <w:sz w:val="14"/>
          <w:szCs w:val="14"/>
          <w:color w:val="auto"/>
        </w:rPr>
      </w:pPr>
    </w:p>
    <w:p>
      <w:pPr>
        <w:ind w:left="340" w:right="80" w:hanging="335"/>
        <w:spacing w:after="0" w:line="315" w:lineRule="auto"/>
        <w:tabs>
          <w:tab w:leader="none" w:pos="3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2"/>
          <w:szCs w:val="12"/>
          <w:color w:val="auto"/>
        </w:rPr>
      </w:pPr>
    </w:p>
    <w:p>
      <w:pPr>
        <w:ind w:left="340" w:right="440" w:hanging="335"/>
        <w:spacing w:after="0" w:line="273" w:lineRule="auto"/>
        <w:tabs>
          <w:tab w:leader="none" w:pos="3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3"/>
          <w:szCs w:val="13"/>
          <w:color w:val="auto"/>
        </w:rPr>
      </w:pPr>
    </w:p>
    <w:p>
      <w:pPr>
        <w:ind w:left="340" w:right="140" w:hanging="335"/>
        <w:spacing w:after="0" w:line="153" w:lineRule="exact"/>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Arial" w:cs="Arial" w:eastAsia="Arial" w:hAnsi="Arial"/>
          <w:sz w:val="14"/>
          <w:szCs w:val="14"/>
          <w:color w:val="auto"/>
        </w:rPr>
        <w:t>15(e) and 15d</w:t>
      </w:r>
      <w:r>
        <w:rPr>
          <w:rFonts w:ascii="MS PGothic" w:cs="MS PGothic" w:eastAsia="MS PGothic" w:hAnsi="MS PGothic"/>
          <w:sz w:val="14"/>
          <w:szCs w:val="14"/>
          <w:color w:val="auto"/>
        </w:rPr>
        <w:t>‑</w:t>
      </w:r>
      <w:r>
        <w:rPr>
          <w:rFonts w:ascii="Arial" w:cs="Arial" w:eastAsia="Arial" w:hAnsi="Arial"/>
          <w:sz w:val="14"/>
          <w:szCs w:val="14"/>
          <w:color w:val="auto"/>
        </w:rPr>
        <w:t>15(e)) and internal control over financial reporting (as defined in Exchange Act Rules 13a</w:t>
      </w:r>
      <w:r>
        <w:rPr>
          <w:rFonts w:ascii="MS PGothic" w:cs="MS PGothic" w:eastAsia="MS PGothic" w:hAnsi="MS PGothic"/>
          <w:sz w:val="14"/>
          <w:szCs w:val="14"/>
          <w:color w:val="auto"/>
        </w:rPr>
        <w:t>‑</w:t>
      </w:r>
      <w:r>
        <w:rPr>
          <w:rFonts w:ascii="Arial" w:cs="Arial" w:eastAsia="Arial" w:hAnsi="Arial"/>
          <w:sz w:val="14"/>
          <w:szCs w:val="14"/>
          <w:color w:val="auto"/>
        </w:rPr>
        <w:t>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130" w:lineRule="exact"/>
        <w:rPr>
          <w:rFonts w:ascii="Arial" w:cs="Arial" w:eastAsia="Arial" w:hAnsi="Arial"/>
          <w:sz w:val="14"/>
          <w:szCs w:val="14"/>
          <w:color w:val="auto"/>
        </w:rPr>
      </w:pPr>
    </w:p>
    <w:p>
      <w:pPr>
        <w:ind w:left="680" w:right="340" w:hanging="334"/>
        <w:spacing w:after="0" w:line="227" w:lineRule="auto"/>
        <w:tabs>
          <w:tab w:leader="none" w:pos="6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ind w:left="680" w:right="100" w:hanging="334"/>
        <w:spacing w:after="0" w:line="227" w:lineRule="auto"/>
        <w:tabs>
          <w:tab w:leader="none" w:pos="6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4"/>
          <w:szCs w:val="14"/>
          <w:color w:val="auto"/>
        </w:rPr>
      </w:pPr>
    </w:p>
    <w:p>
      <w:pPr>
        <w:jc w:val="both"/>
        <w:ind w:left="680" w:right="720" w:hanging="334"/>
        <w:spacing w:after="0" w:line="315" w:lineRule="auto"/>
        <w:tabs>
          <w:tab w:leader="none" w:pos="68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2"/>
          <w:szCs w:val="12"/>
          <w:color w:val="auto"/>
        </w:rPr>
      </w:pPr>
    </w:p>
    <w:p>
      <w:pPr>
        <w:ind w:left="680" w:right="100" w:hanging="334"/>
        <w:spacing w:after="0" w:line="227" w:lineRule="auto"/>
        <w:tabs>
          <w:tab w:leader="none" w:pos="6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4"/>
          <w:szCs w:val="14"/>
          <w:color w:val="auto"/>
        </w:rPr>
      </w:pPr>
    </w:p>
    <w:p>
      <w:pPr>
        <w:ind w:left="340" w:right="380" w:hanging="335"/>
        <w:spacing w:after="0" w:line="273" w:lineRule="auto"/>
        <w:tabs>
          <w:tab w:leader="none" w:pos="3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3"/>
          <w:szCs w:val="13"/>
          <w:color w:val="auto"/>
        </w:rPr>
      </w:pPr>
    </w:p>
    <w:p>
      <w:pPr>
        <w:ind w:left="680" w:right="260" w:hanging="334"/>
        <w:spacing w:after="0" w:line="238" w:lineRule="auto"/>
        <w:tabs>
          <w:tab w:leader="none" w:pos="6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4"/>
          <w:szCs w:val="14"/>
          <w:color w:val="auto"/>
        </w:rPr>
      </w:pPr>
    </w:p>
    <w:p>
      <w:pPr>
        <w:ind w:left="680" w:right="220" w:hanging="334"/>
        <w:spacing w:after="0" w:line="238" w:lineRule="auto"/>
        <w:tabs>
          <w:tab w:leader="none" w:pos="6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spacing w:after="0"/>
        <w:tabs>
          <w:tab w:leader="none" w:pos="4400" w:val="left"/>
          <w:tab w:leader="none" w:pos="4760" w:val="left"/>
        </w:tabs>
        <w:rPr>
          <w:sz w:val="20"/>
          <w:szCs w:val="20"/>
          <w:color w:val="auto"/>
        </w:rPr>
      </w:pPr>
      <w:r>
        <w:rPr>
          <w:rFonts w:ascii="Arial" w:cs="Arial" w:eastAsia="Arial" w:hAnsi="Arial"/>
          <w:sz w:val="14"/>
          <w:szCs w:val="14"/>
          <w:color w:val="auto"/>
        </w:rPr>
        <w:t>Date: August 7, 2018</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0</wp:posOffset>
            </wp:positionV>
            <wp:extent cx="27457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45740" cy="6985"/>
                    </a:xfrm>
                    <a:prstGeom prst="rect">
                      <a:avLst/>
                    </a:prstGeom>
                    <a:noFill/>
                  </pic:spPr>
                </pic:pic>
              </a:graphicData>
            </a:graphic>
          </wp:anchor>
        </w:drawing>
      </w:r>
    </w:p>
    <w:p>
      <w:pPr>
        <w:jc w:val="center"/>
        <w:ind w:left="4780"/>
        <w:spacing w:after="0" w:line="207" w:lineRule="auto"/>
        <w:rPr>
          <w:sz w:val="20"/>
          <w:szCs w:val="20"/>
          <w:color w:val="auto"/>
        </w:rPr>
      </w:pPr>
      <w:r>
        <w:rPr>
          <w:rFonts w:ascii="Arial" w:cs="Arial" w:eastAsia="Arial" w:hAnsi="Arial"/>
          <w:sz w:val="14"/>
          <w:szCs w:val="14"/>
          <w:b w:val="1"/>
          <w:bCs w:val="1"/>
          <w:color w:val="auto"/>
        </w:rPr>
        <w:t>Michael Raab</w:t>
      </w:r>
    </w:p>
    <w:p>
      <w:pPr>
        <w:jc w:val="center"/>
        <w:ind w:left="4780"/>
        <w:spacing w:after="0" w:line="207" w:lineRule="auto"/>
        <w:rPr>
          <w:sz w:val="20"/>
          <w:szCs w:val="20"/>
          <w:color w:val="auto"/>
        </w:rPr>
      </w:pPr>
      <w:r>
        <w:rPr>
          <w:rFonts w:ascii="Arial" w:cs="Arial" w:eastAsia="Arial" w:hAnsi="Arial"/>
          <w:sz w:val="14"/>
          <w:szCs w:val="14"/>
          <w:b w:val="1"/>
          <w:bCs w:val="1"/>
          <w:color w:val="auto"/>
        </w:rPr>
        <w:t>President Chief Executive Officer and Director</w:t>
      </w:r>
    </w:p>
    <w:p>
      <w:pPr>
        <w:jc w:val="center"/>
        <w:ind w:left="4780"/>
        <w:spacing w:after="0"/>
        <w:rPr>
          <w:sz w:val="20"/>
          <w:szCs w:val="20"/>
          <w:color w:val="auto"/>
        </w:rPr>
      </w:pPr>
      <w:r>
        <w:rPr>
          <w:rFonts w:ascii="Arial" w:cs="Arial" w:eastAsia="Arial" w:hAnsi="Arial"/>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578358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31.2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 Mark Kaufmann, certify that:</w:t>
      </w:r>
    </w:p>
    <w:p>
      <w:pPr>
        <w:spacing w:after="0" w:line="149" w:lineRule="exact"/>
        <w:rPr>
          <w:sz w:val="20"/>
          <w:szCs w:val="20"/>
          <w:color w:val="auto"/>
        </w:rPr>
      </w:pPr>
    </w:p>
    <w:p>
      <w:pPr>
        <w:ind w:left="340" w:hanging="335"/>
        <w:spacing w:after="0" w:line="161" w:lineRule="exact"/>
        <w:tabs>
          <w:tab w:leader="none" w:pos="3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 have reviewed this Quarterly Report on Form 10</w:t>
      </w:r>
      <w:r>
        <w:rPr>
          <w:rFonts w:ascii="MS PGothic" w:cs="MS PGothic" w:eastAsia="MS PGothic" w:hAnsi="MS PGothic"/>
          <w:sz w:val="14"/>
          <w:szCs w:val="14"/>
          <w:color w:val="auto"/>
        </w:rPr>
        <w:t>‑</w:t>
      </w:r>
      <w:r>
        <w:rPr>
          <w:rFonts w:ascii="Arial" w:cs="Arial" w:eastAsia="Arial" w:hAnsi="Arial"/>
          <w:sz w:val="14"/>
          <w:szCs w:val="14"/>
          <w:color w:val="auto"/>
        </w:rPr>
        <w:t>Q of Ardelyx, Inc.;</w:t>
      </w:r>
    </w:p>
    <w:p>
      <w:pPr>
        <w:spacing w:after="0" w:line="148" w:lineRule="exact"/>
        <w:rPr>
          <w:rFonts w:ascii="Arial" w:cs="Arial" w:eastAsia="Arial" w:hAnsi="Arial"/>
          <w:sz w:val="14"/>
          <w:szCs w:val="14"/>
          <w:color w:val="auto"/>
        </w:rPr>
      </w:pPr>
    </w:p>
    <w:p>
      <w:pPr>
        <w:ind w:left="340" w:right="80" w:hanging="335"/>
        <w:spacing w:after="0" w:line="315" w:lineRule="auto"/>
        <w:tabs>
          <w:tab w:leader="none" w:pos="3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2"/>
          <w:szCs w:val="12"/>
          <w:color w:val="auto"/>
        </w:rPr>
      </w:pPr>
    </w:p>
    <w:p>
      <w:pPr>
        <w:ind w:left="340" w:right="440" w:hanging="335"/>
        <w:spacing w:after="0" w:line="273" w:lineRule="auto"/>
        <w:tabs>
          <w:tab w:leader="none" w:pos="3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3"/>
          <w:szCs w:val="13"/>
          <w:color w:val="auto"/>
        </w:rPr>
      </w:pPr>
    </w:p>
    <w:p>
      <w:pPr>
        <w:ind w:left="340" w:right="140" w:hanging="335"/>
        <w:spacing w:after="0" w:line="153" w:lineRule="exact"/>
        <w:tabs>
          <w:tab w:leader="none" w:pos="3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Arial" w:cs="Arial" w:eastAsia="Arial" w:hAnsi="Arial"/>
          <w:sz w:val="14"/>
          <w:szCs w:val="14"/>
          <w:color w:val="auto"/>
        </w:rPr>
        <w:t>15(e) and 15d</w:t>
      </w:r>
      <w:r>
        <w:rPr>
          <w:rFonts w:ascii="MS PGothic" w:cs="MS PGothic" w:eastAsia="MS PGothic" w:hAnsi="MS PGothic"/>
          <w:sz w:val="14"/>
          <w:szCs w:val="14"/>
          <w:color w:val="auto"/>
        </w:rPr>
        <w:t>‑</w:t>
      </w:r>
      <w:r>
        <w:rPr>
          <w:rFonts w:ascii="Arial" w:cs="Arial" w:eastAsia="Arial" w:hAnsi="Arial"/>
          <w:sz w:val="14"/>
          <w:szCs w:val="14"/>
          <w:color w:val="auto"/>
        </w:rPr>
        <w:t>15(e)) and internal control over financial reporting (as defined in Exchange Act Rules 13a</w:t>
      </w:r>
      <w:r>
        <w:rPr>
          <w:rFonts w:ascii="MS PGothic" w:cs="MS PGothic" w:eastAsia="MS PGothic" w:hAnsi="MS PGothic"/>
          <w:sz w:val="14"/>
          <w:szCs w:val="14"/>
          <w:color w:val="auto"/>
        </w:rPr>
        <w:t>‑</w:t>
      </w:r>
      <w:r>
        <w:rPr>
          <w:rFonts w:ascii="Arial" w:cs="Arial" w:eastAsia="Arial" w:hAnsi="Arial"/>
          <w:sz w:val="14"/>
          <w:szCs w:val="14"/>
          <w:color w:val="auto"/>
        </w:rPr>
        <w:t>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130" w:lineRule="exact"/>
        <w:rPr>
          <w:rFonts w:ascii="Arial" w:cs="Arial" w:eastAsia="Arial" w:hAnsi="Arial"/>
          <w:sz w:val="14"/>
          <w:szCs w:val="14"/>
          <w:color w:val="auto"/>
        </w:rPr>
      </w:pPr>
    </w:p>
    <w:p>
      <w:pPr>
        <w:ind w:left="680" w:right="340" w:hanging="334"/>
        <w:spacing w:after="0" w:line="227" w:lineRule="auto"/>
        <w:tabs>
          <w:tab w:leader="none" w:pos="6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ind w:left="680" w:right="100" w:hanging="334"/>
        <w:spacing w:after="0" w:line="227" w:lineRule="auto"/>
        <w:tabs>
          <w:tab w:leader="none" w:pos="6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4"/>
          <w:szCs w:val="14"/>
          <w:color w:val="auto"/>
        </w:rPr>
      </w:pPr>
    </w:p>
    <w:p>
      <w:pPr>
        <w:jc w:val="both"/>
        <w:ind w:left="680" w:right="720" w:hanging="334"/>
        <w:spacing w:after="0" w:line="315" w:lineRule="auto"/>
        <w:tabs>
          <w:tab w:leader="none" w:pos="680" w:val="left"/>
        </w:tabs>
        <w:numPr>
          <w:ilvl w:val="1"/>
          <w:numId w:val="14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2"/>
          <w:szCs w:val="12"/>
          <w:color w:val="auto"/>
        </w:rPr>
      </w:pPr>
    </w:p>
    <w:p>
      <w:pPr>
        <w:ind w:left="680" w:right="100" w:hanging="334"/>
        <w:spacing w:after="0" w:line="227" w:lineRule="auto"/>
        <w:tabs>
          <w:tab w:leader="none" w:pos="6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4"/>
          <w:szCs w:val="14"/>
          <w:color w:val="auto"/>
        </w:rPr>
      </w:pPr>
    </w:p>
    <w:p>
      <w:pPr>
        <w:ind w:left="340" w:right="380" w:hanging="335"/>
        <w:spacing w:after="0" w:line="273" w:lineRule="auto"/>
        <w:tabs>
          <w:tab w:leader="none" w:pos="3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3"/>
          <w:szCs w:val="13"/>
          <w:color w:val="auto"/>
        </w:rPr>
      </w:pPr>
    </w:p>
    <w:p>
      <w:pPr>
        <w:ind w:left="680" w:right="260" w:hanging="334"/>
        <w:spacing w:after="0" w:line="238" w:lineRule="auto"/>
        <w:tabs>
          <w:tab w:leader="none" w:pos="6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4"/>
          <w:szCs w:val="14"/>
          <w:color w:val="auto"/>
        </w:rPr>
      </w:pPr>
    </w:p>
    <w:p>
      <w:pPr>
        <w:ind w:left="680" w:right="220" w:hanging="334"/>
        <w:spacing w:after="0" w:line="238" w:lineRule="auto"/>
        <w:tabs>
          <w:tab w:leader="none" w:pos="6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spacing w:after="0"/>
        <w:tabs>
          <w:tab w:leader="none" w:pos="4620" w:val="left"/>
        </w:tabs>
        <w:rPr>
          <w:sz w:val="20"/>
          <w:szCs w:val="20"/>
          <w:color w:val="auto"/>
        </w:rPr>
      </w:pPr>
      <w:r>
        <w:rPr>
          <w:rFonts w:ascii="Arial" w:cs="Arial" w:eastAsia="Arial" w:hAnsi="Arial"/>
          <w:sz w:val="14"/>
          <w:szCs w:val="14"/>
          <w:color w:val="auto"/>
        </w:rPr>
        <w:t>Date: August 7, 2018</w:t>
      </w:r>
      <w:r>
        <w:rPr>
          <w:sz w:val="20"/>
          <w:szCs w:val="20"/>
          <w:color w:val="auto"/>
        </w:rPr>
        <w:tab/>
      </w:r>
      <w:r>
        <w:rPr>
          <w:rFonts w:ascii="Arial" w:cs="Arial" w:eastAsia="Arial" w:hAnsi="Arial"/>
          <w:sz w:val="13"/>
          <w:szCs w:val="13"/>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0</wp:posOffset>
            </wp:positionV>
            <wp:extent cx="26441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jc w:val="center"/>
        <w:ind w:left="4940"/>
        <w:spacing w:after="0" w:line="207" w:lineRule="auto"/>
        <w:rPr>
          <w:sz w:val="20"/>
          <w:szCs w:val="20"/>
          <w:color w:val="auto"/>
        </w:rPr>
      </w:pPr>
      <w:r>
        <w:rPr>
          <w:rFonts w:ascii="Arial" w:cs="Arial" w:eastAsia="Arial" w:hAnsi="Arial"/>
          <w:sz w:val="14"/>
          <w:szCs w:val="14"/>
          <w:b w:val="1"/>
          <w:bCs w:val="1"/>
          <w:color w:val="auto"/>
        </w:rPr>
        <w:t>Mark Kaufmann</w:t>
      </w:r>
    </w:p>
    <w:p>
      <w:pPr>
        <w:jc w:val="center"/>
        <w:ind w:left="4940"/>
        <w:spacing w:after="0" w:line="207" w:lineRule="auto"/>
        <w:rPr>
          <w:sz w:val="20"/>
          <w:szCs w:val="20"/>
          <w:color w:val="auto"/>
        </w:rPr>
      </w:pPr>
      <w:r>
        <w:rPr>
          <w:rFonts w:ascii="Arial" w:cs="Arial" w:eastAsia="Arial" w:hAnsi="Arial"/>
          <w:sz w:val="14"/>
          <w:szCs w:val="14"/>
          <w:b w:val="1"/>
          <w:bCs w:val="1"/>
          <w:color w:val="auto"/>
        </w:rPr>
        <w:t>Chief Financial Officer</w:t>
      </w:r>
    </w:p>
    <w:p>
      <w:pPr>
        <w:jc w:val="center"/>
        <w:ind w:left="4940"/>
        <w:spacing w:after="0"/>
        <w:rPr>
          <w:sz w:val="20"/>
          <w:szCs w:val="20"/>
          <w:color w:val="auto"/>
        </w:rPr>
      </w:pPr>
      <w:r>
        <w:rPr>
          <w:rFonts w:ascii="Arial" w:cs="Arial" w:eastAsia="Arial" w:hAnsi="Arial"/>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578358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32.1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ind w:left="2760"/>
        <w:spacing w:after="0" w:line="206" w:lineRule="auto"/>
        <w:rPr>
          <w:sz w:val="20"/>
          <w:szCs w:val="20"/>
          <w:color w:val="auto"/>
        </w:rPr>
      </w:pPr>
      <w:r>
        <w:rPr>
          <w:rFonts w:ascii="Arial" w:cs="Arial" w:eastAsia="Arial" w:hAnsi="Arial"/>
          <w:sz w:val="14"/>
          <w:szCs w:val="14"/>
          <w:b w:val="1"/>
          <w:bCs w:val="1"/>
          <w:color w:val="auto"/>
        </w:rPr>
        <w:t>18 U.S.C. SECTION 1350, AS ADOPTED PURSUANT TO</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37" w:lineRule="exact"/>
        <w:rPr>
          <w:sz w:val="20"/>
          <w:szCs w:val="20"/>
          <w:color w:val="auto"/>
        </w:rPr>
      </w:pPr>
    </w:p>
    <w:p>
      <w:pPr>
        <w:ind w:right="100" w:firstLine="256"/>
        <w:spacing w:after="0" w:line="149" w:lineRule="exact"/>
        <w:rPr>
          <w:sz w:val="20"/>
          <w:szCs w:val="20"/>
          <w:color w:val="auto"/>
        </w:rPr>
      </w:pPr>
      <w:r>
        <w:rPr>
          <w:rFonts w:ascii="Arial" w:cs="Arial" w:eastAsia="Arial" w:hAnsi="Arial"/>
          <w:sz w:val="14"/>
          <w:szCs w:val="14"/>
          <w:color w:val="auto"/>
        </w:rPr>
        <w:t>In connection with the Quarterly Report of Ardelyx, Inc. (the “Company”) on Form 10</w:t>
      </w:r>
      <w:r>
        <w:rPr>
          <w:rFonts w:ascii="MS PGothic" w:cs="MS PGothic" w:eastAsia="MS PGothic" w:hAnsi="MS PGothic"/>
          <w:sz w:val="14"/>
          <w:szCs w:val="14"/>
          <w:color w:val="auto"/>
        </w:rPr>
        <w:t>‑</w:t>
      </w:r>
      <w:r>
        <w:rPr>
          <w:rFonts w:ascii="Arial" w:cs="Arial" w:eastAsia="Arial" w:hAnsi="Arial"/>
          <w:sz w:val="14"/>
          <w:szCs w:val="14"/>
          <w:color w:val="auto"/>
        </w:rPr>
        <w:t>Q for the period ending June 30, 2018,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30" w:lineRule="exact"/>
        <w:rPr>
          <w:sz w:val="20"/>
          <w:szCs w:val="20"/>
          <w:color w:val="auto"/>
        </w:rPr>
      </w:pPr>
    </w:p>
    <w:p>
      <w:pPr>
        <w:ind w:left="600" w:hanging="339"/>
        <w:spacing w:after="0"/>
        <w:tabs>
          <w:tab w:leader="none" w:pos="6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8" w:lineRule="exact"/>
        <w:rPr>
          <w:rFonts w:ascii="Arial" w:cs="Arial" w:eastAsia="Arial" w:hAnsi="Arial"/>
          <w:sz w:val="14"/>
          <w:szCs w:val="14"/>
          <w:color w:val="auto"/>
        </w:rPr>
      </w:pPr>
    </w:p>
    <w:p>
      <w:pPr>
        <w:ind w:left="600" w:hanging="339"/>
        <w:spacing w:after="0"/>
        <w:tabs>
          <w:tab w:leader="none" w:pos="6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42" w:lineRule="exact"/>
        <w:rPr>
          <w:sz w:val="20"/>
          <w:szCs w:val="20"/>
          <w:color w:val="auto"/>
        </w:rPr>
      </w:pPr>
    </w:p>
    <w:p>
      <w:pPr>
        <w:spacing w:after="0"/>
        <w:tabs>
          <w:tab w:leader="none" w:pos="4640" w:val="left"/>
          <w:tab w:leader="none" w:pos="4960" w:val="left"/>
        </w:tabs>
        <w:rPr>
          <w:sz w:val="20"/>
          <w:szCs w:val="20"/>
          <w:color w:val="auto"/>
        </w:rPr>
      </w:pPr>
      <w:r>
        <w:rPr>
          <w:rFonts w:ascii="Arial" w:cs="Arial" w:eastAsia="Arial" w:hAnsi="Arial"/>
          <w:sz w:val="14"/>
          <w:szCs w:val="14"/>
          <w:color w:val="auto"/>
        </w:rPr>
        <w:t>Date: August 7, 2018</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0</wp:posOffset>
            </wp:positionV>
            <wp:extent cx="261747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jc w:val="center"/>
        <w:ind w:left="4980"/>
        <w:spacing w:after="0" w:line="207" w:lineRule="auto"/>
        <w:rPr>
          <w:sz w:val="20"/>
          <w:szCs w:val="20"/>
          <w:color w:val="auto"/>
        </w:rPr>
      </w:pPr>
      <w:r>
        <w:rPr>
          <w:rFonts w:ascii="Arial" w:cs="Arial" w:eastAsia="Arial" w:hAnsi="Arial"/>
          <w:sz w:val="14"/>
          <w:szCs w:val="14"/>
          <w:b w:val="1"/>
          <w:bCs w:val="1"/>
          <w:color w:val="auto"/>
        </w:rPr>
        <w:t>Michael Raab</w:t>
      </w:r>
    </w:p>
    <w:p>
      <w:pPr>
        <w:jc w:val="center"/>
        <w:ind w:left="4980"/>
        <w:spacing w:after="0" w:line="207" w:lineRule="auto"/>
        <w:rPr>
          <w:sz w:val="20"/>
          <w:szCs w:val="20"/>
          <w:color w:val="auto"/>
        </w:rPr>
      </w:pPr>
      <w:r>
        <w:rPr>
          <w:rFonts w:ascii="Arial" w:cs="Arial" w:eastAsia="Arial" w:hAnsi="Arial"/>
          <w:sz w:val="14"/>
          <w:szCs w:val="14"/>
          <w:b w:val="1"/>
          <w:bCs w:val="1"/>
          <w:color w:val="auto"/>
        </w:rPr>
        <w:t>President Chief Executive Officer and Director</w:t>
      </w:r>
    </w:p>
    <w:p>
      <w:pPr>
        <w:jc w:val="center"/>
        <w:ind w:left="4980"/>
        <w:spacing w:after="0"/>
        <w:rPr>
          <w:sz w:val="20"/>
          <w:szCs w:val="20"/>
          <w:color w:val="auto"/>
        </w:rPr>
      </w:pPr>
      <w:r>
        <w:rPr>
          <w:rFonts w:ascii="Arial" w:cs="Arial" w:eastAsia="Arial" w:hAnsi="Arial"/>
          <w:sz w:val="14"/>
          <w:szCs w:val="14"/>
          <w:b w:val="1"/>
          <w:bCs w:val="1"/>
          <w:color w:val="auto"/>
        </w:rPr>
        <w:t>(Principal Executive Officer)</w:t>
      </w:r>
    </w:p>
    <w:p>
      <w:pPr>
        <w:spacing w:after="0" w:line="243" w:lineRule="exact"/>
        <w:rPr>
          <w:sz w:val="20"/>
          <w:szCs w:val="20"/>
          <w:color w:val="auto"/>
        </w:rPr>
      </w:pPr>
    </w:p>
    <w:p>
      <w:pPr>
        <w:spacing w:after="0"/>
        <w:tabs>
          <w:tab w:leader="none" w:pos="4640" w:val="left"/>
          <w:tab w:leader="none" w:pos="4960" w:val="left"/>
        </w:tabs>
        <w:rPr>
          <w:sz w:val="20"/>
          <w:szCs w:val="20"/>
          <w:color w:val="auto"/>
        </w:rPr>
      </w:pPr>
      <w:r>
        <w:rPr>
          <w:rFonts w:ascii="Arial" w:cs="Arial" w:eastAsia="Arial" w:hAnsi="Arial"/>
          <w:sz w:val="14"/>
          <w:szCs w:val="14"/>
          <w:color w:val="auto"/>
        </w:rPr>
        <w:t>Date: August 7, 2018</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0</wp:posOffset>
            </wp:positionV>
            <wp:extent cx="261747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jc w:val="center"/>
        <w:ind w:left="4980"/>
        <w:spacing w:after="0" w:line="207" w:lineRule="auto"/>
        <w:rPr>
          <w:sz w:val="20"/>
          <w:szCs w:val="20"/>
          <w:color w:val="auto"/>
        </w:rPr>
      </w:pPr>
      <w:r>
        <w:rPr>
          <w:rFonts w:ascii="Arial" w:cs="Arial" w:eastAsia="Arial" w:hAnsi="Arial"/>
          <w:sz w:val="14"/>
          <w:szCs w:val="14"/>
          <w:b w:val="1"/>
          <w:bCs w:val="1"/>
          <w:color w:val="auto"/>
        </w:rPr>
        <w:t>Mark Kaufmann</w:t>
      </w:r>
    </w:p>
    <w:p>
      <w:pPr>
        <w:jc w:val="center"/>
        <w:ind w:left="4980"/>
        <w:spacing w:after="0" w:line="207" w:lineRule="auto"/>
        <w:rPr>
          <w:sz w:val="20"/>
          <w:szCs w:val="20"/>
          <w:color w:val="auto"/>
        </w:rPr>
      </w:pPr>
      <w:r>
        <w:rPr>
          <w:rFonts w:ascii="Arial" w:cs="Arial" w:eastAsia="Arial" w:hAnsi="Arial"/>
          <w:sz w:val="14"/>
          <w:szCs w:val="14"/>
          <w:b w:val="1"/>
          <w:bCs w:val="1"/>
          <w:color w:val="auto"/>
        </w:rPr>
        <w:t>Chief Financial Officer</w:t>
      </w:r>
    </w:p>
    <w:p>
      <w:pPr>
        <w:jc w:val="center"/>
        <w:ind w:left="4980"/>
        <w:spacing w:after="0"/>
        <w:rPr>
          <w:sz w:val="20"/>
          <w:szCs w:val="20"/>
          <w:color w:val="auto"/>
        </w:rPr>
      </w:pPr>
      <w:r>
        <w:rPr>
          <w:rFonts w:ascii="Arial" w:cs="Arial" w:eastAsia="Arial" w:hAnsi="Arial"/>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578358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83580" cy="20320"/>
                    </a:xfrm>
                    <a:prstGeom prst="rect">
                      <a:avLst/>
                    </a:prstGeom>
                    <a:noFill/>
                  </pic:spPr>
                </pic:pic>
              </a:graphicData>
            </a:graphic>
          </wp:anchor>
        </w:drawing>
      </w:r>
    </w:p>
    <w:sectPr>
      <w:pgSz w:w="11900" w:h="16838" w:orient="portrait"/>
      <w:cols w:equalWidth="0" w:num="1">
        <w:col w:w="9100"/>
      </w:cols>
      <w:pgMar w:left="1400" w:top="114"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1)"/>
      <w:numFmt w:val="decimal"/>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1)"/>
      <w:numFmt w:val="lowerRoman"/>
      <w:start w:val="2"/>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lvl w:ilvl="1">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1)"/>
      <w:numFmt w:val="decimal"/>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1)"/>
      <w:numFmt w:val="decimal"/>
      <w:start w:val="2"/>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lvl w:ilvl="1">
      <w:lvlJc w:val="left"/>
      <w:lvlText w:val="%2"/>
      <w:numFmt w:val="decimal"/>
      <w:start w:val="101"/>
    </w:lvl>
    <w:lvl w:ilvl="2">
      <w:lvlJc w:val="left"/>
      <w:lvlText w:val="(%3)"/>
      <w:numFmt w:val="lowerRoman"/>
      <w:start w:val="2"/>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lowerLetter"/>
      <w:start w:val="1"/>
    </w:lvl>
  </w:abstractNum>
  <w:abstractNum w:abstractNumId="42">
    <w:nsid w:val="43F18422"/>
    <w:multiLevelType w:val="hybridMultilevel"/>
    <w:lvl w:ilvl="0">
      <w:lvlJc w:val="left"/>
      <w:lvlText w:val="(%1)"/>
      <w:numFmt w:val="lowerLetter"/>
      <w:start w:val="1"/>
    </w:lvl>
  </w:abstractNum>
  <w:abstractNum w:abstractNumId="43">
    <w:nsid w:val="60EF0119"/>
    <w:multiLevelType w:val="hybridMultilevel"/>
    <w:lvl w:ilvl="0">
      <w:lvlJc w:val="left"/>
      <w:lvlText w:val="(%1)"/>
      <w:numFmt w:val="lowerLetter"/>
      <w:start w:val="1"/>
    </w:lvl>
  </w:abstractNum>
  <w:abstractNum w:abstractNumId="44">
    <w:nsid w:val="26F324BA"/>
    <w:multiLevelType w:val="hybridMultilevel"/>
    <w:lvl w:ilvl="0">
      <w:lvlJc w:val="left"/>
      <w:lvlText w:val="(%1)"/>
      <w:numFmt w:val="lowerLetter"/>
      <w:start w:val="1"/>
    </w:lvl>
  </w:abstractNum>
  <w:abstractNum w:abstractNumId="45">
    <w:nsid w:val="7F01579B"/>
    <w:multiLevelType w:val="hybridMultilevel"/>
    <w:lvl w:ilvl="0">
      <w:lvlJc w:val="left"/>
      <w:lvlText w:val="(%1)"/>
      <w:numFmt w:val="lowerLetter"/>
      <w:start w:val="2"/>
    </w:lvl>
  </w:abstractNum>
  <w:abstractNum w:abstractNumId="46">
    <w:nsid w:val="49DA307D"/>
    <w:multiLevelType w:val="hybridMultilevel"/>
    <w:lvl w:ilvl="0">
      <w:lvlJc w:val="left"/>
      <w:lvlText w:val="(%1)"/>
      <w:numFmt w:val="lowerRoman"/>
      <w:start w:val="1"/>
    </w:lvl>
  </w:abstractNum>
  <w:abstractNum w:abstractNumId="47">
    <w:nsid w:val="7055A5F5"/>
    <w:multiLevelType w:val="hybridMultilevel"/>
    <w:lvl w:ilvl="0">
      <w:lvlJc w:val="left"/>
      <w:lvlText w:val="(%1)"/>
      <w:numFmt w:val="lowerRoman"/>
      <w:start w:val="6"/>
    </w:lvl>
  </w:abstractNum>
  <w:abstractNum w:abstractNumId="48">
    <w:nsid w:val="5FB8370B"/>
    <w:multiLevelType w:val="hybridMultilevel"/>
    <w:lvl w:ilvl="0">
      <w:lvlJc w:val="left"/>
      <w:lvlText w:val="(%1)"/>
      <w:numFmt w:val="lowerLetter"/>
      <w:start w:val="1"/>
    </w:lvl>
  </w:abstractNum>
  <w:abstractNum w:abstractNumId="49">
    <w:nsid w:val="50801EE1"/>
    <w:multiLevelType w:val="hybridMultilevel"/>
    <w:lvl w:ilvl="0">
      <w:lvlJc w:val="left"/>
      <w:lvlText w:val="(%1)"/>
      <w:numFmt w:val="lowerLetter"/>
      <w:start w:val="12"/>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lowerLetter"/>
      <w:start w:val="1"/>
    </w:lvl>
  </w:abstractNum>
  <w:abstractNum w:abstractNumId="52">
    <w:nsid w:val="6AA78F7F"/>
    <w:multiLevelType w:val="hybridMultilevel"/>
    <w:lvl w:ilvl="0">
      <w:lvlJc w:val="left"/>
      <w:lvlText w:val="(%1)"/>
      <w:numFmt w:val="lowerLetter"/>
      <w:start w:val="5"/>
    </w:lvl>
  </w:abstractNum>
  <w:abstractNum w:abstractNumId="53">
    <w:nsid w:val="7672BD23"/>
    <w:multiLevelType w:val="hybridMultilevel"/>
    <w:lvl w:ilvl="0">
      <w:lvlJc w:val="left"/>
      <w:lvlText w:val="(%1)"/>
      <w:numFmt w:val="lowerRoman"/>
      <w:start w:val="1"/>
    </w:lvl>
  </w:abstractNum>
  <w:abstractNum w:abstractNumId="54">
    <w:nsid w:val="6FC75AF8"/>
    <w:multiLevelType w:val="hybridMultilevel"/>
    <w:lvl w:ilvl="0">
      <w:lvlJc w:val="left"/>
      <w:lvlText w:val="%1."/>
      <w:numFmt w:val="decimal"/>
      <w:start w:val="2"/>
    </w:lvl>
  </w:abstractNum>
  <w:abstractNum w:abstractNumId="55">
    <w:nsid w:val="6A5F7029"/>
    <w:multiLevelType w:val="hybridMultilevel"/>
    <w:lvl w:ilvl="0">
      <w:lvlJc w:val="left"/>
      <w:lvlText w:val="(%1)"/>
      <w:numFmt w:val="lowerLetter"/>
      <w:start w:val="1"/>
    </w:lvl>
    <w:lvl w:ilvl="1">
      <w:lvlJc w:val="left"/>
      <w:lvlText w:val="(%2)"/>
      <w:numFmt w:val="lowerRoman"/>
      <w:start w:val="1"/>
    </w:lvl>
  </w:abstractNum>
  <w:abstractNum w:abstractNumId="56">
    <w:nsid w:val="7D5E18F8"/>
    <w:multiLevelType w:val="hybridMultilevel"/>
    <w:lvl w:ilvl="0">
      <w:lvlJc w:val="left"/>
      <w:lvlText w:val="%1"/>
      <w:numFmt w:val="decimal"/>
      <w:start w:val="1"/>
    </w:lvl>
    <w:lvl w:ilvl="1">
      <w:lvlJc w:val="left"/>
      <w:lvlText w:val="(%2)"/>
      <w:numFmt w:val="lowerLetter"/>
      <w:start w:val="3"/>
    </w:lvl>
  </w:abstractNum>
  <w:abstractNum w:abstractNumId="57">
    <w:nsid w:val="5F3534A4"/>
    <w:multiLevelType w:val="hybridMultilevel"/>
    <w:lvl w:ilvl="0">
      <w:lvlJc w:val="left"/>
      <w:lvlText w:val="(%1)"/>
      <w:numFmt w:val="decimal"/>
      <w:start w:val="5"/>
    </w:lvl>
    <w:lvl w:ilvl="1">
      <w:lvlJc w:val="left"/>
      <w:lvlText w:val="%2"/>
      <w:numFmt w:val="lowerLetter"/>
      <w:start w:val="1"/>
    </w:lvl>
  </w:abstractNum>
  <w:abstractNum w:abstractNumId="58">
    <w:nsid w:val="73A1821B"/>
    <w:multiLevelType w:val="hybridMultilevel"/>
    <w:lvl w:ilvl="0">
      <w:lvlJc w:val="left"/>
      <w:lvlText w:val="(%1)"/>
      <w:numFmt w:val="lowerLetter"/>
      <w:start w:val="1"/>
    </w:lvl>
  </w:abstractNum>
  <w:abstractNum w:abstractNumId="59">
    <w:nsid w:val="7DE67713"/>
    <w:multiLevelType w:val="hybridMultilevel"/>
    <w:lvl w:ilvl="0">
      <w:lvlJc w:val="left"/>
      <w:lvlText w:val="(%1)"/>
      <w:numFmt w:val="lowerLetter"/>
      <w:start w:val="5"/>
    </w:lvl>
  </w:abstractNum>
  <w:abstractNum w:abstractNumId="60">
    <w:nsid w:val="555C55B5"/>
    <w:multiLevelType w:val="hybridMultilevel"/>
    <w:lvl w:ilvl="0">
      <w:lvlJc w:val="left"/>
      <w:lvlText w:val="(%1)"/>
      <w:numFmt w:val="lowerLetter"/>
      <w:start w:val="1"/>
    </w:lvl>
  </w:abstractNum>
  <w:abstractNum w:abstractNumId="61">
    <w:nsid w:val="3FA62ACA"/>
    <w:multiLevelType w:val="hybridMultilevel"/>
    <w:lvl w:ilvl="0">
      <w:lvlJc w:val="left"/>
      <w:lvlText w:val="(%1)"/>
      <w:numFmt w:val="lowerLetter"/>
      <w:start w:val="1"/>
    </w:lvl>
  </w:abstractNum>
  <w:abstractNum w:abstractNumId="62">
    <w:nsid w:val="14FCE74E"/>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63">
    <w:nsid w:val="6A3DD3E8"/>
    <w:multiLevelType w:val="hybridMultilevel"/>
    <w:lvl w:ilvl="0">
      <w:lvlJc w:val="left"/>
      <w:lvlText w:val="(%1)"/>
      <w:numFmt w:val="decimal"/>
      <w:start w:val="3"/>
    </w:lvl>
  </w:abstractNum>
  <w:abstractNum w:abstractNumId="64">
    <w:nsid w:val="71C91298"/>
    <w:multiLevelType w:val="hybridMultilevel"/>
    <w:lvl w:ilvl="0">
      <w:lvlJc w:val="left"/>
      <w:lvlText w:val="(%1)"/>
      <w:numFmt w:val="lowerLetter"/>
      <w:start w:val="6"/>
    </w:lvl>
  </w:abstractNum>
  <w:abstractNum w:abstractNumId="65">
    <w:nsid w:val="9DAF632"/>
    <w:multiLevelType w:val="hybridMultilevel"/>
    <w:lvl w:ilvl="0">
      <w:lvlJc w:val="left"/>
      <w:lvlText w:val="(%1)"/>
      <w:numFmt w:val="lowerLetter"/>
      <w:start w:val="1"/>
    </w:lvl>
  </w:abstractNum>
  <w:abstractNum w:abstractNumId="66">
    <w:nsid w:val="53299938"/>
    <w:multiLevelType w:val="hybridMultilevel"/>
    <w:lvl w:ilvl="0">
      <w:lvlJc w:val="left"/>
      <w:lvlText w:val="(%1)"/>
      <w:numFmt w:val="lowerLetter"/>
      <w:start w:val="3"/>
    </w:lvl>
    <w:lvl w:ilvl="1">
      <w:lvlJc w:val="left"/>
      <w:lvlText w:val="(%2)"/>
      <w:numFmt w:val="lowerRoman"/>
      <w:start w:val="1"/>
    </w:lvl>
  </w:abstractNum>
  <w:abstractNum w:abstractNumId="67">
    <w:nsid w:val="1FBFE8E0"/>
    <w:multiLevelType w:val="hybridMultilevel"/>
    <w:lvl w:ilvl="0">
      <w:lvlJc w:val="left"/>
      <w:lvlText w:val="(%1)"/>
      <w:numFmt w:val="lowerLetter"/>
      <w:start w:val="1"/>
    </w:lvl>
  </w:abstractNum>
  <w:abstractNum w:abstractNumId="68">
    <w:nsid w:val="5092CA79"/>
    <w:multiLevelType w:val="hybridMultilevel"/>
    <w:lvl w:ilvl="0">
      <w:lvlJc w:val="left"/>
      <w:lvlText w:val="(%1)"/>
      <w:numFmt w:val="lowerLetter"/>
      <w:start w:val="3"/>
    </w:lvl>
  </w:abstractNum>
  <w:abstractNum w:abstractNumId="69">
    <w:nsid w:val="1D545C4D"/>
    <w:multiLevelType w:val="hybridMultilevel"/>
    <w:lvl w:ilvl="0">
      <w:lvlJc w:val="left"/>
      <w:lvlText w:val="%1."/>
      <w:numFmt w:val="decimal"/>
      <w:start w:val="4"/>
    </w:lvl>
  </w:abstractNum>
  <w:abstractNum w:abstractNumId="70">
    <w:nsid w:val="59ADEA3D"/>
    <w:multiLevelType w:val="hybridMultilevel"/>
    <w:lvl w:ilvl="0">
      <w:lvlJc w:val="left"/>
      <w:lvlText w:val="%1."/>
      <w:numFmt w:val="decimal"/>
      <w:start w:val="5"/>
    </w:lvl>
  </w:abstractNum>
  <w:abstractNum w:abstractNumId="71">
    <w:nsid w:val="288F1A34"/>
    <w:multiLevelType w:val="hybridMultilevel"/>
    <w:lvl w:ilvl="0">
      <w:lvlJc w:val="left"/>
      <w:lvlText w:val="(%1)"/>
      <w:numFmt w:val="lowerLetter"/>
      <w:start w:val="1"/>
    </w:lvl>
  </w:abstractNum>
  <w:abstractNum w:abstractNumId="72">
    <w:nsid w:val="2A155DBC"/>
    <w:multiLevelType w:val="hybridMultilevel"/>
    <w:lvl w:ilvl="0">
      <w:lvlJc w:val="left"/>
      <w:lvlText w:val="(%1)"/>
      <w:numFmt w:val="lowerLetter"/>
      <w:start w:val="5"/>
    </w:lvl>
  </w:abstractNum>
  <w:abstractNum w:abstractNumId="73">
    <w:nsid w:val="1D9F6E5F"/>
    <w:multiLevelType w:val="hybridMultilevel"/>
    <w:lvl w:ilvl="0">
      <w:lvlJc w:val="left"/>
      <w:lvlText w:val="%1."/>
      <w:numFmt w:val="decimal"/>
      <w:start w:val="6"/>
    </w:lvl>
  </w:abstractNum>
  <w:abstractNum w:abstractNumId="74">
    <w:nsid w:val="97E1B4E"/>
    <w:multiLevelType w:val="hybridMultilevel"/>
    <w:lvl w:ilvl="0">
      <w:lvlJc w:val="left"/>
      <w:lvlText w:val="(%1)"/>
      <w:numFmt w:val="lowerLetter"/>
      <w:start w:val="1"/>
    </w:lvl>
  </w:abstractNum>
  <w:abstractNum w:abstractNumId="75">
    <w:nsid w:val="51088277"/>
    <w:multiLevelType w:val="hybridMultilevel"/>
    <w:lvl w:ilvl="0">
      <w:lvlJc w:val="left"/>
      <w:lvlText w:val="(%1)"/>
      <w:numFmt w:val="lowerLetter"/>
      <w:start w:val="1"/>
    </w:lvl>
    <w:lvl w:ilvl="1">
      <w:lvlJc w:val="left"/>
      <w:lvlText w:val="(%2)"/>
      <w:numFmt w:val="lowerLetter"/>
      <w:start w:val="9"/>
    </w:lvl>
  </w:abstractNum>
  <w:abstractNum w:abstractNumId="76">
    <w:nsid w:val="1CA0C5FA"/>
    <w:multiLevelType w:val="hybridMultilevel"/>
    <w:lvl w:ilvl="0">
      <w:lvlJc w:val="left"/>
      <w:lvlText w:val="%1"/>
      <w:numFmt w:val="upperLetter"/>
      <w:start w:val="1"/>
    </w:lvl>
    <w:lvl w:ilvl="1">
      <w:lvlJc w:val="left"/>
      <w:lvlText w:val="(%2)"/>
      <w:numFmt w:val="lowerRoman"/>
      <w:start w:val="2"/>
    </w:lvl>
  </w:abstractNum>
  <w:abstractNum w:abstractNumId="77">
    <w:nsid w:val="53584BCB"/>
    <w:multiLevelType w:val="hybridMultilevel"/>
    <w:lvl w:ilvl="0">
      <w:lvlJc w:val="left"/>
      <w:lvlText w:val="(%1)"/>
      <w:numFmt w:val="upperLetter"/>
      <w:start w:val="2"/>
    </w:lvl>
    <w:lvl w:ilvl="1">
      <w:lvlJc w:val="left"/>
      <w:lvlText w:val="(%2)"/>
      <w:numFmt w:val="lowerRoman"/>
      <w:start w:val="8"/>
    </w:lvl>
  </w:abstractNum>
  <w:abstractNum w:abstractNumId="78">
    <w:nsid w:val="415E286C"/>
    <w:multiLevelType w:val="hybridMultilevel"/>
    <w:lvl w:ilvl="0">
      <w:lvlJc w:val="left"/>
      <w:lvlText w:val="(%1)"/>
      <w:numFmt w:val="lowerRoman"/>
      <w:start w:val="12"/>
    </w:lvl>
  </w:abstractNum>
  <w:abstractNum w:abstractNumId="79">
    <w:nsid w:val="7C58FD05"/>
    <w:multiLevelType w:val="hybridMultilevel"/>
    <w:lvl w:ilvl="0">
      <w:lvlJc w:val="left"/>
      <w:lvlText w:val="(%1)"/>
      <w:numFmt w:val="lowerLetter"/>
      <w:start w:val="2"/>
    </w:lvl>
    <w:lvl w:ilvl="1">
      <w:lvlJc w:val="left"/>
      <w:lvlText w:val="(%2)"/>
      <w:numFmt w:val="lowerRoman"/>
      <w:start w:val="1"/>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lowerLetter"/>
      <w:start w:val="4"/>
    </w:lvl>
  </w:abstractNum>
  <w:abstractNum w:abstractNumId="82">
    <w:nsid w:val="5C10FE21"/>
    <w:multiLevelType w:val="hybridMultilevel"/>
    <w:lvl w:ilvl="0">
      <w:lvlJc w:val="left"/>
      <w:lvlText w:val="%1."/>
      <w:numFmt w:val="decimal"/>
      <w:start w:val="7"/>
    </w:lvl>
  </w:abstractNum>
  <w:abstractNum w:abstractNumId="83">
    <w:nsid w:val="E7FFA2B"/>
    <w:multiLevelType w:val="hybridMultilevel"/>
    <w:lvl w:ilvl="0">
      <w:lvlJc w:val="left"/>
      <w:lvlText w:val="(%1)"/>
      <w:numFmt w:val="lowerLetter"/>
      <w:start w:val="2"/>
    </w:lvl>
  </w:abstractNum>
  <w:abstractNum w:abstractNumId="84">
    <w:nsid w:val="3C5991AA"/>
    <w:multiLevelType w:val="hybridMultilevel"/>
    <w:lvl w:ilvl="0">
      <w:lvlJc w:val="left"/>
      <w:lvlText w:val="(%1)"/>
      <w:numFmt w:val="lowerLetter"/>
      <w:start w:val="1"/>
    </w:lvl>
  </w:abstractNum>
  <w:abstractNum w:abstractNumId="85">
    <w:nsid w:val="4BD8591A"/>
    <w:multiLevelType w:val="hybridMultilevel"/>
    <w:lvl w:ilvl="0">
      <w:lvlJc w:val="left"/>
      <w:lvlText w:val="%1"/>
      <w:numFmt w:val="decimal"/>
      <w:start w:val="1"/>
    </w:lvl>
    <w:lvl w:ilvl="1">
      <w:lvlJc w:val="left"/>
      <w:lvlText w:val="(%2)"/>
      <w:numFmt w:val="lowerLetter"/>
      <w:start w:val="2"/>
    </w:lvl>
  </w:abstractNum>
  <w:abstractNum w:abstractNumId="86">
    <w:nsid w:val="78DF6A55"/>
    <w:multiLevelType w:val="hybridMultilevel"/>
    <w:lvl w:ilvl="0">
      <w:lvlJc w:val="left"/>
      <w:lvlText w:val="%1."/>
      <w:numFmt w:val="decimal"/>
      <w:start w:val="8"/>
    </w:lvl>
    <w:lvl w:ilvl="1">
      <w:lvlJc w:val="left"/>
      <w:lvlText w:val="%2"/>
      <w:numFmt w:val="lowerLetter"/>
      <w:start w:val="1"/>
    </w:lvl>
  </w:abstractNum>
  <w:abstractNum w:abstractNumId="87">
    <w:nsid w:val="39B7AAA2"/>
    <w:multiLevelType w:val="hybridMultilevel"/>
    <w:lvl w:ilvl="0">
      <w:lvlJc w:val="left"/>
      <w:lvlText w:val="%1"/>
      <w:numFmt w:val="decimal"/>
      <w:start w:val="1"/>
    </w:lvl>
    <w:lvl w:ilvl="1">
      <w:lvlJc w:val="left"/>
      <w:lvlText w:val="(%2)"/>
      <w:numFmt w:val="lowerLetter"/>
      <w:start w:val="1"/>
    </w:lvl>
  </w:abstractNum>
  <w:abstractNum w:abstractNumId="88">
    <w:nsid w:val="2B0D8DBE"/>
    <w:multiLevelType w:val="hybridMultilevel"/>
    <w:lvl w:ilvl="0">
      <w:lvlJc w:val="left"/>
      <w:lvlText w:val="(%1)"/>
      <w:numFmt w:val="decimal"/>
      <w:start w:val="30"/>
    </w:lvl>
    <w:lvl w:ilvl="1">
      <w:lvlJc w:val="left"/>
      <w:lvlText w:val="%2"/>
      <w:numFmt w:val="lowerLetter"/>
      <w:start w:val="1"/>
    </w:lvl>
  </w:abstractNum>
  <w:abstractNum w:abstractNumId="89">
    <w:nsid w:val="6C80EC70"/>
    <w:multiLevelType w:val="hybridMultilevel"/>
    <w:lvl w:ilvl="0">
      <w:lvlJc w:val="left"/>
      <w:lvlText w:val="(%1)"/>
      <w:numFmt w:val="lowerLetter"/>
      <w:start w:val="1"/>
    </w:lvl>
  </w:abstractNum>
  <w:abstractNum w:abstractNumId="90">
    <w:nsid w:val="379E21B5"/>
    <w:multiLevelType w:val="hybridMultilevel"/>
    <w:lvl w:ilvl="0">
      <w:lvlJc w:val="left"/>
      <w:lvlText w:val="(%1)"/>
      <w:numFmt w:val="lowerLetter"/>
      <w:start w:val="2"/>
    </w:lvl>
  </w:abstractNum>
  <w:abstractNum w:abstractNumId="91">
    <w:nsid w:val="69E373"/>
    <w:multiLevelType w:val="hybridMultilevel"/>
    <w:lvl w:ilvl="0">
      <w:lvlJc w:val="left"/>
      <w:lvlText w:val="%1."/>
      <w:numFmt w:val="decimal"/>
      <w:start w:val="9"/>
    </w:lvl>
    <w:lvl w:ilvl="1">
      <w:lvlJc w:val="left"/>
      <w:lvlText w:val="(%2)"/>
      <w:numFmt w:val="lowerLetter"/>
      <w:start w:val="1"/>
    </w:lvl>
  </w:abstractNum>
  <w:abstractNum w:abstractNumId="92">
    <w:nsid w:val="2C27173B"/>
    <w:multiLevelType w:val="hybridMultilevel"/>
    <w:lvl w:ilvl="0">
      <w:lvlJc w:val="left"/>
      <w:lvlText w:val="(%1)"/>
      <w:numFmt w:val="lowerLetter"/>
      <w:start w:val="2"/>
    </w:lvl>
    <w:lvl w:ilvl="1">
      <w:lvlJc w:val="left"/>
      <w:lvlText w:val="(%2)"/>
      <w:numFmt w:val="lowerRoman"/>
      <w:start w:val="1"/>
    </w:lvl>
  </w:abstractNum>
  <w:abstractNum w:abstractNumId="93">
    <w:nsid w:val="4C9B0904"/>
    <w:multiLevelType w:val="hybridMultilevel"/>
    <w:lvl w:ilvl="0">
      <w:lvlJc w:val="left"/>
      <w:lvlText w:val="(%1)"/>
      <w:numFmt w:val="lowerRoman"/>
      <w:start w:val="6"/>
    </w:lvl>
  </w:abstractNum>
  <w:abstractNum w:abstractNumId="94">
    <w:nsid w:val="6AA7B75C"/>
    <w:multiLevelType w:val="hybridMultilevel"/>
    <w:lvl w:ilvl="0">
      <w:lvlJc w:val="left"/>
      <w:lvlText w:val="%1."/>
      <w:numFmt w:val="decimal"/>
      <w:start w:val="10"/>
    </w:lvl>
  </w:abstractNum>
  <w:abstractNum w:abstractNumId="95">
    <w:nsid w:val="1DF029D3"/>
    <w:multiLevelType w:val="hybridMultilevel"/>
    <w:lvl w:ilvl="0">
      <w:lvlJc w:val="left"/>
      <w:lvlText w:val="%1."/>
      <w:numFmt w:val="decimal"/>
      <w:start w:val="11"/>
    </w:lvl>
  </w:abstractNum>
  <w:abstractNum w:abstractNumId="96">
    <w:nsid w:val="5675FF36"/>
    <w:multiLevelType w:val="hybridMultilevel"/>
    <w:lvl w:ilvl="0">
      <w:lvlJc w:val="left"/>
      <w:lvlText w:val="%1."/>
      <w:numFmt w:val="decimal"/>
      <w:start w:val="12"/>
    </w:lvl>
  </w:abstractNum>
  <w:abstractNum w:abstractNumId="97">
    <w:nsid w:val="3DD15094"/>
    <w:multiLevelType w:val="hybridMultilevel"/>
    <w:lvl w:ilvl="0">
      <w:lvlJc w:val="left"/>
      <w:lvlText w:val="(%1)"/>
      <w:numFmt w:val="lowerRoman"/>
      <w:start w:val="1"/>
    </w:lvl>
  </w:abstractNum>
  <w:abstractNum w:abstractNumId="98">
    <w:nsid w:val="3DB012B3"/>
    <w:multiLevelType w:val="hybridMultilevel"/>
    <w:lvl w:ilvl="0">
      <w:lvlJc w:val="left"/>
      <w:lvlText w:val="(%1)"/>
      <w:numFmt w:val="lowerLetter"/>
      <w:start w:val="2"/>
    </w:lvl>
  </w:abstractNum>
  <w:abstractNum w:abstractNumId="99">
    <w:nsid w:val="2708C9AF"/>
    <w:multiLevelType w:val="hybridMultilevel"/>
    <w:lvl w:ilvl="0">
      <w:lvlJc w:val="left"/>
      <w:lvlText w:val="%1."/>
      <w:numFmt w:val="decimal"/>
      <w:start w:val="1"/>
    </w:lvl>
    <w:lvl w:ilvl="1">
      <w:lvlJc w:val="left"/>
      <w:lvlText w:val="(%2)"/>
      <w:numFmt w:val="lowerLetter"/>
      <w:start w:val="1"/>
    </w:lvl>
  </w:abstractNum>
  <w:abstractNum w:abstractNumId="100">
    <w:nsid w:val="5B25ACE2"/>
    <w:multiLevelType w:val="hybridMultilevel"/>
    <w:lvl w:ilvl="0">
      <w:lvlJc w:val="left"/>
      <w:lvlText w:val="%1."/>
      <w:numFmt w:val="decimal"/>
      <w:start w:val="2"/>
    </w:lvl>
    <w:lvl w:ilvl="1">
      <w:lvlJc w:val="left"/>
      <w:lvlText w:val="(%2)"/>
      <w:numFmt w:val="lowerLetter"/>
      <w:start w:val="1"/>
    </w:lvl>
  </w:abstractNum>
  <w:abstractNum w:abstractNumId="101">
    <w:nsid w:val="175DFCF0"/>
    <w:multiLevelType w:val="hybridMultilevel"/>
    <w:lvl w:ilvl="0">
      <w:lvlJc w:val="left"/>
      <w:lvlText w:val="%1."/>
      <w:numFmt w:val="decimal"/>
      <w:start w:val="4"/>
    </w:lvl>
  </w:abstractNum>
  <w:abstractNum w:abstractNumId="102">
    <w:nsid w:val="4F97E3E4"/>
    <w:multiLevelType w:val="hybridMultilevel"/>
    <w:lvl w:ilvl="0">
      <w:lvlJc w:val="left"/>
      <w:lvlText w:val="%1."/>
      <w:numFmt w:val="decimal"/>
      <w:start w:val="6"/>
    </w:lvl>
  </w:abstractNum>
  <w:abstractNum w:abstractNumId="103">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4">
    <w:nsid w:val="34FD6B4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05">
    <w:nsid w:val="5915FF32"/>
    <w:multiLevelType w:val="hybridMultilevel"/>
    <w:lvl w:ilvl="0">
      <w:lvlJc w:val="left"/>
      <w:lvlText w:val="%1"/>
      <w:numFmt w:val="lowerLetter"/>
      <w:start w:val="1"/>
    </w:lvl>
    <w:lvl w:ilvl="1">
      <w:lvlJc w:val="left"/>
      <w:lvlText w:val="(%2)"/>
      <w:numFmt w:val="lowerLetter"/>
      <w:start w:val="35"/>
    </w:lvl>
  </w:abstractNum>
  <w:abstractNum w:abstractNumId="106">
    <w:nsid w:val="56438D15"/>
    <w:multiLevelType w:val="hybridMultilevel"/>
    <w:lvl w:ilvl="0">
      <w:lvlJc w:val="left"/>
      <w:lvlText w:val="(%1)"/>
      <w:numFmt w:val="lowerLetter"/>
      <w:start w:val="3"/>
    </w:lvl>
    <w:lvl w:ilvl="1">
      <w:lvlJc w:val="left"/>
      <w:lvlText w:val="(%2)"/>
      <w:numFmt w:val="lowerLetter"/>
      <w:start w:val="9"/>
    </w:lvl>
  </w:abstractNum>
  <w:abstractNum w:abstractNumId="107">
    <w:nsid w:val="519E3149"/>
    <w:multiLevelType w:val="hybridMultilevel"/>
    <w:lvl w:ilvl="0">
      <w:lvlJc w:val="left"/>
      <w:lvlText w:val="%1."/>
      <w:numFmt w:val="decimal"/>
      <w:start w:val="11"/>
    </w:lvl>
  </w:abstractNum>
  <w:abstractNum w:abstractNumId="108">
    <w:nsid w:val="2C6E4AFD"/>
    <w:multiLevelType w:val="hybridMultilevel"/>
    <w:lvl w:ilvl="0">
      <w:lvlJc w:val="left"/>
      <w:lvlText w:val="(%1)"/>
      <w:numFmt w:val="lowerLetter"/>
      <w:start w:val="2"/>
    </w:lvl>
  </w:abstractNum>
  <w:abstractNum w:abstractNumId="109">
    <w:nsid w:val="17A1B582"/>
    <w:multiLevelType w:val="hybridMultilevel"/>
    <w:lvl w:ilvl="0">
      <w:lvlJc w:val="left"/>
      <w:lvlText w:val="%1."/>
      <w:numFmt w:val="decimal"/>
      <w:start w:val="1"/>
    </w:lvl>
  </w:abstractNum>
  <w:abstractNum w:abstractNumId="110">
    <w:nsid w:val="4DF72E4E"/>
    <w:multiLevelType w:val="hybridMultilevel"/>
    <w:lvl w:ilvl="0">
      <w:lvlJc w:val="left"/>
      <w:lvlText w:val="%1)"/>
      <w:numFmt w:val="decimal"/>
      <w:start w:val="2"/>
    </w:lvl>
  </w:abstractNum>
  <w:abstractNum w:abstractNumId="111">
    <w:nsid w:val="5046B5A9"/>
    <w:multiLevelType w:val="hybridMultilevel"/>
    <w:lvl w:ilvl="0">
      <w:lvlJc w:val="left"/>
      <w:lvlText w:val="%1."/>
      <w:numFmt w:val="decimal"/>
      <w:start w:val="1"/>
    </w:lvl>
  </w:abstractNum>
  <w:abstractNum w:abstractNumId="112">
    <w:nsid w:val="5D888A08"/>
    <w:multiLevelType w:val="hybridMultilevel"/>
    <w:lvl w:ilvl="0">
      <w:lvlJc w:val="left"/>
      <w:lvlText w:val="%1."/>
      <w:numFmt w:val="decimal"/>
      <w:start w:val="5"/>
    </w:lvl>
  </w:abstractNum>
  <w:abstractNum w:abstractNumId="113">
    <w:nsid w:val="2A082C70"/>
    <w:multiLevelType w:val="hybridMultilevel"/>
    <w:lvl w:ilvl="0">
      <w:lvlJc w:val="left"/>
      <w:lvlText w:val="***"/>
      <w:numFmt w:val="bullet"/>
      <w:start w:val="1"/>
    </w:lvl>
  </w:abstractNum>
  <w:abstractNum w:abstractNumId="114">
    <w:nsid w:val="5EC6AFD4"/>
    <w:multiLevelType w:val="hybridMultilevel"/>
    <w:lvl w:ilvl="0">
      <w:lvlJc w:val="left"/>
      <w:lvlText w:val="(%1)"/>
      <w:numFmt w:val="decimal"/>
      <w:start w:val="1"/>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1."/>
      <w:numFmt w:val="decimal"/>
      <w:start w:val="3"/>
    </w:lvl>
  </w:abstractNum>
  <w:abstractNum w:abstractNumId="117">
    <w:nsid w:val="57A61A29"/>
    <w:multiLevelType w:val="hybridMultilevel"/>
    <w:lvl w:ilvl="0">
      <w:lvlJc w:val="left"/>
      <w:lvlText w:val="%1."/>
      <w:numFmt w:val="decimal"/>
      <w:start w:val="8"/>
    </w:lvl>
  </w:abstractNum>
  <w:abstractNum w:abstractNumId="118">
    <w:nsid w:val="5399C654"/>
    <w:multiLevelType w:val="hybridMultilevel"/>
    <w:lvl w:ilvl="0">
      <w:lvlJc w:val="left"/>
      <w:lvlText w:val="%1."/>
      <w:numFmt w:val="decimal"/>
      <w:start w:val="1"/>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decimal"/>
      <w:start w:val="3"/>
    </w:lvl>
  </w:abstractNum>
  <w:abstractNum w:abstractNumId="121">
    <w:nsid w:val="B37E80A"/>
    <w:multiLevelType w:val="hybridMultilevel"/>
    <w:lvl w:ilvl="0">
      <w:lvlJc w:val="left"/>
      <w:lvlText w:val="(%1)"/>
      <w:numFmt w:val="lowerLetter"/>
      <w:start w:val="1"/>
    </w:lvl>
  </w:abstractNum>
  <w:abstractNum w:abstractNumId="122">
    <w:nsid w:val="2157F6BC"/>
    <w:multiLevelType w:val="hybridMultilevel"/>
    <w:lvl w:ilvl="0">
      <w:lvlJc w:val="left"/>
      <w:lvlText w:val="%1."/>
      <w:numFmt w:val="decimal"/>
      <w:start w:val="4"/>
    </w:lvl>
  </w:abstractNum>
  <w:abstractNum w:abstractNumId="123">
    <w:nsid w:val="704E1DD5"/>
    <w:multiLevelType w:val="hybridMultilevel"/>
    <w:lvl w:ilvl="0">
      <w:lvlJc w:val="left"/>
      <w:lvlText w:val="(%1)"/>
      <w:numFmt w:val="lowerLetter"/>
      <w:start w:val="1"/>
    </w:lvl>
  </w:abstractNum>
  <w:abstractNum w:abstractNumId="124">
    <w:nsid w:val="57D2F10E"/>
    <w:multiLevelType w:val="hybridMultilevel"/>
    <w:lvl w:ilvl="0">
      <w:lvlJc w:val="left"/>
      <w:lvlText w:val="(%1)"/>
      <w:numFmt w:val="lowerLetter"/>
      <w:start w:val="4"/>
    </w:lvl>
  </w:abstractNum>
  <w:abstractNum w:abstractNumId="125">
    <w:nsid w:val="BFFAE18"/>
    <w:multiLevelType w:val="hybridMultilevel"/>
    <w:lvl w:ilvl="0">
      <w:lvlJc w:val="left"/>
      <w:lvlText w:val="%1."/>
      <w:numFmt w:val="decimal"/>
      <w:start w:val="5"/>
    </w:lvl>
  </w:abstractNum>
  <w:abstractNum w:abstractNumId="126">
    <w:nsid w:val="E3E47A8"/>
    <w:multiLevelType w:val="hybridMultilevel"/>
    <w:lvl w:ilvl="0">
      <w:lvlJc w:val="left"/>
      <w:lvlText w:val="(%1)"/>
      <w:numFmt w:val="lowerLetter"/>
      <w:start w:val="1"/>
    </w:lvl>
    <w:lvl w:ilvl="1">
      <w:lvlJc w:val="left"/>
      <w:lvlText w:val="(%2)"/>
      <w:numFmt w:val="lowerRoman"/>
      <w:start w:val="1"/>
    </w:lvl>
  </w:abstractNum>
  <w:abstractNum w:abstractNumId="127">
    <w:nsid w:val="2E48F044"/>
    <w:multiLevelType w:val="hybridMultilevel"/>
    <w:lvl w:ilvl="0">
      <w:lvlJc w:val="left"/>
      <w:lvlText w:val="(%1)"/>
      <w:numFmt w:val="lowerLetter"/>
      <w:start w:val="3"/>
    </w:lvl>
  </w:abstractNum>
  <w:abstractNum w:abstractNumId="128">
    <w:nsid w:val="49D0FEAC"/>
    <w:multiLevelType w:val="hybridMultilevel"/>
    <w:lvl w:ilvl="0">
      <w:lvlJc w:val="left"/>
      <w:lvlText w:val="%1."/>
      <w:numFmt w:val="decimal"/>
      <w:start w:val="7"/>
    </w:lvl>
  </w:abstractNum>
  <w:abstractNum w:abstractNumId="129">
    <w:nsid w:val="4BEE5A5B"/>
    <w:multiLevelType w:val="hybridMultilevel"/>
    <w:lvl w:ilvl="0">
      <w:lvlJc w:val="left"/>
      <w:lvlText w:val="(%1)"/>
      <w:numFmt w:val="lowerLetter"/>
      <w:start w:val="1"/>
    </w:lvl>
  </w:abstractNum>
  <w:abstractNum w:abstractNumId="130">
    <w:nsid w:val="5551B9F3"/>
    <w:multiLevelType w:val="hybridMultilevel"/>
    <w:lvl w:ilvl="0">
      <w:lvlJc w:val="left"/>
      <w:lvlText w:val="%1."/>
      <w:numFmt w:val="decimal"/>
      <w:start w:val="8"/>
    </w:lvl>
    <w:lvl w:ilvl="1">
      <w:lvlJc w:val="left"/>
      <w:lvlText w:val="(%2)"/>
      <w:numFmt w:val="lowerRoman"/>
      <w:start w:val="1"/>
    </w:lvl>
  </w:abstractNum>
  <w:abstractNum w:abstractNumId="131">
    <w:nsid w:val="24F6AB8E"/>
    <w:multiLevelType w:val="hybridMultilevel"/>
    <w:lvl w:ilvl="0">
      <w:lvlJc w:val="left"/>
      <w:lvlText w:val="(%1)"/>
      <w:numFmt w:val="lowerLetter"/>
      <w:start w:val="2"/>
    </w:lvl>
  </w:abstractNum>
  <w:abstractNum w:abstractNumId="132">
    <w:nsid w:val="634C574C"/>
    <w:multiLevelType w:val="hybridMultilevel"/>
    <w:lvl w:ilvl="0">
      <w:lvlJc w:val="left"/>
      <w:lvlText w:val="%1."/>
      <w:numFmt w:val="decimal"/>
      <w:start w:val="9"/>
    </w:lvl>
  </w:abstractNum>
  <w:abstractNum w:abstractNumId="133">
    <w:nsid w:val="24E99DD7"/>
    <w:multiLevelType w:val="hybridMultilevel"/>
    <w:lvl w:ilvl="0">
      <w:lvlJc w:val="left"/>
      <w:lvlText w:val="%1."/>
      <w:numFmt w:val="decimal"/>
      <w:start w:val="12"/>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lowerLetter"/>
      <w:start w:val="1"/>
    </w:lvl>
    <w:lvl w:ilvl="1">
      <w:lvlJc w:val="left"/>
      <w:lvlText w:val="(%2)"/>
      <w:numFmt w:val="lowerRoman"/>
      <w:start w:val="1"/>
    </w:lvl>
  </w:abstractNum>
  <w:abstractNum w:abstractNumId="137">
    <w:nsid w:val="754342"/>
    <w:multiLevelType w:val="hybridMultilevel"/>
    <w:lvl w:ilvl="0">
      <w:lvlJc w:val="left"/>
      <w:lvlText w:val="(%1)"/>
      <w:numFmt w:val="lowerLetter"/>
      <w:start w:val="2"/>
    </w:lvl>
  </w:abstractNum>
  <w:abstractNum w:abstractNumId="138">
    <w:nsid w:val="69E7F3E5"/>
    <w:multiLevelType w:val="hybridMultilevel"/>
    <w:lvl w:ilvl="0">
      <w:lvlJc w:val="left"/>
      <w:lvlText w:val="(%1)"/>
      <w:numFmt w:val="lowerLetter"/>
      <w:start w:val="3"/>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decimal"/>
      <w:start w:val="3"/>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lvl w:ilvl="1">
      <w:lvlJc w:val="left"/>
      <w:lvlText w:val="(%2)"/>
      <w:numFmt w:val="lowerLetter"/>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2019-12-28T20:08:08Z</dcterms:created>
  <dcterms:modified xsi:type="dcterms:W3CDTF">2019-12-28T20:08:08Z</dcterms:modified>
</cp:coreProperties>
</file>