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488950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445770</wp:posOffset>
            </wp:positionV>
            <wp:extent cx="711517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31F20"/>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WASHINGTON, D.C. 20549</w:t>
      </w:r>
    </w:p>
    <w:p>
      <w:pPr>
        <w:spacing w:after="0" w:line="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FORM 10-K</w:t>
      </w:r>
    </w:p>
    <w:p>
      <w:pPr>
        <w:spacing w:after="0" w:line="2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1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231F20"/>
        </w:rPr>
        <w:t>(Mark One)</w:t>
      </w:r>
    </w:p>
    <w:p>
      <w:pPr>
        <w:ind w:left="440" w:hanging="414"/>
        <w:spacing w:after="0" w:line="211" w:lineRule="auto"/>
        <w:tabs>
          <w:tab w:leader="none" w:pos="440" w:val="left"/>
        </w:tabs>
        <w:numPr>
          <w:ilvl w:val="0"/>
          <w:numId w:val="1"/>
        </w:numPr>
        <w:rPr>
          <w:rFonts w:ascii="Wingdings" w:cs="Wingdings" w:eastAsia="Wingdings" w:hAnsi="Wingdings"/>
          <w:sz w:val="29"/>
          <w:szCs w:val="29"/>
          <w:b w:val="1"/>
          <w:bCs w:val="1"/>
          <w:color w:val="auto"/>
          <w:vertAlign w:val="superscript"/>
        </w:rPr>
      </w:pPr>
      <w:r>
        <w:rPr>
          <w:rFonts w:ascii="Times New Roman" w:cs="Times New Roman" w:eastAsia="Times New Roman" w:hAnsi="Times New Roman"/>
          <w:sz w:val="14"/>
          <w:szCs w:val="14"/>
          <w:b w:val="1"/>
          <w:bCs w:val="1"/>
          <w:color w:val="231F20"/>
        </w:rPr>
        <w:t>ANNUAL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 xml:space="preserve">FOR THE FISCAL YEAR ENDED </w:t>
      </w:r>
      <w:r>
        <w:rPr>
          <w:rFonts w:ascii="Times New Roman" w:cs="Times New Roman" w:eastAsia="Times New Roman" w:hAnsi="Times New Roman"/>
          <w:sz w:val="14"/>
          <w:szCs w:val="14"/>
          <w:b w:val="1"/>
          <w:bCs w:val="1"/>
          <w:color w:val="000000"/>
        </w:rPr>
        <w:t>DECEMBER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0"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231F20"/>
        </w:rPr>
        <w:t>TRANSITION REPORT PURSUANT TO SECTION 13 OR 15(D) OF THE SECURITIES EXCHANGE ACT OF 1934</w:t>
      </w:r>
    </w:p>
    <w:p>
      <w:pPr>
        <w:spacing w:after="0" w:line="199" w:lineRule="exact"/>
        <w:rPr>
          <w:sz w:val="24"/>
          <w:szCs w:val="24"/>
          <w:color w:val="auto"/>
        </w:rPr>
      </w:pPr>
    </w:p>
    <w:p>
      <w:pPr>
        <w:ind w:left="3980"/>
        <w:spacing w:after="0"/>
        <w:tabs>
          <w:tab w:leader="none" w:pos="6520" w:val="left"/>
        </w:tabs>
        <w:rPr>
          <w:sz w:val="20"/>
          <w:szCs w:val="20"/>
          <w:color w:val="auto"/>
        </w:rPr>
      </w:pPr>
      <w:r>
        <w:rPr>
          <w:rFonts w:ascii="Times New Roman" w:cs="Times New Roman" w:eastAsia="Times New Roman" w:hAnsi="Times New Roman"/>
          <w:sz w:val="11"/>
          <w:szCs w:val="11"/>
          <w:b w:val="1"/>
          <w:bCs w:val="1"/>
          <w:color w:val="231F20"/>
        </w:rPr>
        <w:t>FOR THE TRANSITION PERIOD FROM</w:t>
      </w:r>
      <w:r>
        <w:rPr>
          <w:sz w:val="20"/>
          <w:szCs w:val="20"/>
          <w:color w:val="auto"/>
        </w:rPr>
        <w:tab/>
      </w:r>
      <w:r>
        <w:rPr>
          <w:rFonts w:ascii="Times New Roman" w:cs="Times New Roman" w:eastAsia="Times New Roman" w:hAnsi="Times New Roman"/>
          <w:sz w:val="11"/>
          <w:szCs w:val="11"/>
          <w:b w:val="1"/>
          <w:bCs w:val="1"/>
          <w:color w:val="231F20"/>
        </w:rPr>
        <w:t>TO</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COMMISSION FILE NUMBER 001-36485</w:t>
      </w:r>
    </w:p>
    <w:p>
      <w:pPr>
        <w:spacing w:after="0" w:line="2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12065</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ARDELYX,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(EXACT NAME OF REGISTRANT AS SPECIFIED IN ITS CHARTER)</w:t>
      </w:r>
    </w:p>
    <w:p>
      <w:pPr>
        <w:spacing w:after="0" w:line="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ectPr>
          <w:pgSz w:w="11900" w:h="16838" w:orient="portrait"/>
          <w:cols w:equalWidth="0" w:num="1">
            <w:col w:w="11240"/>
          </w:cols>
          <w:pgMar w:left="320" w:top="229" w:right="339" w:bottom="0" w:gutter="0" w:footer="0" w:header="0"/>
        </w:sectPr>
      </w:pPr>
    </w:p>
    <w:p>
      <w:pPr>
        <w:spacing w:after="0" w:line="13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26-1303944</w:t>
      </w:r>
    </w:p>
    <w:p>
      <w:pPr>
        <w:spacing w:after="0" w:line="78" w:lineRule="exact"/>
        <w:rPr>
          <w:sz w:val="24"/>
          <w:szCs w:val="24"/>
          <w:color w:val="auto"/>
        </w:rPr>
      </w:pPr>
    </w:p>
    <w:p>
      <w:pPr>
        <w:sectPr>
          <w:pgSz w:w="11900" w:h="16838" w:orient="portrait"/>
          <w:cols w:equalWidth="0" w:num="2">
            <w:col w:w="7340" w:space="720"/>
            <w:col w:w="3180"/>
          </w:cols>
          <w:pgMar w:left="320" w:top="229" w:right="339" w:bottom="0" w:gutter="0" w:footer="0" w:header="0"/>
          <w:type w:val="continuous"/>
        </w:sectPr>
      </w:pPr>
    </w:p>
    <w:p>
      <w:pPr>
        <w:ind w:left="18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7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63"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229" w:right="339" w:bottom="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 xml:space="preserve">400 FIFTH AVE., SUITE 210, WALTHAM, MASSACHUSETTS </w:t>
      </w:r>
      <w:r>
        <w:rPr>
          <w:rFonts w:ascii="Times New Roman" w:cs="Times New Roman" w:eastAsia="Times New Roman" w:hAnsi="Times New Roman"/>
          <w:sz w:val="12"/>
          <w:szCs w:val="12"/>
          <w:b w:val="1"/>
          <w:bCs w:val="1"/>
          <w:color w:val="000000"/>
        </w:rPr>
        <w:t>02451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231F20"/>
        </w:rPr>
        <w:t>(ADDRESS OF PRINCIPAL EXECUTIVE OFFICES, INCLUDING ZIP CODE)</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(510) 745-1700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31F20"/>
        </w:rPr>
        <w:t>(REGISTRANT’S TELEPHONE NUMBER, INCLUDING AREA CODE)</w:t>
      </w:r>
    </w:p>
    <w:p>
      <w:pPr>
        <w:sectPr>
          <w:pgSz w:w="11900" w:h="16838" w:orient="portrait"/>
          <w:cols w:equalWidth="0" w:num="1">
            <w:col w:w="11240"/>
          </w:cols>
          <w:pgMar w:left="320" w:top="229" w:right="339" w:bottom="0" w:gutter="0" w:footer="0" w:header="0"/>
          <w:type w:val="continuous"/>
        </w:sectPr>
      </w:pPr>
    </w:p>
    <w:p>
      <w:pPr>
        <w:spacing w:after="0" w:line="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3140" w:type="dxa"/>
            <w:vAlign w:val="bottom"/>
          </w:tcPr>
          <w:p>
            <w:pPr>
              <w:jc w:val="center"/>
              <w:ind w:left="382"/>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3"/>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060" w:type="dxa"/>
            <w:vAlign w:val="bottom"/>
          </w:tcPr>
          <w:p>
            <w:pPr>
              <w:jc w:val="center"/>
              <w:ind w:right="482"/>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22"/>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60"/>
        </w:trPr>
        <w:tc>
          <w:tcPr>
            <w:tcW w:w="3140" w:type="dxa"/>
            <w:vAlign w:val="bottom"/>
            <w:tcBorders>
              <w:top w:val="single" w:sz="8" w:color="auto"/>
            </w:tcBorders>
          </w:tcPr>
          <w:p>
            <w:pPr>
              <w:jc w:val="center"/>
              <w:ind w:left="382"/>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ARDX</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tcPr>
          <w:p>
            <w:pPr>
              <w:jc w:val="center"/>
              <w:ind w:right="482"/>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r>
        <w:trPr>
          <w:trHeight w:val="338"/>
        </w:trPr>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3"/>
          </w:tcPr>
          <w:p>
            <w:pPr>
              <w:jc w:val="center"/>
              <w:ind w:right="720"/>
              <w:spacing w:after="0"/>
              <w:rPr>
                <w:sz w:val="20"/>
                <w:szCs w:val="20"/>
                <w:color w:val="auto"/>
              </w:rPr>
            </w:pPr>
            <w:r>
              <w:rPr>
                <w:rFonts w:ascii="Times New Roman" w:cs="Times New Roman" w:eastAsia="Times New Roman" w:hAnsi="Times New Roman"/>
                <w:sz w:val="13"/>
                <w:szCs w:val="13"/>
                <w:b w:val="1"/>
                <w:bCs w:val="1"/>
                <w:color w:val="231F20"/>
                <w:w w:val="96"/>
              </w:rPr>
              <w:t>Securities registered pursuant to Section 12(g) of the Act: None</w:t>
            </w:r>
          </w:p>
        </w:tc>
        <w:tc>
          <w:tcPr>
            <w:tcW w:w="30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502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____________________________________________________</w:t>
            </w:r>
          </w:p>
        </w:tc>
        <w:tc>
          <w:tcPr>
            <w:tcW w:w="3060" w:type="dxa"/>
            <w:vAlign w:val="bottom"/>
          </w:tcPr>
          <w:p>
            <w:pPr>
              <w:spacing w:after="0"/>
              <w:rPr>
                <w:sz w:val="20"/>
                <w:szCs w:val="20"/>
                <w:color w:val="auto"/>
              </w:rPr>
            </w:pPr>
          </w:p>
        </w:tc>
      </w:tr>
    </w:tbl>
    <w:p>
      <w:pPr>
        <w:spacing w:after="0" w:line="72" w:lineRule="exact"/>
        <w:rPr>
          <w:sz w:val="24"/>
          <w:szCs w:val="24"/>
          <w:color w:val="auto"/>
        </w:rPr>
      </w:pPr>
    </w:p>
    <w:p>
      <w:pPr>
        <w:ind w:right="3600"/>
        <w:spacing w:after="0" w:line="402" w:lineRule="auto"/>
        <w:rPr>
          <w:sz w:val="20"/>
          <w:szCs w:val="20"/>
          <w:color w:val="auto"/>
        </w:rPr>
      </w:pPr>
      <w:r>
        <w:rPr>
          <w:rFonts w:ascii="Times New Roman" w:cs="Times New Roman" w:eastAsia="Times New Roman" w:hAnsi="Times New Roman"/>
          <w:sz w:val="14"/>
          <w:szCs w:val="14"/>
          <w:color w:val="231F20"/>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000000"/>
        </w:rPr>
        <w:t>x</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231F20"/>
        </w:rPr>
        <w:t>o</w:t>
      </w:r>
      <w:r>
        <w:rPr>
          <w:rFonts w:ascii="Times New Roman" w:cs="Times New Roman" w:eastAsia="Times New Roman" w:hAnsi="Times New Roman"/>
          <w:sz w:val="14"/>
          <w:szCs w:val="14"/>
          <w:color w:val="231F20"/>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231F20"/>
        </w:rPr>
        <w:t>o</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000000"/>
        </w:rPr>
        <w:t>x</w:t>
      </w:r>
    </w:p>
    <w:p>
      <w:pPr>
        <w:spacing w:after="0" w:line="1" w:lineRule="exact"/>
        <w:rPr>
          <w:sz w:val="24"/>
          <w:szCs w:val="24"/>
          <w:color w:val="auto"/>
        </w:rPr>
      </w:pPr>
    </w:p>
    <w:p>
      <w:pPr>
        <w:ind w:right="120"/>
        <w:spacing w:after="0" w:line="362"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000000"/>
        </w:rPr>
        <w:t>x</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231F20"/>
        </w:rPr>
        <w:t>o</w:t>
      </w:r>
    </w:p>
    <w:p>
      <w:pPr>
        <w:ind w:right="40"/>
        <w:spacing w:after="0" w:line="301"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000000"/>
        </w:rPr>
        <w:t>x</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231F20"/>
        </w:rPr>
        <w:t>o</w:t>
      </w:r>
    </w:p>
    <w:p>
      <w:pPr>
        <w:ind w:right="44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1380" w:type="dxa"/>
        <w:tblCellMar>
          <w:top w:w="0" w:type="dxa"/>
          <w:left w:w="0" w:type="dxa"/>
          <w:bottom w:w="0" w:type="dxa"/>
          <w:right w:w="0" w:type="dxa"/>
        </w:tblCellMar>
      </w:tblP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231F20"/>
              </w:rPr>
              <w:t>Large accelerated filer</w:t>
            </w:r>
          </w:p>
        </w:tc>
        <w:tc>
          <w:tcPr>
            <w:tcW w:w="1900" w:type="dxa"/>
            <w:vAlign w:val="bottom"/>
          </w:tcPr>
          <w:p>
            <w:pPr>
              <w:ind w:left="900"/>
              <w:spacing w:after="0"/>
              <w:rPr>
                <w:sz w:val="20"/>
                <w:szCs w:val="20"/>
                <w:color w:val="auto"/>
              </w:rPr>
            </w:pPr>
            <w:r>
              <w:rPr>
                <w:rFonts w:ascii="Wingdings" w:cs="Wingdings" w:eastAsia="Wingdings" w:hAnsi="Wingdings"/>
                <w:sz w:val="14"/>
                <w:szCs w:val="14"/>
                <w:b w:val="1"/>
                <w:bCs w:val="1"/>
                <w:color w:val="auto"/>
              </w:rPr>
              <w:t>x</w:t>
            </w: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Accelerated filer</w:t>
            </w:r>
          </w:p>
        </w:tc>
        <w:tc>
          <w:tcPr>
            <w:tcW w:w="880" w:type="dxa"/>
            <w:vAlign w:val="bottom"/>
          </w:tcPr>
          <w:p>
            <w:pPr>
              <w:ind w:left="760"/>
              <w:spacing w:after="0"/>
              <w:rPr>
                <w:sz w:val="20"/>
                <w:szCs w:val="20"/>
                <w:color w:val="auto"/>
              </w:rPr>
            </w:pPr>
            <w:r>
              <w:rPr>
                <w:rFonts w:ascii="Wingdings" w:cs="Wingdings" w:eastAsia="Wingdings" w:hAnsi="Wingdings"/>
                <w:sz w:val="14"/>
                <w:szCs w:val="14"/>
                <w:b w:val="1"/>
                <w:bCs w:val="1"/>
                <w:color w:val="231F20"/>
                <w:w w:val="79"/>
              </w:rPr>
              <w:t>o</w:t>
            </w:r>
          </w:p>
        </w:tc>
      </w:tr>
      <w:tr>
        <w:trPr>
          <w:trHeight w:val="25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231F20"/>
              </w:rPr>
              <w:t>Non-accelerated filer</w:t>
            </w:r>
          </w:p>
        </w:tc>
        <w:tc>
          <w:tcPr>
            <w:tcW w:w="1900" w:type="dxa"/>
            <w:vAlign w:val="bottom"/>
          </w:tcPr>
          <w:p>
            <w:pPr>
              <w:ind w:left="900"/>
              <w:spacing w:after="0"/>
              <w:rPr>
                <w:sz w:val="20"/>
                <w:szCs w:val="20"/>
                <w:color w:val="auto"/>
              </w:rPr>
            </w:pPr>
            <w:r>
              <w:rPr>
                <w:rFonts w:ascii="Wingdings" w:cs="Wingdings" w:eastAsia="Wingdings" w:hAnsi="Wingdings"/>
                <w:sz w:val="14"/>
                <w:szCs w:val="14"/>
                <w:b w:val="1"/>
                <w:bCs w:val="1"/>
                <w:color w:val="231F20"/>
              </w:rPr>
              <w:t>o</w:t>
            </w: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Smaller reporting company</w:t>
            </w:r>
          </w:p>
        </w:tc>
        <w:tc>
          <w:tcPr>
            <w:tcW w:w="880" w:type="dxa"/>
            <w:vAlign w:val="bottom"/>
          </w:tcPr>
          <w:p>
            <w:pPr>
              <w:ind w:left="760"/>
              <w:spacing w:after="0"/>
              <w:rPr>
                <w:sz w:val="20"/>
                <w:szCs w:val="20"/>
                <w:color w:val="auto"/>
              </w:rPr>
            </w:pPr>
            <w:r>
              <w:rPr>
                <w:rFonts w:ascii="Wingdings" w:cs="Wingdings" w:eastAsia="Wingdings" w:hAnsi="Wingdings"/>
                <w:sz w:val="14"/>
                <w:szCs w:val="14"/>
                <w:b w:val="1"/>
                <w:bCs w:val="1"/>
                <w:color w:val="231F20"/>
                <w:w w:val="79"/>
              </w:rPr>
              <w:t>o</w:t>
            </w:r>
          </w:p>
        </w:tc>
      </w:tr>
      <w:tr>
        <w:trPr>
          <w:trHeight w:val="257"/>
        </w:trPr>
        <w:tc>
          <w:tcPr>
            <w:tcW w:w="21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Emerging growth company</w:t>
            </w:r>
          </w:p>
        </w:tc>
        <w:tc>
          <w:tcPr>
            <w:tcW w:w="880" w:type="dxa"/>
            <w:vAlign w:val="bottom"/>
          </w:tcPr>
          <w:p>
            <w:pPr>
              <w:ind w:left="760"/>
              <w:spacing w:after="0"/>
              <w:rPr>
                <w:sz w:val="20"/>
                <w:szCs w:val="20"/>
                <w:color w:val="auto"/>
              </w:rPr>
            </w:pPr>
            <w:r>
              <w:rPr>
                <w:rFonts w:ascii="Wingdings" w:cs="Wingdings" w:eastAsia="Wingdings" w:hAnsi="Wingdings"/>
                <w:sz w:val="14"/>
                <w:szCs w:val="14"/>
                <w:b w:val="1"/>
                <w:bCs w:val="1"/>
                <w:color w:val="231F20"/>
                <w:w w:val="79"/>
              </w:rPr>
              <w:t>o</w:t>
            </w:r>
          </w:p>
        </w:tc>
      </w:tr>
    </w:tbl>
    <w:p>
      <w:pPr>
        <w:spacing w:after="0" w:line="149" w:lineRule="exact"/>
        <w:rPr>
          <w:sz w:val="24"/>
          <w:szCs w:val="24"/>
          <w:color w:val="auto"/>
        </w:rPr>
      </w:pPr>
    </w:p>
    <w:p>
      <w:pPr>
        <w:ind w:right="560"/>
        <w:spacing w:after="0" w:line="311" w:lineRule="auto"/>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231F20"/>
        </w:rPr>
        <w:t>o</w:t>
      </w:r>
    </w:p>
    <w:p>
      <w:pPr>
        <w:spacing w:after="0" w:line="1" w:lineRule="exact"/>
        <w:rPr>
          <w:sz w:val="24"/>
          <w:szCs w:val="24"/>
          <w:color w:val="auto"/>
        </w:rPr>
      </w:pP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Indicate by check mark whether the Registrant is a shell company (as defined in Rule 12b-2 of the Exchange Act). Yes </w:t>
      </w:r>
      <w:r>
        <w:rPr>
          <w:rFonts w:ascii="Wingdings" w:cs="Wingdings" w:eastAsia="Wingdings" w:hAnsi="Wingdings"/>
          <w:sz w:val="14"/>
          <w:szCs w:val="14"/>
          <w:b w:val="1"/>
          <w:bCs w:val="1"/>
          <w:color w:val="231F20"/>
        </w:rPr>
        <w:t>o</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000000"/>
        </w:rPr>
        <w:t>x</w:t>
      </w:r>
    </w:p>
    <w:p>
      <w:pPr>
        <w:spacing w:after="0" w:line="6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231F20"/>
        </w:rPr>
        <w:t xml:space="preserve">The aggregate market value of the Registrant’s common stock held by non-affiliates of the Registrant as of the last business day of the Registrant’s most recently completed second fiscal quarter, June 30, 2024, based on the last reported sales price of the Registrant’s common stock on the Nasdaq Global Market of $7.41 per share was </w:t>
      </w:r>
      <w:r>
        <w:rPr>
          <w:rFonts w:ascii="Times New Roman" w:cs="Times New Roman" w:eastAsia="Times New Roman" w:hAnsi="Times New Roman"/>
          <w:sz w:val="14"/>
          <w:szCs w:val="14"/>
          <w:color w:val="000000"/>
        </w:rPr>
        <w:t>$1,744,324,359</w:t>
      </w:r>
      <w:r>
        <w:rPr>
          <w:rFonts w:ascii="Times New Roman" w:cs="Times New Roman" w:eastAsia="Times New Roman" w:hAnsi="Times New Roman"/>
          <w:sz w:val="14"/>
          <w:szCs w:val="14"/>
          <w:color w:val="231F20"/>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The number of shares of Registrant’s Common Stock outstanding as of February 14, 2025, was </w:t>
      </w:r>
      <w:r>
        <w:rPr>
          <w:rFonts w:ascii="Times New Roman" w:cs="Times New Roman" w:eastAsia="Times New Roman" w:hAnsi="Times New Roman"/>
          <w:sz w:val="14"/>
          <w:szCs w:val="14"/>
          <w:color w:val="000000"/>
        </w:rPr>
        <w:t>238,356,222</w:t>
      </w:r>
      <w:r>
        <w:rPr>
          <w:rFonts w:ascii="Times New Roman" w:cs="Times New Roman" w:eastAsia="Times New Roman" w:hAnsi="Times New Roman"/>
          <w:sz w:val="14"/>
          <w:szCs w:val="14"/>
          <w:color w:val="231F20"/>
        </w:rPr>
        <w: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DOCUMENTS INCORPORATED BY REFERENCE:</w:t>
      </w:r>
    </w:p>
    <w:p>
      <w:pPr>
        <w:spacing w:after="0" w:line="105"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231F20"/>
        </w:rPr>
        <w:t>Portions of the Registrant’s Definitive Proxy Statement for its 2025 Annual Meeting of Stockholders, which will be filed with the Commission within 120 days of December 31, 2024, the close of the Registrant’s 2024 fiscal year, are incorporated by reference into Part III of this Report</w:t>
      </w:r>
      <w:r>
        <w:rPr>
          <w:rFonts w:ascii="Times New Roman" w:cs="Times New Roman" w:eastAsia="Times New Roman" w:hAnsi="Times New Roman"/>
          <w:sz w:val="12"/>
          <w:szCs w:val="12"/>
          <w:color w:val="231F20"/>
        </w:rPr>
        <w:t>.</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132080</wp:posOffset>
            </wp:positionV>
            <wp:extent cx="711517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603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 REGARDING FORWARD-LOOKING STATEMENTS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Annual Report on Form 10-K the terms “Ardelyx,” “we,” “us,” “our” and “the Company” refer to Ardelyx, Inc.</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3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the “Item 1A. Risk Factors” section and elsewhere in this Annual Report on Form 10-K. Except as required by law, we assume no obligation to update any forward-looking statement publicly, or to revise any forward-looking statement to reflect events or developments occurring after the date of this Annual Report on Form 10-K, even if new information becomes available in the future. Thus, you should not assume that our silence over time means that actual events are bearing out as expressed or implied in any such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240"/>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SUMMARY OF PRINCIPAL RISKS ASSOCIATED WITH OUR BUSINESS </w:t>
      </w:r>
      <w:r>
        <w:rPr>
          <w:rFonts w:ascii="Times New Roman" w:cs="Times New Roman" w:eastAsia="Times New Roman" w:hAnsi="Times New Roman"/>
          <w:sz w:val="17"/>
          <w:szCs w:val="17"/>
          <w:color w:val="auto"/>
        </w:rPr>
        <w:t>The principal risks and uncertainties affecting our business include the following:</w:t>
      </w:r>
    </w:p>
    <w:p>
      <w:pPr>
        <w:spacing w:after="0" w:line="4" w:lineRule="exact"/>
        <w:rPr>
          <w:sz w:val="20"/>
          <w:szCs w:val="20"/>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incurred losses in each year since our inception, and we expect to continue to incur operating losses in the future as we incur additional expenses related to our ongoing operations and our pursuit of future business opportunities.</w:t>
      </w:r>
    </w:p>
    <w:p>
      <w:pPr>
        <w:spacing w:after="0" w:line="107"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will require additional financing for the foreseeable future as we invest in the growth of IBSRELA and XPHOZAH in the U.S. and building a pipeline. The inability to access necessary capital when needed on acceptable terms, or at all, could force us to reduce our efforts to commercialize IBSRELA and/or XPHOZAH, or to delay or limit our pursuit of other future business opportunities.</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limited revenue from product sales and may never be profitable for a full fiscal year.</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we will achieve sufficient market acceptance for XPHOZAH, or that we will be able to secure and maintain adequate coverage and reimbursement for XPHOZAH, or generate sufficient revenue from product sales of XPHOZAH.</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and/or XPHOZAH may cause undesirable side effects or have other properties that could limit the commercial success of the product.</w:t>
      </w:r>
    </w:p>
    <w:p>
      <w:pPr>
        <w:spacing w:after="0" w:line="17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12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depend on CMOs, many of whom are our single source manufacturers.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10-K, including our financial statements and the related notes, as well as in other documents that we file with the U.S.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70"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8"/>
          <w:szCs w:val="18"/>
          <w:color w:val="auto"/>
        </w:rPr>
        <w:t>ARDELYX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are trademarks of Ardelyx. All other trademarks, trade names and service marks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960" w:type="dxa"/>
            <w:vAlign w:val="bottom"/>
            <w:gridSpan w:val="11"/>
            <w:vMerge w:val="restart"/>
          </w:tcPr>
          <w:p>
            <w:pPr>
              <w:jc w:val="center"/>
              <w:ind w:right="438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60" w:type="dxa"/>
            <w:vAlign w:val="bottom"/>
            <w:gridSpan w:val="11"/>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80" w:type="dxa"/>
            <w:vAlign w:val="bottom"/>
            <w:gridSpan w:val="3"/>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720" w:type="dxa"/>
            <w:vAlign w:val="bottom"/>
            <w:gridSpan w:val="16"/>
          </w:tcPr>
          <w:p>
            <w:pPr>
              <w:spacing w:after="0"/>
              <w:rPr>
                <w:sz w:val="21"/>
                <w:szCs w:val="21"/>
                <w:color w:val="auto"/>
              </w:rPr>
            </w:pPr>
          </w:p>
        </w:tc>
        <w:tc>
          <w:tcPr>
            <w:tcW w:w="580" w:type="dxa"/>
            <w:vAlign w:val="bottom"/>
            <w:tcBorders>
              <w:top w:val="single" w:sz="8" w:color="0000FF"/>
            </w:tcBorders>
            <w:gridSpan w:val="2"/>
          </w:tcPr>
          <w:p>
            <w:pPr>
              <w:spacing w:after="0"/>
              <w:rPr>
                <w:sz w:val="21"/>
                <w:szCs w:val="21"/>
                <w:color w:val="auto"/>
              </w:rPr>
            </w:pPr>
          </w:p>
        </w:tc>
        <w:tc>
          <w:tcPr>
            <w:tcW w:w="4380" w:type="dxa"/>
            <w:vAlign w:val="bottom"/>
            <w:gridSpan w:val="9"/>
          </w:tcPr>
          <w:p>
            <w:pPr>
              <w:spacing w:after="0"/>
              <w:rPr>
                <w:sz w:val="21"/>
                <w:szCs w:val="21"/>
                <w:color w:val="auto"/>
              </w:rPr>
            </w:pPr>
          </w:p>
        </w:tc>
        <w:tc>
          <w:tcPr>
            <w:tcW w:w="6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tcPr>
          <w:p>
            <w:pPr>
              <w:spacing w:after="0"/>
              <w:rPr>
                <w:sz w:val="21"/>
                <w:szCs w:val="21"/>
                <w:color w:val="auto"/>
              </w:rPr>
            </w:pP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500" w:type="dxa"/>
            <w:vAlign w:val="bottom"/>
            <w:gridSpan w:val="2"/>
          </w:tcPr>
          <w:p>
            <w:pPr>
              <w:spacing w:after="0"/>
              <w:rPr>
                <w:sz w:val="21"/>
                <w:szCs w:val="21"/>
                <w:color w:val="auto"/>
              </w:rPr>
            </w:pP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80" w:type="dxa"/>
            <w:vAlign w:val="bottom"/>
            <w:gridSpan w:val="18"/>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20" w:type="dxa"/>
            <w:vAlign w:val="bottom"/>
            <w:gridSpan w:val="23"/>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80" w:type="dxa"/>
            <w:vAlign w:val="bottom"/>
            <w:gridSpan w:val="3"/>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00" w:type="dxa"/>
            <w:vAlign w:val="bottom"/>
            <w:gridSpan w:val="22"/>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80" w:type="dxa"/>
            <w:vAlign w:val="bottom"/>
            <w:gridSpan w:val="3"/>
          </w:tcPr>
          <w:p>
            <w:pPr>
              <w:spacing w:after="0"/>
              <w:rPr>
                <w:sz w:val="21"/>
                <w:szCs w:val="21"/>
                <w:color w:val="auto"/>
              </w:rPr>
            </w:pP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1"/>
              </w:rPr>
              <w:t>PART II</w:t>
            </w:r>
          </w:p>
        </w:tc>
        <w:tc>
          <w:tcPr>
            <w:tcW w:w="4340" w:type="dxa"/>
            <w:vAlign w:val="bottom"/>
            <w:gridSpan w:val="8"/>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80" w:type="dxa"/>
            <w:vAlign w:val="bottom"/>
            <w:gridSpan w:val="3"/>
          </w:tcPr>
          <w:p>
            <w:pPr>
              <w:spacing w:after="0"/>
              <w:rPr>
                <w:sz w:val="21"/>
                <w:szCs w:val="21"/>
                <w:color w:val="auto"/>
              </w:rPr>
            </w:pPr>
          </w:p>
        </w:tc>
        <w:tc>
          <w:tcPr>
            <w:tcW w:w="80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80" w:type="dxa"/>
            <w:vAlign w:val="bottom"/>
            <w:gridSpan w:val="3"/>
          </w:tcPr>
          <w:p>
            <w:pPr>
              <w:spacing w:after="0"/>
              <w:rPr>
                <w:sz w:val="21"/>
                <w:szCs w:val="21"/>
                <w:color w:val="auto"/>
              </w:rPr>
            </w:pPr>
          </w:p>
        </w:tc>
        <w:tc>
          <w:tcPr>
            <w:tcW w:w="80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580" w:type="dxa"/>
            <w:vAlign w:val="bottom"/>
            <w:gridSpan w:val="3"/>
          </w:tcPr>
          <w:p>
            <w:pPr>
              <w:spacing w:after="0"/>
              <w:rPr>
                <w:sz w:val="21"/>
                <w:szCs w:val="21"/>
                <w:color w:val="auto"/>
              </w:rPr>
            </w:pPr>
          </w:p>
        </w:tc>
        <w:tc>
          <w:tcPr>
            <w:tcW w:w="6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4"/>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7A.</w:t>
            </w:r>
          </w:p>
        </w:tc>
        <w:tc>
          <w:tcPr>
            <w:tcW w:w="420" w:type="dxa"/>
            <w:vAlign w:val="bottom"/>
          </w:tcPr>
          <w:p>
            <w:pPr>
              <w:spacing w:after="0"/>
              <w:rPr>
                <w:sz w:val="21"/>
                <w:szCs w:val="21"/>
                <w:color w:val="auto"/>
              </w:rPr>
            </w:pP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60" w:type="dxa"/>
            <w:vAlign w:val="bottom"/>
            <w:gridSpan w:val="11"/>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6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11"/>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80" w:type="dxa"/>
            <w:vAlign w:val="bottom"/>
            <w:gridSpan w:val="3"/>
          </w:tcPr>
          <w:p>
            <w:pPr>
              <w:spacing w:after="0"/>
              <w:rPr>
                <w:sz w:val="21"/>
                <w:szCs w:val="21"/>
                <w:color w:val="auto"/>
              </w:rPr>
            </w:pPr>
          </w:p>
        </w:tc>
        <w:tc>
          <w:tcPr>
            <w:tcW w:w="6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40" w:type="dxa"/>
            <w:vAlign w:val="bottom"/>
            <w:gridSpan w:val="3"/>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9A.</w:t>
            </w:r>
          </w:p>
        </w:tc>
        <w:tc>
          <w:tcPr>
            <w:tcW w:w="420" w:type="dxa"/>
            <w:vAlign w:val="bottom"/>
          </w:tcPr>
          <w:p>
            <w:pPr>
              <w:spacing w:after="0"/>
              <w:rPr>
                <w:sz w:val="21"/>
                <w:szCs w:val="21"/>
                <w:color w:val="auto"/>
              </w:rPr>
            </w:pP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1"/>
                <w:szCs w:val="21"/>
                <w:color w:val="auto"/>
              </w:rPr>
            </w:pPr>
          </w:p>
        </w:tc>
        <w:tc>
          <w:tcPr>
            <w:tcW w:w="7560" w:type="dxa"/>
            <w:vAlign w:val="bottom"/>
            <w:gridSpan w:val="20"/>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500" w:type="dxa"/>
            <w:vAlign w:val="bottom"/>
            <w:gridSpan w:val="2"/>
          </w:tcPr>
          <w:p>
            <w:pPr>
              <w:spacing w:after="0"/>
              <w:rPr>
                <w:sz w:val="21"/>
                <w:szCs w:val="21"/>
                <w:color w:val="auto"/>
              </w:rPr>
            </w:pP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30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500" w:type="dxa"/>
            <w:vAlign w:val="bottom"/>
            <w:gridSpan w:val="2"/>
          </w:tcPr>
          <w:p>
            <w:pPr>
              <w:spacing w:after="0"/>
              <w:rPr>
                <w:sz w:val="21"/>
                <w:szCs w:val="21"/>
                <w:color w:val="auto"/>
              </w:rPr>
            </w:pPr>
          </w:p>
        </w:tc>
        <w:tc>
          <w:tcPr>
            <w:tcW w:w="4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20" w:type="dxa"/>
            <w:vAlign w:val="bottom"/>
            <w:gridSpan w:val="13"/>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28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40" w:type="dxa"/>
            <w:vAlign w:val="bottom"/>
            <w:gridSpan w:val="2"/>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2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40" w:type="dxa"/>
            <w:vAlign w:val="bottom"/>
            <w:tcBorders>
              <w:top w:val="single" w:sz="8" w:color="0000FF"/>
            </w:tcBorders>
            <w:gridSpan w:val="4"/>
          </w:tcPr>
          <w:p>
            <w:pPr>
              <w:spacing w:after="0"/>
              <w:rPr>
                <w:sz w:val="21"/>
                <w:szCs w:val="21"/>
                <w:color w:val="auto"/>
              </w:rPr>
            </w:pPr>
          </w:p>
        </w:tc>
        <w:tc>
          <w:tcPr>
            <w:tcW w:w="4320" w:type="dxa"/>
            <w:vAlign w:val="bottom"/>
            <w:gridSpan w:val="7"/>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60" w:type="dxa"/>
            <w:vAlign w:val="bottom"/>
            <w:gridSpan w:val="4"/>
          </w:tcPr>
          <w:p>
            <w:pPr>
              <w:spacing w:after="0"/>
              <w:rPr>
                <w:sz w:val="24"/>
                <w:szCs w:val="24"/>
                <w:color w:val="auto"/>
              </w:rPr>
            </w:pPr>
          </w:p>
        </w:tc>
        <w:tc>
          <w:tcPr>
            <w:tcW w:w="7780" w:type="dxa"/>
            <w:vAlign w:val="bottom"/>
            <w:gridSpan w:val="21"/>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Summary of Abbreviated Terms</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Borders>
              <w:top w:val="single" w:sz="8" w:color="0000FF"/>
            </w:tcBorders>
            <w:gridSpan w:val="11"/>
          </w:tcPr>
          <w:p>
            <w:pPr>
              <w:spacing w:after="0"/>
              <w:rPr>
                <w:sz w:val="24"/>
                <w:szCs w:val="24"/>
                <w:color w:val="auto"/>
              </w:rPr>
            </w:pPr>
          </w:p>
        </w:tc>
        <w:tc>
          <w:tcPr>
            <w:tcW w:w="2500" w:type="dxa"/>
            <w:vAlign w:val="bottom"/>
            <w:gridSpan w:val="7"/>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irritable bowel syndrome with constipation.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to reduce serum phosphorus in adults with chronic kidney disease on dialysis as add-on therapy in patients who have an inadequate response to phosphate binders or who are intolerant of any dose of phosphate binder therapy.</w:t>
      </w:r>
    </w:p>
    <w:p>
      <w:pPr>
        <w:spacing w:after="0" w:line="147" w:lineRule="exact"/>
        <w:rPr>
          <w:sz w:val="20"/>
          <w:szCs w:val="20"/>
          <w:color w:val="auto"/>
        </w:rPr>
      </w:pPr>
    </w:p>
    <w:p>
      <w:pPr>
        <w:ind w:right="640"/>
        <w:spacing w:after="0" w:line="439"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Summary of Abbreviated Terms</w:t>
      </w:r>
      <w:r>
        <w:rPr>
          <w:rFonts w:ascii="Times New Roman" w:cs="Times New Roman" w:eastAsia="Times New Roman" w:hAnsi="Times New Roman"/>
          <w:sz w:val="18"/>
          <w:szCs w:val="18"/>
          <w:color w:val="auto"/>
        </w:rPr>
        <w:t xml:space="preserve"> at the end of this Annual Report on Form 10-K for definitions of terms used throughout the document. </w:t>
      </w:r>
      <w:r>
        <w:rPr>
          <w:rFonts w:ascii="Times New Roman" w:cs="Times New Roman" w:eastAsia="Times New Roman" w:hAnsi="Times New Roman"/>
          <w:sz w:val="18"/>
          <w:szCs w:val="18"/>
          <w:b w:val="1"/>
          <w:bCs w:val="1"/>
          <w:color w:val="auto"/>
        </w:rPr>
        <w:t>Strategy</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committed to our mission of discovering, developing and commercializing first-in-class medicines that address unmet patient needs. Our principal strategy is to maintain our commercial momentum with our current products while identifying additional assets that leverage our core capabilities, including clinical, developmental and regulatory expertise and commercial excellence while maintaining a solid financial foundation, to support our future growth.</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priorities include: (i) accelerating IBSRELA growth momentum; (ii) executing our XPHOZAH strategy to grow utilization; (iii) building a pipeline focused on areas of unmet patient need; and (iv) continuing to deliver strong commercial and financial performance.</w:t>
      </w:r>
    </w:p>
    <w:p>
      <w:pPr>
        <w:spacing w:after="0" w:line="10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expect to continue to incur operating losses for the foreseeable future as we continue to invest in the commercialization of IBSRELA and XPHOZAH, incur manufacturing and development costs for tenapanor, and incur additional expenses related to our ongoing operations and our pursuit of future business opportunities. We have funded our operations primarily from the sale of common stock, product sales, funds from our collaboration partnerships, funds from our loan agreements with SLR, as well as sales of future royalties to HCR. We expect that we will increasingly rely on cash generated from operations to fund our operating plan while maintaining financial flexibility from our ability to source cash from future equity sales and debt financing.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IBSRELA for IBS-C</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IBSRELA, our first commercial product, is a first-in-class NHE3 inhibitor approved by the U.S. FDA for the treatment of IBS-C in adults. IBSRELA acts locally in the gut and is minimally absorbed. IBS-C is a gastrointestinal disorder characterized by both altered bowel habits and abdominal pain. IBS-C is associated with significantly impaired quality of life, reduced productivity and substantial economic burden.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recognized our first sales of IBSRELA in the U.S. in March 2022. Throughout 2024, we continued to build on the commercial success of IBSRELA. We recognized approximately $158.3 million in net revenue related to sales of IBSRELA in the U.S. during the year ended December 31, 2024, an increase of $78.2 million compared to the year ended December 31, 2023.</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deploy a market-responsive commercial strategy for IBSRELA and have a commercial organization highly experienced in launching and commercializing novel therapies into specialty areas. The dynamics of the IBS-C market reflect an established patient base, limited number of competitors all confined to a single mechanism of action (secretagogues), concentrated number of prescribers and recognized unmet need. In addition, market research indicated a favorable response to the IBSRELA product profile as a novel mechanism therapy. These dynamics enabled a targeted promotional focus on IBS-C patients currently being managed by high-writing healthcare providers. Central to our go to market strategy for IBSRELA has been our highly experienced specialty sales force, composed of many with existing relationships across their gastrointestinal target base, omnichannel digital initiatives and our patient services programs, including ArdelyxAssist, that support patient access to our therapies.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believe competition for IBSRELA comes largely from three prescription products indicated for IBS-C: Linzess (linaclotide), Amitiza (lubiprostone) and Trulance (plecanatide). Generic lubiprostone is also available in the U.S. Additionally, over-the-counter products and prescription therapies, not indicated for IBS-C are commonly used to treat the constipation component of IBS-C, alone and in combination with the IBS-C-indicated prescription therapies.</w:t>
      </w:r>
    </w:p>
    <w:p>
      <w:pPr>
        <w:spacing w:after="0" w:line="12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XPHOZAH to Reduce Serum Phosphorus in Adults with CKD on Dialysis as Add-on Therapy in Patients Who Have an Inadequate Response to Phosphate Binders or Who Are Intolerant of Any Dose of Phosphate Binder Therapy</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XPHOZAH, our second commercial product, was approved by the U.S. FDA in October 2023. XPHOZAH is a first-in-class phosphate absorption inhibitor approved in the U.S. to reduce serum phosphorus in adults with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In addition, approximately 70% of patients treated with phosphate binders to treat hyperphosphatemia were unable to consistently maintain phosphorous levels &lt;=5.5 mg/dL over a six-month period. XPHOZAH is the first therapy for phosphate management that blocks phosphate absorption at the primary site of uptake.</w:t>
      </w:r>
    </w:p>
    <w:p>
      <w:pPr>
        <w:spacing w:after="0" w:line="1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recognized our first sales of XPHOZAH in the U.S. in December 2023. We recognized approximately $160.9 million in net revenue related to sales of XPHOZAH in the U.S. during the year ended December 31, 2024 – the first full year of commercialization of XPHOZAH.</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our commercial launch of XPHOZAH, we designed a market-responsive commercial strategy and built a commercial organization highly experienced and knowledgeable of the nephrology market. The dynamics of the hyperphosphatemia market reflect an established patient base, limited number of competitors all confined to a single mechanism of action (phosphate binders), concentrated number of prescribers and recognized unmet need. In addition, market research indicated a high level of awareness, interest and intent to adopt XPHOZAH upon approval and favorable response to the XPHOZAH product profile as a novel mechanism therapy. Central to our go to market strategy for XPHOZAH has been our highly experienced specialty sales force, many with existing relationships across their nephrology target base, innovative omnichannel digital initiatives and our patient services programs, including ArdelyxAssist, that support patient access to our therapies.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Beginning January 1, 2025, XPHOZAH, along with other oral ESRD related drugs without injectable or intravenous equivalents, are now included in the End-Stage Renal Disease Prospective Payment System, thereby eliminating coverage for XPHOZAH and these other ESRD related drugs under Medicare Part D as of such date. XPHOZAH patients with Medicare Part D accounted for approximately 60% of all XPHOZAH patients in 2024. Our strategy for XPHOZAH remains a targeted promotional focus on nephrology healthcare providers, with a focus on preserving access for patients determined to be appropriate candidates for XPHOZAH by their healthcare provider.</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Pharmaceuticals and currently in Phase 2; and OLC, developed by Unicycive Therapeutics, which has announced its plans to seek U.S. FDA approval via the 505(b)(2) pathway. OLC has demonstrated pharmacodynamic bioequivalence to Fosrenol. Additionally, Alebund is developing AP-306, an inhibitor of phosphate transporters NaPi-2b, PiT-1, and PiT-2, thus far studied in a Phase 2 clinical trial.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Strategy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high-quality commercial organization highly experienced in bringing novel products to our customers, including patients, payors and healthcare providers. Our commercial capabilities, including marketing, access, patient services and sales are designed to support our commercialization of IBSRELA and XPHOZAH. We have executed collaborations with established industry leaders to efficiently bring XPHOZAH and IBSRELA to patients in specific territories outside of the U.S.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evaluate our strategy for the commercialization of IBSRELA and XPHOZAH in other ex-U.S. territories.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enter into collaboration agreements with third parties for the development and commercialization of tenapanor for certain indications in their respective territories. In exchange for granting the respective licenses, we receive upfront payments upon contract execution, are eligible to receive development and regulatory milestones upon achievement of respective events, and are eligible to receive sales-based royalties and commercial milestones. We also enter into supply agreements with our partners to supply drug substance or finished product for a fee.</w:t>
      </w:r>
    </w:p>
    <w:p>
      <w:pPr>
        <w:spacing w:after="0" w:line="12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We have an exclusive license agreement with Kyowa Kirin for the development, commercialization and distribution of tenapanor in Japan for cardiorenal indications. We supply tenapanor drug substance to satisfy Kyowa Kirin commercial needs. In February 2024, Kyowa Kirin announced the launch of tenapanor, marketed as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CKD patients with hyperphosphatemia in Japan. As discussed in </w:t>
      </w:r>
      <w:r>
        <w:rPr>
          <w:rFonts w:ascii="Times New Roman" w:cs="Times New Roman" w:eastAsia="Times New Roman" w:hAnsi="Times New Roman"/>
          <w:sz w:val="18"/>
          <w:szCs w:val="18"/>
          <w:i w:val="1"/>
          <w:iCs w:val="1"/>
          <w:color w:val="auto"/>
        </w:rPr>
        <w:t>Note 8. Deferred Royalty Obligation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Sale Of Future Royalties</w:t>
      </w:r>
      <w:r>
        <w:rPr>
          <w:rFonts w:ascii="Times New Roman" w:cs="Times New Roman" w:eastAsia="Times New Roman" w:hAnsi="Times New Roman"/>
          <w:sz w:val="18"/>
          <w:szCs w:val="18"/>
          <w:color w:val="auto"/>
        </w:rPr>
        <w:t>, the future royalties and commercial milestone payments we may receive under the license, as amended, will be remitted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HCR pursuant to the HCR Agreement.</w:t>
      </w:r>
    </w:p>
    <w:p>
      <w:pPr>
        <w:spacing w:after="0" w:line="1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an exclusive license agreement with Fosun Pharma for the development and commercialization of tenapanor in China for both hyperphosphatemia and IBS-C. Fosun Pharma received approval from the Hong Kong Department of Health for the marketing application for tenapanor for the treatment of IBS-C in 2023. A New Drug Application for tenapanor for hyperphosphatemia has been submitted in China with Fosun Pharma.</w:t>
      </w:r>
    </w:p>
    <w:p>
      <w:pPr>
        <w:spacing w:after="0" w:line="122" w:lineRule="exact"/>
        <w:rPr>
          <w:sz w:val="20"/>
          <w:szCs w:val="20"/>
          <w:color w:val="auto"/>
        </w:rPr>
      </w:pPr>
    </w:p>
    <w:p>
      <w:pPr>
        <w:ind w:right="1320"/>
        <w:spacing w:after="0" w:line="282" w:lineRule="auto"/>
        <w:rPr>
          <w:sz w:val="20"/>
          <w:szCs w:val="20"/>
          <w:color w:val="auto"/>
        </w:rPr>
      </w:pPr>
      <w:r>
        <w:rPr>
          <w:rFonts w:ascii="Times New Roman" w:cs="Times New Roman" w:eastAsia="Times New Roman" w:hAnsi="Times New Roman"/>
          <w:sz w:val="18"/>
          <w:szCs w:val="18"/>
          <w:color w:val="auto"/>
        </w:rPr>
        <w:t>We have an exclusive license agreement with Knight for the development, commercialization and distribution of tenapanor in Canada for hyperphosphatemia and IBS-C. IBSRELA was launched in Canada in March 2021.</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an exclusive license agreement with METiS for the development and commercialization of a portfolio of TGR5 agonist compounds that we discovered and developed for all therapeutic areas.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Financings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As of December 31, 2024, we have completed sales pursuant to the 2023 Open Market Sales Agreement resulting in the issuance of 16.8 million shares of our common stock and receipt of gross proceeds of $70.0 million at a weighted average sales price of approximately $4.17.</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 loan and security agreement (as amended, the 2022 Loan Agreement) with SLR. The 2022 Loan Agreement provides a total of $200.0 million, of which $150.0 million has been drawn as of December 31, 2024 to support our ongoing operations and the commercial launches of IBSRELA and XPHOZAH.</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cash equivalents and short-term investments totaling $250.1 million, an increase of $65.8 million, or 35.7%, from our cash position as of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products,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products or drug candidates will be protectable or remain protected by enforceable patents. We cannot predict whether the patent applications we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U.S. that also claim technology or therapeutics to which we have rights, we may have to participate in interference proceedings in the USPTO to determine priority of invention, which would result in substantial costs to us even if the eventual outcome is favorable to us.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countries in which they are obtained. In most countries, including the U.S.,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in the U.S.,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Tenapanor Patents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tenapanor patent portfolio includes five issued U.S. patents, three issued patents in each of Israel and Mexico, two issued patents in each of the European Patent Organization, Japan, Korea, and Hong Kong and one issued patent in each of the following territories: Australia, Brazil, India and China. These issued patents cover the composition and certain methods of using tenapanor, are wholly owned by us, and are predicted, without extension or adjustment, to expire in December 2029. The term of U.S. patent no. 8,541,448, which claims the composition of matter of tenapanor, was extended under the Hatch-Waxman Act to August 1, 2033. The portfolio further includes patents covering the use of tenapanor for controlling serum phosphorus that are wholly owned by us and have been issued in the U.S., Europe, Japan, China, Australia, Gulf Co-op countries, Hong Kong, Israel, Korea, Macao, Mexico, New Zealand, Russia, South Africa and Taiwan and are pending in other countries. These patents are predicted, without extension or adjustment, to expire in April 2034.</w:t>
      </w:r>
    </w:p>
    <w:p>
      <w:pPr>
        <w:spacing w:after="0" w:line="1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 U.S. and international patent applications are pending covering additional methods of treatment with tenapanor, and composition of matter and methods of using compounds that we believe may be follow on compounds to tenapanor.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date, we have relied upon third-party CMOs to manufacture both the API and final drug product dosage forms of our commercial products, as well as our clinical trial material, and we expect that we will continue to rely upon CMOs for the manufacture of commercial product for IBSRELA, commercial product for XPHOZAH and clinical trial materials. Our license agreements with Knight and Fosun Pharma require us to supply final drug product dosage forms of tenapanor for their use in the development and commercialization of tenapanor in each of their respective territories. We are further obligated to supply API to Kyowa Kirin to support their development and commercialization of tenapanor in Japan. We expect that we will continue to use CMOs to satisfy our supply obligations to our collaboration partners.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U.S., the FDA regulates drug products under the FFDCA and the FDA’s implementing regulations. If we fail to comply with applicable U.S. FDA or other requirements at any time during the drug development process, the approval process or after approval, we may become subject to administrative or judicial sanctions. These sanctions could include the U.S. FDA’s refusal to approve pending applications, license suspension or revocation, withdrawal of an approval, warning or untitled letters, product recalls, product seizures, total or partial suspension of production or distribution, injunctions, fines, civil penalties or criminal prosecution. Any U.S. FDA enforcement action could have a material adverse effect on us. U.S. FDA approval is required before any new unapproved drug or dosage form, including a new use of a previously approved drug, can be marketed in the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U.S. FDA before a drug may be marketed in the U.S. generally involves:</w:t>
      </w:r>
    </w:p>
    <w:p>
      <w:pPr>
        <w:spacing w:after="0" w:line="171" w:lineRule="exact"/>
        <w:rPr>
          <w:sz w:val="20"/>
          <w:szCs w:val="20"/>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animal studies and formulation studies, some performed in accordance with the U.S. FDA’s current GLP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U.S. FDA of an IND application which must become effective before human clinical trials in the U.S. may begin;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or ethics committee at each clinical trial site before each trial may be initiated;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GCP regulations to establish the safety and efficacy of the drug candidate for each proposed indication;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U.S. FDA of an NDA;</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U.S. FDA inspection of the manufacturing facility or facilities at which the drug is produced to assess compliance with cGMP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review by an U.S. FDA advisory committee, if applicable;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review and approval of the NDA prior to any commercial marketing, sale or commercial shipment of the drug.</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we cannot be certain that any approvals for any product candidates that we may seek to advance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U.S. FDA. Additional preclinical testing may continue even after the IND is submitted. The IND automatically becomes effective 30 days after receipt by the U.S. FDA, unless the U.S. FDA, within the 30-day period, raises concerns or questions relating to the IND and places the clinical trial on a clinical hold, including concerns that human research subjects will be exposed to unreasonable health risks. In such a case, the IND sponsor and the U.S. FDA must resolve any outstanding concerns before the clinical trial can begin. A separate submission to an existing IND must also be made for each successive clinical trial conducted during product development.</w:t>
      </w:r>
    </w:p>
    <w:p>
      <w:pPr>
        <w:spacing w:after="0" w:line="13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U.S. FDA as part of the IND.</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U.S.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clinical research performed in the U.S. in support of an NDA must be submitted in advance by the U.S. FDA under the IND regulations and procedures described above. However, a sponsor who wishes to conduct a clinical trial outside the U.S. may, but need not, obtain U.S. FDA authorization to conduct the clinical trial under an IND. If a foreign clinical trial is not conducted under an IND, the sponsor may submit data from the clinical trial to the U.S. FDA in support of an NDA so long as the clinical trial is conducted in compliance with GCP and if the U.S. FDA is able to validate the data from the study through an onsite inspection, if necessary. GCP includes review and approval by an independent ethics committee, such as an IRB, and obtaining and documenting the freely given informed consent of each subject before study initiation. If the applicant seeks approval of an NDA solely on the basis of foreign data, the U.S. FDA will only accept such data if they are applicable to the U.S. population and U.S. medical practice, the studies have been performed by clinical investigators of recognized competence, and the data may be considered valid without the need for an on-site inspection by the U.S. FDA, or if the U.S. FDA considers such an inspection to be necessary, the U.S. FDA is able to validate the data through an on-site inspection or through other appropriate means.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clinical investigation of a new drug is typically conducted in three or four phases, which may overlap or be combined, and generally proceed as follows.</w:t>
      </w:r>
    </w:p>
    <w:p>
      <w:pPr>
        <w:spacing w:after="0" w:line="106" w:lineRule="exact"/>
        <w:rPr>
          <w:sz w:val="20"/>
          <w:szCs w:val="20"/>
          <w:color w:val="auto"/>
        </w:rPr>
      </w:pPr>
    </w:p>
    <w:p>
      <w:pPr>
        <w:jc w:val="both"/>
        <w:ind w:left="660" w:right="160" w:hanging="328"/>
        <w:spacing w:after="0" w:line="26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Clinical trials are initially conducted in a limited population of subjects to test the drug candidate for safety, dose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healthy humans or, on occasion, in patients with severe problems or life-threatening diseases to gain an early indication of its effectiveness.</w:t>
      </w:r>
    </w:p>
    <w:p>
      <w:pPr>
        <w:spacing w:after="0" w:line="119" w:lineRule="exact"/>
        <w:rPr>
          <w:rFonts w:ascii="Times New Roman" w:cs="Times New Roman" w:eastAsia="Times New Roman" w:hAnsi="Times New Roman"/>
          <w:sz w:val="18"/>
          <w:szCs w:val="18"/>
          <w:i w:val="1"/>
          <w:iCs w:val="1"/>
          <w:color w:val="auto"/>
        </w:rPr>
      </w:pPr>
    </w:p>
    <w:p>
      <w:pPr>
        <w:ind w:left="660" w:right="320" w:hanging="328"/>
        <w:spacing w:after="0" w:line="26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Clinical trials are generally conducted in a limited patient population to evaluate dosage tolerance and appropriate dosage,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adverse effects and safety risks and evaluate preliminarily the efficacy of the drug for specific targeted indications in patients with the disease or condition under study.</w:t>
      </w:r>
    </w:p>
    <w:p>
      <w:pPr>
        <w:spacing w:after="0" w:line="119" w:lineRule="exact"/>
        <w:rPr>
          <w:rFonts w:ascii="Times New Roman" w:cs="Times New Roman" w:eastAsia="Times New Roman" w:hAnsi="Times New Roman"/>
          <w:sz w:val="18"/>
          <w:szCs w:val="18"/>
          <w:i w:val="1"/>
          <w:iCs w:val="1"/>
          <w:color w:val="auto"/>
        </w:rPr>
      </w:pPr>
    </w:p>
    <w:p>
      <w:pPr>
        <w:ind w:left="660" w:right="20" w:hanging="328"/>
        <w:spacing w:after="0" w:line="25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typically conducted when Phase 2 clinical trials demonstrate that a dose range of the product candidate is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Phase 3 clinical trials are commonly referred to as “pivotal” studies, which typically denotes a study which presents the data that the U.S.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 dispersed clinical trial sites.</w:t>
      </w:r>
    </w:p>
    <w:p>
      <w:pPr>
        <w:spacing w:after="0" w:line="128" w:lineRule="exact"/>
        <w:rPr>
          <w:rFonts w:ascii="Times New Roman" w:cs="Times New Roman" w:eastAsia="Times New Roman" w:hAnsi="Times New Roman"/>
          <w:sz w:val="18"/>
          <w:szCs w:val="18"/>
          <w:i w:val="1"/>
          <w:iCs w:val="1"/>
          <w:color w:val="auto"/>
        </w:rPr>
      </w:pPr>
    </w:p>
    <w:p>
      <w:pPr>
        <w:ind w:left="660" w:right="20" w:hanging="328"/>
        <w:spacing w:after="0" w:line="26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4</w:t>
      </w:r>
      <w:r>
        <w:rPr>
          <w:rFonts w:ascii="Times New Roman" w:cs="Times New Roman" w:eastAsia="Times New Roman" w:hAnsi="Times New Roman"/>
          <w:sz w:val="18"/>
          <w:szCs w:val="18"/>
          <w:color w:val="auto"/>
        </w:rPr>
        <w:t>: In some cases, the U.S. FDA may condition approval of an NDA for a product candidate on the sponsor’s agreement to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U.S. FDA, the IRB or the clinical trial sponsor may suspend or terminate a clinical trial at any time on various grounds, including a finding that the research subjects are being exposed to an unacceptable health risk.</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suspend or terminate a clinical trial based on evolving business objectives and/or competitive climate.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results of preclinical studies and of the clinical trials, together with other detailed information, including extensive manufacturing information and information on the composition of the drug, are submitted to the U.S. FDA in the form of an NDA requesting approval to market the drug for one or more specified indications. The U.S. FDA reviews an NDA to determine, among other things, whether a drug is safe and effective for its intended use.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the U.S. FDA has a goal of responding to standard review NDAs for new molecular entities within ten months after the 60-day filing review period, or six months after the 60-day filing review period for priority review NDAs. For non-new molecular entities, the U.S. FDA has a goal of responding within ten months of receipt of standard review NDAs and six months of receipt for priority review NDAs. These timeframes are often extended by U.S. FDA requests for additional information or clarification. The U.S. FDA may refer the application to an advisory committee for review, evaluation and recommendation as to whether the application should be approved. The U.S. FDA is not bound by the recommendation of an advisory committee, but it generally follows such recommendations.</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After the U.S. FDA evaluates the NDA and conducts inspections of manufacturing facilities where the drug product and/or its API will be produced, if deemed necessary,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Phase 3 clinical trial(s), and/or other significant, expensive and time-consuming requirements related to clinical trials, preclinical studies or manufacturing. Even if such additional information is submitted, the U.S. FDA may ultimately decide that the NDA does not satisfy the criteria for approval. The U.S. FDA could also approve the NDA with a REMS if it is determined that a REMS is necessary to ensure that the drug’s benefits outweigh its risks and a REMS to mitigate risks, which could include medication guides, physician communication plans or elements to assure safe use, such as restricted distribution methods, patient registries and other risk minimization tools. The U.S.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U.S. FDA has the authority to prevent or limit further marketing of a drug based on the results of these post-market programs. Once the U.S. FDA approves an NDA, or supplement thereto, the U.S. FDA may withdraw the approval if ongoing regulatory requirements are not met or if safety problems are identified after the drug reaches the market.</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Drugs may be marketed only for the U.S. FDA approved indications and in accordance with the provisions of the approved labeling. Further, if there are any modifications to the drug, including changes in indications, labeling, or manufacturing processes or facilities, the applicant may be required to submit and obtain U.S. FDA approval of a new NDA or NDA supplement, which may require the applicant to develop additional data or conduct additional preclinical studies and clinical trials.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effort and financial resources, and each may take several years to complete. The U.S. FDA may not grant approval on a timely basis, or at all. Even if we believe a clinical trial has demonstrated safety and efficacy of one of our drug candidates for the proposed indication, the results may not be satisfactory to the U.S. FDA. Nonclinical and clinical data may be interpreted by the U.S. FDA in different ways, which could delay, limit or prevent regulatory approval. We may encounter difficulties or unanticipated costs in our efforts to secure necessary governmental approvals which could delay or preclude us from marketing drugs. The U.S.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U.S. FDA review and approval. Depending on the nature of the change proposed, an NDA supplement must be filed and approved before the change may be implemented.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drugs manufactured or distributed by us or our collaboration partners pursuant to U.S. FDA approvals would be subject to continuing regulation by the U.S. FDA, including recordkeeping requirements and reporting of adverse experiences associated with the drug. Drug manufacturers and their subcontractors are required to register their establishments with the U.S. FDA and certain state agencies and are subject to periodic announced and unannounced inspections by the U.S.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U.S. FDA regulatory requirements. If we or our present or future third-party manufacturers or suppliers are not able to comply with these requirements, the U.S. FDA may, among other things, halt our clinical trials, require us to recall a drug from distribution or withdraw approval of the NDA for that drug.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U.S.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in the final label or consistent with the final label.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U.S. FDA. Such off-label uses are common across medical specialties. Physicians may believe that such off-label uses are the best treatment for many patients in varied circumstances. The U.S. FDA does not regulate the behavior of physicians in their choice of treatments. The U.S. FDA does, however, impose stringent restrictions on manufacturers’ communications regarding off-label use.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Price Competition and Patent Term Restoration Act, or Hatch-Waxman Act, Section 505 of the FFDCA describes three types of marketing applications that may be submitted to the U.S.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U.S. FDA’s prior findings of safety and efficacy for an existing product, or published literature, in support of its application. Section 505(j) establishes an abbreviated approval process for a generic version of approved drug products through the submission of an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U.S. FDA each patent with claims that cover the applicant’s drug or a method of using the drug. Upon approval of a drug, each of the patents listed in the application for the drug is then published in the U.S. FDA’s Approved Drug Products with Therapeutic Equivalence Evaluations, commonly known as the Orange Book. Drugs listed in the Orange Book can, in turn, be cited by potential competitors in support of approval of an ANDA or 505(b)(2) NDA.</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Upon submission of an ANDA or a 505(b)(2) NDA, an applicant must certify to the U.S. FDA that (1) no patent information on the drug product that is the subject of the application has been submitted to the U.S.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spacing w:after="0" w:line="13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If the ANDA or 505(b)(2) NDA applicant has provided a Paragraph IV certification to the U.S. FDA, the applicant must send notice of the Paragraph IV certification to the NDA holder and patent owners once the application has been accepted for filing by the U.S. FDA. The NDA and patent holders may then initiate a patent infringement lawsuit in response to the notice of the Paragraph IV certification. If the Paragraph IV certification is challenged by an NDA holder or the patent owner(s), the U.S.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Hatch-Waxman Act establishes periods of regulatory exclusivity for certain approved drug products, during which the U.S. FDA cannot approve (or in some cases accept) an ANDA or 505(b)(2) application that relies on the branded reference drug. For example, the holder of an NDA, including a 505(b)</w:t>
      </w:r>
    </w:p>
    <w:p>
      <w:pPr>
        <w:ind w:right="60" w:firstLine="8"/>
        <w:spacing w:after="0" w:line="265" w:lineRule="auto"/>
        <w:tabs>
          <w:tab w:leader="none" w:pos="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NDA, may obtain five years of exclusivity upon approval of a new drug containing an NCE that has not been previously approved by the U.S. FDA. A drug is an NCE if the U.S. FDA has not previously approved any other new drug containing the same active moiety, which is the molecule or ion responsible for the therapeutic activity of the drug substance. During the exclusivity period, the U.S. FDA may not accept for review an ANDA or a 505(b)</w:t>
      </w:r>
    </w:p>
    <w:p>
      <w:pPr>
        <w:ind w:right="32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submitted by another company that contains the previously approved active moiety. However, an ANDA or 505(b)(2) NDA may be submitted after four years if it contains a Paragraph IV certification of patent invalidity or non-infringement.</w:t>
      </w:r>
    </w:p>
    <w:p>
      <w:pPr>
        <w:spacing w:after="0" w:line="1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U.S. FDA approval of ANDAs and 505(b)(2) NDAs for the specific condition of the new drug’s approval. As a general matter, the three-year exclusivity does not prohibit the U.S.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U.S. the research, manufacturing, distribution, sale and promotion of drug products and medical devices are potentially subject to regulation by various federal, state and local authorities in addition to the U.S. FDA, including the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statute or specific intent to violate it in order to have committed a violation.</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Moreover, the government may assert that a claim including items or services resulting from a violation of the federal Anti-Kickback Statute constitutes a false or fraudulent claim for purposes of the False Claims Act.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federal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to the laws described above, the Physician Payments Sunshine Act requires certain drug manufacturers to report payments and other transfer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13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Violations of any of such laws or any other governmental regulations that apply may result in penalties, including, without limitation, administrative, civil and criminal penalties, damages, fines, disgorgement, the curtailment or restructuring of operations, reporting obligations and integrity oversight, exclusion from participation in federal and state healthcare programs and imprisonment.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Coverage and Reimbursement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U.S., no uniform policy of coverage and reimbursement for drug products exists among third-party payors. Accordingly, decisions regarding the extent of coverage and amount of reimbursement to be provided for our product candidates are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U.S.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is increased uncertainty related to insurance coverage and reimbursement for certain drugs, like XPHOZAH, which is marketed to reduce serum phosphorus in adults with CKD on dialysis as add-on therapy in patients who have an inadequate response to phosphate binders or who are intolerant of any dose of phosphate binder therapy. In January 2011, CMS implemented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Beginning January 1, 2025, XPHOZAH, along with other oral ESRD related drugs without injectable or intravenous equivalents, are now included in the ESRD PPS, thereby eliminating coverage for XPHOZAH and these other ESRD related drugs under Medicare Part D as of such date. While it is too early to project the full impact that bundling may have on XPHOZAH and our business, we may be unable to sell XPHOZAH to dialysis providers on a profitable basis.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March 2010, Congress passed the Patient Protection and ACA, a healthcare reform measure. The ACA was signed into law and substantially changed the way healthcare is financed by both governmental and private insurers and significantly impacted the pharmaceutical industry.</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ACA contained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ACA:</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brand-name drugs from 15.1% to 23.1% of the AMP;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access to commercial health insurance coverage through new state-based health insurance marketplaces, or exchanges;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9"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manufacturers to participate in a coverage gap discount program (which was replaced by a new discount program in 2025, as discussed below), under which they were required to offer 70% point-of-sale discounts off negotiated prices of applicable brand drugs to eligible beneficiaries during their coverage gap period, as a condition for the manufacturer’s outpatient drugs to be covered under Medicare Part D; and</w:t>
      </w:r>
    </w:p>
    <w:p>
      <w:pPr>
        <w:spacing w:after="0" w:line="103" w:lineRule="exact"/>
        <w:rPr>
          <w:rFonts w:ascii="Times New Roman" w:cs="Times New Roman" w:eastAsia="Times New Roman" w:hAnsi="Times New Roman"/>
          <w:sz w:val="17"/>
          <w:szCs w:val="17"/>
          <w:color w:val="auto"/>
        </w:rPr>
      </w:pPr>
    </w:p>
    <w:p>
      <w:pPr>
        <w:ind w:left="660" w:right="3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For example, in August 2011, the Budget Control Act of 2011, among other things, included aggregate reductions to Medicare payments to providers, which went into effect on April 1, 2013, and, due to subsequent legislative amendments, will remain in effect through 2032, with the exception of a temporary suspension from May 1, 2020 through March 31, 2022,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AMP.</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recently, on August 16,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Under the IRA, small molecule drugs and biologics first become eligible for price negotiation seven and eleven years, respectively, after FDA approval. The IRA permits the Secretary of the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 Additionally, individual states have also become increasingly active in passing legislation and implementing regulations designed to control pharmaceutical product pricing, including price or patient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reimbursement constraints, discounts, restrictions on certain product access, and to encourage importation from other countries and bulk purchasing. Some states have enacted legislation creating so-called prescription drug affordability boards, which ultimately may attempt to impose price limits on certain drugs in these states.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Price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Medicaid is a joint federal and state program for low-income and disabled beneficiaries. Medicare is a federal program covering individuals age 65 and over as well as those with certain disabilities. As a condition of having federal funds being made available for our covered drugs under Medicaid, we have enrolled in the MDRP, which requires us to pay a rebate to state Medicaid programs for each unit of our covered drugs dispensed to a Medicaid beneficiary and paid for by a state Medicaid program. Medicaid drug rebates are based on pricing data that we must report on a monthly and quarterly basis to the U.S.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Manufacturers who fail to provide information timely or are found to have knowingly submitted false information to the government may be subject to civil monetary penalties and other sanctions, including termination from the MDRP.</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We participate in the 340B program, which is administered by the HRSA, and requires us to charge statutorily defined covered entities no more than the 340B “ceiling price” for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purchased by certain federal agencies and grantees, manufacturers must also participate in the U.S. VA FSS pricing program. Under the VA/FSS program, manufacturers must report the Non-FAMP for their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Manufacturers must also pay rebates on products purchased by military personnel and dependents through the TRICARE retail pharmacy program. Manufacturers who fail to provide timely information or are found to have knowingly submitted false information may be subject to civil monetary penalties.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that govern the collection, use, disclosure, and protection of health-related and other personal information could apply to our operations or the operations of our partners. Further, certain foreign laws govern the privacy and security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personal data, including health-related data.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future success of our company depends on our ability to attract, retain and further develop top talent. Throughout our transition to a commercial organization and expansion of our workforce, we have remained steadfastly committed to our core values, including our goal to develop and maintain an inclusive, diverse and safe workplace with opportunities for our employees to grow and develop in their careers, supported by strong compensation and benefits.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we had 395 full-time employees, 77 of whom were engaged directly in development and manufacturing, 252 in sales and marketing and 66 in general and administrative activities. During 2024, our employee base increased by approximately 128, or 48%.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culture is supported by an unwavering commitment to inclusion and diversity. As of December 31, 2024, approximately 61% of our workforce was female; 33% of our executive leadership team was female and 55% of our employees in managerial roles were female. As of December 31, 2024, minorities represented 31% of our workforce, and 37% of our employees in managerial roles were minorities. We strive to foster a culture where mutual respect, inclusive behavior and dignity are core to our individual expectations.</w:t>
      </w:r>
    </w:p>
    <w:p>
      <w:pPr>
        <w:spacing w:after="0" w:line="12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We believe that our success will be significantly impacted by our ability to create and maintain a safe inclusive environment where everyone is empowered to do their best work regardless of race, color, national origin, religion, sex, sexual orientation, gender identity and expression, age or disability.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Values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Fostering and maintaining a strong, healthy culture is a key strategic focus. Our core values reflect who we are and the way our employees interact with one another, our partners and our stockholders. We are dedicated to our core values, recognizing that this dedication will foster an environment where we will be able to realize our vision of advancing patient care. We are Passionate, aware that with integrity and determination, we make a difference for patients. We are Fearless, aware that by challenging convention, we truly innovate. We are Dedicated, aware that working tirelessly together, we are greater than the sum of our parts. We are Inclusive, aware that with respect, grace and humor, we are family. We encourage our employees to live out our core values and believe they help our culture stay strong and unique.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have always invested, and will continue to do so. We continue to offer hybrid and remote working opportunities for our team members employed in areas within the organization where such flexible work options are possible. We will continue to adopt and align our policies to focus on the health, safety and wellness of our employees, and the needs of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that we operate within an industry where there is significant competition for top talent, and we endeavor to provide not only a strong healthy culture, but also important compensation and benefits programs to help meet the needs of our employees. In addition to base compensation, these programs include annual bonuses, stock awards, an Employee Stock Purchase Plan, 401(k) with company match contribution, healthcare and insurance benefits, health savings (funded by the Company) and flexible spending accounts, family leave, family care resources, and flexible work schedules, among many others.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were founded in October 2007 as a Delaware corporation under the name Nteryx. We changed our name to Ardelyx, Inc. in June 2008. We operate in one business segment, which is the development and commercialization of biopharmaceutical products. Our principal executive offices are located at 400 Fifth Avenue, Suite 210, Waltham, Massachusetts 02415, and our telephone number is (510) 745-1700. Our website address is www.ardelyx.com.</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file electronically with the SEC our annual reports on Form 10-K, quarterly reports on Form 10-Q and current reports on Form 8-K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these risks, as well as other information in this Annual Report on Form 10-K,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in each year since our inception, and we expect to continue to incur operating losses in the future as we incur additional expenses related to our ongoing operations and our pursuit of future business opportunities.</w:t>
      </w:r>
    </w:p>
    <w:p>
      <w:pPr>
        <w:spacing w:after="0" w:line="10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In March 2022, we commenced the commercialization of our first product, IBSRELA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(tenapanor) for the treatment of IBS-C in adult patients. In November 2023, we commenced the commercialization of XPHOZAH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(tenapanor) for the reduction of serum phosphorus in adults with CKD on dialysis as add-on therapy in patients who have an inadequate response to phosphate binders or who are intolerant of any dose of phosphate binder therapy.</w:t>
      </w:r>
    </w:p>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incurred losses in each year since our inception in October 2007, and we do not know whether or when we will become profitable. We continue to incur significant commercialization, development and additional expenses related to our ongoing operations and pursuit of future business opportunities. As of December 31, 2024, we had an accumulated deficit of $885.3 million.</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incur expenses related to our ongoing operations and our pursuit of future business opportunities.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prior losses, combined with any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spacing w:after="0" w:line="106"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for the foreseeable future as we invest in the growth of IBSRELA and XPHOZAH in the U.S. and building a pipeline. The inability to access necessary capital when needed on acceptable terms, or at all, could force us to reduce our efforts to commercialize IBSRELA and/or XPHOZAH, or to delay or limit our pursuit of other future business opportunities.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including costs associated with our efforts to commercialize IBSRELA and XPHOZAH; conducting pediatric clinical trials for IBSRELA; manufacturing for IBSRELA and XPHOZAH; investments to build a pipeline; and research and development related to potential new product candidates. The inability to access necessary capital when needed on acceptable terms, or at all, could force us to reduce our efforts to commercialize IBSRELA and/or XPHOZAH or otherwise delay or limit our pursuit of future business opportunities. Our future funding requirements will depend on many factors, including, but not limited to:</w:t>
      </w:r>
    </w:p>
    <w:p>
      <w:pPr>
        <w:spacing w:after="0" w:line="1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generate product revenue from sales of IBSRELA and XPHOZAH;</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on January 1, 2025, and the extent to which this change will interfere with the shared decision-making between healthcare professionals and their patients, regardless of insurance coverage;</w:t>
      </w:r>
    </w:p>
    <w:p>
      <w:pPr>
        <w:spacing w:after="0" w:line="121" w:lineRule="exact"/>
        <w:rPr>
          <w:rFonts w:ascii="Times New Roman" w:cs="Times New Roman" w:eastAsia="Times New Roman" w:hAnsi="Times New Roman"/>
          <w:sz w:val="18"/>
          <w:szCs w:val="18"/>
          <w:color w:val="auto"/>
        </w:rPr>
      </w:pPr>
    </w:p>
    <w:p>
      <w:pPr>
        <w:jc w:val="both"/>
        <w:ind w:left="660" w:right="4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reimbursement for IBSRELA;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IBSRELA and XPHOZAH;</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milestones that may be received from our collaboration partners in connection with tenapanor, if any;</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royalties we may receive as a result of sales of tenapanor by our collaboration partners in China, and Canada, if any;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IBSRELA and XPHOZAH are commercialized in other ex-U.S. territories;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necessary to expand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for the discovery and/or development of other potential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interest and principal related to our loan and security agreement entered into with SLR, as amended to date.</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other future business opportunities.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generated limited revenue from product sales and may never be profitable for a full fiscal year.</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generated limited revenue from product sales and have incurred significant net losses in each year since inception. We began selling IBSRELA in the U.S. in March 2022 and we began selling XPHOZAH in the U.S. in November 2023. We have no other products approved for sale.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ISBRELA and XPHOZAH and to increase market share for both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sufficient market acceptance of IBSRELA as a viable treatment option for IBS-C;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XPHOZAH;</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on January 1, 2025, and the extent to which this change will interfere with the shared decision-making between healthcare professionals and their patients, regardless of insurance coverage;</w:t>
      </w:r>
    </w:p>
    <w:p>
      <w:pPr>
        <w:spacing w:after="0" w:line="121"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level of coverage and reimbursement for IBSRELA by third-party payors;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an adequate (in amount and quality) supply of product to support the market demand for IBSRELA and XPHOZAH;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With respect to our commercialization of IBSRELA and XPHOZAH, our revenue will be dependent, in part, upon the size of the markets in the U.S., the label for which approval was granted, accepted price for the product, and the ability to secure and maintain adequate reimbursement. Beginning January 1, 2025, XPHOZAH, along with other oral ESRD related drugs without injectable or intravenous equivalents, are now included in the ESRD PPS, thereby eliminating coverage for XPHOZAH and these other ESRD related drugs under Medicare Part D as of such date. The inclusion of XPHOZAH in the ESRD PPS creates additional uncertainty as to our ability to generate revenue from sales of XPHOZAH. See “—</w:t>
      </w:r>
      <w:r>
        <w:rPr>
          <w:rFonts w:ascii="Times New Roman" w:cs="Times New Roman" w:eastAsia="Times New Roman" w:hAnsi="Times New Roman"/>
          <w:sz w:val="18"/>
          <w:szCs w:val="18"/>
          <w:i w:val="1"/>
          <w:iCs w:val="1"/>
          <w:color w:val="auto"/>
        </w:rPr>
        <w:t>XPHOZAH is now included in the ESRD PPS,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January 1, 2025, which means 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below.</w:t>
      </w:r>
    </w:p>
    <w:p>
      <w:pPr>
        <w:spacing w:after="0" w:line="13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Additionally, if the number of adult patients for IBSRELA and/or XPHOZAH is not as significant as we estimate, coverage and reimbursement for either IBSRELA or XPHOZAH are not available in the manner and to the extent we expect, or the reasonably accepted population for treatment is narrowed by competition, physician choice or treatment guidelines, we may not generate significant revenue from sales of IBSRELA or XPHOZAH. Even if we achieve profitability on a quarterly basis in the future, we may not be able to sustain profitability for a full fiscal year.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Risks Related to Our Business</w:t>
      </w:r>
    </w:p>
    <w:p>
      <w:pPr>
        <w:spacing w:after="0" w:line="17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began selling IBSRELA in the U.S. in March 2022. The overall commercial success of IBSRELA will depend on a number of factors, including the following:</w:t>
      </w:r>
    </w:p>
    <w:p>
      <w:pPr>
        <w:spacing w:after="0" w:line="108" w:lineRule="exact"/>
        <w:rPr>
          <w:sz w:val="20"/>
          <w:szCs w:val="20"/>
          <w:color w:val="auto"/>
        </w:rPr>
      </w:pPr>
    </w:p>
    <w:p>
      <w:pPr>
        <w:ind w:left="660" w:right="4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provide an adequate (in amount and quality) supply of product to support the market demand for IBSRELA;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coverage and reimbursement for IBSRELA by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IBSRELA as a treatment for adult patients with IBS-C;</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IBSRELA will be subject to price negotiations under the IRA, and the timing and impact of those price negotiations on the revenue from product sales of IBSRELA;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treatable patient population;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increase the market share of IBSRELA;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 access and marketing efforts;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view IBSRELA as a safe and effective treatment for adult patients with IBS-C, which will impact the adoption of IBSRELA by physicians for the treatment of IBS-C;</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IBSRELA compared to alternative and competing treatments;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IBSRELA;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lawsuits in connection with enforcing intellectual property rights in and to IBSRELA;</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IBSRELA following approval.</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spacing w:after="0" w:line="12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began selling XPHOZAH in the U.S. in November 2023. The overall commercial success of XPHOZAH will depend on a number of factors, including the following:</w:t>
      </w:r>
    </w:p>
    <w:p>
      <w:pPr>
        <w:spacing w:after="0" w:line="108" w:lineRule="exact"/>
        <w:rPr>
          <w:sz w:val="20"/>
          <w:szCs w:val="20"/>
          <w:color w:val="auto"/>
        </w:rPr>
      </w:pPr>
    </w:p>
    <w:p>
      <w:pPr>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on January 1, 2025, and the extent to which this change will interfere with the shared decision-making between healthcare professionals and their patients, regardless of insurance coverage;</w:t>
      </w:r>
    </w:p>
    <w:p>
      <w:pPr>
        <w:spacing w:after="0" w:line="121" w:lineRule="exact"/>
        <w:rPr>
          <w:rFonts w:ascii="Times New Roman" w:cs="Times New Roman" w:eastAsia="Times New Roman" w:hAnsi="Times New Roman"/>
          <w:sz w:val="18"/>
          <w:szCs w:val="18"/>
          <w:color w:val="auto"/>
        </w:rPr>
      </w:pPr>
    </w:p>
    <w:p>
      <w:pPr>
        <w:jc w:val="both"/>
        <w:ind w:left="660" w:right="4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4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provide an adequate (in amount and quality) supply of product to support the market demand for XPHOZAH;</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content and breadth of the label that has been approved by the U.S. FDA for XPHOZAH will materially and adversely impact our ability to commercialize the product for the approved indication;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XPHOZAH;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XPHOZAH as safe, effective and well-tolerated by patients and the medical community;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XPHOZAH compared to alternative and competing treatments;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XPHOZAH by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lawsuits in connection with enforcing intellectual property rights in and to XPHOZAH;</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XPHOZAH following approval.</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See “—</w:t>
      </w:r>
      <w:r>
        <w:rPr>
          <w:rFonts w:ascii="Times New Roman" w:cs="Times New Roman" w:eastAsia="Times New Roman" w:hAnsi="Times New Roman"/>
          <w:sz w:val="18"/>
          <w:szCs w:val="18"/>
          <w:i w:val="1"/>
          <w:iCs w:val="1"/>
          <w:color w:val="auto"/>
        </w:rPr>
        <w:t>XPHOZAH is now included in the ESRD PPS, effective January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2025, which means 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below.</w:t>
      </w:r>
    </w:p>
    <w:p>
      <w:pPr>
        <w:spacing w:after="0" w:line="1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2011, the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which means coverage for XPHOZAH for Medicare beneficiaries is no longer available under Medicare Part D, and as a result the revenue that we may generate on sales of XPHOZAH will be negatively and materially impacted.</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extent to which the inclusion of XPHOZAH in the ESRD PPS will materially and adversely impact our XPHOZAH business is dependent on the following:</w:t>
      </w:r>
    </w:p>
    <w:p>
      <w:pPr>
        <w:spacing w:after="0" w:line="108" w:lineRule="exact"/>
        <w:rPr>
          <w:sz w:val="20"/>
          <w:szCs w:val="20"/>
          <w:color w:val="auto"/>
        </w:rPr>
      </w:pPr>
    </w:p>
    <w:p>
      <w:pPr>
        <w:ind w:left="660" w:right="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on January 1, 2025, and the extent to which this change will interfere with the shared decision-making between healthcare professionals and their patients, regardless of insurance coverage; and</w:t>
      </w:r>
    </w:p>
    <w:p>
      <w:pPr>
        <w:spacing w:after="0" w:line="121"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IBSRELA and/or XPHOZAH may cause undesirable side effects or have other properties that could limit the commercial success of the product.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collaboration partner may be required to recall the product;</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collaboration partner may be subject to fines, injunctions or the imposition of civil or criminal penalties;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labeling statements, such as a “black box” warning or a contraindication;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7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spacing w:after="0" w:line="82"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U.S., CMS decides whether and to what extent a new drug will be covered and reimbursed under Medicare. Private payors tend to follow the coverage reimbursement policies established by CMS to a substantial degree. Beginning January 1, 2025, XPHOZAH, along with other oral ESRD related drugs without injectable or intravenous equivalents, are now included in the ESRD PPS, thereby eliminating coverage for XPHOZAH and these other ESRD related drugs under Medicare Part D as of such date. See “—</w:t>
      </w:r>
      <w:r>
        <w:rPr>
          <w:rFonts w:ascii="Times New Roman" w:cs="Times New Roman" w:eastAsia="Times New Roman" w:hAnsi="Times New Roman"/>
          <w:sz w:val="18"/>
          <w:szCs w:val="18"/>
          <w:i w:val="1"/>
          <w:iCs w:val="1"/>
          <w:color w:val="auto"/>
        </w:rPr>
        <w:t>XPHOZAH is now included in the ESRD PPS, effective January 1, 2025, which means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above.</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products may be reduced compared with the U.S. and may be insufficient to generate commercially reasonable revenue and profits.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spacing w:after="0" w:line="10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spacing w:after="0" w:line="12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facilities used by our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depend on CMOs, many of whom are our single source manufacturers.</w:t>
      </w:r>
    </w:p>
    <w:p>
      <w:pPr>
        <w:spacing w:after="0" w:line="17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w:t>
      </w:r>
    </w:p>
    <w:p>
      <w:pPr>
        <w:spacing w:after="0" w:line="12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spacing w:after="0" w:line="13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23, 2022, we entered into a loan and security agreement (the 2022 Loan Agreement) with SLR as collateral agent and the lenders listed in the 2022 Loan Agreement (collectively, the 2022 Lenders). The 2022 Loan Agreement was subsequently amended in August 2022 (the First Amendment), February 2023 (the Second Amendment), October 2023 (the Third Amendment) and October 2024 (Fourth Amendment). The loan was funded in the amount of $27.5 million on February 23, 2022 and additional amounts of $22.5 million, $50.0 million and $50.0 million were drawn on October 19, 2023, March 1, 2024, and October 29, 2024, respectively. In addition, we have the option to draw up to an additional $50.0 million by June 30, 2025.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7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1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Pharmaceuticals and currently in Phase 2; and OLC, developed by Unicycive Therapeutics, which has announced its plans to seek U.S. FDA approval via the 505(b)(2) pathway. OLC has demonstrated pharmacodynamic bioequivalence to Fosrenol. Additionally, Alebund is developing AP-306, an inhibitor of phosphate transporters NaPi-2b, PiT-1, and PiT-2, thus far studied in a Phase 2 clinical trial.</w:t>
      </w:r>
    </w:p>
    <w:p>
      <w:pPr>
        <w:spacing w:after="0" w:line="12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current activities and growth given our level of managerial, operational, financial and other resources.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commercialization activities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licensors, contractors, collaborators, government agencies and other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our remaining employees and potentially identify, recruit and integrate additional employees.</w:t>
      </w:r>
    </w:p>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26" w:lineRule="exact"/>
        <w:rPr>
          <w:sz w:val="20"/>
          <w:szCs w:val="20"/>
          <w:color w:val="auto"/>
        </w:rPr>
      </w:pPr>
    </w:p>
    <w:p>
      <w:pPr>
        <w:ind w:left="660" w:right="5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7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IBSRELA and/or XPHOZAH.</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significant financial and management resources. Regardless of the merits or eventual outcome, liability claims may result in:</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IBSRELA and/or XPHOZAH.</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retain and motivate our executives, senior management and key personnel, our business will suffer.</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3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3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infrastructure, and those of our current and any future collaborators, CROs, contractors and consultants and other third parties on which we rely, are vulnerable to attack, damage and interruption from computer viruses, malware (e.g.,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spacing w:after="0" w:line="12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spacing w:after="0" w:line="13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in Canada with Knight for commercialization of tenapanor for IBS-C and hyperphosphatemia; and with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conduct of additional clinical trials, we could encounter delays in our development if any clinical trials are suspended or terminated by us, by the IRBs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identifying and qualifying patients to participate in any clinical trials is critical to the success of the clinical trials. The timing of any future clinical trials that we may determine to conduct, will depend, in part, on the speed at which we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spacing w:after="0" w:line="13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GCPs for clinical studies. GLPs and GCPs are regulations and guidelines enforced by the U.S.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spacing w:after="0" w:line="13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spacing w:after="0" w:line="12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drug import and export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171"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16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0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or fines;</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CMOs’ operations;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and certain regulatory agencies, such as the U.S. FDA, have had to furlough critical U.S. FDA employees and stop critical activities.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CMOs are subject to significant regulation with respect to manufacturing IBSRELA and XPHOZAH. The manufacturing facilities on which we rely may not continue to meet regulatory requirements or may not be able to meet supply demands.</w:t>
      </w:r>
    </w:p>
    <w:p>
      <w:pPr>
        <w:spacing w:after="0" w:line="1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spacing w:after="0" w:line="13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U.S.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and the design and implementation of patient assistance programs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3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the U.S. FDA or any other governmental agency initiates an enforcement action against us or if we are the subject of a qui tam suit and it is determined that we violated U.S.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IBSRELA and/or XPHOZAH may cause or contribute to adverse medical events that we are required to report to regulatory agencies and if we fail to do so we could be subject to sanctions that would materially harm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spacing w:after="0" w:line="12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CMOs and vendors may engage in misconduct or other improper activities, including noncompliance with regulatory standards and requirements.</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spacing w:after="0" w:line="10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22" w:lineRule="exact"/>
        <w:rPr>
          <w:sz w:val="20"/>
          <w:szCs w:val="20"/>
          <w:color w:val="auto"/>
        </w:rPr>
      </w:pPr>
    </w:p>
    <w:p>
      <w:pPr>
        <w:ind w:left="660" w:right="1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29" w:lineRule="exact"/>
        <w:rPr>
          <w:rFonts w:ascii="Times New Roman" w:cs="Times New Roman" w:eastAsia="Times New Roman" w:hAnsi="Times New Roman"/>
          <w:sz w:val="18"/>
          <w:szCs w:val="18"/>
          <w:color w:val="auto"/>
        </w:rPr>
      </w:pPr>
    </w:p>
    <w:p>
      <w:pPr>
        <w:jc w:val="both"/>
        <w:ind w:left="660" w:right="1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2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129"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3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3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MDRP and extended the rebate program to individuals enrolled in Medicaid managed care organizations, established annual fees and taxes on manufacturers of certain branded prescription drugs, and created a new Medicare Part D coverage gap discount program, which was replaced by a new manufacturer discount program on January 1, 2025 (as discussed below), in which manufacturers were required to offer 70% point-of-sale discounts off negotiated prices of applicable brand drugs to eligible beneficiaries during their coverage gap period as a condition for the manufacturer’s outpatient drugs to be covered under Medicare Part D.</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beginning January 1, 2025, XPHOZAH, along with other oral ESRD related drugs without injectable or intravenous equivalents, are now included in the ESRD PPS, thereby eliminating coverage under Medicare Part D as of such date. See “—</w:t>
      </w:r>
      <w:r>
        <w:rPr>
          <w:rFonts w:ascii="Times New Roman" w:cs="Times New Roman" w:eastAsia="Times New Roman" w:hAnsi="Times New Roman"/>
          <w:sz w:val="18"/>
          <w:szCs w:val="18"/>
          <w:i w:val="1"/>
          <w:iCs w:val="1"/>
          <w:color w:val="auto"/>
        </w:rPr>
        <w:t>XPHOZAH is now included in the ESRD PPS,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January 1, 2025, which means 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AMP.</w:t>
      </w:r>
    </w:p>
    <w:p>
      <w:pPr>
        <w:spacing w:after="0" w:line="13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which will start to take effect in 2026, imposes rebates under Medicare Part B and Medicare Part D to penalize price increases that outpace inflation (first due in 2023), and replaces the Part D coverage gap discount program with a new discounting program (which began on January 1, 2025). Under the IRA, small molecule drugs and biologics first become eligible for price negotiation seven and eleven years, respectively, after U.S. FDA approval. The IRA permits the Secretary of HHS to implement many of these provisions through guidance, as opposed to regulation, for the initial years. CMS has published the negotiated prices for the initial ten drugs, which will first be effective in 2026, and the list of the subsequent 15 drugs that will be subject to negotiation. Each year thereafter, more Part B and Part D products will become subject to the HHS price negotiation program, although the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2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12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We participate in the 340B program, which is administered by the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13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In order to be eligible to have drug products paid for with federal funds under Medicaid and purchased by certain federal agencies and grantees, we also participate in the U.S. VA/FSS pricing program. Under the VA/FSS program, we are obligated to report the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1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3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 or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manufacture and/or commercialize similar or alternative products or technologies that do not infringe our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challenged patents will ultimately be found to be valid and enforceable;</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16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infringement claims against us, third parties may also raise similar claims before administrative bodies in the U.S. or abroad. Such mechanisms include reexamination, post grant review, inter parties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3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enforce our intellectual property rights, the commercial value of IBSRELA and XPHOZAH or other product candidates may be adversely affected and we may not be able to compete effectively in our market.</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U.S., the Hatch-Waxman Act provides non-patent regulatory exclusivity for five years from the date of the first U.S. FDA approval of a drug containing an NCE. The U.S. FDA is prohibited during those five years from approving an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cases where NCE exclusivity has been granted for an NDA, as in the case of IBSRELA, if an ANDA sponsor has provided a Paragraph IV certification to the U.S.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Patent No. 8,541,448 covering tenapanor was subject to patent term adjustment under the American Inventors Protection Act for delays by the USPTO in granting the patent. Additionally, following the approval by the U.S.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Europe’s new Unified Patent Court may, in particular, present uncertainties for our ability to protect and enforce our patent rights against competitors in Europe. In 2012, the EU Patent Package regulations were passed with the goal of providing a single pan-European Unitary Patent and a new UPC, for litigation involving European patents. Implementation of the EU Patent Package entered into force on June 1, 2023. Under the UPC, all European patents, including those issued prior to ratification of the EU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spacing w:after="0" w:line="13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Unauthorized parties may also attempt to copy or reverse engineer certain aspects of our products that we consider proprietary. We may not be able to obtain adequate remedies in the event of such unauthorized use. Enforcing a claim that a 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current or future registered or unregistered trademarks or trade names may be challenged, infringed, circumvented or declared generic or descriptive, cancelled or determined to be infringing on other marks. We may not be able to protect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spacing w:after="0" w:line="13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lack of success with regards to our commercialization of IBSRELA and XPHOZAH;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regulatory inspections of our facilities or those of our CMOs, or specific label restrictions or patient populations for XPHOZAH’s use, or changes or delays in the regulatory review process;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coverage and reimbursement for XPHOZAH alone or with other oral ESRD related drugs without injectable or intravenous equivalents;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current or future collaboration partnerships;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or strategic transactions by us or our competitors;</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product label, our clinical trials, manufacturing supply chain or sales and marketing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approved products 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7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any of our projected timelines or goals with regard to the commercialization of IBSRELA and XPOHZAH, or the clinical development and commercialization of any of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obtain adequate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or other U.S. or foreign regulatory actions affecting us or our industry or other healthcare reform measures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securities and sales or licensing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U.S. equity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lawsuit and the attention of our management would be diverted from the operation of our business, which could seriously harm our financial position. Any adverse determination in litigation could also subject us to significant liabilities.</w:t>
      </w:r>
    </w:p>
    <w:p>
      <w:pPr>
        <w:spacing w:after="0" w:line="10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spacing w:after="0" w:line="1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 “smaller reporting company” and as a result we are or will be subject to certain enhanced disclosure requirements which will require us to incur significant expenses and expend time and resources.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no longer a “smaller reporting company,”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 or other regulatory authorities, which would require additional financial and management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global economic environment.</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was closed by the California Department of Financial Protection and Innovation, which appointed the U.S. Federal Deposit Insurance Corporation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3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22" w:lineRule="exact"/>
        <w:rPr>
          <w:sz w:val="20"/>
          <w:szCs w:val="20"/>
          <w:color w:val="auto"/>
        </w:rPr>
      </w:pPr>
    </w:p>
    <w:p>
      <w:pPr>
        <w:ind w:left="660" w:right="6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two-thirds of the shares entitled to vote to remove a director for cause, and the prohibition on removal of directors without cause;</w:t>
      </w:r>
    </w:p>
    <w:p>
      <w:pPr>
        <w:spacing w:after="0" w:line="107" w:lineRule="exact"/>
        <w:rPr>
          <w:rFonts w:ascii="Times New Roman" w:cs="Times New Roman" w:eastAsia="Times New Roman" w:hAnsi="Times New Roman"/>
          <w:sz w:val="18"/>
          <w:szCs w:val="18"/>
          <w:color w:val="auto"/>
        </w:rPr>
      </w:pPr>
    </w:p>
    <w:p>
      <w:pPr>
        <w:jc w:val="both"/>
        <w:ind w:left="660" w:right="4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1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08" w:lineRule="exact"/>
        <w:rPr>
          <w:sz w:val="20"/>
          <w:szCs w:val="20"/>
          <w:color w:val="auto"/>
        </w:rPr>
      </w:pPr>
    </w:p>
    <w:p>
      <w:pPr>
        <w:ind w:left="660" w:right="4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71" w:lineRule="exact"/>
        <w:rPr>
          <w:rFonts w:ascii="Times New Roman" w:cs="Times New Roman" w:eastAsia="Times New Roman" w:hAnsi="Times New Roman"/>
          <w:sz w:val="18"/>
          <w:szCs w:val="18"/>
          <w:color w:val="auto"/>
        </w:rPr>
      </w:pPr>
    </w:p>
    <w:p>
      <w:pPr>
        <w:jc w:val="both"/>
        <w:ind w:left="660" w:right="56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5"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future business opportunities. Additionally, the terms of our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program intended to manage risk, and protect the confidentiality, integrity, and availability of our critical systems and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design, assess and benchmark our program based on the National Institute of Standards and Technology Cybersecurity Framework.</w:t>
      </w:r>
    </w:p>
    <w:p>
      <w:pPr>
        <w:spacing w:after="0" w:line="17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in areas such as legal, compliance, strategic, operational and financial risk.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program include but are not limited to the following:</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that have access to our critical systems and information based on our assessment of their criticality to our operations and respective risk profile.</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Factors— </w:t>
      </w:r>
      <w:r>
        <w:rPr>
          <w:rFonts w:ascii="Times New Roman" w:cs="Times New Roman" w:eastAsia="Times New Roman" w:hAnsi="Times New Roman"/>
          <w:sz w:val="18"/>
          <w:szCs w:val="18"/>
          <w:i w:val="1"/>
          <w:iCs w:val="1"/>
          <w:color w:val="auto"/>
        </w:rPr>
        <w:t>We and our collaborators, CROs and other contractors and consultants depend on information technology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and Compliance Committee (Committee) oversight of cybersecurity risks, including oversight of management’s implementation of our cybersecurity risk management program, maintains a strategic role in coordinating cyber risk initiatives and policies, and confirming their efficacy.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Committee receives annual reports from management on our cybersecurity posture. In addition, management updates the Committee where it deems appropriate regarding any cybersecurity incidents it considers to be significant or potentially significant.</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of directors regarding its activities, including those related to cybersecurity. The board of directors also receives periodic briefings from management on our cybersecurity program. The board members receive presentations on cybersecurity topics from our Chief Information Officer, internal security staff or external experts as part of the board of directors’ continuing education on topics that impact public companies.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Chief Information Officer has over 20 years of experience in overseeing cybersecurity and risk management. In addition, our Chief Legal and Administrative Officer has over 25 years of risk management experience and our Chief Financial and Operations Officer has over 20 years of experience in overseeing risk management and cybersecurity. This team is responsible for assessing and managing our material risks from cybersecurity threats and has primary responsibility for our overall cybersecurity risk management program and supervises both our internal cybersecurity personnel and our retained external cybersecurity consultants. Our management team’s experience includes experience running cybersecurity programs at similarly situated commercial biotechnology organizations and navigating the associated risk landscape.</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do not own any real estate or other physical properties materially important to our operations. Our Waltham, Massachusetts headquarters is leased for three suites, two of which expire on July 31, 2026, and one expires on April 30, 2027. In addition, we have lease agreements to lease office space and/or laboratory space in Fremont, California, Milwaukee, Wisconsin and Newark, California which expire in March 2025, February 2029 and May 2028, respectively.</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under the “Legal Proceedings and Claims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caption in </w:t>
      </w:r>
      <w:r>
        <w:rPr>
          <w:rFonts w:ascii="Times New Roman" w:cs="Times New Roman" w:eastAsia="Times New Roman" w:hAnsi="Times New Roman"/>
          <w:sz w:val="18"/>
          <w:szCs w:val="18"/>
          <w:i w:val="1"/>
          <w:iCs w:val="1"/>
          <w:color w:val="auto"/>
        </w:rPr>
        <w:t>Note 19. Commitments And Contingencies</w:t>
      </w:r>
      <w:r>
        <w:rPr>
          <w:rFonts w:ascii="Times New Roman" w:cs="Times New Roman" w:eastAsia="Times New Roman" w:hAnsi="Times New Roman"/>
          <w:sz w:val="18"/>
          <w:szCs w:val="18"/>
          <w:color w:val="auto"/>
        </w:rPr>
        <w:t xml:space="preserve"> which we incorporated here by reference.</w:t>
      </w:r>
    </w:p>
    <w:p>
      <w:pPr>
        <w:spacing w:after="0" w:line="1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820" w:right="20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were 24 holders of record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growth and development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financial statements and related notes included elsewhere in this report. This discussion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forward-looking statements speak only as of the date hereof. Except as required by law, we assume no obligation to update or revise these forward-looking statements for any reason. Unless the context requires otherwise, the terms “Ardelyx,” “we,” “us,” “our” and “the Company” refer to Ardelyx,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AND FINANCIAL HIGHLIGHTS</w:t>
      </w:r>
    </w:p>
    <w:p>
      <w:pPr>
        <w:spacing w:after="0" w:line="17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to reduce serum phosphorus in adults with CKD on dialysis as add-on therapy in patients who have an inadequate response to phosphate binders or who are intolerant of any dose of phosphate binder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product sales, net by product for the years ended December 31 and total cash, cash equivalents and short-term investments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03" w:lineRule="exact"/>
        <w:rPr>
          <w:sz w:val="20"/>
          <w:szCs w:val="20"/>
          <w:color w:val="auto"/>
        </w:rPr>
      </w:pPr>
    </w:p>
    <w:tbl>
      <w:tblPr>
        <w:tblLayout w:type="fixed"/>
        <w:tblInd w:w="1640" w:type="dxa"/>
        <w:tblCellMar>
          <w:top w:w="0" w:type="dxa"/>
          <w:left w:w="0" w:type="dxa"/>
          <w:bottom w:w="0" w:type="dxa"/>
          <w:right w:w="0" w:type="dxa"/>
        </w:tblCellMar>
      </w:tblPr>
      <w:tr>
        <w:trPr>
          <w:trHeight w:val="265"/>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IBSRELA product sales,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80,062</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XPHOZAH product sales,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48"/>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184,299</w:t>
            </w:r>
          </w:p>
        </w:tc>
      </w:tr>
    </w:tbl>
    <w:p>
      <w:pPr>
        <w:spacing w:after="0" w:line="2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IBSRELA and XPHOZAH product sales have continually grown since their respective commercial launches. IBSRELA net sales growth was attributed to patient demand for this first-in-class therapy as well as increased product awareness achieved through the IBSRELA field-based team. XPHOZAH’s commercial launch has been met with a strong response from the prescribing community and net sales continued to increase during 2024, the first full year of commercialization. As of January 1, 2025, we no longer receive reimbursement for XPHOZAH from Medicare Part D following the decision by the Centers of Medicare and Medicaid Services to eliminate Medicare Part D reimbursement to transition oral only therapies, including XPHOZAH, into the End Stage Renal Disease Prospective Payment System. Patient access to XPHOZAH remains through a prescription written by a qualifying healthcare provider through our ArdelyxAssist specialty pharmacy partner. Patients who do not have affordable access will be evaluated for eligibility to receive XPHOZAH fulfilled by our Ardelyx patient assistance program.</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increase in our cash, cash equivalents and short-term investment was attributed to higher product sales, net and incremental borrowings. During 2024, we amended the 2022 Loan Agreement with SLR and drew an additional $100.0 million in debt as discussed in </w:t>
      </w:r>
      <w:r>
        <w:rPr>
          <w:rFonts w:ascii="Times New Roman" w:cs="Times New Roman" w:eastAsia="Times New Roman" w:hAnsi="Times New Roman"/>
          <w:sz w:val="18"/>
          <w:szCs w:val="18"/>
          <w:i w:val="1"/>
          <w:iCs w:val="1"/>
          <w:color w:val="auto"/>
        </w:rPr>
        <w:t>Note 9. Borrowing</w:t>
      </w:r>
      <w:r>
        <w:rPr>
          <w:rFonts w:ascii="Times New Roman" w:cs="Times New Roman" w:eastAsia="Times New Roman" w:hAnsi="Times New Roman"/>
          <w:sz w:val="18"/>
          <w:szCs w:val="18"/>
          <w:color w:val="auto"/>
        </w:rPr>
        <w:t>. We expect that we will increasingly rely on cash generated from operations to fund our operating plan. We believe our existing cash, cash equivalents and short-term investments, and cash generated from operations will be sufficient to satisfy our anticipated cash needs for operations for at least the next few years. Our access to additional capital, including our ability to source cash from future equity sales and debt financing, provides us financial flexibility to execute our principal strategy as discussed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committed to our mission of discovering, developing and commercializing first-in-class medicines that address unmet patient needs. Our principal strategy is to maintain our commercial momentum with our current products while identifying additional assets that leverage our core capabilities, including clinical, developmental and regulatory expertise and commercial excellence while maintaining a solid financial foundation, to support our future growth.</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priorities include: (i) accelerating IBSRELA growth momentum; (ii) executing our XPHOZAH strategy to grow utilization; (iii) building a pipeline focused on areas of unmet patient need; and (iv) continuing to deliver strong commercial and financial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A summary of recent accounting pronouncements that we have adopted or may expect to adopt is included in </w:t>
      </w:r>
      <w:r>
        <w:rPr>
          <w:rFonts w:ascii="Times New Roman" w:cs="Times New Roman" w:eastAsia="Times New Roman" w:hAnsi="Times New Roman"/>
          <w:sz w:val="18"/>
          <w:szCs w:val="18"/>
          <w:i w:val="1"/>
          <w:iCs w:val="1"/>
          <w:color w:val="auto"/>
        </w:rPr>
        <w:t>Note 2.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notes to our financial statements, included in Part II, Item 8, of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 detailed discussion of our significant accounting policies can be found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in the notes to our financial statements, included in Part II, Item 8, of this Annual Report on Form 10-K. The preparation of financial statements requires the use of estimates and assumptions that affect the reported amounts of assets and liabilities and the reported amounts of revenues and expenses. Our critical accounting policies are those that significantly affect our financial condition and results of operations and require the most difficult, subjective or complex judgments, often because of the need to make estimates about the effect of matters that are inherently uncertain.</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due to unforeseen events or otherwise could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The application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substantially impacts our reported results, particularly product sales, net, which requires certain estimates in determining the transaction price. Total revenues are recognized following a five-step model: (i) identify the customer contract;</w:t>
      </w:r>
    </w:p>
    <w:p>
      <w:pPr>
        <w:spacing w:after="0" w:line="1" w:lineRule="exact"/>
        <w:rPr>
          <w:sz w:val="20"/>
          <w:szCs w:val="20"/>
          <w:color w:val="auto"/>
        </w:rPr>
      </w:pPr>
    </w:p>
    <w:p>
      <w:pPr>
        <w:ind w:right="200" w:firstLine="8"/>
        <w:spacing w:after="0" w:line="260"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performance obligations; (iii) determine the transaction price; (iv) allocate the transaction price to the performance obligations; and (v) recognize revenue when or as a performance obligation is satisfied.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GTN adjustments are primarily a function of sales volume, payor mix, contractual or legislative discounts and rebates. The transaction price for product sales, net is reduced for estimates of variable consideration related to GTN adjustments for discounts and chargebacks, rebates, wholesaler and GPO fees, copay assistance and returns. Except for certain wholesaler and GPO fees and discounts, which are based on contracts, these adjustments involve estimation and judgment. The GTN adjustments for rebates, copay assistance and chargebacks are impacted by our estimate of payor mix, which requires significant judgment. We consider legal interpretations of applicable laws and regulations, historical experience, current contract prices under applicable programs, unbilled claims, processing time lags and inventory levels in the distribution channel in determining our estimates. Estimates are assessed each period and adjusted as required to revise information or actual experience.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Discounts and chargebacks:</w:t>
      </w:r>
    </w:p>
    <w:p>
      <w:pPr>
        <w:spacing w:after="0" w:line="17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U.S. business participates in programs with government entities, the most significant of which are the U.S. Department of Defense and the U.S. Department of Veterans Affairs, and other parties, including covered entities under the 340B program, whereby pricing on products is extended below wholesaler list price to participating entities. These entities purchase products through wholesalers at the lower program price and the wholesalers then charge us the difference between their acquisition cost and the lower program price. Accounts receivable is reduced for the estimated amount of unprocessed chargeback claims attributable to a sale (typically within a two to four week time lag).</w:t>
      </w:r>
    </w:p>
    <w:p>
      <w:pPr>
        <w:spacing w:after="0" w:line="1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Customers may also receive prompt pay discounts for payment within a specified period, generally approximating two percent of the invoiced sales price. Our payment terms are generally 30 to 60 days. We expect discounts to be earned when offered and we deduct the full amount of these discounts from product sales when revenue is recognized.</w:t>
      </w:r>
    </w:p>
    <w:p>
      <w:pPr>
        <w:spacing w:after="0" w:line="122"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Accounts receivable is reduced for the estimated amount of fees and cash discount at the time of sale and the discount is typically taken by the customer within contractual terms.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Rebates, wholesaler and GPO fees: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U.S. business participates in state government Medicaid and Medicare programs and other qualifying Federal and state government programs requiring discounts and rebates to participating state and local government entities. All discounts and rebates provided through these programs are included in our Medicaid and Medicare rebate accruals. Medicaid rebates have also been extended to drugs used in managed Medicaid plans. The estimated amount of unpaid or unbilled rebates and discounts is presented as a liability. Settlement of Medicare and Medicaid accruals can lag for multiple quarters due to extensive time delays between recording an accrual and subsequent receipt of an invoice. Due to this lag, adjustments can incorporate revision of several prior quarters. Through December 31, 2024, we paid a 70% discount to CMS when the Medicare Part D beneficiaries were in the coverage gap. Beginning in 2025, as part of the Medicare Part D redesign within the IRA, there is a $2,000 cap for out-of-pocket costs for Medicare Beneficiaries and manufacturers are responsible for 10% of costs up to the cap and 20% after the cap is reached.</w:t>
      </w:r>
    </w:p>
    <w:p>
      <w:pPr>
        <w:spacing w:after="0" w:line="13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Wholesaler and GPO administrative fees are a significant portion of our GTN adjustments, however, since they are based on contracts, they require inherently less estimation.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Copay assistance and returns:</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We also estimate the amount of copay assistance that we will provide to patients associated with product we have sold but has not yet been dispensed to commercial patients, which requires significant estimation and judgment. Our estimates are recorded in accrued expenses and other current liabilities on the balance sheets.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Considering the timing of our respective product launches, and limited experiences with returns, we are primarily reliant on historical sales returns of similar products, such as those within the same product line, similar therapeutic area, similar distribution model, estimated levels of inventory in the distribution channel and projected demand. We increasingly rely on our products’ actual returns history and other factors, including levels of our inventory in the distribution channel and estimated shelf life, to estimate our returns. Our estimates are recorded in accrued expenses and other current liabilities on the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Information from External Sources: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Information from external sources is used to estimate GTN adjustments. Our estimate of inventory at the wholesalers is based on the historical inventory experience, as well as our analysis of third-party information, including written and oral information obtained from certain wholesalers with respect to their inventory levels and sell-through to customers and our internal information. The inventory information received from wholesalers is a product of their recordkeeping process and excludes inventory held by intermediaries to whom they sell, such as retailers and hospitals. We also use information from external sources to identify prescription trends, patient demand and average selling prices. Our estimates are subject to inherent limitations of estimates that rely on third-party information, as certain third-party information was itself in the form of estimates and reflect other limitations including lags between the date as of which third-party information is generated and the date on which we receive third-party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primarily through a combination of product sales and payments in connection with license, research and development collaborative agreements with our various collaboration partners.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many factors as described in Part I, Item 1A, “Risk Factors,” of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total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300" w:type="dxa"/>
            <w:vAlign w:val="bottom"/>
          </w:tcPr>
          <w:p>
            <w:pPr>
              <w:spacing w:after="0"/>
              <w:rPr>
                <w:sz w:val="20"/>
                <w:szCs w:val="20"/>
                <w:color w:val="auto"/>
              </w:rPr>
            </w:pPr>
          </w:p>
        </w:tc>
        <w:tc>
          <w:tcPr>
            <w:tcW w:w="20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royalty revenue related to</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sale of future royalties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1"/>
                <w:szCs w:val="21"/>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Percent change is not meaningful.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Below is a summary of our product sales, net by product: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IBSRELA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XPHOZAH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 sales,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IBSRELA product sales, net in 2024 and 2023 was due to higher demand since its commercial launch in March 2022, reflecting continued increase in awareness and prescriber experience. In addition, the increase in 2024 was attributable to the completion of our field-base team expansion.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increase in XPHOZAH product sales, net in 2024 and 2023 was due to higher demand since its commercial launch in November 2023. As of January 1, 2025, we no longer receive reimbursement for XPHOZAH from Medicare Part D following the decision by the Centers of Medicare and Medicaid Services to eliminate Medicare Part D reimbursement to transition oral only therapies, including XPHOZAH, into the End Stage Renal Disease Prospective Payment System. Patient access to XPHOZAH remains through a prescription written by a qualifying healthcare provider through our ArdelyxAssist specialty pharmacy partner. Patients who do not have affordable access will be evaluated for eligibility to receive XPHOZAH fulfilled by our Ardelyx patient assistance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supply revenue:</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product supply revenue in 2024 and 2023 was due to product supply shipments to our collaboration partners, primarily Kyowa Kirin, under our respective commercial supply agreements in support of non-US launches.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Licensing revenue is primarily impacted by the timing of regulatory and commercial milestone achievements from our out-licensing partners, as well as sales-based royalties received from Knight. The 2023 licensing revenue included $30.0 million in payments received under the Kyowa Kirin Agreement, following Kyowa Kirin’s submission to the Japanese MHLW for the NDA for tenapanor in the improvement of hyperphosphatemia in adult patients with CKD on dialysis; and a $5.0 million payment under the Fosun Agreement, following the NDA acceptance by China’s Center for Drug Evaluation of the NMPA for tenapanor in the control of serum phosphorus in adult patients with CKD on hemodialysis and the U.S. FDA approval of XPHOZAH to reduce serum phosphorus in adults with CKD on dialysis as add-on therapy in patients who have an inadequate response to phosphate binders or who are intolerant of any dose of phosphate binder therapy.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Non-cash royalty revenue in 2024 was attributable to royalties from Kyowa Kirin for sales of PHOZEVEL in Japan since its launch in February 2024, which we remitted to HCR upon receipt in accordance with the HCR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GTN Adjustments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We recognize product sales net of GTN adjustments that are further described in </w:t>
      </w:r>
      <w:r>
        <w:rPr>
          <w:rFonts w:ascii="Times New Roman" w:cs="Times New Roman" w:eastAsia="Times New Roman" w:hAnsi="Times New Roman"/>
          <w:sz w:val="18"/>
          <w:szCs w:val="18"/>
          <w:i w:val="1"/>
          <w:iCs w:val="1"/>
          <w:color w:val="auto"/>
        </w:rPr>
        <w:t>Note 6. Revenue</w:t>
      </w:r>
      <w:r>
        <w:rPr>
          <w:rFonts w:ascii="Times New Roman" w:cs="Times New Roman" w:eastAsia="Times New Roman" w:hAnsi="Times New Roman"/>
          <w:sz w:val="18"/>
          <w:szCs w:val="18"/>
          <w:color w:val="auto"/>
        </w:rPr>
        <w:t xml:space="preserve"> and the “Critical Accounting Policies and Estimates” caption in Part II, Item 7, “Management’s Discussion and Analysis of Financial Condition and Results of Operations.” Reconciliation of gross product sales to product sales, net by GTN adjustment category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product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429,053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21,648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GTN adjustments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(109,857)</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GTN adjustment percentage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GTN adjustments are primarily a function of sales volume, payor mix, contractual or legislative discounts and rebates. Adjustments to provisions for product sales made in prior periods due to changes in estimates were not significant for any of the years presented. The decrease in GTN adjustment percentage in 2024 was primarily due to a higher percentage of sales which had a more favorable GTN rate. The reduction was mainly due to lower sales subjected to copay assistance and contractual chargebacks which had higher GTN adjustment percentages. We expect GTN adjustment percentages to increase in the future due to unfavorable payor mix shifts associated with loss of XPHOZAH Medicare Part D reimbursement beginning January 1,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activities and ending reserve balances for each significant category of GTN adjustments on product sales, net, which constitute variable consideration, were as follows:</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Discounts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00" w:type="dxa"/>
            <w:vAlign w:val="bottom"/>
          </w:tcPr>
          <w:p>
            <w:pPr>
              <w:spacing w:after="0"/>
              <w:rPr>
                <w:sz w:val="17"/>
                <w:szCs w:val="17"/>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Copay assistance</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wholesaler and</w:t>
            </w: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chargebacks</w:t>
            </w:r>
          </w:p>
        </w:tc>
        <w:tc>
          <w:tcPr>
            <w:tcW w:w="14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GPO fees</w:t>
            </w:r>
          </w:p>
        </w:tc>
        <w:tc>
          <w:tcPr>
            <w:tcW w:w="100" w:type="dxa"/>
            <w:vAlign w:val="bottom"/>
          </w:tcPr>
          <w:p>
            <w:pPr>
              <w:spacing w:after="0"/>
              <w:rPr>
                <w:sz w:val="21"/>
                <w:szCs w:val="2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returns</w:t>
            </w:r>
          </w:p>
        </w:tc>
        <w:tc>
          <w:tcPr>
            <w:tcW w:w="3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prior period provisions recorded in the current period were not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Below is a summary of our cost of goods sold, operating expenses, interest expense, non-cash interest expense related to the sale of future royalties and other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21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00" w:type="dxa"/>
            <w:vAlign w:val="bottom"/>
          </w:tcPr>
          <w:p>
            <w:pPr>
              <w:spacing w:after="0"/>
              <w:rPr>
                <w:sz w:val="20"/>
                <w:szCs w:val="20"/>
                <w:color w:val="auto"/>
              </w:rPr>
            </w:pPr>
          </w:p>
        </w:tc>
        <w:tc>
          <w:tcPr>
            <w:tcW w:w="20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7"/>
        </w:trPr>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48"/>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8"/>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175"/>
        </w:trPr>
        <w:tc>
          <w:tcPr>
            <w:tcW w:w="3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interest expense related to the</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Cost of product sales consists of the cost of commercial goods sold to our Customers and includes the cost of materials, third-party contract manufacturing, third-party packaging services, freight, labor costs for personnel involved in the manufacturing process and indirect overhead costs. Other cost of revenue consists of the cost of materials sold to our international partners under product supply agreements, certain costs related to capacity expansion at current and future CMOs, as well as payments due to AstraZeneca based on sales of tenapanor. See the “AstraZeneca” caption in </w:t>
      </w:r>
      <w:r>
        <w:rPr>
          <w:rFonts w:ascii="Times New Roman" w:cs="Times New Roman" w:eastAsia="Times New Roman" w:hAnsi="Times New Roman"/>
          <w:sz w:val="18"/>
          <w:szCs w:val="18"/>
          <w:i w:val="1"/>
          <w:iCs w:val="1"/>
          <w:color w:val="auto"/>
        </w:rPr>
        <w:t>Note 7. 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Licensing Agreements </w:t>
      </w:r>
      <w:r>
        <w:rPr>
          <w:rFonts w:ascii="Times New Roman" w:cs="Times New Roman" w:eastAsia="Times New Roman" w:hAnsi="Times New Roman"/>
          <w:sz w:val="18"/>
          <w:szCs w:val="18"/>
          <w:color w:val="auto"/>
        </w:rPr>
        <w:t>for further detail.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increase in cost of product sales in 2024 and 2023 was due to higher product sales. A portion of the costs of IBSRELA and XPHOZAH units recognized as revenue during the years ended December 31, 2024 and 2023 were expensed as research and development expenses in periods prior to the commencement of capitalization of inventory costs for each respective product as discussed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The cost associated with inventory sold but previously expensed as research and development was $6.3 million, $4.4 million and $1.9 million in 2024, 2023 and 2022, respectively. The value of inventory on hand as of December 31, 2024 and 2023 that was previously expensed as research and development was approximately $15.6 million and $21.8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cost of revenue: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increase in other cost of revenue in 2024 and 2023 was primarily due to higher AstraZeneca royalties, driven by higher product sales, net of tenapanor. In 2023, AstraZeneca royalties attributed to licensing revenue had a greater impact on the obligation than royalties from product sales, net. Other cost of revenue related to the AstraZeneca Termination Agreement was $34.7 million, $12.4 million and $3.6 million in 2024, 2023 and 2022, respectively. The remaining future royalty obligation to AstraZeneca was $12.1 million as of December 31, 2024. In addition, the increase in other cost of revenue was due to higher product supply revenue and costs associated with that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include research and early discovery, preclinical and clinical development, drug formulation and medical support to marketed products. External R&amp;D expenses include research and development expenses incurred under agreements with outside consultants, third-party CROs and investigative sites where a substantial portion of our clinical studies are conducted, and with CMOs where our clinical supplies are produced; employee-related expenses, which include salaries, bonuses, benefits, travel and stock-based compensation; expenses associated with supplies and materials consumed in connection with our research operations; and other allocated expenses, which include direct and allocated expenses for rent and maintenance of facilities, depreciation and amortization expense, information technology expense and other supplies.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research and development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38" w:lineRule="exact"/>
        <w:rPr>
          <w:sz w:val="20"/>
          <w:szCs w:val="20"/>
          <w:color w:val="auto"/>
        </w:rPr>
      </w:pPr>
    </w:p>
    <w:p>
      <w:pPr>
        <w:ind w:left="40" w:right="740"/>
        <w:spacing w:after="0" w:line="284" w:lineRule="auto"/>
        <w:rPr>
          <w:sz w:val="20"/>
          <w:szCs w:val="20"/>
          <w:color w:val="auto"/>
        </w:rPr>
      </w:pPr>
      <w:r>
        <w:rPr>
          <w:rFonts w:ascii="Times New Roman" w:cs="Times New Roman" w:eastAsia="Times New Roman" w:hAnsi="Times New Roman"/>
          <w:sz w:val="17"/>
          <w:szCs w:val="17"/>
          <w:color w:val="auto"/>
        </w:rPr>
        <w:t>External R&amp;D and other expenses Employee-related expenses</w:t>
      </w:r>
    </w:p>
    <w:p>
      <w:pPr>
        <w:spacing w:after="0" w:line="1"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Facilities, equipment, depreciation and other expenses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8"/>
                <w:szCs w:val="18"/>
                <w:color w:val="auto"/>
              </w:rPr>
            </w:pPr>
          </w:p>
        </w:tc>
      </w:tr>
      <w:tr>
        <w:trPr>
          <w:trHeight w:val="238"/>
        </w:trPr>
        <w:tc>
          <w:tcPr>
            <w:tcW w:w="200" w:type="dxa"/>
            <w:vAlign w:val="bottom"/>
          </w:tcPr>
          <w:p>
            <w:pPr>
              <w:spacing w:after="0"/>
              <w:rPr>
                <w:sz w:val="20"/>
                <w:szCs w:val="20"/>
                <w:color w:val="auto"/>
              </w:rPr>
            </w:pPr>
          </w:p>
        </w:tc>
        <w:tc>
          <w:tcPr>
            <w:tcW w:w="29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46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7"/>
        </w:trPr>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418"/>
        </w:trPr>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-753745</wp:posOffset>
            </wp:positionV>
            <wp:extent cx="711517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-453390</wp:posOffset>
            </wp:positionV>
            <wp:extent cx="7115175"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460"/>
            <w:col w:w="7540"/>
          </w:cols>
          <w:pgMar w:left="320" w:top="121" w:right="339" w:bottom="1440" w:gutter="0" w:footer="0" w:header="0"/>
          <w:type w:val="continuous"/>
        </w:sectPr>
      </w:pPr>
    </w:p>
    <w:p>
      <w:pPr>
        <w:spacing w:after="0" w:line="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R&amp;D expenses in 2024, including other R&amp;D expenses, primarily reflected increased medical engagement with scientific communities in the areas of gastroenterology and nephrology related to our marketed products. The increase in external R&amp;D expenses was also attributable to clinical trial and pharmacovigilance activities. The increase in employee-related R&amp;D expenses was the result of increases in headcount and personnel costs, including an increase in stock-based compensation expenses totaling $6.0 million and $0.4 million in 2024 and 2023, respectively.</w:t>
      </w:r>
    </w:p>
    <w:p>
      <w:pPr>
        <w:spacing w:after="0" w:line="12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R&amp;D expenses in 2023 remained relatively stable as compared to 2022, however, the focus of 2023 activities primarily shifted towards medical and pharmacovigilance efforts supporting our marketed products. Whereas, in 2022, activities focused more on clinical activities in preparation for the respective regulatory approvals.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2024 and 2023 was primarily due to increased commercialization and administrative costs to support net sales growth of IBSRELA and XPHOZAH and to support our strategy. The increases consisted of external spending for disease awareness initiatives, patient affordability, access support and related patient awareness, as well as increased commercial infrastructure and increased legal fees incurred related to the Company’s lawsuit against CMS in 2024. The increase was also attributable to increases in headcount and related personnel costs, including an increase in stock-based compensation expense totaling $17.8 million and $2.4 million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represents the interest associated with our loan agreements.</w:t>
      </w:r>
    </w:p>
    <w:p>
      <w:pPr>
        <w:spacing w:after="0" w:line="17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increase in interest expense in 2024 and 2023 was due to a higher loan balance resulting from the term loan draws in each respective year: $50.0 million for the Term D Loan in October 2024, $50.0 million for the Term C Loan in March 2024, and $22.5 million for the Term B Loan in October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Related to the Sale of Future Royalties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Non-cash interest expense related to the sale of future royalties represents the imputed interest expense on our deferred royalty obligation related to the sale of future royalties using the effective interest method. Non-cash interest expense is impacted by the outstanding balance of the deferred royalty obligation, which increases from milestone payments received from HCR under the sale of future royalties agreement and imputed interest accrued on the outstanding deferred royalty obligation, and decreases as royalties received from Kyowa Kirin related to the sale of tenapanor for cardiorenal indications in Japan are subsequently remitted to HCR. Refer to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xml:space="preserve"> for further detail.</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non-cash interest expense related to the sale of future royalties in 2024 and 2023 was due to the increasing outstanding balance of the deferred royalty obligation attributed to the upfront milestones received from HCR, including the $10.0 million upfront payment received in June 2022 and the $5.0 million milestone payment received in October 2023 as a result of Kyowa Kirin’s receipt of regulatory approval to market tenapanor for hyperphosphatemia in Japan in February 2024 and imputed interest accrued on the outstanding balance. In 2024, we began to receive royalties from Kyowa Kirin which were remitted to HCR, thereby reducing the outstanding deferred royalty obligation.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earned on our cash, cash equivalents and short-term investments, the periodic revaluation of the exit fees related to our loan agreements, as well as currency exchange gains and losses.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in 2024 and 2023 primarily reflected higher income on our investments, resulting from both higher interest rates and larger investment balances throughout the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provision for income taxes includes current and deferred tax, including foreign withholding taxes paid on payments received from certain collaboration partners. Deferred income tax balances reflect the effects of temporary differences between the carrying amounts of assets and liabilities and their income tax bases, as well as from net operating loss and tax credit carryforwards. Our deferred tax assets continue to be fully offset by a valuation allowance, including deferred tax assets related to our net operating loss and tax credit carryforwards, which may be subject to annual limitations as a result of ownership changes that may have occurred or could occur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for further discussion of our significant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cash, cash equivalents and short-term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8"/>
                <w:szCs w:val="18"/>
                <w:color w:val="auto"/>
              </w:rPr>
            </w:pPr>
          </w:p>
        </w:tc>
      </w:tr>
      <w:tr>
        <w:trPr>
          <w:trHeight w:val="265"/>
        </w:trPr>
        <w:tc>
          <w:tcPr>
            <w:tcW w:w="50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20" w:type="dxa"/>
            <w:vAlign w:val="bottom"/>
            <w:tcBorders>
              <w:bottom w:val="single" w:sz="8" w:color="auto"/>
            </w:tcBorders>
          </w:tcPr>
          <w:p>
            <w:pPr>
              <w:spacing w:after="0"/>
              <w:rPr>
                <w:sz w:val="23"/>
                <w:szCs w:val="23"/>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8"/>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liquid funds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regularly assess our cash position and our working capital needs to execute our strategy. Our primary uses of cash to date have been to fund research and development expenditures related to our development of tenapanor and to support the commercialization of our marketed products. We have funded our operations primarily from the sale of common stock, product sales, funds from our collaboration partnerships, funds from our loan agreements with SLR, as well as sales of future royalties to HCR. We expect that we will increasingly rely on cash generated from operations to fund our operating plan while maintaining financial flexibility from our ability to source cash from future equity sales and debt financing.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a registration statement filed in 2020, we had the ability to sell up to $150.0 million of our common stock through Jefferies, as our sales agent. As of March 2023, we had received the maximum gross proceeds of $150.0 million at a weighted average share price of approximately $1.57.</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As of December 31, 2024, we have completed sales pursuant to the 2023 Open Market Sales Agreement resulting in the issuance of 16.8 million shares of our common stock and receipt of gross proceeds of $70.0 million at a weighted average sales price of approximately $4.17.</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have a loan and security agreement (as amended, the 2022 Loan Agreement) with SLR. The 2022 Loan Agreement provides a total of $200.0 million, of which $150.0 million has been drawn as of December 31, 2024 to support our ongoing operations and the commercial launches of IBSRELA and XPHOZAH. The borrowings under the 2022 Loan Agreement bear interest at SOFR plus a spread based on our public debt rating. We classify outstanding borrowings under the 2022 Loan Agreement as long-term based on the maturity date of the loan. All the term loans mature on July 1, 2028.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Borrowing </w:t>
      </w:r>
      <w:r>
        <w:rPr>
          <w:rFonts w:ascii="Times New Roman" w:cs="Times New Roman" w:eastAsia="Times New Roman" w:hAnsi="Times New Roman"/>
          <w:sz w:val="18"/>
          <w:szCs w:val="18"/>
          <w:color w:val="auto"/>
        </w:rPr>
        <w:t>for further discussion.</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our available cash, cash equivalents and short-term investments as of December 31, 2024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as described in Part I, Item 1A, “Risk Factors,”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8"/>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8"/>
            <w:vMerge w:val="continue"/>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80" w:type="dxa"/>
            <w:vAlign w:val="bottom"/>
          </w:tcPr>
          <w:p>
            <w:pPr>
              <w:spacing w:after="0"/>
              <w:rPr>
                <w:sz w:val="20"/>
                <w:szCs w:val="20"/>
                <w:color w:val="auto"/>
              </w:rPr>
            </w:pPr>
          </w:p>
        </w:tc>
        <w:tc>
          <w:tcPr>
            <w:tcW w:w="20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2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(70,044)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cash (used in) provided by investing</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18,415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75,341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155"/>
        </w:trPr>
        <w:tc>
          <w:tcPr>
            <w:tcW w:w="35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increase (decrease) in cash and cash</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(74,670)</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118,132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(98,382)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in 2024 compared to 2023, primarily due to cash generated from higher product sales, net, partially offset by working capital cash uses to support our commercial growth. Net working capital cash outflows were driven primarily by increases in customer credit and inventory purchases, which were partially offset by increases in accounts payable and accruals.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increased in 2023 compared to 2022, primarily due to working capital cash uses to support our commercial launches, partially offset by cash generated from higher product sales, net from such launches. Net working capital cash outflows were driven primarily by increases in customer credit, upfront payments to CMOs for the commercial manufacturing of IBSRELA and XPHOZAH and increased prepaid selling and marketing spending.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2024 and 2023 was primarily impacted by the timing of our investment maturities and purchases. In 2023, net investment purchases were significantly higher when compared to other reported periods. To a lesser extent, the 2024 cash used for investing activities included property, plant and equipment purchases associated with our new leased facility and build outs of existing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decreased in 2024 compared to 2023, primarily due to $99.5 million net proceeds from the Term C Loan and Term D Loan and proceeds from the issuance of common stock under our equity incentive and stock purchase plans in 2024 which were less than $119.2 million received in 2023 from the issuance of common stock pursuant to at the market offerings. We have not received any proceeds under the 2021 Open Market Sales Agreement in 2024.</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increased in 2023 compared to 2022, primarily due to higher net proceeds from issuance of our common stock pursuant to the at the market offerings of $47.6 million, as well as net proceeds received of $22.4 million from drawing the Term B Loan as compared to net expenditure of $6.1 million in 2022 in conjunction with entering into the 2022 Loan Agreement and repaying the principal outstanding under the 2018 Loan. This increase was partially offset by lower net proceeds from the sale of future royalties to HCR of $5.0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AND LARGE ACCELERATED FILER STATUS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non-accelerated filer, we were not required to obtain an opinion of our independent auditors with respect to our internal controls over financial reporting for the year ended December 31, 2022. On June 30, 2023, our public float exceeded $700.0 million and therefore since January 1, 2024, we are considered a large accelerated filer. This Annual Report on Form 10-K includes an opinion of Ernst &amp; Young LLP, our independent auditors with respect to our internal control over financial reporting as of December 31, 2024.</w:t>
      </w:r>
    </w:p>
    <w:p>
      <w:pPr>
        <w:spacing w:after="0" w:line="122" w:lineRule="exact"/>
        <w:rPr>
          <w:sz w:val="20"/>
          <w:szCs w:val="20"/>
          <w:color w:val="auto"/>
        </w:rPr>
      </w:pPr>
    </w:p>
    <w:p>
      <w:pPr>
        <w:ind w:right="3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b w:val="1"/>
          <w:bCs w:val="1"/>
          <w:i w:val="1"/>
          <w:iCs w:val="1"/>
          <w:color w:val="auto"/>
        </w:rPr>
        <w:t>Interest Rate Risk</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cash equivalents and short-term investments of $250.1 million, which consisted of bank deposits and money market funds, as well as high quality fixed income instruments including commercial paper, U.S. government-sponsored agency bonds, U.S. treasury securities, corporate bonds, Yankee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subject to interest rate fluctuation exposure through our borrowings under the 2022 Loan Agreement, which bear interest at SOFR plus a spread based on our public debt rating. A hypothetical increase in one-month CME Term SOFR of 100 basis points above the current one-month CME Term SOFR rate would have increased our interest expense by approximately $1.0 million for the year ended December 31, 2024. As of December 31, 2024, we had an aggregate principal amount of $150.0 million outstanding pursuant to our 2022 Loan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no open forward foreign currency exchange contracts.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8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006"/>
        </w:trPr>
        <w:tc>
          <w:tcPr>
            <w:tcW w:w="87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860" w:type="dxa"/>
            <w:vAlign w:val="bottom"/>
          </w:tcPr>
          <w:p>
            <w:pPr>
              <w:spacing w:after="0"/>
              <w:rPr>
                <w:sz w:val="24"/>
                <w:szCs w:val="24"/>
                <w:color w:val="auto"/>
              </w:rPr>
            </w:pPr>
          </w:p>
        </w:tc>
        <w:tc>
          <w:tcPr>
            <w:tcW w:w="7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w:t>
            </w:r>
            <w:r>
              <w:rPr>
                <w:rFonts w:ascii="Times New Roman" w:cs="Times New Roman" w:eastAsia="Times New Roman" w:hAnsi="Times New Roman"/>
                <w:sz w:val="18"/>
                <w:szCs w:val="18"/>
                <w:color w:val="0E32E1"/>
              </w:rPr>
              <w:t>: 42</w:t>
            </w:r>
            <w:r>
              <w:rPr>
                <w:rFonts w:ascii="Times New Roman" w:cs="Times New Roman" w:eastAsia="Times New Roman" w:hAnsi="Times New Roman"/>
                <w:sz w:val="18"/>
                <w:szCs w:val="18"/>
                <w:u w:val="single" w:color="auto"/>
                <w:color w:val="0000FF"/>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84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Balance Sheets</w:t>
            </w:r>
          </w:p>
        </w:tc>
        <w:tc>
          <w:tcPr>
            <w:tcW w:w="406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8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w:t>
            </w:r>
          </w:p>
        </w:tc>
        <w:tc>
          <w:tcPr>
            <w:tcW w:w="4180" w:type="dxa"/>
            <w:vAlign w:val="bottom"/>
            <w:gridSpan w:val="3"/>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8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Statements of Stockholders’ Equity</w:t>
            </w:r>
          </w:p>
        </w:tc>
        <w:tc>
          <w:tcPr>
            <w:tcW w:w="4180" w:type="dxa"/>
            <w:vAlign w:val="bottom"/>
            <w:gridSpan w:val="3"/>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8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Statements of Cash Flows</w:t>
            </w:r>
          </w:p>
        </w:tc>
        <w:tc>
          <w:tcPr>
            <w:tcW w:w="660" w:type="dxa"/>
            <w:vAlign w:val="bottom"/>
            <w:gridSpan w:val="2"/>
          </w:tcPr>
          <w:p>
            <w:pPr>
              <w:spacing w:after="0"/>
              <w:rPr>
                <w:sz w:val="21"/>
                <w:szCs w:val="21"/>
                <w:color w:val="auto"/>
              </w:rPr>
            </w:pPr>
          </w:p>
        </w:tc>
        <w:tc>
          <w:tcPr>
            <w:tcW w:w="5320" w:type="dxa"/>
            <w:vAlign w:val="bottom"/>
            <w:gridSpan w:val="4"/>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8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7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840" w:type="dxa"/>
            <w:vAlign w:val="bottom"/>
          </w:tcPr>
          <w:p>
            <w:pPr>
              <w:spacing w:after="0"/>
              <w:rPr>
                <w:sz w:val="21"/>
                <w:szCs w:val="21"/>
                <w:color w:val="auto"/>
              </w:rPr>
            </w:pPr>
          </w:p>
        </w:tc>
      </w:tr>
      <w:tr>
        <w:trPr>
          <w:trHeight w:val="912"/>
        </w:trPr>
        <w:tc>
          <w:tcPr>
            <w:tcW w:w="860" w:type="dxa"/>
            <w:vAlign w:val="bottom"/>
          </w:tcPr>
          <w:p>
            <w:pPr>
              <w:spacing w:after="0"/>
              <w:rPr>
                <w:sz w:val="24"/>
                <w:szCs w:val="24"/>
                <w:color w:val="auto"/>
              </w:rPr>
            </w:pPr>
          </w:p>
        </w:tc>
        <w:tc>
          <w:tcPr>
            <w:tcW w:w="2140" w:type="dxa"/>
            <w:vAlign w:val="bottom"/>
            <w:tcBorders>
              <w:top w:val="single" w:sz="8" w:color="0000FF"/>
            </w:tcBorders>
            <w:gridSpan w:val="4"/>
          </w:tcPr>
          <w:p>
            <w:pPr>
              <w:spacing w:after="0"/>
              <w:rPr>
                <w:sz w:val="24"/>
                <w:szCs w:val="24"/>
                <w:color w:val="auto"/>
              </w:rPr>
            </w:pPr>
          </w:p>
        </w:tc>
        <w:tc>
          <w:tcPr>
            <w:tcW w:w="3020" w:type="dxa"/>
            <w:vAlign w:val="bottom"/>
            <w:gridSpan w:val="3"/>
          </w:tcPr>
          <w:p>
            <w:pPr>
              <w:jc w:val="center"/>
              <w:ind w:left="2150"/>
              <w:spacing w:after="0"/>
              <w:rPr>
                <w:sz w:val="20"/>
                <w:szCs w:val="20"/>
                <w:color w:val="auto"/>
              </w:rPr>
            </w:pPr>
            <w:r>
              <w:rPr>
                <w:rFonts w:ascii="Times New Roman" w:cs="Times New Roman" w:eastAsia="Times New Roman" w:hAnsi="Times New Roman"/>
                <w:sz w:val="18"/>
                <w:szCs w:val="18"/>
                <w:color w:val="auto"/>
                <w:w w:val="99"/>
              </w:rPr>
              <w:t>63</w:t>
            </w: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Ardelyx,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Ardelyx, Inc. (the “Company”) as of December 31, 2024 and 2023, the related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U.S. generally accepted accounting principles.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20,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tabs>
          <w:tab w:leader="none" w:pos="33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7"/>
          <w:szCs w:val="17"/>
          <w:b w:val="1"/>
          <w:bCs w:val="1"/>
          <w:i w:val="1"/>
          <w:iCs w:val="1"/>
          <w:color w:val="auto"/>
        </w:rPr>
        <w:t>Estimates of Reserves for Variable Consideration Impacted by Estimated Payor Mix</w:t>
      </w:r>
    </w:p>
    <w:p>
      <w:pPr>
        <w:spacing w:after="0" w:line="67" w:lineRule="exact"/>
        <w:rPr>
          <w:sz w:val="20"/>
          <w:szCs w:val="20"/>
          <w:color w:val="auto"/>
        </w:rPr>
      </w:pPr>
    </w:p>
    <w:p>
      <w:pPr>
        <w:jc w:val="both"/>
        <w:ind w:left="3300"/>
        <w:spacing w:after="0" w:line="254" w:lineRule="auto"/>
        <w:rPr>
          <w:sz w:val="20"/>
          <w:szCs w:val="20"/>
          <w:color w:val="auto"/>
        </w:rPr>
      </w:pPr>
      <w:r>
        <w:rPr>
          <w:rFonts w:ascii="Times New Roman" w:cs="Times New Roman" w:eastAsia="Times New Roman" w:hAnsi="Times New Roman"/>
          <w:sz w:val="18"/>
          <w:szCs w:val="18"/>
          <w:color w:val="auto"/>
        </w:rPr>
        <w:t>As described in Notes 2 and 6 to the financial statements, the transaction price for product sales, net is reduced for estimates of variable consideration related to gross-to-net (“GTN”) adjustments for discounts and chargebacks, rebates, wholesaler and group purchasing organization (“GPO”) fees, copay assistance and returns. Except for certain wholesaler and GPO fees and discounts, which are based on contracts, these adjustments involve estimation and judgment. The GTN adjustments for rebates, copay assistance and chargebacks are impacted by our estimate of payor mix, which requires significant judgment. The Company’s total estimate of reserves for variable consideration was $27.3 million as of December 31, 2024. During 2024, the Company recorded $109.9 million in total reductions to gross product sales for variable consideration.</w:t>
      </w:r>
    </w:p>
    <w:p>
      <w:pPr>
        <w:spacing w:after="0" w:line="215" w:lineRule="exact"/>
        <w:rPr>
          <w:sz w:val="20"/>
          <w:szCs w:val="20"/>
          <w:color w:val="auto"/>
        </w:rPr>
      </w:pPr>
    </w:p>
    <w:p>
      <w:pPr>
        <w:jc w:val="both"/>
        <w:ind w:left="3300"/>
        <w:spacing w:after="0" w:line="258" w:lineRule="auto"/>
        <w:rPr>
          <w:sz w:val="20"/>
          <w:szCs w:val="20"/>
          <w:color w:val="auto"/>
        </w:rPr>
      </w:pPr>
      <w:r>
        <w:rPr>
          <w:rFonts w:ascii="Times New Roman" w:cs="Times New Roman" w:eastAsia="Times New Roman" w:hAnsi="Times New Roman"/>
          <w:sz w:val="18"/>
          <w:szCs w:val="18"/>
          <w:color w:val="auto"/>
        </w:rPr>
        <w:t>Auditing the Company’s estimates of reserves for variable consideration relating to rebates, copay assistance and chargebacks was especially challenging as it involved evaluation of management’s subjective judgments with respect to payor mix that considers various data sources. The Company has a limited history upon which to base its assumptions, and changes in these assumptions could have a material impact on the reserves recorded for variable consideration.</w:t>
      </w:r>
    </w:p>
    <w:p>
      <w:pPr>
        <w:spacing w:after="0" w:line="181" w:lineRule="exact"/>
        <w:rPr>
          <w:sz w:val="20"/>
          <w:szCs w:val="20"/>
          <w:color w:val="auto"/>
        </w:rPr>
      </w:pPr>
    </w:p>
    <w:p>
      <w:pPr>
        <w:jc w:val="both"/>
        <w:ind w:left="3300" w:hanging="3279"/>
        <w:spacing w:after="0" w:line="261" w:lineRule="auto"/>
        <w:tabs>
          <w:tab w:leader="none" w:pos="3280" w:val="left"/>
        </w:tabs>
        <w:rPr>
          <w:sz w:val="20"/>
          <w:szCs w:val="20"/>
          <w:color w:val="auto"/>
        </w:rPr>
      </w:pPr>
      <w:r>
        <w:rPr>
          <w:rFonts w:ascii="Times New Roman" w:cs="Times New Roman" w:eastAsia="Times New Roman" w:hAnsi="Times New Roman"/>
          <w:sz w:val="18"/>
          <w:szCs w:val="18"/>
          <w:i w:val="1"/>
          <w:iCs w:val="1"/>
          <w:color w:val="auto"/>
        </w:rPr>
        <w:t>How We Addressed the Matter in Our Audit</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process to determine the reserves for variable consideration that are impacted by the payor mix. For example, we tested controls over management’s review of the completeness and accuracy of the data used to determine the estimate.</w:t>
      </w:r>
    </w:p>
    <w:p>
      <w:pPr>
        <w:spacing w:after="0" w:line="209" w:lineRule="exact"/>
        <w:rPr>
          <w:sz w:val="20"/>
          <w:szCs w:val="20"/>
          <w:color w:val="auto"/>
        </w:rPr>
      </w:pPr>
    </w:p>
    <w:p>
      <w:pPr>
        <w:jc w:val="both"/>
        <w:ind w:left="3300"/>
        <w:spacing w:after="0" w:line="253" w:lineRule="auto"/>
        <w:rPr>
          <w:sz w:val="20"/>
          <w:szCs w:val="20"/>
          <w:color w:val="auto"/>
        </w:rPr>
      </w:pPr>
      <w:r>
        <w:rPr>
          <w:rFonts w:ascii="Times New Roman" w:cs="Times New Roman" w:eastAsia="Times New Roman" w:hAnsi="Times New Roman"/>
          <w:sz w:val="18"/>
          <w:szCs w:val="18"/>
          <w:color w:val="auto"/>
        </w:rPr>
        <w:t>To test the Company’s estimates of reserves for variable consideration relating to rebates, copay assistance and chargebacks, our audit procedures included, among others, evaluating the methodologies and assumptions used and testing the accuracy and completeness of the underlying data used in the Company’s payor mix analysis and the related reserves. We compared the assumptions used by management to third-party industry data and evaluated trends in the data. We also evaluated the reasonableness of changes in estimated reserves during the year and assessed the accuracy of the Company’s estimates against actual results. We also performed sensitivity analyses to determine the effect of changes in management’s payor mix assumptions on the reserves recorded for variable consideration impacted by the payor mix. Further, we evaluated the appropriateness of classification and disclosure of the Company’s reserves for variable consideration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246,111</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50,393</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37"/>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262,465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130,763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$0.0001 par value; 500,000,000 shares authorized; 238,015,825 and 232,453,190 shares issued and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1,012,773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(846,204)</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c>
          <w:tcPr>
            <w:tcW w:w="0" w:type="dxa"/>
            <w:vAlign w:val="bottom"/>
          </w:tcPr>
          <w:p>
            <w:pPr>
              <w:spacing w:after="0"/>
              <w:rPr>
                <w:sz w:val="1"/>
                <w:szCs w:val="1"/>
                <w:color w:val="auto"/>
              </w:rPr>
            </w:pPr>
          </w:p>
        </w:tc>
      </w:tr>
      <w:tr>
        <w:trPr>
          <w:trHeight w:val="26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supply revenue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333,615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76,599</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(63,759)</w:t>
            </w:r>
          </w:p>
        </w:tc>
        <w:tc>
          <w:tcPr>
            <w:tcW w:w="0" w:type="dxa"/>
            <w:vAlign w:val="bottom"/>
          </w:tcPr>
          <w:p>
            <w:pPr>
              <w:spacing w:after="0"/>
              <w:rPr>
                <w:sz w:val="1"/>
                <w:szCs w:val="1"/>
                <w:color w:val="auto"/>
              </w:rPr>
            </w:pPr>
          </w:p>
        </w:tc>
      </w:tr>
      <w:tr>
        <w:trPr>
          <w:trHeight w:val="229"/>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235,232,927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219,331,253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158,690,083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5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6"/>
                <w:szCs w:val="16"/>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3"/>
            <w:vMerge w:val="restart"/>
          </w:tcPr>
          <w:p>
            <w:pPr>
              <w:jc w:val="center"/>
              <w:ind w:right="120"/>
              <w:spacing w:after="0" w:line="148" w:lineRule="exact"/>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4"/>
                <w:szCs w:val="4"/>
                <w:color w:val="auto"/>
              </w:rPr>
            </w:pPr>
          </w:p>
        </w:tc>
        <w:tc>
          <w:tcPr>
            <w:tcW w:w="1280" w:type="dxa"/>
            <w:vAlign w:val="bottom"/>
            <w:gridSpan w:val="2"/>
            <w:vMerge w:val="restart"/>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4"/>
                <w:szCs w:val="4"/>
                <w:color w:val="auto"/>
              </w:rPr>
            </w:pPr>
          </w:p>
        </w:tc>
        <w:tc>
          <w:tcPr>
            <w:tcW w:w="1420" w:type="dxa"/>
            <w:vAlign w:val="bottom"/>
            <w:gridSpan w:val="2"/>
            <w:vMerge w:val="restart"/>
          </w:tcPr>
          <w:p>
            <w:pPr>
              <w:jc w:val="center"/>
              <w:ind w:right="260"/>
              <w:spacing w:after="0" w:line="14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79"/>
              <w:spacing w:after="0" w:line="148" w:lineRule="exact"/>
              <w:rPr>
                <w:sz w:val="20"/>
                <w:szCs w:val="20"/>
                <w:color w:val="auto"/>
              </w:rPr>
            </w:pPr>
            <w:r>
              <w:rPr>
                <w:rFonts w:ascii="Times New Roman" w:cs="Times New Roman" w:eastAsia="Times New Roman" w:hAnsi="Times New Roman"/>
                <w:sz w:val="16"/>
                <w:szCs w:val="16"/>
                <w:b w:val="1"/>
                <w:bCs w:val="1"/>
                <w:color w:val="auto"/>
              </w:rPr>
              <w:t>Stockholder’</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6"/>
                <w:szCs w:val="6"/>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130,182,535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795,540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82,617</w:t>
            </w: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308,356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3,243,828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in at-the-market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64,114,542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71,618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71,625</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offering</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Unrealized losses on available-for-sale</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(67,207)</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198,575,016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878,500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(780,137)</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98,329</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services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vesting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855,642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in at-the-market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32,274,741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offering</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13,530</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Unrealized gains on available-for-sale</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(66,067)</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232,453,190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166,816</w:t>
            </w: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479,609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2,654,370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2,388,107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37,381</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Unrealized losses on available-for-sale</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0" w:type="dxa"/>
            <w:vAlign w:val="bottom"/>
          </w:tcPr>
          <w:p>
            <w:pPr>
              <w:spacing w:after="0"/>
              <w:rPr>
                <w:sz w:val="1"/>
                <w:szCs w:val="1"/>
                <w:color w:val="auto"/>
              </w:rPr>
            </w:pPr>
          </w:p>
        </w:tc>
      </w:tr>
      <w:tr>
        <w:trPr>
          <w:trHeight w:val="237"/>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238,015,825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173,289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(67,207)</w:t>
            </w: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30"/>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30"/>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30"/>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(70,044)</w:t>
            </w: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maturities and redemptions of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(50,328)</w:t>
            </w: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30"/>
        </w:trPr>
        <w:tc>
          <w:tcPr>
            <w:tcW w:w="7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w:t>
            </w: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in at the market offering, net of issuance costs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71,625</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2022 Loan Agreement, net of issuance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26,971</w:t>
            </w: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sale of future royalties, net of issuance costs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equity incentive and stock purchase plans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the exit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the 2018 Loan, net of costs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(33,038)</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75,341</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72,428</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96,140</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non-cash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derivative in connection with issuance of loan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7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to reduce serum phosphorus in adults with CKD on dialysis as add-on therapy in patients who have an inadequate response to phosphate binders or who are intolerant of any dose of phosphate binder therapy.</w:t>
      </w:r>
    </w:p>
    <w:p>
      <w:pPr>
        <w:spacing w:after="0" w:line="14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We operate in one business segment, which is the development and commercialization of biopharmaceutical products. Refer to </w:t>
      </w:r>
      <w:r>
        <w:rPr>
          <w:rFonts w:ascii="Times New Roman" w:cs="Times New Roman" w:eastAsia="Times New Roman" w:hAnsi="Times New Roman"/>
          <w:sz w:val="18"/>
          <w:szCs w:val="18"/>
          <w:i w:val="1"/>
          <w:iCs w:val="1"/>
          <w:color w:val="auto"/>
        </w:rPr>
        <w:t>Note 17. Segment Reporting</w:t>
      </w:r>
      <w:r>
        <w:rPr>
          <w:rFonts w:ascii="Times New Roman" w:cs="Times New Roman" w:eastAsia="Times New Roman" w:hAnsi="Times New Roman"/>
          <w:sz w:val="18"/>
          <w:szCs w:val="18"/>
          <w:color w:val="auto"/>
        </w:rPr>
        <w:t xml:space="preserve"> for further segment reporting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(U.S. GAAP). Certain prior year amounts have been reclassified to conform to the current year presentation.</w:t>
      </w:r>
    </w:p>
    <w:p>
      <w:pPr>
        <w:spacing w:after="0" w:line="106" w:lineRule="exact"/>
        <w:rPr>
          <w:sz w:val="20"/>
          <w:szCs w:val="20"/>
          <w:color w:val="auto"/>
        </w:rPr>
      </w:pPr>
    </w:p>
    <w:p>
      <w:pPr>
        <w:ind w:right="640"/>
        <w:spacing w:after="0" w:line="439"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Summary of Abbreviated Terms</w:t>
      </w:r>
      <w:r>
        <w:rPr>
          <w:rFonts w:ascii="Times New Roman" w:cs="Times New Roman" w:eastAsia="Times New Roman" w:hAnsi="Times New Roman"/>
          <w:sz w:val="18"/>
          <w:szCs w:val="18"/>
          <w:color w:val="auto"/>
        </w:rPr>
        <w:t xml:space="preserve"> at the end of this Annual Report on Form 10-K for definitions of terms used throughout the document.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judgments and assumptions. The most significant assumptions are estimates used in our revenue gross-to-net accruals and other assumptions.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purchased with an original maturity date of 90 days or less and are recognized at cost, which approximates fair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or other observable market data. Unrealized (losses) gains on available-for-sale securities are included in accumulated other comprehensive income on our balance sheets. The cost of available-for-sale securities sold is based on the specific-identification method.</w:t>
      </w:r>
    </w:p>
    <w:p>
      <w:pPr>
        <w:spacing w:after="0" w:line="12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Marketable debt securities are reviewed for impairment by determining whether the decline in their market value below carrying value is other-than-temporary. This assessment considers the intent and ability to retain the investment for a period of time sufficient for an anticipated recovery in market value, the duration and extent that the market value has been below cost, and the investee’s financial condition. Other-than-temporary impairments and credit losses are recorded in the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our balance sheets. Cash, cash equivalents and short-term investments are invested through banks and other financial institutions in the 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is conducted in U.S. dollars; however, a portion of our expense and capital activities are transacted in foreign currencies which are subject to exchange rate fluctuations that can affect cash or earnings. Foreign currency transactions are translated into the functional currency using exchange rates prevailing at the dates of the transactions. At the end of each reporting period, monetary assets and liabilities that are denominated in foreign currencies are translated at the rates prevailing at that date. All gains and losses on these foreign currency transactions are recorded in other income, net in our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Expenditures for property and equipment are capitalized at cost. Depreciation is computed using the straight-line method over the estimated useful lives of the respective assets, ranging from three to five years for laboratory equipment and office equipment and furniture. Leasehold improvements are amortized over the lesser of the estimated useful lives or the related remaining lease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carrying values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the asset’s carrying amount. Impairment, if any, would be assessed using discounted cash flows or other appropriate measures of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asset and liability method of accounting is used for income taxes. Deferred tax assets and liabilities are determined based on the differences between the financial reporting and the tax basis of assets and liabilities and are measured using the enacted tax rates and laws that will be in effect when the differences are expected to reverse. A valuation allowance is provided when it is more likely than not that a portion or all of a deferred tax asset will not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stated at amortized cost less allowance for credit losses. The allowance for credit losses reflects our best estimate of future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contractual life of outstanding accounts receivable and is determined on the basis of historical experience, specific allowances for known troubled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other currently available information including customer financial condition and both current and forecasted economic conditions. To date,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determined that an allowance for doubtful accounts is not required. As of December 31, 2024, our accounts receivable balance was comprised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$56.7 million from commercial customers and $1.0 million from our collaboration partners. As of December 31, 2023, our accounts receivable balance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of $17.1 million from commercial customers and $4.9 million from our collaboration partners.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Inventory costs incurred are capitalized after regulatory approval, or if based on management’s judgment, future commercialization is considered probable and future economic benefit is expected to be realized. We began to capitalize inventory costs associated with IBSRELA during the fourth quarter of 2021, when our intent to commercialize IBSRELA was established and we commenced preparation for the launch of IBSRELA. We began to capitalize inventory costs associated with XPHOZAH during the fourth quarter of 2023, following approval by the U.S. FDA to market XPHOZAH in the U.S. Inventory costs incurred prior to regulatory approval were expensed as research and development.</w:t>
      </w:r>
    </w:p>
    <w:p>
      <w:pPr>
        <w:spacing w:after="0" w:line="1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Inventories are stated at the lower of cost or estimated net realizable value with cost determined under the specific identification method. A portion of inventory that represents product that is not expected to be sold or used within the next 12 months is classified as non-current assets on our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The application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substantially impacts our reported results, particularly product sales, net, which requires certain estimates in determining the transaction price. Total revenues are recognized following a five-step model: (i) identify the customer contract;</w:t>
      </w:r>
    </w:p>
    <w:p>
      <w:pPr>
        <w:spacing w:after="0" w:line="1" w:lineRule="exact"/>
        <w:rPr>
          <w:sz w:val="20"/>
          <w:szCs w:val="20"/>
          <w:color w:val="auto"/>
        </w:rPr>
      </w:pPr>
    </w:p>
    <w:p>
      <w:pPr>
        <w:ind w:right="200" w:firstLine="8"/>
        <w:spacing w:after="0" w:line="260"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performance obligations; (iii) determine the transaction price; (iv) allocate the transaction price to the performance obligations; and (v) recognize revenue when or as a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 Recognition</w:t>
      </w:r>
    </w:p>
    <w:p>
      <w:pPr>
        <w:spacing w:after="0" w:line="17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transaction price for product sales, net is reduced for estimates of variable consideration related to GTN adjustments for discounts and chargebacks, rebates, wholesaler and GPO fees, copay assistance and returns. Except for certain wholesaler and GPO fees and discounts, which are based on contracts, these adjustments involve estimation and judgment. The GTN adjustments for rebates, copay assistance and chargebacks are impacted by our estimate of payor mix, which requires significant judgment. We consider legal interpretations of applicable laws and regulations, historical experience, current contract prices under applicable programs, unbilled claims, processing time lags and inventory levels in the distribution channel in determining our estimates.</w:t>
      </w:r>
    </w:p>
    <w:p>
      <w:pPr>
        <w:spacing w:after="0" w:line="114"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Estimates are assessed each period and adjusted as required to revise information or actual experience. Changes in estimates recorded through December 31, 2024 have not been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Revenue Recognition</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Licensing revenue and product supply revenue result from our collaboration and licensing agreements as discussed in </w:t>
      </w:r>
      <w:r>
        <w:rPr>
          <w:rFonts w:ascii="Times New Roman" w:cs="Times New Roman" w:eastAsia="Times New Roman" w:hAnsi="Times New Roman"/>
          <w:sz w:val="18"/>
          <w:szCs w:val="18"/>
          <w:i w:val="1"/>
          <w:iCs w:val="1"/>
          <w:color w:val="auto"/>
        </w:rPr>
        <w:t>Note 7. Collaboration And 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Goods and services in these agreements may include the grant of licenses for use of our intellectual property and manufacturing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judgment is required to determine whether promised goods and services represent distinct performance obligations, which are identified and separated when the other party can benefit from the rights, goods or services either on their own or together with other readily available resources and when the rights, goods or services are not highly interdependent or interrelated.</w:t>
      </w:r>
    </w:p>
    <w:p>
      <w:pPr>
        <w:spacing w:after="0" w:line="1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Transaction prices for these arrangements may include non-refundable, up-front license fees; research, development, regulatory and commercial milestone payments; payments for manufacturing supply services; and future royalties on net sales of licensed products. Variable consideration is included in the transaction price only to the extent significant reversal of cumulative revenue recognized is not probable of occurring when the uncertainty associated with the variable consideration is subsequently resolved. Significant judgment is required in estimating variable consideration for each performance obligation identified in the contract. This judgment involves assessing factors outside of our influence, including market conditions, development timelines, likelihood of regulatory success, reimbursement rates for personnel costs, forecasted revenues, potential limitations on the selling price of the product, discount rates, lack of relevant past experience and a large number and broad range of possible amounts. The most likely amount method is used to estimate contingent development, regulatory and sales-based milestones because the ultimate outcomes are binary in nature. The expected value method is used to estimate royalties because a broad range of potential outcomes exists, except in instances where the royalties relate to a license. For arrangements with multiple separable performance obligations, the transaction price assigned to each distinct performance obligation is reflective on the relative stand-along selling price and recognized at a point in time upon the transfer of control.</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Collaboration agreements typically include: (i) licensing intellectual property to a third party with no further performance obligations and (ii) arrangements that include both a license and an additional performance obligation to supply product upon the request of the third party. Out-licensing arrangements that contain a single performance obligation are satisfied upon execution of the agreement, when development and commercialization rights are transferred to a third party. Upfront fees are immediately recognized as licensing revenue. Contingent development and regulatory milestones are assessed each period for likelihood of achievement, however, they are typically constrained and recognized when uncertainty is subsequently resolved for the full amount of the milestone and included in licensing revenue. Licensing revenue also includes sales-based milestones and royalties, which are recognized when the milestone is achieved or when the subsequent sales occur.</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collaboration agreements also include contingent performance obligations to supply commercial product to the third party upon its request. The license and supply obligations are accounted for as separate distinct performance obligations as the third party can benefit from the license either on its own or together with the other supply resources readily available to it and the other obligations in the contract. Consideration for the supply obligation is based upon stipulated cost-plus margin contractual terms which represent a standalone selling price. The supply consideration is recognized as product supply revenue at a point in time upon transfer of control of the product to the third party. After considering the stand-alone selling price of these supply arrangements, the upfront fees, contingent development, regulatory and sales-based milestones and royalties are allocated to the license.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When two or more contracts are entered into with the same customer at or near the same time, we evaluate the contracts to determine whether the contracts should be accounted for as a single arrangement. Contract modifications due to the addition of distinct promised goods or services with price increases consistent with stand-alone selling prices are accounted for as a separate contract. Contract modifications that are not considered a separate contract and containing remaining goods or services distinct from the goods or services transferred on or before the date of the contract modification are accounted for as a termination of the existing contract and the subsequent creation of a new contract. Contract modifications not considered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separate contract and containing remaining goods or services not distinct are accounted for as an add-on to the existing contract and as an adjustment to revenue on a cumulative catch-up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which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our service providers and make adjustments if necessary.</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Service fee accruals are estimated based on the period over which each component of service will be performed, with vendor input if appropriate.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differ from the actual status and timing of services performed, we may report amounts that are too high or too low in any particular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offer retirement saving plans through our 401(k) plan, which is available to all full-time employees. In June 2023, we expanded the benefit with the inclusion of a company matching contribution.We contribute to tax-qualified retirement plans for the benefit of employees who meet certain eligibility requirements and choose to participate in the plans. Participating employees specify the percentage of salary they wish to contribute from their compensation, and we make matching contributions. We recognized compensation costs from our contributions of $1.1 million and $0.2 million in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recognized for all stock-based payment awards made to employees, non-employees and directors based on estimated fair values. The grant date fair value of the awards is determined using the Black-Scholes option-pricing model. Stock-based compensation expense is recognized on a straight-line basis over the requisite service period and is reduced for estimated forfeitures at the date of grant and revised, if necessary, in subsequent periods if actual forfeitures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Deferred Royalty Obligation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Non-cash interest expense related to the sale of future royalties represents imputed interest expense on our deferred royalty obligation related to the sale of future royalties using the effective interest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Operating leases are included in right-of-use assets, current portion of operating lease liability, and operating lease liability, net of current portion on our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information available at the lease commencement date. Operating lease right-of-use assets also include any lease payments made and exclude lease incentives. Our lease terms may include options to extend or terminate a lease when it is reasonably certain that we will exercise any such option. Lease expense is recognized on a straight-line basis over the expected lease term. We have elected not to separate lease and non-lease components, such as common area maintenance charges, and instead account for these as a single lease component.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shares of common stock outstanding during the period, without consideration of potential shares of common stock. Diluted net loss per common share in the periods presented is the same as basic net loss per common share because the effects of potentially dilutive securities are antidilutive due to net loses recognized for each period presented.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Recently Adopted</w:t>
      </w:r>
    </w:p>
    <w:p>
      <w:pPr>
        <w:spacing w:after="0" w:line="17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(Topic 280) -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xml:space="preserve">. This Update requires publicly traded entities to provide enhanced disclosures about significant segment expenses regularly reviewed by the chief operating decision maker, including publicly traded entities with a single reportable segment. The amendments in this update were effective for fiscal years beginning after December 15, 2023, and interim periods within fiscal years beginning after December 15, 2024. We adopted the ASU in the fourth quarter of 2024 and determined that its adoption did not have a material impact on our financial statements. Refer to </w:t>
      </w:r>
      <w:r>
        <w:rPr>
          <w:rFonts w:ascii="Times New Roman" w:cs="Times New Roman" w:eastAsia="Times New Roman" w:hAnsi="Times New Roman"/>
          <w:sz w:val="17"/>
          <w:szCs w:val="17"/>
          <w:i w:val="1"/>
          <w:iCs w:val="1"/>
          <w:color w:val="auto"/>
        </w:rPr>
        <w:t>Note 17. Segment Reporting</w:t>
      </w:r>
      <w:r>
        <w:rPr>
          <w:rFonts w:ascii="Times New Roman" w:cs="Times New Roman" w:eastAsia="Times New Roman" w:hAnsi="Times New Roman"/>
          <w:sz w:val="17"/>
          <w:szCs w:val="17"/>
          <w:color w:val="auto"/>
        </w:rPr>
        <w:t xml:space="preserve">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an amendment which modifies the measurement and recognition of credit losses for most financial assets and certain other instruments. The amendments in this Update provide more transparency about income tax information through improvements to income tax disclosures primarily related to the rate reconciliation and income taxes paid information. For public business entities, the amendments in this Update are effective for annual periods beginning after December 15, 2024. Early adoption is permitted on a prospective basis for annual financial statements that have not yet been issued or made available for issuance. Management is currently assessing the impact of this standard on our financial statements.</w:t>
      </w:r>
    </w:p>
    <w:p>
      <w:pPr>
        <w:spacing w:after="0" w:line="12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(Topic 220) - </w:t>
      </w:r>
      <w:r>
        <w:rPr>
          <w:rFonts w:ascii="Times New Roman" w:cs="Times New Roman" w:eastAsia="Times New Roman" w:hAnsi="Times New Roman"/>
          <w:sz w:val="18"/>
          <w:szCs w:val="18"/>
          <w:i w:val="1"/>
          <w:iCs w:val="1"/>
          <w:color w:val="auto"/>
        </w:rPr>
        <w:t>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Disaggregation of Income Statement Expenses</w:t>
      </w:r>
      <w:r>
        <w:rPr>
          <w:rFonts w:ascii="Times New Roman" w:cs="Times New Roman" w:eastAsia="Times New Roman" w:hAnsi="Times New Roman"/>
          <w:sz w:val="18"/>
          <w:szCs w:val="18"/>
          <w:color w:val="auto"/>
        </w:rPr>
        <w:t>, which requires public companies to disclose, in interim and reporting periods,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expenses in the financial statements. ASU No. 2024-03 is effective for annual periods beginning after December 15, 2026, and interim reporting periods beginning after December 15, 2027. Early adoption is permitted and is effective on either a prospective basis or retrospective basis. Management is currently assessing the impact of this standard on our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CASH EQUIVALENTS AND SHORT-TERM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classified as cash, cash equivalents and short-term investments as of December 31, 2024 and 2023 were as follows:</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w:t>
            </w: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64,932</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79,773</w:t>
            </w:r>
          </w:p>
        </w:tc>
      </w:tr>
      <w:tr>
        <w:trPr>
          <w:trHeight w:val="230"/>
        </w:trPr>
        <w:tc>
          <w:tcPr>
            <w:tcW w:w="5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45,962</w:t>
            </w: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r>
      <w:tr>
        <w:trPr>
          <w:trHeight w:val="230"/>
        </w:trPr>
        <w:tc>
          <w:tcPr>
            <w:tcW w:w="5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w:t>
            </w:r>
          </w:p>
        </w:tc>
      </w:tr>
      <w:tr>
        <w:trPr>
          <w:trHeight w:val="230"/>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30"/>
        </w:trPr>
        <w:tc>
          <w:tcPr>
            <w:tcW w:w="5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Yankee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185,111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31"/>
        </w:trPr>
        <w:tc>
          <w:tcPr>
            <w:tcW w:w="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8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30"/>
        </w:trPr>
        <w:tc>
          <w:tcPr>
            <w:tcW w:w="80" w:type="dxa"/>
            <w:vAlign w:val="bottom"/>
          </w:tcPr>
          <w:p>
            <w:pPr>
              <w:spacing w:after="0"/>
              <w:rPr>
                <w:sz w:val="19"/>
                <w:szCs w:val="19"/>
                <w:color w:val="auto"/>
              </w:rPr>
            </w:pPr>
          </w:p>
        </w:tc>
        <w:tc>
          <w:tcPr>
            <w:tcW w:w="5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r>
      <w:tr>
        <w:trPr>
          <w:trHeight w:val="223"/>
        </w:trPr>
        <w:tc>
          <w:tcPr>
            <w:tcW w:w="80" w:type="dxa"/>
            <w:vAlign w:val="bottom"/>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10"/>
        </w:trPr>
        <w:tc>
          <w:tcPr>
            <w:tcW w:w="8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102,093</w:t>
            </w:r>
          </w:p>
        </w:tc>
      </w:tr>
      <w:tr>
        <w:trPr>
          <w:trHeight w:val="230"/>
        </w:trPr>
        <w:tc>
          <w:tcPr>
            <w:tcW w:w="80" w:type="dxa"/>
            <w:vAlign w:val="bottom"/>
          </w:tcPr>
          <w:p>
            <w:pPr>
              <w:spacing w:after="0"/>
              <w:rPr>
                <w:sz w:val="19"/>
                <w:szCs w:val="19"/>
                <w:color w:val="auto"/>
              </w:rPr>
            </w:pPr>
          </w:p>
        </w:tc>
        <w:tc>
          <w:tcPr>
            <w:tcW w:w="5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r>
      <w:tr>
        <w:trPr>
          <w:trHeight w:val="229"/>
        </w:trPr>
        <w:tc>
          <w:tcPr>
            <w:tcW w:w="8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29"/>
        </w:trPr>
        <w:tc>
          <w:tcPr>
            <w:tcW w:w="80" w:type="dxa"/>
            <w:vAlign w:val="bottom"/>
          </w:tcPr>
          <w:p>
            <w:pPr>
              <w:spacing w:after="0"/>
              <w:rPr>
                <w:sz w:val="19"/>
                <w:szCs w:val="19"/>
                <w:color w:val="auto"/>
              </w:rPr>
            </w:pPr>
          </w:p>
        </w:tc>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23"/>
        </w:trPr>
        <w:tc>
          <w:tcPr>
            <w:tcW w:w="80" w:type="dxa"/>
            <w:vAlign w:val="bottom"/>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162,829</w:t>
            </w:r>
          </w:p>
        </w:tc>
      </w:tr>
      <w:tr>
        <w:trPr>
          <w:trHeight w:val="248"/>
        </w:trPr>
        <w:tc>
          <w:tcPr>
            <w:tcW w:w="8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184,299</w:t>
            </w:r>
          </w:p>
        </w:tc>
      </w:tr>
      <w:tr>
        <w:trPr>
          <w:trHeight w:val="20"/>
        </w:trPr>
        <w:tc>
          <w:tcPr>
            <w:tcW w:w="8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or losses have not been significant and are included in other income, net, in our statements of operations and comprehensive loss.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Unrealized losses in 2024 and 2023 were not material. We determined that none of our available-for-sale securities were other-than-temporarily impaired as of December 31, 2024 and 2023, and no investment was in a continuous unrealized loss position for more than one year. Therefore, we believe that it is more likely than not that the investments will be held until maturity or a forecasted recovery of fair value.</w:t>
      </w:r>
    </w:p>
    <w:p>
      <w:pPr>
        <w:spacing w:after="0" w:line="12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as of December 31,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Valuation techniques used to measure fair value must maximize the use of observable inputs and minimize the use of unobservable inputs. The three-level hierarchy for the inputs to valuation techniques is briefly summarized as follows:</w:t>
      </w:r>
    </w:p>
    <w:p>
      <w:pPr>
        <w:spacing w:after="0" w:line="148" w:lineRule="exact"/>
        <w:rPr>
          <w:sz w:val="20"/>
          <w:szCs w:val="20"/>
          <w:color w:val="auto"/>
        </w:rPr>
      </w:pPr>
    </w:p>
    <w:p>
      <w:pPr>
        <w:ind w:left="1060" w:right="680" w:hanging="1038"/>
        <w:spacing w:after="0" w:line="237" w:lineRule="auto"/>
        <w:tabs>
          <w:tab w:leader="none" w:pos="104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Valuations are based on quoted prices in active markets for identical assets or liabilities and readily accessible by us at the reporting date.</w:t>
      </w:r>
    </w:p>
    <w:p>
      <w:pPr>
        <w:spacing w:after="0" w:line="64" w:lineRule="exact"/>
        <w:rPr>
          <w:sz w:val="20"/>
          <w:szCs w:val="20"/>
          <w:color w:val="auto"/>
        </w:rPr>
      </w:pPr>
    </w:p>
    <w:p>
      <w:pPr>
        <w:ind w:left="1060" w:right="560" w:hanging="1038"/>
        <w:spacing w:after="0" w:line="226" w:lineRule="auto"/>
        <w:tabs>
          <w:tab w:leader="none" w:pos="104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our financial assets and liabilities that are measured or disclosed on a recurring basis by level within the fair value hierarchy: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Total Fair</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Total Fair</w:t>
            </w: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3"/>
                <w:szCs w:val="13"/>
                <w:color w:val="auto"/>
              </w:rPr>
            </w:pPr>
          </w:p>
        </w:tc>
        <w:tc>
          <w:tcPr>
            <w:tcW w:w="740" w:type="dxa"/>
            <w:vAlign w:val="bottom"/>
            <w:vMerge w:val="restart"/>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government-sponsored agency bonds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Yankee bonds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 for exit fee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37"/>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The 2022 Exit Fee valuation as of December 31, 2023 as defined and discussed in </w:t>
      </w:r>
      <w:r>
        <w:rPr>
          <w:rFonts w:ascii="Times New Roman" w:cs="Times New Roman" w:eastAsia="Times New Roman" w:hAnsi="Times New Roman"/>
          <w:sz w:val="18"/>
          <w:szCs w:val="18"/>
          <w:i w:val="1"/>
          <w:iCs w:val="1"/>
          <w:color w:val="auto"/>
        </w:rPr>
        <w:t>Note 10. Derivative Liabilities</w:t>
      </w:r>
      <w:r>
        <w:rPr>
          <w:rFonts w:ascii="Times New Roman" w:cs="Times New Roman" w:eastAsia="Times New Roman" w:hAnsi="Times New Roman"/>
          <w:sz w:val="18"/>
          <w:szCs w:val="18"/>
          <w:color w:val="auto"/>
        </w:rPr>
        <w:t>, was classified as Level 3. During 2024, the conditions for payment of the 2022 Exit Fee were met and the $1.0 million contract amount was fully valued and settled accordingly.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 xml:space="preserve">The principal outstanding under our term loan is subject to a variable interest rate and therefore, we believe the carrying amount of the term loan approximates fair value. See </w:t>
      </w:r>
      <w:r>
        <w:rPr>
          <w:rFonts w:ascii="Times New Roman" w:cs="Times New Roman" w:eastAsia="Times New Roman" w:hAnsi="Times New Roman"/>
          <w:sz w:val="18"/>
          <w:szCs w:val="18"/>
          <w:i w:val="1"/>
          <w:iCs w:val="1"/>
          <w:color w:val="auto"/>
        </w:rPr>
        <w:t>Note 9. Borrowing</w:t>
      </w:r>
      <w:r>
        <w:rPr>
          <w:rFonts w:ascii="Times New Roman" w:cs="Times New Roman" w:eastAsia="Times New Roman" w:hAnsi="Times New Roman"/>
          <w:sz w:val="18"/>
          <w:szCs w:val="18"/>
          <w:color w:val="auto"/>
        </w:rPr>
        <w:t xml:space="preserve"> for a description of the Level 2 inputs used to estimate the fair value of the liability.</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carrying value of the deferred royalty obligation related to the sale of future royalties approximates its fair value as of December 31, 2024 and is based on our current estimate of future royalties and commercialization milestones expected to be paid to us by Kyowa Kirin over the life of the agreement. See </w:t>
      </w:r>
      <w:r>
        <w:rPr>
          <w:rFonts w:ascii="Times New Roman" w:cs="Times New Roman" w:eastAsia="Times New Roman" w:hAnsi="Times New Roman"/>
          <w:sz w:val="18"/>
          <w:szCs w:val="18"/>
          <w:i w:val="1"/>
          <w:iCs w:val="1"/>
          <w:color w:val="auto"/>
        </w:rPr>
        <w:t xml:space="preserve">Note 8. Deferred Royalty Obligation Related To The Sale Of Future Royalties </w:t>
      </w:r>
      <w:r>
        <w:rPr>
          <w:rFonts w:ascii="Times New Roman" w:cs="Times New Roman" w:eastAsia="Times New Roman" w:hAnsi="Times New Roman"/>
          <w:sz w:val="18"/>
          <w:szCs w:val="18"/>
          <w:color w:val="auto"/>
        </w:rPr>
        <w:t>for a description of the Level 3 inputs used to estimate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INVENTORY</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2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Borders>
              <w:bottom w:val="single" w:sz="8" w:color="auto"/>
            </w:tcBorders>
          </w:tcPr>
          <w:p>
            <w:pPr>
              <w:spacing w:after="0"/>
              <w:rPr>
                <w:sz w:val="24"/>
                <w:szCs w:val="24"/>
                <w:color w:val="auto"/>
              </w:rPr>
            </w:pPr>
          </w:p>
        </w:tc>
      </w:tr>
      <w:tr>
        <w:trPr>
          <w:trHeight w:val="223"/>
        </w:trPr>
        <w:tc>
          <w:tcPr>
            <w:tcW w:w="220" w:type="dxa"/>
            <w:vAlign w:val="bottom"/>
          </w:tcPr>
          <w:p>
            <w:pPr>
              <w:spacing w:after="0"/>
              <w:rPr>
                <w:sz w:val="19"/>
                <w:szCs w:val="19"/>
                <w:color w:val="auto"/>
              </w:rPr>
            </w:pPr>
          </w:p>
        </w:tc>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r>
      <w:tr>
        <w:trPr>
          <w:trHeight w:val="230"/>
        </w:trPr>
        <w:tc>
          <w:tcPr>
            <w:tcW w:w="22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24,582</w:t>
            </w:r>
          </w:p>
        </w:tc>
      </w:tr>
      <w:tr>
        <w:trPr>
          <w:trHeight w:val="229"/>
        </w:trPr>
        <w:tc>
          <w:tcPr>
            <w:tcW w:w="2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3"/>
        </w:trPr>
        <w:tc>
          <w:tcPr>
            <w:tcW w:w="2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49,487</w:t>
            </w:r>
          </w:p>
        </w:tc>
      </w:tr>
      <w:tr>
        <w:trPr>
          <w:trHeight w:val="20"/>
        </w:trPr>
        <w:tc>
          <w:tcPr>
            <w:tcW w:w="220" w:type="dxa"/>
            <w:vAlign w:val="bottom"/>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4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2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30"/>
        </w:trPr>
        <w:tc>
          <w:tcPr>
            <w:tcW w:w="220" w:type="dxa"/>
            <w:vAlign w:val="bottom"/>
          </w:tcPr>
          <w:p>
            <w:pPr>
              <w:spacing w:after="0"/>
              <w:rPr>
                <w:sz w:val="19"/>
                <w:szCs w:val="19"/>
                <w:color w:val="auto"/>
              </w:rPr>
            </w:pPr>
          </w:p>
        </w:tc>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non-current</w:t>
            </w: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w:t>
            </w:r>
          </w:p>
        </w:tc>
      </w:tr>
      <w:tr>
        <w:trPr>
          <w:trHeight w:val="223"/>
        </w:trPr>
        <w:tc>
          <w:tcPr>
            <w:tcW w:w="2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49,487</w:t>
            </w:r>
          </w:p>
        </w:tc>
      </w:tr>
      <w:tr>
        <w:trPr>
          <w:trHeight w:val="20"/>
        </w:trPr>
        <w:tc>
          <w:tcPr>
            <w:tcW w:w="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Prepaid commercial manufacturing with third-party CMOs not included in inventory was $16.4 million and $23.2 million at December 31, 2024 and 2023, respectively. There were no prepayments expected to be converted into inventory after 12 months at December 31, 2024, compared to $4.2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Disaggregation of total revenues by nature is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supply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product sales, net was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5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Product sales, net approximated 95.7%, 66.3% and 29.9% of total revenues in 2024, 2023 and 2022, respectively. Products are primarily sold to wholesalers, GPOs and specialty pharmacies, and to a lesser extent, directly to retailers, hospitals, clinics and government agencies. Customer orders are generally fulfilled within a few days from receipt. Contractual performance obligations are fulfilled once control of product is transferred to our customer, which occurs when our customer receives the product and obtains legal title. At this point, our customers are able to direct the use of and obtain substantially all of the remaining benefits of the product.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GTN Adjustments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Wholesalers, GPOs and specialty pharmacies are initially invoiced at contract list prices. Wholesalers and GPOs may also receive prompt pay discounts for payment within a specified period, generally approximating two percent of the invoiced sales price. Our payment terms are generally 30 to 60 days. At the time of recognition, revenue is reduced from contract list price for estimates of variable consideration related to GTN adjustments for chargebacks and cash discounts, rebates, wholesaler and GPO fees, and copay assistance and returns. These GTN adjustments are attributed to governmental programs such as Medicare, Medicaid and the 340B program, which involve various pricing implications, including mandatory discounts and discounts when Medicare Part D beneficiaries are in the coverage gap. Chargebacks and specialty pharmacies fees are reflected as reductions to receivables and are typically settled within contractual terms through credits to our customers. All other GTN adjustments are reflected as a liability and settled through cash payments to our customer or government payor program, typically over various time periods that may span for multiple quarters. Significant judgment is required to estimate certain of our GTN adjustments, considering factors such as legal interpretations of applicable laws and regulations, historical experience, payor mix (e.g., Medicare or Medicaid), current contract prices under applicable programs, unbilled claims, processing time lags and inventory levels in the distribution channel.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activities and ending reserve balances for each significant category of GTN adjustments on product sales, net, which constitute variable consideration, were as follows:</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Discounts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00" w:type="dxa"/>
            <w:vAlign w:val="bottom"/>
          </w:tcPr>
          <w:p>
            <w:pPr>
              <w:spacing w:after="0"/>
              <w:rPr>
                <w:sz w:val="17"/>
                <w:szCs w:val="17"/>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Copay assistance</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wholesaler and</w:t>
            </w: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chargebacks</w:t>
            </w:r>
          </w:p>
        </w:tc>
        <w:tc>
          <w:tcPr>
            <w:tcW w:w="14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GPO fees</w:t>
            </w:r>
          </w:p>
        </w:tc>
        <w:tc>
          <w:tcPr>
            <w:tcW w:w="100" w:type="dxa"/>
            <w:vAlign w:val="bottom"/>
          </w:tcPr>
          <w:p>
            <w:pPr>
              <w:spacing w:after="0"/>
              <w:rPr>
                <w:sz w:val="21"/>
                <w:szCs w:val="2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returns</w:t>
            </w:r>
          </w:p>
        </w:tc>
        <w:tc>
          <w:tcPr>
            <w:tcW w:w="3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109,857</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prior period provisions recorded in the current period were not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 and Concentrations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Revenues are attributed to geographical areas based on the location at which we earned revenue for product sales of IBSRELA and XPHOZAH or the domicile of our collaboration partners. A summary of our revenues by geographic area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36,527</w:t>
            </w:r>
          </w:p>
        </w:tc>
      </w:tr>
      <w:tr>
        <w:trPr>
          <w:trHeight w:val="230"/>
        </w:trPr>
        <w:tc>
          <w:tcPr>
            <w:tcW w:w="71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7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Revenues from the United States are primarily comprised of amounts earned from sales of IBSRELA and XPHOZAH, as well as the upfront license fee from the METiS Agreement.</w:t>
      </w:r>
    </w:p>
    <w:p>
      <w:pPr>
        <w:spacing w:after="0" w:line="27"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Revenues from Asia Pacific are primarily comprised of amounts earned in accordance with the Kyowa Kirin Agreement and the Fosun Agreement.</w:t>
      </w:r>
    </w:p>
    <w:p>
      <w:pPr>
        <w:spacing w:after="0" w:line="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Revenues from North America are comprised of amounts earned from Canada in accordance with the Knight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product sales from Customers and revenues from collaboration partners, each accounting for more than 10% of total revenues,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0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BioRidge Pharma, LLC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Cencora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0"/>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Cardinal Health</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McKesson Corporation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partners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Kyowa Kirin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COLLABORATION AND LICENSING AGREEMENTS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out-licensed to external partners the development of tenapanor and commercialization of tenapanor through agreements with Kyowa Kirin in Japan, Fosun Pharma in China and Knight in Canada for the development and commercialization of tenapanor for certain indications in their respective territories. We recognize revenue from such arrangements as licensing revenue, product supply revenue or non-cash royalty revenue related to the sale of future royalties. Our significant accounting policies for such revenue streams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includes:</w:t>
      </w:r>
    </w:p>
    <w:p>
      <w:pPr>
        <w:spacing w:after="0" w:line="173" w:lineRule="exact"/>
        <w:rPr>
          <w:sz w:val="20"/>
          <w:szCs w:val="20"/>
          <w:color w:val="auto"/>
        </w:rPr>
      </w:pPr>
    </w:p>
    <w:p>
      <w:pPr>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license fees, as well as developmental, regulatory and commercialization milestone payments. We assess upfront and milestone payments using the most likely amount method, including variable payments only when it is probable that no significant revenue reversal will occur. Upfront license fees are recognized upon receipt. Milestones tied to external factors, such as regulatory approvals, are considered probable when those accomplishments are achieved.</w:t>
      </w:r>
    </w:p>
    <w:p>
      <w:pPr>
        <w:spacing w:after="0" w:line="1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sales-based royalties, other than non-cash royalty revenue related to the sale of future royalties as discussed below, are recognized when sales occur or when related performance obligations are met.</w:t>
      </w:r>
    </w:p>
    <w:p>
      <w:pPr>
        <w:spacing w:after="0" w:line="106" w:lineRule="exact"/>
        <w:rPr>
          <w:sz w:val="20"/>
          <w:szCs w:val="20"/>
          <w:color w:val="auto"/>
        </w:rPr>
      </w:pPr>
    </w:p>
    <w:p>
      <w:pPr>
        <w:jc w:val="both"/>
        <w:ind w:right="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Product supply revenue </w:t>
      </w:r>
      <w:r>
        <w:rPr>
          <w:rFonts w:ascii="Times New Roman" w:cs="Times New Roman" w:eastAsia="Times New Roman" w:hAnsi="Times New Roman"/>
          <w:sz w:val="17"/>
          <w:szCs w:val="17"/>
          <w:color w:val="auto"/>
        </w:rPr>
        <w:t>includes drug substance or drug supply revenue received from our out-licensing agreements. Product supply revenue is recognized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control of goods is transferred upon delivery. Advanced payments from partners for drug substance are recognized as deferred revenue until delivery.</w:t>
      </w:r>
    </w:p>
    <w:p>
      <w:pPr>
        <w:spacing w:after="0" w:line="81" w:lineRule="exact"/>
        <w:rPr>
          <w:sz w:val="20"/>
          <w:szCs w:val="20"/>
          <w:color w:val="auto"/>
        </w:rPr>
      </w:pPr>
    </w:p>
    <w:p>
      <w:pPr>
        <w:jc w:val="both"/>
        <w:ind w:right="6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Non-cash royalty revenue related to the sale of future royalties </w:t>
      </w:r>
      <w:r>
        <w:rPr>
          <w:rFonts w:ascii="Times New Roman" w:cs="Times New Roman" w:eastAsia="Times New Roman" w:hAnsi="Times New Roman"/>
          <w:sz w:val="18"/>
          <w:szCs w:val="18"/>
          <w:color w:val="auto"/>
        </w:rPr>
        <w:t>includes royalties earned and received under the Kyowa Kirin Agreement,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remitted to HCR upon receipt, pursuant to the HCR Agreement as discussed in </w:t>
      </w:r>
      <w:r>
        <w:rPr>
          <w:rFonts w:ascii="Times New Roman" w:cs="Times New Roman" w:eastAsia="Times New Roman" w:hAnsi="Times New Roman"/>
          <w:sz w:val="18"/>
          <w:szCs w:val="18"/>
          <w:i w:val="1"/>
          <w:iCs w:val="1"/>
          <w:color w:val="auto"/>
        </w:rPr>
        <w:t>Note 8. Deferred Royalty Obligation Related To The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total revenue by collaboration partner:</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220" w:type="dxa"/>
            <w:vAlign w:val="bottom"/>
          </w:tcPr>
          <w:p>
            <w:pPr>
              <w:spacing w:after="0"/>
              <w:rPr>
                <w:sz w:val="22"/>
                <w:szCs w:val="22"/>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2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Kyowa Kirin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29"/>
        </w:trPr>
        <w:tc>
          <w:tcPr>
            <w:tcW w:w="220" w:type="dxa"/>
            <w:vAlign w:val="bottom"/>
          </w:tcPr>
          <w:p>
            <w:pPr>
              <w:spacing w:after="0"/>
              <w:rPr>
                <w:sz w:val="19"/>
                <w:szCs w:val="19"/>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Fosun Pharma</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METiS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Knight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20" w:type="dxa"/>
            <w:vAlign w:val="bottom"/>
          </w:tcPr>
          <w:p>
            <w:pPr>
              <w:spacing w:after="0"/>
              <w:rPr>
                <w:sz w:val="19"/>
                <w:szCs w:val="19"/>
                <w:color w:val="auto"/>
              </w:rPr>
            </w:pPr>
          </w:p>
        </w:tc>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licensing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35,031</w:t>
            </w:r>
          </w:p>
        </w:tc>
      </w:tr>
      <w:tr>
        <w:trPr>
          <w:trHeight w:val="20"/>
        </w:trPr>
        <w:tc>
          <w:tcPr>
            <w:tcW w:w="220" w:type="dxa"/>
            <w:vAlign w:val="bottom"/>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supply revenue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Kyowa Kirin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220" w:type="dxa"/>
            <w:vAlign w:val="bottom"/>
          </w:tcPr>
          <w:p>
            <w:pPr>
              <w:spacing w:after="0"/>
              <w:rPr>
                <w:sz w:val="19"/>
                <w:szCs w:val="19"/>
                <w:color w:val="auto"/>
              </w:rPr>
            </w:pPr>
          </w:p>
        </w:tc>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Fosun Pharma</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20" w:type="dxa"/>
            <w:vAlign w:val="bottom"/>
          </w:tcPr>
          <w:p>
            <w:pPr>
              <w:spacing w:after="0"/>
              <w:rPr>
                <w:sz w:val="19"/>
                <w:szCs w:val="19"/>
                <w:color w:val="auto"/>
              </w:rPr>
            </w:pPr>
          </w:p>
        </w:tc>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supply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0"/>
        </w:trPr>
        <w:tc>
          <w:tcPr>
            <w:tcW w:w="220" w:type="dxa"/>
            <w:vAlign w:val="bottom"/>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Kyowa Kirin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Kyowa Kirin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granted Kyowa Kirin an exclusive license (Kyowa Kirin Agreement) to develop and commercialize certain NHE3 inhibitors including tenapanor in Japan for the treatment of cardiorenal diseases and conditions, excluding cancer, in exchange for future royalties defined below, an upfront license fee of $30.0 million, and potential future development and regulatory milestones up to $55.0 million, of which $35.0 million has been received and recognized as revenue to date, as well as approximately ¥8.5 billion for commercialization milestones, or approximately $54.0 million at the currency exchange rate on December 31, 2024. In addition, we are eligible to receive royalties on net sales of tenapanor in Japan throughout the term of the agreement. Under a Commercial Supply Agreement, we supply tenapanor drug substance that will be used to satisfy Kyowa Kirin’s commercial needs which includes advanced payments for reimbursement of costs plus a reasonable overhead for the supply of product. In February 2024, Kyowa Kirin announced the launch of tenapanor, marketed as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patients with CKD with hyperphosphatemia in Japan.</w:t>
      </w:r>
    </w:p>
    <w:p>
      <w:pPr>
        <w:spacing w:after="0" w:line="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Kyowa Kirin Agreement was amended to reduce the royalty rate Kyowa Kirin would pay on tenapanor sales in Japan from high teens to low double digits for a two-year period of time following the first commercial sale in Japan, and then to mid-single digits for the remainder of the royalty term (2022 Amendment). As consideration for reduction in the royalty rate, Kyowa Kirin agreed to pay us up to an additional $40.0 million payable in two tranches, with the first payment due following Kyowa Kirin’s filing with the Japanese MHLW of its application for marketing approval for tenapanor and the second payment due following Kyowa Kirin’s receipt of regulatory approval to market tenapanor for hyperphosphatemia in Japan, both of which occurred as of September 30, 2023. As discussed in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future royalties and commercial milestone payments we may receive under the license, as amended, will be remitted to HCR pursuant to the HCR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our current and non-current deferred revenue balances, which are all attributable to Kyowa Kirin:</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6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Non-Current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Non-Current</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9,025</w:t>
            </w: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product supply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5,629</w:t>
            </w:r>
          </w:p>
        </w:tc>
      </w:tr>
      <w:tr>
        <w:trPr>
          <w:trHeight w:val="229"/>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supply delivered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Reclassify amounts to be recognized in the next twelve months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(9,624)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(6,010)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8,644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Fosun Pharma</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an exclusive license agreement with Fosun Pharma (Fosun Agreement) for the development, commercialization and distribution of tenapanor in China for both hyperphosphatemia and IBS-C. The Fosun Agreement granted exclusive license rights to Fosun Pharma in exchange for an upfront license fee of $12.0 million, recognized upon execution of the agreement, and potential regulatory milestone payments up to $113.0 million, of which $8.0 million has been received and recognized to date. In addition, we are eligible to receive reimbursement of cost plus a reasonable overhead for the supply of product and tiered royalties on net sales ranging from the mid-teens to 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Knight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an exclusive license agreement with Knight (Knight Agreement) for the development, commercialization and distribution of tenapanor in Canada for hyperphosphatemia and IBS-C. The Knight Agreement granted exclusive license rights to Knight in exchange for an upfront license fee of $2.3 million, recognized upon execution, and potential regulatory and commercialization milestones up to CAD 22.2 million, or approximately $15.4 million at the currency exchange rate on December 31, 2024, of which $0.7 million has been received and recognized to date. In addition, we are eligible to receive royalties ranging from the mid-single digits to the low twenties throughout the term of the agreement and a transfer price for manufacturing supply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METiS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an exclusive license agreement with METiS Therapeutics Inc., (METiS Agreement) for the development and commercialization of a portfolio of TGR5 agonist compounds that we discovered and developed for all therapeutic areas in exchange for an upfront license fee of $0.8 million, recognized upon execution in 2023. In addition, we may be eligible to receive development and commercialization milestone payments worth up to $243.0 million. We are also eligible to receive royalties ranging within the mid-single digits throughout the term of the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Royalty expense recognized under this agreement as other cost of revenue on our statements of operations and comprehensive loss was $34.7 million, $12.4 million and $3.6 million in 2024, 2023 and 2022, respectively. As of December 31, 2024, we have recognized $62.3 million of the total $75.0 million outstanding royalty obligation.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DEFERRED ROYALTY OBLIGATION RELATED TO THE SALE OF FUTURE ROYALTIES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June 2022, we and HCR entered into the HCR Agreement in which HCR agreed to pay up to $20.0 million in exchange for royalty payments and commercial milestone payments that we may receive under our Kyowa Kirin License Agreement. See </w:t>
      </w:r>
      <w:r>
        <w:rPr>
          <w:rFonts w:ascii="Times New Roman" w:cs="Times New Roman" w:eastAsia="Times New Roman" w:hAnsi="Times New Roman"/>
          <w:sz w:val="18"/>
          <w:szCs w:val="18"/>
          <w:i w:val="1"/>
          <w:iCs w:val="1"/>
          <w:color w:val="auto"/>
        </w:rPr>
        <w:t>Note 7. Collaboration And Licensing Agreements</w:t>
      </w:r>
      <w:r>
        <w:rPr>
          <w:rFonts w:ascii="Times New Roman" w:cs="Times New Roman" w:eastAsia="Times New Roman" w:hAnsi="Times New Roman"/>
          <w:sz w:val="18"/>
          <w:szCs w:val="18"/>
          <w:color w:val="auto"/>
        </w:rPr>
        <w:t xml:space="preserve"> for further detail. The $20.0 million is payable as follows:</w:t>
      </w:r>
    </w:p>
    <w:p>
      <w:pPr>
        <w:spacing w:after="0" w:line="12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upfront upon agreement execution, received in June 2022;</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upon Kyowa Kirin’s receipt of regulatory approval to market tenapanor for hyperphosphatemia in Japan, received in October 2023;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 the event net sales by Kyowa Kirin in Japan exceed a certain annual target level by the end of 2025.</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HCR Agreement is effective until terminated by the mutual agreement of the parties and contains customary representations and warranties and customary affirmative and negative covenants.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Payments received from HCR are recorded as a deferred royalty obligation on our balance sheets. Due to our ongoing manufacturing obligations under the Kyowa Kirin Agreement, we account for the proceeds as imputed debt and therefore recognize royalties earned under the Kyowa Kirin Agreement as non-cash royalty revenue. In conjunction with the HCR Agreement, we incurred approximately $0.4 million in transaction costs, which, along with the deferred royalty obligation, are being amortized as non-cash interest expense over the estimated life of the HCR Agreement using the effective interest method, which is based on the imputed interest rate derived from estimated amounts and timing of future royalty payments to be received from Kyowa Kirin. The deferred royalty obligation will be effectively repaid over the life of the HCR Agreement as we remit royalties paid to us from Kyowa Kirin, recorded as non-cash royalty revenue related to the sale of future royalties, to HCR.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related to the HCR Agreement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0" w:type="dxa"/>
            <w:vAlign w:val="bottom"/>
          </w:tcPr>
          <w:p>
            <w:pPr>
              <w:spacing w:after="0"/>
              <w:rPr>
                <w:sz w:val="24"/>
                <w:szCs w:val="24"/>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deferred royalty obligation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Upfront payment, net of transaction costs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Regulatory approval milestone</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Non-cash interest expense related to sale of future royalties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Royalty distributed to HCR</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deferred royalty obligation</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BORROWING</w:t>
            </w: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 was as follows: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0" w:type="dxa"/>
            <w:vAlign w:val="bottom"/>
            <w:tcBorders>
              <w:right w:val="single" w:sz="8" w:color="CCEEFF"/>
            </w:tcBorders>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A Loan</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8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27,500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2"/>
          </w:tcPr>
          <w:p>
            <w:pPr>
              <w:jc w:val="right"/>
              <w:ind w:right="770"/>
              <w:spacing w:after="0"/>
              <w:rPr>
                <w:sz w:val="20"/>
                <w:szCs w:val="20"/>
                <w:color w:val="auto"/>
              </w:rPr>
            </w:pPr>
            <w:r>
              <w:rPr>
                <w:rFonts w:ascii="Times New Roman" w:cs="Times New Roman" w:eastAsia="Times New Roman" w:hAnsi="Times New Roman"/>
                <w:sz w:val="16"/>
                <w:szCs w:val="16"/>
                <w:color w:val="auto"/>
              </w:rPr>
              <w:t>7.95% + 0.022% + SOFR (subject to a floor of 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Term B Loan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22,500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340" w:type="dxa"/>
            <w:vAlign w:val="bottom"/>
            <w:gridSpan w:val="12"/>
            <w:shd w:val="clear" w:color="auto" w:fill="CCEEFF"/>
          </w:tcPr>
          <w:p>
            <w:pPr>
              <w:jc w:val="right"/>
              <w:ind w:right="770"/>
              <w:spacing w:after="0"/>
              <w:rPr>
                <w:sz w:val="20"/>
                <w:szCs w:val="20"/>
                <w:color w:val="auto"/>
              </w:rPr>
            </w:pPr>
            <w:r>
              <w:rPr>
                <w:rFonts w:ascii="Times New Roman" w:cs="Times New Roman" w:eastAsia="Times New Roman" w:hAnsi="Times New Roman"/>
                <w:sz w:val="16"/>
                <w:szCs w:val="16"/>
                <w:color w:val="auto"/>
              </w:rPr>
              <w:t>7.95% + 0.022% + SOFR (subject to a floor of 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C Loan</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gridSpan w:val="15"/>
          </w:tcPr>
          <w:p>
            <w:pPr>
              <w:jc w:val="right"/>
              <w:ind w:right="770"/>
              <w:spacing w:after="0"/>
              <w:rPr>
                <w:sz w:val="20"/>
                <w:szCs w:val="20"/>
                <w:color w:val="auto"/>
              </w:rPr>
            </w:pPr>
            <w:r>
              <w:rPr>
                <w:rFonts w:ascii="Times New Roman" w:cs="Times New Roman" w:eastAsia="Times New Roman" w:hAnsi="Times New Roman"/>
                <w:sz w:val="16"/>
                <w:szCs w:val="16"/>
                <w:color w:val="auto"/>
              </w:rPr>
              <w:t>—  4.25% + 0.022% + SOFR (subject to a floor of 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Term D Loan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80" w:type="dxa"/>
            <w:vAlign w:val="bottom"/>
            <w:gridSpan w:val="15"/>
            <w:shd w:val="clear" w:color="auto" w:fill="CCEEFF"/>
          </w:tcPr>
          <w:p>
            <w:pPr>
              <w:jc w:val="right"/>
              <w:ind w:right="770"/>
              <w:spacing w:after="0"/>
              <w:rPr>
                <w:sz w:val="20"/>
                <w:szCs w:val="20"/>
                <w:color w:val="auto"/>
              </w:rPr>
            </w:pPr>
            <w:r>
              <w:rPr>
                <w:rFonts w:ascii="Times New Roman" w:cs="Times New Roman" w:eastAsia="Times New Roman" w:hAnsi="Times New Roman"/>
                <w:sz w:val="16"/>
                <w:szCs w:val="16"/>
                <w:color w:val="auto"/>
              </w:rPr>
              <w:t>—  4.00% + 0.022% + SOFR (subject to a floor of 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principal</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50,000</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Borders>
              <w:right w:val="single" w:sz="8" w:color="CCEEFF"/>
            </w:tcBorders>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principal value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Accreted value of final fee</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long-term debt</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150,853</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49,822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150,853</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49,822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February 23, 2022 (Closing Date), we entered into a loan and security agreement with SLR (2022 Loan Agreement) as collateral agent (Agent) and the lenders listed in the 2022 Loan Agreement (collectively, the 2022 Lenders), which was subsequently amended in August 2022 (the First Amendment) and February 2023 (the Second Amendment). The 2022 Loan Agreement, as amended, provided for a senior secured loan facility (the Term A Loan) funded on the Closing Date and Term B Loan borrowable on or prior to December 20, 2023; provided that (i) we received approval by the U.S. FDA for our NDA for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XPHOZAH by November 30, 2023, and (ii) we achieved certain product revenue milestone targets described in the 2022 Loan Agreement. We met the requirements to borrow Term B Loan and subsequently drew it in October 2023.</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Third Amendment (the Third Amendment) with the 2022 Lenders. The Third Amendment provided us with the option to draw the Term C Loan by March 15, 2024, contingent upon having drawn the Term B Loan; and provided us with the option to draw the Term D Loan of uncommitted capital by December 31, 2026, subject to approval by the Agent’s investment committee. We provided the Agent with notice of our decision to draw the Term C Loan in February 2024 and received the proceeds in March 2024.</w:t>
      </w:r>
    </w:p>
    <w:p>
      <w:pPr>
        <w:spacing w:after="0" w:line="12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October 2024, we entered into a Fourth Amendment (the Fourth Amendment) with the 2022 Lenders. The Fourth Amendment, among other things, provided for the immediate draw of the Term D Loan on the closing date of the Fourth Amendment and provides us with the option to draw an additional $50.0 million of committed capital by June 30, 2025 (the Term E Loan and together with the Term A, B, C and D Loans, the Five Loans). The interest rate for the Term E Loan will be 4.00% plus a SOFR value equal to 0.022% plus the 1-month CME Term SOFR reference rate as published by the CME Term SOFR Administrator on the CME Term SOFR Administrator’s Website, subject to a SOFR floor of 4.7%. We drew the Term D Loan in October 2024.</w:t>
      </w:r>
    </w:p>
    <w:p>
      <w:pPr>
        <w:spacing w:after="0" w:line="1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Fourth Amendment, the maturity date for the Five Loans was extended to July 1, 2028 (the Maturity Date) and the period under which we are permitted to make interest-only payments on the Five Loans was extended to the Maturity Date.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paid fees of $0.2 million, $0.1 million, $0.3 million and $0.3 million on each funding date of the Term A, Term B, Term C and Term D Loans, respectively. In addition, we will be obligated to pay 0.5% of the aggregate original principal amount of the Term E Loan commitment, which shall be due on the earliest of (1) the funding of the Term E Loan, (2) June 30, 2025, or (3) the prepayment, refinancing, substitution or replacement of any of the Five Loans on or prior to the date immediately preceding June 30, 2025.</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obligated to pay a final fee equal to 4.95% of the aggregate original principal amount of the Five Loans, to the extent such loans are funded, upon the earliest to occur of the maturity date, the acceleration of the Five Loans, and the prepayment, refinancing, substitution, or replacement of the Five Loans. The total unaccreted final fee was $5.4 million and $1.7 million at December 31, 2024 and December 31, 2023, respectively.</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may voluntarily prepay all amounts outstanding under the Five Loans, subject to a prepayment premium of 2% of the outstanding principal amount of the Five Loans if prepaid through and including October 17, 2025 or 1% of the outstanding principal amount of the Five Loans if prepaid after October 17, 2025 and prior to the maturity date. The Five Loans are secured by substantially all of our assets, except for our intellectual property and certain other customary exclusions. Additionally, as discussed in </w:t>
      </w:r>
      <w:r>
        <w:rPr>
          <w:rFonts w:ascii="Times New Roman" w:cs="Times New Roman" w:eastAsia="Times New Roman" w:hAnsi="Times New Roman"/>
          <w:sz w:val="18"/>
          <w:szCs w:val="18"/>
          <w:i w:val="1"/>
          <w:iCs w:val="1"/>
          <w:color w:val="auto"/>
        </w:rPr>
        <w:t>Note 10. Derivative Liabilities</w:t>
      </w:r>
      <w:r>
        <w:rPr>
          <w:rFonts w:ascii="Times New Roman" w:cs="Times New Roman" w:eastAsia="Times New Roman" w:hAnsi="Times New Roman"/>
          <w:sz w:val="18"/>
          <w:szCs w:val="18"/>
          <w:color w:val="auto"/>
        </w:rPr>
        <w:t>, in connection with the Term A and Term B Loans (Original Loans), we paid an exit fee in the amount of $1.0 million in October 2024.</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2022 Loan Agreement, as amended, contains customary representations and warranties that place restrictions on disposition of assets, granting liens, occurring additional debt and other matters, as well as customary events of default. We have agreed to not allow our cash, cash equivalents and available-for-sale investments to be less than the eighty percent (80%) of the outstanding balance of the Five Loans for any period in which our net revenue from the sale of any products, calculated on a trailing six (6) month basis and tested monthly, is less than sixty percent (60%) of the outstanding balance of the Five Loans. We have concluded that the provisions that could cause acceleration of the principal repayment are remote as of December 31, 2024.</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2024, our total future payment obligation related to the outstanding balance of the Five Loans, excluding interest payments, was $157.4 million, which is due on July 1,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Exit Fee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October 2023, we received approval from the U.S. FDA for XPHOZAH to reduce serum phosphorus in adults with CKD on dialysis as add-on therapy in patients who have an inadequate response to phosphate binders or who are intolerant of any dose of phosphate binder therapy. In connection with a previous loan agreement (2018 Loan), we became obligated to pay an exit fee of $1.5 million, which was paid in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Exit Fee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2022 Loan Agreement obligated us to pay an exit fee in the amount of 2% of the Original Loans funded (2022 Exit Fee) upon (i) any change of control transaction or (ii) our achievement of net revenue from the sale of any products equal to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greater than $100.0 million, measured on a six (6) months basis (Revenue Milestone), tested monthly at the end of each month. The 2022 Exit Fee was accounted for as a freestanding derivative and recorded at fair value. The estimated fair value of the 2022 Exit Fee of $0.7 million was recorded as a derivative liability and included in accrued expenses and other current liabilities at December 31, 2023. The Revenue Milestone was achieved in the second quarter of 2024, resulting in a $1.0 million payment in October 2024 to settle the obligation. The Term C and Term D Loans do not contain an exit fee obligation.</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the derivative liability was determined using a discounted cash flow analysis and was classified as a Level 3 measurement within the fair value hierarchy since our valuation utilized significant unobservable inputs prior to June 30, 2024. Specifically, the key assumptions included in the calculation of the estimated fair value of the 2022 Exit Fee derivative liability included: (i) our estimates of both the probability and timing of achieving the Revenue Milestone and (ii) the probability and timing of funding the Term B Loan, which was dependent upon (a) approval by the U.S. FDA for our NDA for the control of serum phosphorus in adult patients with CKD on dialysis by November 30, 2023, and (b) achievement of certain product revenue milestone targets. As of December 31, 2023, uncertainty around all of the noted valuation estimates had been removed, as the Term B Loan had been funded, the U.S. FDA had approved our NDA for the control of serum phosphorus in adult patients with CKD on dialysis prior to November 30, 2023, and we had achieved the Revenue Milestone.</w:t>
      </w:r>
    </w:p>
    <w:p>
      <w:pPr>
        <w:spacing w:after="0" w:line="1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Changes in the fair value of recurring measurements are presented as other income, net in our statements of operations and comprehensive loss and were as follows:</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estimated fair value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2018 Exit Fee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2022</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Fee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2018</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 Fee payment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w w:val="99"/>
              </w:rPr>
              <w:t>2022</w:t>
            </w:r>
          </w:p>
        </w:tc>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Exit Fee payment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exit fee derivative liabilities at December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lease obligation is comprised of operating leases for our offices and research facilities with remaining lease terms ranging from two months to four years and each containing customary rent escalation clauses. Our leases contain one renewal, at our option, which is generally for a five-year period. We have not included these renewal periods in the calculation of the right-of-use asset and lease liability since it is uncertain whether we will exercise the renewal option.</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leased offices and research facilities in Fremont, California expired on February 10, 2025 and our sub-lease agreement for office space at that facility, entered into with Chronus Health in 2023 expired on February 1,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90"/>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additional details of our facility leases presented in our balance sheets: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40" w:type="dxa"/>
            <w:vAlign w:val="bottom"/>
          </w:tcPr>
          <w:p>
            <w:pPr>
              <w:spacing w:after="0"/>
              <w:rPr>
                <w:sz w:val="24"/>
                <w:szCs w:val="24"/>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5,589</w:t>
            </w:r>
          </w:p>
        </w:tc>
      </w:tr>
      <w:tr>
        <w:trPr>
          <w:trHeight w:val="20"/>
        </w:trPr>
        <w:tc>
          <w:tcPr>
            <w:tcW w:w="40" w:type="dxa"/>
            <w:vAlign w:val="bottom"/>
          </w:tcPr>
          <w:p>
            <w:pPr>
              <w:spacing w:after="0" w:line="20" w:lineRule="exact"/>
              <w:rPr>
                <w:sz w:val="1"/>
                <w:szCs w:val="1"/>
                <w:color w:val="auto"/>
              </w:rPr>
            </w:pPr>
          </w:p>
        </w:tc>
        <w:tc>
          <w:tcPr>
            <w:tcW w:w="81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w:t>
            </w:r>
          </w:p>
        </w:tc>
      </w:tr>
      <w:tr>
        <w:trPr>
          <w:trHeight w:val="229"/>
        </w:trPr>
        <w:tc>
          <w:tcPr>
            <w:tcW w:w="40" w:type="dxa"/>
            <w:vAlign w:val="bottom"/>
          </w:tcPr>
          <w:p>
            <w:pPr>
              <w:spacing w:after="0"/>
              <w:rPr>
                <w:sz w:val="19"/>
                <w:szCs w:val="19"/>
                <w:color w:val="auto"/>
              </w:rPr>
            </w:pPr>
          </w:p>
        </w:tc>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1,725</w:t>
            </w:r>
          </w:p>
        </w:tc>
      </w:tr>
      <w:tr>
        <w:trPr>
          <w:trHeight w:val="248"/>
        </w:trPr>
        <w:tc>
          <w:tcPr>
            <w:tcW w:w="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6,160</w:t>
            </w:r>
          </w:p>
        </w:tc>
      </w:tr>
      <w:tr>
        <w:trPr>
          <w:trHeight w:val="20"/>
        </w:trPr>
        <w:tc>
          <w:tcPr>
            <w:tcW w:w="40" w:type="dxa"/>
            <w:vAlign w:val="bottom"/>
          </w:tcPr>
          <w:p>
            <w:pPr>
              <w:spacing w:after="0" w:line="20" w:lineRule="exact"/>
              <w:rPr>
                <w:sz w:val="1"/>
                <w:szCs w:val="1"/>
                <w:color w:val="auto"/>
              </w:rPr>
            </w:pPr>
          </w:p>
        </w:tc>
        <w:tc>
          <w:tcPr>
            <w:tcW w:w="81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term (in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costs, which are included in operating expenses in our statements of operations and comprehensive loss,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4,931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undiscounted cash payment obligations for our operating lease liabilities as of December 31,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98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23"/>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30"/>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3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expenses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9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30"/>
        </w:trPr>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3"/>
        </w:trPr>
        <w:tc>
          <w:tcPr>
            <w:tcW w:w="9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Under a registration statement filed in 2020, we had the ability to sell up to $150.0 million of our common stock through Jefferies, as our sales agent. As of March 2023, we had received the maximum gross proceeds of $150.0 million at a weighted average share price of approximately $1.57.</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As of December 31, 2024, we have completed sales pursuant to the 2023 Open Market Sales Agreement resulting in the issuance of 16.8 million shares of our common stock and receipt of gross proceeds of $70.0 million at a weighted average sales price of approximately $4.17.</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2008 Stock Incentive Plan (2008 Plan), which governed the granting of stock options, stock purchase rights and other equity awards, was terminated in June 2014 for future awards. When the 2014 Equity Incentive Award Plan (2014 Plan) was approved by the board of directors and stockholders on June 18, 2014, all remaining shares available for future award under the 2008 Plan were transferred to the 2014 Plan, as discussed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2014 Equity Incentive Plan (2014 Plan), effective on June 18, 2014, provided for the stock-based compensation awards, including stock options, stock appreciation rights, restricted stock, service-based RSUs, performance-based RSUs, deferred stock, deferred stock units, dividend equivalents, stock payments and performance awards. The 2014 Plan initially reserved 1.5 million shares, including the 35 thousand shares remaining for future awards under the 2008 Plan, with up to 1.2 million additional shares which could be added from forfeited or lapsed awards from the 2008 Plan. The 2014 Plan allowed for an annual increase in the number of shares available for issuance on the first day of each year through 2024, equal to the lesser of four percent (4.0%) of our outstanding common stock on the last day of the immediately preceding year or a smaller amount determined by the board of directors (2014 Plan evergreen provision).</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14, 2024, stockholders approved the Amended and Restated 2014 Equity Incentive Award Plan (2014 A&amp;R Plan). The key provisions pursuant to the 2014 A&amp;R Plan include: (1) 19.0 million shares were added to the total existing share reserve; (2) the 2014 Plan evergreen provision was removed such that any increase to the total number of shares that may be issued must be approved by our stockholders; and (3) the limit of shares that may be issued upon exercise of incentive stock options was increased from 10.7 million to 58.5 million shares. In addition to increases resulting from repurchases, forfeitures, expirations and cancellations of awards under the 2008 Plan, shares reserved for issuance under the 2014 A&amp;R Plan will be increased by the number of shares subject to awards granted under the Inducement Plan, as discussed below, that are repurchased, forfeited, expire or are cancelled on or after June 14, 2024. As a result, no new awards will be made under the Inducement Plan after June 14, 2024. As of December 31, 2024, approximately 18.1 million shares of our common stock were available for future issuance under the 2014 A&amp;R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2016, our board of directors approved the 2016 Employment Commencement Incentive Plan (Inducement Plan) under which 1.0 million shares were reserved. In January 2021, January 2022, December 2022 and January 2024, 0.5 million, 2.0 million, 3.0 million and 5.8 million shares, respectively, were added to the Inducement Plan. As of December 31, 2024, 8.8 million shares of our common stock were subject to inducement grants that were issued pursuant to the Inducement Plan. As of December 31, 2024, approximately 3.9 million shares of our common stock were available for future issuance under the 2016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information during the year ended December 31, 2024 is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12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Options Issued and Outstanding</w:t>
            </w:r>
          </w:p>
        </w:tc>
        <w:tc>
          <w:tcPr>
            <w:tcW w:w="100" w:type="dxa"/>
            <w:vAlign w:val="bottom"/>
          </w:tcPr>
          <w:p>
            <w:pPr>
              <w:spacing w:after="0"/>
              <w:rPr>
                <w:sz w:val="16"/>
                <w:szCs w:val="16"/>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15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120" w:type="dxa"/>
            <w:vAlign w:val="bottom"/>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Options 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28,085</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1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31,830</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total pre-tax value (i.e., the difference between our stock price and the exercise price) of stock options outstanding as of December 31, 2024, based on our common stock closing price of $5.07 per share, which would have been received by the option holders if all their in-the-money options had been exercised as of that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2024, 2023 and 2022 was $19.6 million, $1.1 million and $30 thousand, respectively. The total fair value of options vested during the years ended December 31, 2024, 2023 and 2022 was $61.0 million, $24.9 million and $7.0 million, respectively.</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weighted-average grant-date estimated fair value of options granted during the years ended December 31, 2024, 2023 and 2022 was $6.22, $2.36 and $0.63 per share, respectively. The estimated grant date fair value of employee stock options was calculated using the Black-Scholes option-pricing model, based on the following weighted-average assumptions: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4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92.1 %</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estimate the expected term of our options based upon historical exercises and post-vesting termination behavior.</w:t>
      </w:r>
    </w:p>
    <w:p>
      <w:pPr>
        <w:spacing w:after="0" w:line="171"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—We use the historic volatility of our own stock over the retrospective period corresponding to the expected remaining term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or the period since our shares were first quoted on The Nasdaq Global Market, if that is shorter, to compute our expected stock price volatility.</w:t>
      </w:r>
    </w:p>
    <w:p>
      <w:pPr>
        <w:spacing w:after="0" w:line="81"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zero-coupon U.S. treasury instruments on the date of grant with a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consistent with the expected term of our stock option grants.</w:t>
      </w:r>
    </w:p>
    <w:p>
      <w:pPr>
        <w:spacing w:after="0" w:line="10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—To date, we have not declared or paid any cash dividends and do not have any plans to do so in the future. Therefore, we use an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of zero.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RSUs activity and related information for the year ended December 31, 2024 is as follows: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1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4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74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total estimated fair value of RSUs vested during the years ended December 31, 2024, 2023 and 2022 was $16.4 million, $3.5 million and $2.6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Services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we issued approximately 41 thousand, 0.1 million and 0.7 million shares, respectively, of common stock to members of the board of directors who elected to receive stock in lieu of their cash fees under our Non-Employee Director Compensation Program. The shares issued during the years ended December 31, 2024, 2023 and 2022 were valued at $0.3 million, $0.3 million and $0.4 million, respectively, based on the fair value of the common stock on the date of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2014 ESPP, effective on June 18, 2014, initially reserved approximately 0.2 million shares of common stock for our eligible employees to purchase shares of our common stock at a discount. If approved by the administrator of the ESPP, on the first day of each calendar year through 2024, the number of shares in the reserve increased by an amount equal to the lesser of (i) one percent (1.0%) of the shares of common stock outstanding on the last day of the immediately preceding fiscal year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firstLine="8"/>
        <w:spacing w:after="0" w:line="282"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of common stock as determined by the board of directors (2014 ESPP evergreen provision); provided, however, no more than 2.2 million shares of our common stock could be issued under the ESPP.</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14, 2024, stockholders approved the Amended and Restated 2014 ESPP (A&amp;R ESPP). The key provisions pursuant to the A&amp;R ESPP include: (1) 3.0 million shares were added to the total existing share reserve and (2) the 2014 ESPP evergreen provision was eliminated and no evergreen increases will be made after June 14, 2024.</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we issued approximately 0.5 million, 0.4 million and 0.3 million shares, respectively, at an average share price of $4.64, $1.85 and $0.63, respectively, pursuant to the ESPP. As of December 31, 2024, approximately 3.7 million shares of our common stock were available for future issuance under the A&amp;R ESPP.</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weighted-average assumptions for the Black-Scholes option-pricing model used in determining the fair value of ESPP purchase rights granted to our employees:</w:t>
      </w:r>
    </w:p>
    <w:p>
      <w:pPr>
        <w:spacing w:after="0" w:line="14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82.8 %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97.2 %</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stock options, RSUs and our ESPP is recorded as operating expenses in our statements of operations and comprehensive loss,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total unrecognized stock-based compensation expense, net of estimated forfeitures, as of December 31, 2024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tcPr>
          <w:p>
            <w:pPr>
              <w:jc w:val="right"/>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Unrecognized Compensation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Average Remaining Vesting</w:t>
            </w:r>
          </w:p>
        </w:tc>
      </w:tr>
      <w:tr>
        <w:trPr>
          <w:trHeight w:val="238"/>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Expense (in thousands)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Period (in years)</w:t>
            </w: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grants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7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PROPERTY AND EQUIPMENT, NET</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r>
      <w:tr>
        <w:trPr>
          <w:trHeight w:val="223"/>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r>
      <w:tr>
        <w:trPr>
          <w:trHeight w:val="223"/>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depreciation expense in the amount of $0.5 million, $0.6 million and $0.7 million in 2024, 2023 and 2022,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15. ACCRUED EXPENSES AND OTHER CURRENT LIABILITIES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payments due to AstraZeneca</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gross to net revenue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marketing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34,642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our provision for income taxes were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our effective tax rate is as follows: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at the federal statutory rate</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w:t>
            </w:r>
          </w:p>
        </w:tc>
        <w:tc>
          <w:tcPr>
            <w:tcW w:w="1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compensation disallowed under IRC Sec 162(m)</w:t>
            </w:r>
          </w:p>
        </w:tc>
        <w:tc>
          <w:tcPr>
            <w:tcW w:w="1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income tax bases, as well as from net operating loss and tax credit carryforwards. Significant components of our deferred tax assets were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64,919</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98,702</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royalty obligation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23"/>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(196,197)</w:t>
            </w:r>
          </w:p>
        </w:tc>
      </w:tr>
      <w:tr>
        <w:trPr>
          <w:trHeight w:val="223"/>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9"/>
        </w:trPr>
        <w:tc>
          <w:tcPr>
            <w:tcW w:w="8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deferred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Realization of deferred tax assets is dependent on future taxable income, if any, the timing and the amount of which are uncertain. We assess the available positive and negative evidence to estimate whether sufficient future taxable income will be generated to permit use of the existing deferred tax assets. A significant component of objective negative evidence evaluated was our cumulative loss incurred over the three-year period ended December 31, 2024. Such objective evidence limits the ability to consider other subjective evidence, such as our projections for future growth. On the basis of this evaluation, as of December 31, 2024, 2023 and 2022, a full valuation allowance has been recorded against our deferred tax assets. The valuation allowance increased by $12.4 million in 2024 primarily attributable to net operating loss carryforwards and stock-based compensation. The amount of the deferred tax assets considered realizable could be adjusted if estimates of future taxable income during the carryforward period are reduced or increased, or if objective negative evidence, such as cumulative losses, are no longer present. In such cases, additional weight may be given to subjective evidence, such as our projections for growth.</w:t>
      </w:r>
    </w:p>
    <w:p>
      <w:pPr>
        <w:spacing w:after="0" w:line="1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December 31, 2024, we had net operating loss carryforwards for federal income tax purposes of approximately $495.0 million, of which approximately $344.8 million can be carried forward indefinitely and the remaining net operating losses begin to expire in 2030, if not utilized. We had approximately $17.8 million of federal research and development tax credit carryforwards and approximately $1.7 million of foreign tax credit carryforwards that begin to expire in 2027, if not utilized.</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had net operating loss carryforwards for California income tax purposes of approximately $94.7 million that begin to expire in 2030, if not utilized, and state research and development tax credit carryforwards of approximately $9.2 million that do not expire. We had approximately $0.1 million of minimum tax credit carryovers for California income tax purposes that do not expire. We had other state net operating losses of approximately $64.0 million that begin to expire in 2031.</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future utilization of net operating loss and tax credit carryforwards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our effective tax rate.</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Effective January 1, 2022, research and development expenses are required to be capitalized and amortized for U.S. tax purposes. The mandatory capitalization requirement did not have a material impact on our deferred tax assets and did not result in a cash tax liability as we have historically elected to capitalize research and development expenses for tax purposes.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90"/>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w:t>
            </w:r>
          </w:p>
        </w:tc>
      </w:tr>
      <w:tr>
        <w:trPr>
          <w:trHeight w:val="229"/>
        </w:trPr>
        <w:tc>
          <w:tcPr>
            <w:tcW w:w="2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2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Subtractions based on tax positions related to prior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48"/>
        </w:trPr>
        <w:tc>
          <w:tcPr>
            <w:tcW w:w="2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None of our unrecognized tax benefits would impact the effective tax rate if recognized, because the benefit would be offset by an increase in the valuation allowance.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elected to include interest and penalties as a component of tax expense. During the years ended December 31, 2024, 2023 and 2022, we did not recognize accrued interest and penalties related to unrecognized tax benefits. Although the timing and outcome of an income tax audit is highly uncertain, we do not anticipate that the amount of existing unrecognized tax benefits will significantly change during the next 12 months.</w:t>
      </w:r>
    </w:p>
    <w:p>
      <w:pPr>
        <w:spacing w:after="0" w:line="122"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We file a U.S. federal income tax return and income tax returns in various state and local jurisdictions. Due to our net operating loss and tax credit carryforwards, the income tax returns remain open to U.S. federal and state tax examinations. We are not currently under examination in any tax jurisdiction.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operate in a single reportable segment with a mission to discover, develop and commercialize innovative, first-in-class medicines that meet significant unmet medical needs. A centralized research and development organization, supply chain organization and commercial organization are all responsible for the discovery, development, manufacturing, supply and sale of our products. Our business is also supported by centralized corporate functions. We currently operate primarily in the U.S. and earn revenues from sales of IBSRELA and XPHOZAH, both branded products derived from tenapanor, a molecule developed from our unique and innovative platform. Licensing agreements with international partners are utilized for development and commercialization activities outside the U.S. Currently, we maintain such agreements for certain indications of tenapanor in Japan (Kyowa Kirin), China (Fosun Pharma) and Canada (Knight). Refer to </w:t>
      </w:r>
      <w:r>
        <w:rPr>
          <w:rFonts w:ascii="Times New Roman" w:cs="Times New Roman" w:eastAsia="Times New Roman" w:hAnsi="Times New Roman"/>
          <w:sz w:val="18"/>
          <w:szCs w:val="18"/>
          <w:i w:val="1"/>
          <w:iCs w:val="1"/>
          <w:color w:val="auto"/>
        </w:rPr>
        <w:t>Note 7. Collaboration And Licensing Agreements</w:t>
      </w:r>
      <w:r>
        <w:rPr>
          <w:rFonts w:ascii="Times New Roman" w:cs="Times New Roman" w:eastAsia="Times New Roman" w:hAnsi="Times New Roman"/>
          <w:sz w:val="18"/>
          <w:szCs w:val="18"/>
          <w:color w:val="auto"/>
        </w:rPr>
        <w:t xml:space="preserve"> for further detail. We recognize other revenue in the form of product supply revenue and licensing revenue under the Kyowa Kirin and Knight agreements. Revenue streams associated with the Kyowa Kirin Agreement are subject to a separate agreement where such future royalties and commercial milestones were sold to a third-party. Refer to </w:t>
      </w:r>
      <w:r>
        <w:rPr>
          <w:rFonts w:ascii="Times New Roman" w:cs="Times New Roman" w:eastAsia="Times New Roman" w:hAnsi="Times New Roman"/>
          <w:sz w:val="18"/>
          <w:szCs w:val="18"/>
          <w:i w:val="1"/>
          <w:iCs w:val="1"/>
          <w:color w:val="auto"/>
        </w:rPr>
        <w:t>Note 8.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Royalty Obligation Related To The Sale Of Future Royalties </w:t>
      </w:r>
      <w:r>
        <w:rPr>
          <w:rFonts w:ascii="Times New Roman" w:cs="Times New Roman" w:eastAsia="Times New Roman" w:hAnsi="Times New Roman"/>
          <w:sz w:val="18"/>
          <w:szCs w:val="18"/>
          <w:color w:val="auto"/>
        </w:rPr>
        <w:t>for further information.</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Chief Executive Officer (CEO) is our Chief Operating Decision Maker (CODM), responsible for allocating resources and assessing Company performance using aggregated financial information. Utilizing aggregated financial information enables the CODM to determine the most appropriate resource allocation across the commercial organization, research and development projects or other initiatives consistent with our long-term corporate wide strategic goals. The CODM primarily uses aggregated net loss as reported on the statements of operations and comprehensive loss to measure segment loss, supplemented by certain additional significant expense details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regarding our single operating segment’s significant revenues, expenses and operating loss are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29"/>
        </w:trPr>
        <w:tc>
          <w:tcPr>
            <w:tcW w:w="70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36,558</w:t>
            </w: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52,158</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9"/>
        </w:trPr>
        <w:tc>
          <w:tcPr>
            <w:tcW w:w="70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28,777</w:t>
            </w:r>
          </w:p>
        </w:tc>
      </w:tr>
      <w:tr>
        <w:trPr>
          <w:trHeight w:val="229"/>
        </w:trPr>
        <w:tc>
          <w:tcPr>
            <w:tcW w:w="70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expenses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r>
      <w:tr>
        <w:trPr>
          <w:trHeight w:val="230"/>
        </w:trPr>
        <w:tc>
          <w:tcPr>
            <w:tcW w:w="70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w:t>
            </w:r>
          </w:p>
        </w:tc>
      </w:tr>
      <w:tr>
        <w:trPr>
          <w:trHeight w:val="229"/>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r>
      <w:tr>
        <w:trPr>
          <w:trHeight w:val="230"/>
        </w:trPr>
        <w:tc>
          <w:tcPr>
            <w:tcW w:w="70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r>
      <w:tr>
        <w:trPr>
          <w:trHeight w:val="223"/>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111,800</w:t>
            </w:r>
          </w:p>
        </w:tc>
      </w:tr>
      <w:tr>
        <w:trPr>
          <w:trHeight w:val="22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and consolidated loss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(63,759)</w:t>
            </w:r>
          </w:p>
        </w:tc>
      </w:tr>
      <w:tr>
        <w:trPr>
          <w:trHeight w:val="229"/>
        </w:trPr>
        <w:tc>
          <w:tcPr>
            <w:tcW w:w="702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 reconciliation items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r>
      <w:tr>
        <w:trPr>
          <w:trHeight w:val="248"/>
        </w:trPr>
        <w:tc>
          <w:tcPr>
            <w:tcW w:w="7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40" w:right="260" w:hanging="332"/>
        <w:spacing w:after="0" w:line="222" w:lineRule="auto"/>
        <w:tabs>
          <w:tab w:leader="none" w:pos="327"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 xml:space="preserve">“Other revenues” </w:t>
      </w:r>
      <w:r>
        <w:rPr>
          <w:rFonts w:ascii="Times New Roman" w:cs="Times New Roman" w:eastAsia="Times New Roman" w:hAnsi="Times New Roman"/>
          <w:sz w:val="14"/>
          <w:szCs w:val="14"/>
          <w:color w:val="auto"/>
        </w:rPr>
        <w:t>includes revenues from our collaboration partnerships, including license fees, milestone payments, product supply revenue and non-cash royalty revenue related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 of future royalties.</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Research and development, selling and general administrative expenses herein do not include certain allocated items, such as stock-based compensation expenses.</w:t>
      </w:r>
    </w:p>
    <w:p>
      <w:pPr>
        <w:spacing w:after="0" w:line="14" w:lineRule="exact"/>
        <w:rPr>
          <w:rFonts w:ascii="Times New Roman" w:cs="Times New Roman" w:eastAsia="Times New Roman" w:hAnsi="Times New Roman"/>
          <w:sz w:val="9"/>
          <w:szCs w:val="9"/>
          <w:color w:val="auto"/>
        </w:rPr>
      </w:pPr>
    </w:p>
    <w:p>
      <w:pPr>
        <w:ind w:left="340" w:right="240" w:hanging="332"/>
        <w:spacing w:after="0" w:line="221" w:lineRule="auto"/>
        <w:tabs>
          <w:tab w:leader="none" w:pos="327"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 xml:space="preserve">“Other segment expenses” </w:t>
      </w:r>
      <w:r>
        <w:rPr>
          <w:rFonts w:ascii="Times New Roman" w:cs="Times New Roman" w:eastAsia="Times New Roman" w:hAnsi="Times New Roman"/>
          <w:sz w:val="14"/>
          <w:szCs w:val="14"/>
          <w:color w:val="auto"/>
        </w:rPr>
        <w:t>primarily consists of allocated facilities, information technology, and employee costs of approximately $16.9 million,$12.3 million and $11.4 million in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and 2022, respectively.</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line="192" w:lineRule="auto"/>
        <w:tabs>
          <w:tab w:leader="none" w:pos="32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 xml:space="preserve">“Other reconciliation items” </w:t>
      </w:r>
      <w:r>
        <w:rPr>
          <w:rFonts w:ascii="Times New Roman" w:cs="Times New Roman" w:eastAsia="Times New Roman" w:hAnsi="Times New Roman"/>
          <w:sz w:val="14"/>
          <w:szCs w:val="14"/>
          <w:color w:val="auto"/>
        </w:rPr>
        <w:t>includes interest expense, non-cash interest expense related to the sale of future royalties, provision for income taxes and other income, net.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years ended December 31, 2024, 2023 and 2022, all potential common shares were determined to be anti-dilutive.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common share: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(67,207)</w:t>
            </w:r>
          </w:p>
        </w:tc>
      </w:tr>
      <w:tr>
        <w:trPr>
          <w:trHeight w:val="230"/>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158,690</w:t>
            </w:r>
          </w:p>
        </w:tc>
      </w:tr>
      <w:tr>
        <w:trPr>
          <w:trHeight w:val="248"/>
        </w:trPr>
        <w:tc>
          <w:tcPr>
            <w:tcW w:w="7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total numbers of securities that could potentially dilute net income per share in the future that were not considered in the diluted net loss per share calculations because the effect would have been anti-dilutive were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shares issuable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16,382</w:t>
            </w:r>
          </w:p>
        </w:tc>
      </w:tr>
      <w:tr>
        <w:trPr>
          <w:trHeight w:val="21"/>
        </w:trPr>
        <w:tc>
          <w:tcPr>
            <w:tcW w:w="7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2024, 2023 and 2022, was approximately 9.2 million, 6.3 million and 0.6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indemnify each of our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maximum amount of potential future indemnification is unlimited; however, we currently hold director and officer liability insurance, which allows the transfer of risk associated with our exposure and may enable us to recover a portion of any future amounts paid. We believe that the fair value of these indemnification obligations is minimal. Accordingly, we have not recognized any liabilities relating to these obligations for any period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Claims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 w:cs="Times New Roman" w:eastAsia="Times New Roman" w:hAnsi="Times New Roman"/>
          <w:sz w:val="18"/>
          <w:szCs w:val="18"/>
          <w:i w:val="1"/>
          <w:iCs w:val="1"/>
          <w:color w:val="auto"/>
        </w:rPr>
        <w:t>Strezsak v. Ardelyx, Inc., et al.</w:t>
      </w:r>
      <w:r>
        <w:rPr>
          <w:rFonts w:ascii="Times New Roman" w:cs="Times New Roman" w:eastAsia="Times New Roman" w:hAnsi="Times New Roman"/>
          <w:sz w:val="18"/>
          <w:szCs w:val="18"/>
          <w:color w:val="auto"/>
        </w:rPr>
        <w:t xml:space="preserve">, Case No. 4:21-cv-05868-HSG, and Siegel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Ardelyx, Inc., et al.</w:t>
      </w:r>
      <w:r>
        <w:rPr>
          <w:rFonts w:ascii="Times New Roman" w:cs="Times New Roman" w:eastAsia="Times New Roman" w:hAnsi="Times New Roman"/>
          <w:sz w:val="18"/>
          <w:szCs w:val="18"/>
          <w:color w:val="auto"/>
        </w:rPr>
        <w:t>, Case No. 5:21-cv-06228-HSG (together, the Securities Class Actions). The complaints allege that the defendants violated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10(b) and 20(a) of the Securities Exchange Act of 1934 (the Exchange Act),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 The court provided plaintiffs a third opportunity to amend and plaintiffs filed a third amended complaint on April 19, 2024. Defendants filed a motion to dismiss the third amended complaint on June 3, 2024. The case was dismissed with prejudice on September 12, 2024. On October 9, 2024, plaintiff appealed the District Court’s dismissal of the case to the Ninth Circuit. We believe the plaintiffs’ claims are without merit.</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The consolidated case remains stayed pending resolution of the appeal in the Securities Class Action. We believe the plaintiffs’ claims are without merit.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17, 2024, in partnership with the AAKP and the NMQF, we filed a lawsuit in the U.S. District Court for the District of Columbia against the CMS, claiming that CMS has violated its statutory and regulatory authority under the MIPPA, which established the ESRD PPS bundled payment system for dialysis services in 2008. Specifically, the lawsuit claims that CMS’s plan to move XPHOZAH, along with all oral-only drugs, into the ESRD PPS is inconsistent with MIPPA’s statutory provision, and contradicts CMS’s own regulations. XPHOZAH and other oral-only drugs, which are currently available to patients under Medicare Part D, are not administered by dialysis providers and cannot be taken during the delivery of maintenance dialysis. The Company, AAKP and NMQF are seeking relief under the Administrative Procedure Act to enjoin CMS from proceeding with its plan to include XPHOZAH in the ESRD PPS and eliminate coverage under Medicare Part D beginning on January 1, 2025.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 brief in the appeal on February 4, 2025, and Appellee’s brief is due March 6, 2025. Final briefs in the appeal are currently expected to be filed on April 10, 2025.</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August 16, 2024, a complaint was filed against us in the U.S. District Court of Massachusetts, captioned Yarborough v. Ardelyx, Inc., et al., No. 24-cv-12119 (D. Mass.). The complaint names the Company, Mike Raab, and Justin Renz as defendants and alleges violations of Sections 10(b) and 20(a) the Exchange Act and Rule 10b-5 promulgated thereunder, related to the our announcement on July 2, 2024 that it had chosen not to file an application for Transitional Drug Add-on Payment Adjustment for XPHOZAH (the “Yarborough Action”). The plaintiffs seek damages and interest, and an award of costs, including attorneys’ fees. Two shareholders filed motions to be appointed lead plaintiff in the Yarborough Action on October 15, 2024. The Court appointed Tate Wood as lead plaintiff on October 30, 2024. Lead Plaintiff filed an amended complaint on January 13, 2025, alleging violations of Sections 10(b) and 20(a) of the Exchange Act and Rule 10b-5 promulgated thereunder related to our announcement on July 2, 2024 regarding TDAPA. Lead Plaintiff purports to bring claims on behalf of all those who acquired Ardelyx common stock between February 23, 2024 and July 1, 2024. Defendants’ motion to dismiss the amended complaint is due March 14, 2025. We believe the plaintiff’s claims are without merit.</w:t>
      </w:r>
    </w:p>
    <w:p>
      <w:pPr>
        <w:spacing w:after="0" w:line="1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We believe the plaintiffs’ claims are without merit.</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As of December 31, 2024, there is no litigation pending that would reasonably be expected to have a material adverse effect on our results of operations and financial condition.</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Conclusions Regarding the Effectiveness of Disclosure Controls and Procedures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2024, management, with the participation of our CEO and Chief Financial and Operations Officer (CFOO),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CEO and the CFOO, to allow timely decisions regarding required disclosures.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relationship of possible controls and procedures. Based on this evaluation, our CEO and CFOO concluded that, as of December 31, 2024, the design and operation of our disclosure controls and procedures were effective at a reasonable assurance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our CEO and CFOO,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6" w:lineRule="exact"/>
        <w:rPr>
          <w:sz w:val="20"/>
          <w:szCs w:val="20"/>
          <w:color w:val="auto"/>
        </w:rPr>
      </w:pPr>
    </w:p>
    <w:p>
      <w:pPr>
        <w:ind w:left="340" w:right="600" w:hanging="332"/>
        <w:spacing w:after="0" w:line="282" w:lineRule="auto"/>
        <w:tabs>
          <w:tab w:leader="none" w:pos="33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Pertain to the maintenance of records that accurately and fairly reflect in reasonable detail the transactions and dispositions of the assets of our company;</w:t>
      </w:r>
    </w:p>
    <w:p>
      <w:pPr>
        <w:spacing w:after="0" w:line="107" w:lineRule="exact"/>
        <w:rPr>
          <w:rFonts w:ascii="Times New Roman" w:cs="Times New Roman" w:eastAsia="Times New Roman" w:hAnsi="Times New Roman"/>
          <w:sz w:val="18"/>
          <w:szCs w:val="18"/>
          <w:b w:val="1"/>
          <w:bCs w:val="1"/>
          <w:color w:val="auto"/>
        </w:rPr>
      </w:pPr>
    </w:p>
    <w:p>
      <w:pPr>
        <w:ind w:left="340" w:right="80" w:hanging="332"/>
        <w:spacing w:after="0" w:line="266"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2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assurances regarding prevention or timely detection of unauthorized acquisition, use or disposition of our assets that could have a material adverse effect on our financial statements.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assessed our internal control over financial reporting as of December 31, 2024, the end of the period covered by this Annual Report on Form 10-K.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2024, our internal control over financial reporting was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audited our Financial Statements included in Item 8 of this Annual Report on Form 10-K and have issued a report on our internal control over financial reporting as of December 31, 2024. Their report on the audit of internal control over financial reporting appears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Ardelyx,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Ardelyx, Inc.’s internal control over financial reporting as of December 31, 2024, based on criteria established in Internal Control— Integrated Framework issued by the Committee of Sponsoring Organizations of the Treadway Commission (2013 framework) (the COSO criteria). In our opinion, Ardelyx, Inc. (the Company) maintained, in all material respects, effective internal control over financial reporting as of December 31, 2024, based on the COSO criteria.</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balance sheets of Ardelyx, Inc. as of December 31, 2024 and 2023, the related statements of operations and comprehensive loss, stockholders’ equity, and cash flows for each of the three years in the period ended December 31, 2024, and the related notes, and our report dated February 20,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1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our Section 16 officers and directors adopted or terminated contracts, instructions or written plans for the purchase or sale of our securities as noted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60" w:type="dxa"/>
            <w:vAlign w:val="bottom"/>
            <w:tcBorders>
              <w:righ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Name and Title of Director or</w:t>
            </w:r>
          </w:p>
        </w:tc>
        <w:tc>
          <w:tcPr>
            <w:tcW w:w="12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Rule 10b5-</w:t>
            </w:r>
          </w:p>
        </w:tc>
        <w:tc>
          <w:tcPr>
            <w:tcW w:w="1040" w:type="dxa"/>
            <w:vAlign w:val="bottom"/>
            <w:tcBorders>
              <w:right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Non-Rule</w:t>
            </w:r>
          </w:p>
        </w:tc>
        <w:tc>
          <w:tcPr>
            <w:tcW w:w="13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Available to be</w:t>
            </w:r>
          </w:p>
        </w:tc>
        <w:tc>
          <w:tcPr>
            <w:tcW w:w="188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200" w:type="dxa"/>
            <w:vAlign w:val="bottom"/>
            <w:tcBorders>
              <w:bottom w:val="single" w:sz="8" w:color="auto"/>
              <w:right w:val="single" w:sz="8" w:color="auto"/>
            </w:tcBorders>
            <w:vMerge w:val="continue"/>
          </w:tcPr>
          <w:p>
            <w:pPr>
              <w:spacing w:after="0"/>
              <w:rPr>
                <w:sz w:val="21"/>
                <w:szCs w:val="21"/>
                <w:color w:val="auto"/>
              </w:rPr>
            </w:pPr>
          </w:p>
        </w:tc>
        <w:tc>
          <w:tcPr>
            <w:tcW w:w="1960" w:type="dxa"/>
            <w:vAlign w:val="bottom"/>
            <w:tcBorders>
              <w:bottom w:val="single" w:sz="8" w:color="auto"/>
              <w:right w:val="single" w:sz="8" w:color="auto"/>
            </w:tcBorders>
            <w:vMerge w:val="continue"/>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8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Robert Blanks, Chief Regulatory</w:t>
            </w:r>
          </w:p>
        </w:tc>
        <w:tc>
          <w:tcPr>
            <w:tcW w:w="120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20, 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4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339,500</w:t>
            </w:r>
          </w:p>
        </w:tc>
        <w:tc>
          <w:tcPr>
            <w:tcW w:w="188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5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Intended to satisfy the affirmative defense conditions of Rule 10b5-1(c)</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5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Not intended to satisfy the affirmative defense conditions of Rule 10b5-1(c)</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1"/>
        </w:trPr>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14.</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described below, we incorporate by reference in this Annual Report on Form 10-K certain information appearing in the Proxy Statement that we will furnish to our stockholders for our 2025 Annual Meeting of Stockholders.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47" w:lineRule="exact"/>
        <w:rPr>
          <w:sz w:val="20"/>
          <w:szCs w:val="20"/>
          <w:color w:val="auto"/>
        </w:rPr>
      </w:pPr>
    </w:p>
    <w:p>
      <w:pPr>
        <w:ind w:left="280" w:right="600"/>
        <w:spacing w:after="0" w:line="239"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57" w:lineRule="exact"/>
        <w:rPr>
          <w:sz w:val="20"/>
          <w:szCs w:val="20"/>
          <w:color w:val="auto"/>
        </w:rPr>
      </w:pPr>
    </w:p>
    <w:p>
      <w:pPr>
        <w:ind w:left="280"/>
        <w:spacing w:after="0" w:line="239"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Incorporated by reference to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3223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15" w:lineRule="exact"/>
        <w:rPr>
          <w:sz w:val="20"/>
          <w:szCs w:val="20"/>
          <w:color w:val="auto"/>
        </w:rPr>
      </w:pPr>
    </w:p>
    <w:p>
      <w:pPr>
        <w:ind w:right="420"/>
        <w:spacing w:after="0" w:line="222" w:lineRule="auto"/>
        <w:rPr>
          <w:sz w:val="20"/>
          <w:szCs w:val="20"/>
          <w:color w:val="auto"/>
        </w:rPr>
      </w:pPr>
      <w:r>
        <w:rPr>
          <w:rFonts w:ascii="Times New Roman" w:cs="Times New Roman" w:eastAsia="Times New Roman" w:hAnsi="Times New Roman"/>
          <w:sz w:val="18"/>
          <w:szCs w:val="18"/>
          <w:color w:val="auto"/>
        </w:rPr>
        <w:t>“Executive Officers,” “Election of Directors,” “Corporate Governance,” and “ Section 16(a) Beneficial Ownership Reporting</w:t>
      </w:r>
    </w:p>
    <w:p>
      <w:pPr>
        <w:spacing w:after="0" w:line="2" w:lineRule="exact"/>
        <w:rPr>
          <w:sz w:val="20"/>
          <w:szCs w:val="20"/>
          <w:color w:val="auto"/>
        </w:rPr>
      </w:pPr>
    </w:p>
    <w:p>
      <w:pPr>
        <w:ind w:right="380"/>
        <w:spacing w:after="0" w:line="218" w:lineRule="auto"/>
        <w:rPr>
          <w:sz w:val="20"/>
          <w:szCs w:val="20"/>
          <w:color w:val="auto"/>
        </w:rPr>
      </w:pPr>
      <w:r>
        <w:rPr>
          <w:rFonts w:ascii="Times New Roman" w:cs="Times New Roman" w:eastAsia="Times New Roman" w:hAnsi="Times New Roman"/>
          <w:sz w:val="18"/>
          <w:szCs w:val="18"/>
          <w:color w:val="auto"/>
        </w:rPr>
        <w:t>Compliance” sections. We have included information regarding our Code Business Conduct and Ethics and our Insider Trading Policy below.</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section.</w:t>
      </w:r>
    </w:p>
    <w:p>
      <w:pPr>
        <w:spacing w:after="0" w:line="347"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“Security Ownership of Certain Beneficial Owners and Management” and “Equity Compensation Plan Information” sections.</w:t>
      </w:r>
    </w:p>
    <w:p>
      <w:pPr>
        <w:spacing w:after="0" w:line="361"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“Certain Relationships and Related Party Transactions” and “Election of Directors” sections.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Accountant Fees and Services” section.</w:t>
      </w:r>
    </w:p>
    <w:p>
      <w:pPr>
        <w:spacing w:after="0" w:line="643" w:lineRule="exact"/>
        <w:rPr>
          <w:sz w:val="20"/>
          <w:szCs w:val="20"/>
          <w:color w:val="auto"/>
        </w:rPr>
      </w:pPr>
    </w:p>
    <w:p>
      <w:pPr>
        <w:sectPr>
          <w:pgSz w:w="11900" w:h="16838" w:orient="portrait"/>
          <w:cols w:equalWidth="0" w:num="2">
            <w:col w:w="5720" w:space="200"/>
            <w:col w:w="5240"/>
          </w:cols>
          <w:pgMar w:left="320" w:top="121" w:right="41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If we make any amendment to, or waiver from, a provision of our Code of Conduct that we are required to disclose under SEC rules, we intend to satisfy that disclosure requirement by posting such information to our website at www.ardelyx.com. The contents of our websites are not intended to be incorporated by reference into this Form 10-K or in any other report or document we file with the SEC, and any references to our websites are intended to be inactive textual references only.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an insider trading compliance policy and procedures governing the purchase, sale and other dispositions of our securities that applies to all of our personnel, including directors, officers, employees and other covered persons. We believe that our insider trading compliance policy and procedures are reasonably designed to promote compliance with insider trading laws, rules and regulations, and listing standards applicable to us. A copy of our Trading Policy is filed as Exhibit 19.1 to this Form 10-K.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171"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153"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Exhibit Index immediately following this page.</w:t>
      </w:r>
    </w:p>
    <w:p>
      <w:pPr>
        <w:spacing w:after="0" w:line="1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0"/>
        </w:trPr>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gridSpan w:val="34"/>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41"/>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Amended and Restated Certificate of Incorporation</w:t>
              </w:r>
            </w:hyperlink>
          </w:p>
        </w:tc>
        <w:tc>
          <w:tcPr>
            <w:tcW w:w="21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Certificate of Amendment to Amended and Restated Certificate of</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Incorporation</w:t>
              </w:r>
            </w:hyperlink>
          </w:p>
        </w:tc>
        <w:tc>
          <w:tcPr>
            <w:tcW w:w="3800" w:type="dxa"/>
            <w:vAlign w:val="bottom"/>
            <w:tcBorders>
              <w:top w:val="single" w:sz="8" w:color="0000FF"/>
            </w:tcBorders>
            <w:gridSpan w:val="18"/>
          </w:tcPr>
          <w:p>
            <w:pPr>
              <w:spacing w:after="0"/>
              <w:rPr>
                <w:sz w:val="17"/>
                <w:szCs w:val="17"/>
                <w:color w:val="auto"/>
              </w:rPr>
            </w:pPr>
          </w:p>
        </w:tc>
        <w:tc>
          <w:tcPr>
            <w:tcW w:w="1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Amended and Restated Bylaws</w:t>
              </w:r>
            </w:hyperlink>
          </w:p>
        </w:tc>
        <w:tc>
          <w:tcPr>
            <w:tcW w:w="3560" w:type="dxa"/>
            <w:vAlign w:val="bottom"/>
            <w:gridSpan w:val="33"/>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Form of Common Stock Certificate</w:t>
              </w:r>
            </w:hyperlink>
          </w:p>
        </w:tc>
        <w:tc>
          <w:tcPr>
            <w:tcW w:w="3260" w:type="dxa"/>
            <w:vAlign w:val="bottom"/>
            <w:gridSpan w:val="30"/>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Description of the Registrant’s Securities Registered Pursuant to Section 12 of</w:t>
              </w:r>
            </w:hyperlink>
          </w:p>
        </w:tc>
        <w:tc>
          <w:tcPr>
            <w:tcW w:w="1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the Securities Exchange Act of 1934</w:t>
              </w:r>
            </w:hyperlink>
          </w:p>
        </w:tc>
        <w:tc>
          <w:tcPr>
            <w:tcW w:w="31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10.1(a)</w:t>
            </w:r>
          </w:p>
        </w:tc>
        <w:tc>
          <w:tcPr>
            <w:tcW w:w="20" w:type="dxa"/>
            <w:vAlign w:val="bottom"/>
          </w:tcPr>
          <w:p>
            <w:pPr>
              <w:spacing w:after="0"/>
              <w:rPr>
                <w:sz w:val="21"/>
                <w:szCs w:val="21"/>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Termination Agreement, dated June 2, 2015, by and between AstraZeneca AB</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and Ardelyx, Inc.</w:t>
              </w:r>
            </w:hyperlink>
          </w:p>
        </w:tc>
        <w:tc>
          <w:tcPr>
            <w:tcW w:w="4360" w:type="dxa"/>
            <w:vAlign w:val="bottom"/>
            <w:tcBorders>
              <w:top w:val="single" w:sz="8" w:color="0000FF"/>
            </w:tcBorders>
            <w:gridSpan w:val="27"/>
          </w:tcPr>
          <w:p>
            <w:pPr>
              <w:spacing w:after="0"/>
              <w:rPr>
                <w:sz w:val="17"/>
                <w:szCs w:val="17"/>
                <w:color w:val="auto"/>
              </w:rPr>
            </w:pPr>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10.1(b)</w:t>
            </w:r>
          </w:p>
        </w:tc>
        <w:tc>
          <w:tcPr>
            <w:tcW w:w="20" w:type="dxa"/>
            <w:vAlign w:val="bottom"/>
          </w:tcPr>
          <w:p>
            <w:pPr>
              <w:spacing w:after="0"/>
              <w:rPr>
                <w:sz w:val="21"/>
                <w:szCs w:val="21"/>
                <w:color w:val="auto"/>
              </w:rPr>
            </w:pPr>
          </w:p>
        </w:tc>
        <w:tc>
          <w:tcPr>
            <w:tcW w:w="57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Amendment No. 1 to Termination Agreement and to Manufacturing and Supply</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Agreement, dated November 2, 2015 by and between AstraZeneca AB and</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Ardelyx, Inc.</w:t>
              </w:r>
            </w:hyperlink>
          </w:p>
        </w:tc>
        <w:tc>
          <w:tcPr>
            <w:tcW w:w="486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10.2(a)</w:t>
            </w:r>
          </w:p>
        </w:tc>
        <w:tc>
          <w:tcPr>
            <w:tcW w:w="20" w:type="dxa"/>
            <w:vAlign w:val="bottom"/>
          </w:tcPr>
          <w:p>
            <w:pPr>
              <w:spacing w:after="0"/>
              <w:rPr>
                <w:sz w:val="21"/>
                <w:szCs w:val="21"/>
                <w:color w:val="auto"/>
              </w:rPr>
            </w:pPr>
          </w:p>
        </w:tc>
        <w:tc>
          <w:tcPr>
            <w:tcW w:w="57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Lease, dated August 8, 2008, by and between 34175 Ardenwood Venture, LLC</w:t>
              </w:r>
            </w:hyperlink>
          </w:p>
        </w:tc>
        <w:tc>
          <w:tcPr>
            <w:tcW w:w="1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and Ardelyx, Inc.</w:t>
              </w:r>
            </w:hyperlink>
          </w:p>
        </w:tc>
        <w:tc>
          <w:tcPr>
            <w:tcW w:w="456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10.2(b)</w:t>
            </w:r>
          </w:p>
        </w:tc>
        <w:tc>
          <w:tcPr>
            <w:tcW w:w="20" w:type="dxa"/>
            <w:vAlign w:val="bottom"/>
          </w:tcPr>
          <w:p>
            <w:pPr>
              <w:spacing w:after="0"/>
              <w:rPr>
                <w:sz w:val="21"/>
                <w:szCs w:val="21"/>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Amendment to Lease, dated December 20, 2012, by and between 34175</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Ardenwood Venture, LLC and Ardelyx, Inc.</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10.2(c)</w:t>
            </w:r>
          </w:p>
        </w:tc>
        <w:tc>
          <w:tcPr>
            <w:tcW w:w="20" w:type="dxa"/>
            <w:vAlign w:val="bottom"/>
          </w:tcPr>
          <w:p>
            <w:pPr>
              <w:spacing w:after="0"/>
              <w:rPr>
                <w:sz w:val="21"/>
                <w:szCs w:val="21"/>
                <w:color w:val="auto"/>
              </w:rPr>
            </w:pPr>
          </w:p>
        </w:tc>
        <w:tc>
          <w:tcPr>
            <w:tcW w:w="5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Second Amendment to Lease, dated September 5, 2014, by and between</w:t>
              </w:r>
            </w:hyperlink>
          </w:p>
        </w:tc>
        <w:tc>
          <w:tcPr>
            <w:tcW w:w="60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Ardelyx, Inc. and 34175 Ardenwood Venture, LLC</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10.2(d)</w:t>
            </w:r>
          </w:p>
        </w:tc>
        <w:tc>
          <w:tcPr>
            <w:tcW w:w="20" w:type="dxa"/>
            <w:vAlign w:val="bottom"/>
          </w:tcPr>
          <w:p>
            <w:pPr>
              <w:spacing w:after="0"/>
              <w:rPr>
                <w:sz w:val="21"/>
                <w:szCs w:val="21"/>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Third Amendment to Lease, dated April 28, 2016, by and between Ardelyx, Inc.</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top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and 34175 Ardenwood Venture, LLC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10.2(e)</w:t>
            </w:r>
          </w:p>
        </w:tc>
        <w:tc>
          <w:tcPr>
            <w:tcW w:w="20" w:type="dxa"/>
            <w:vAlign w:val="bottom"/>
          </w:tcPr>
          <w:p>
            <w:pPr>
              <w:spacing w:after="0"/>
              <w:rPr>
                <w:sz w:val="21"/>
                <w:szCs w:val="21"/>
                <w:color w:val="auto"/>
              </w:rPr>
            </w:pPr>
          </w:p>
        </w:tc>
        <w:tc>
          <w:tcPr>
            <w:tcW w:w="4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Fourth Amendment to Lease, dated May 25, 2021, by and between</w:t>
              </w:r>
            </w:hyperlink>
          </w:p>
        </w:tc>
        <w:tc>
          <w:tcPr>
            <w:tcW w:w="100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Ardelyx, Inc. and 34175 Ardenwood Venture, LLC</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10.2(f)</w:t>
            </w:r>
          </w:p>
        </w:tc>
        <w:tc>
          <w:tcPr>
            <w:tcW w:w="20" w:type="dxa"/>
            <w:vAlign w:val="bottom"/>
          </w:tcPr>
          <w:p>
            <w:pPr>
              <w:spacing w:after="0"/>
              <w:rPr>
                <w:sz w:val="21"/>
                <w:szCs w:val="21"/>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Fifth Amendment to Lease, dated May 25, 2021, by and between Ardelyx, Inc.</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and 34175 Ardenwood Venture, LLC</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10.2(g)</w:t>
            </w:r>
          </w:p>
        </w:tc>
        <w:tc>
          <w:tcPr>
            <w:tcW w:w="20" w:type="dxa"/>
            <w:vAlign w:val="bottom"/>
          </w:tcPr>
          <w:p>
            <w:pPr>
              <w:spacing w:after="0"/>
              <w:rPr>
                <w:sz w:val="21"/>
                <w:szCs w:val="21"/>
                <w:color w:val="auto"/>
              </w:rPr>
            </w:pPr>
          </w:p>
        </w:tc>
        <w:tc>
          <w:tcPr>
            <w:tcW w:w="57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Sixth Amendment to Lease, dated May 25, 2021, by and between Ardelyx, Inc.</w:t>
              </w:r>
            </w:hyperlink>
          </w:p>
        </w:tc>
        <w:tc>
          <w:tcPr>
            <w:tcW w:w="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and 34175 Ardenwood Venture, LLC.</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10.3(a)</w:t>
            </w:r>
          </w:p>
        </w:tc>
        <w:tc>
          <w:tcPr>
            <w:tcW w:w="20" w:type="dxa"/>
            <w:vAlign w:val="bottom"/>
          </w:tcPr>
          <w:p>
            <w:pPr>
              <w:spacing w:after="0"/>
              <w:rPr>
                <w:sz w:val="21"/>
                <w:szCs w:val="21"/>
                <w:color w:val="auto"/>
              </w:rPr>
            </w:pPr>
          </w:p>
        </w:tc>
        <w:tc>
          <w:tcPr>
            <w:tcW w:w="57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Lease Agreement, dated December 30, 2020, by and between Ardelyx, Inc. and</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Prospect Fifth Ave, LLC.</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10.3(b)</w:t>
            </w: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Amendment Number 2 to Lease Agreement by and between Ardelyx, Inc, and</w:t>
              </w:r>
            </w:hyperlink>
          </w:p>
        </w:tc>
        <w:tc>
          <w:tcPr>
            <w:tcW w:w="1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Prospect Fifth Avenue, LLC.</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10.3(c)</w:t>
            </w:r>
          </w:p>
        </w:tc>
        <w:tc>
          <w:tcPr>
            <w:tcW w:w="20" w:type="dxa"/>
            <w:vAlign w:val="bottom"/>
          </w:tcPr>
          <w:p>
            <w:pPr>
              <w:spacing w:after="0"/>
              <w:rPr>
                <w:sz w:val="20"/>
                <w:szCs w:val="20"/>
                <w:color w:val="auto"/>
              </w:rPr>
            </w:pPr>
          </w:p>
        </w:tc>
        <w:tc>
          <w:tcPr>
            <w:tcW w:w="56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Amendment Number 3 to Lease Agreement by and between Ardelyx, Inc, and</w:t>
              </w:r>
            </w:hyperlink>
          </w:p>
        </w:tc>
        <w:tc>
          <w:tcPr>
            <w:tcW w:w="80" w:type="dxa"/>
            <w:vAlign w:val="bottom"/>
            <w:gridSpan w:val="4"/>
          </w:tcPr>
          <w:p>
            <w:pPr>
              <w:spacing w:after="0"/>
              <w:rPr>
                <w:sz w:val="20"/>
                <w:szCs w:val="20"/>
                <w:color w:val="auto"/>
              </w:rPr>
            </w:pPr>
          </w:p>
        </w:tc>
        <w:tc>
          <w:tcPr>
            <w:tcW w:w="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gridSpan w:val="3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Prospect Fifth Avenue, LLC.</w:t>
              </w:r>
            </w:hyperlink>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Lease Agreement, dated October 3, 2024, by and between Ardelyx, Inc. and</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BMR-Pacific Research Center LP.</w:t>
              </w:r>
            </w:hyperlink>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Ardelyx, Inc. Amended and Restated 2014 Equity Incentive Award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Ardelyx, Inc. Amended and Restated 2014 Employee Stock Purchase Plan.</w:t>
              </w:r>
            </w:hyperlink>
          </w:p>
        </w:tc>
        <w:tc>
          <w:tcPr>
            <w:tcW w:w="0" w:type="dxa"/>
            <w:vAlign w:val="bottom"/>
          </w:tcPr>
          <w:p>
            <w:pPr>
              <w:spacing w:after="0"/>
              <w:rPr>
                <w:sz w:val="1"/>
                <w:szCs w:val="1"/>
                <w:color w:val="auto"/>
              </w:rPr>
            </w:pPr>
          </w:p>
        </w:tc>
      </w:tr>
      <w:tr>
        <w:trPr>
          <w:trHeight w:val="26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10.7(a)#</w:t>
            </w:r>
          </w:p>
        </w:tc>
        <w:tc>
          <w:tcPr>
            <w:tcW w:w="20" w:type="dxa"/>
            <w:vAlign w:val="bottom"/>
          </w:tcPr>
          <w:p>
            <w:pPr>
              <w:spacing w:after="0"/>
              <w:rPr>
                <w:sz w:val="22"/>
                <w:szCs w:val="22"/>
                <w:color w:val="auto"/>
              </w:rPr>
            </w:pPr>
          </w:p>
        </w:tc>
        <w:tc>
          <w:tcPr>
            <w:tcW w:w="5400" w:type="dxa"/>
            <w:vAlign w:val="bottom"/>
            <w:tcBorders>
              <w:top w:val="single" w:sz="8" w:color="0000FF"/>
            </w:tcBorders>
            <w:gridSpan w:val="2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Ardelyx, Inc. 2008 Stock Incentive Plan, as amended</w:t>
              </w:r>
            </w:hyperlink>
          </w:p>
        </w:tc>
        <w:tc>
          <w:tcPr>
            <w:tcW w:w="42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10.7(b)#</w:t>
            </w:r>
          </w:p>
        </w:tc>
        <w:tc>
          <w:tcPr>
            <w:tcW w:w="20" w:type="dxa"/>
            <w:vAlign w:val="bottom"/>
          </w:tcPr>
          <w:p>
            <w:pPr>
              <w:spacing w:after="0"/>
              <w:rPr>
                <w:sz w:val="21"/>
                <w:szCs w:val="21"/>
                <w:color w:val="auto"/>
              </w:rPr>
            </w:pPr>
          </w:p>
        </w:tc>
        <w:tc>
          <w:tcPr>
            <w:tcW w:w="54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Form of Stock Option Grant Notice and Stock Option Agreement under the</w:t>
              </w:r>
            </w:hyperlink>
          </w:p>
        </w:tc>
        <w:tc>
          <w:tcPr>
            <w:tcW w:w="3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2008 Stock Incentive Plan, as amended</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10.7(c)#</w:t>
            </w:r>
          </w:p>
        </w:tc>
        <w:tc>
          <w:tcPr>
            <w:tcW w:w="20" w:type="dxa"/>
            <w:vAlign w:val="bottom"/>
          </w:tcPr>
          <w:p>
            <w:pPr>
              <w:spacing w:after="0"/>
              <w:rPr>
                <w:sz w:val="21"/>
                <w:szCs w:val="21"/>
                <w:color w:val="auto"/>
              </w:rPr>
            </w:pPr>
          </w:p>
        </w:tc>
        <w:tc>
          <w:tcPr>
            <w:tcW w:w="57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Restricted Stock Purchase Grant Notice and Restricted Stock Purchase</w:t>
              </w:r>
            </w:hyperlink>
          </w:p>
        </w:tc>
        <w:tc>
          <w:tcPr>
            <w:tcW w:w="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Agreement under the 2008 Stock Incentive Plan, as amended</w:t>
              </w:r>
            </w:hyperlink>
          </w:p>
        </w:tc>
        <w:tc>
          <w:tcPr>
            <w:tcW w:w="14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10.8(a)#</w:t>
            </w:r>
          </w:p>
        </w:tc>
        <w:tc>
          <w:tcPr>
            <w:tcW w:w="20" w:type="dxa"/>
            <w:vAlign w:val="bottom"/>
          </w:tcPr>
          <w:p>
            <w:pPr>
              <w:spacing w:after="0"/>
              <w:rPr>
                <w:sz w:val="21"/>
                <w:szCs w:val="21"/>
                <w:color w:val="auto"/>
              </w:rPr>
            </w:pPr>
          </w:p>
        </w:tc>
        <w:tc>
          <w:tcPr>
            <w:tcW w:w="5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Ardelyx, Inc. Amended and Restated 2014 Equity Incentive Award Plan</w:t>
              </w:r>
            </w:hyperlink>
          </w:p>
        </w:tc>
        <w:tc>
          <w:tcPr>
            <w:tcW w:w="6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10.8(b)#</w:t>
            </w:r>
          </w:p>
        </w:tc>
        <w:tc>
          <w:tcPr>
            <w:tcW w:w="20" w:type="dxa"/>
            <w:vAlign w:val="bottom"/>
          </w:tcPr>
          <w:p>
            <w:pPr>
              <w:spacing w:after="0"/>
              <w:rPr>
                <w:sz w:val="21"/>
                <w:szCs w:val="21"/>
                <w:color w:val="auto"/>
              </w:rPr>
            </w:pPr>
          </w:p>
        </w:tc>
        <w:tc>
          <w:tcPr>
            <w:tcW w:w="54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Stock Option Grant Notice and Stock Option Agreement under the</w:t>
              </w:r>
            </w:hyperlink>
          </w:p>
        </w:tc>
        <w:tc>
          <w:tcPr>
            <w:tcW w:w="3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2014 Equity Incentive Award Plan</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1700" w:type="dxa"/>
            <w:vAlign w:val="bottom"/>
            <w:gridSpan w:val="10"/>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10.8(c)#</w:t>
            </w:r>
          </w:p>
        </w:tc>
        <w:tc>
          <w:tcPr>
            <w:tcW w:w="20" w:type="dxa"/>
            <w:vAlign w:val="bottom"/>
          </w:tcPr>
          <w:p>
            <w:pPr>
              <w:spacing w:after="0"/>
              <w:rPr>
                <w:sz w:val="21"/>
                <w:szCs w:val="21"/>
                <w:color w:val="auto"/>
              </w:rPr>
            </w:pPr>
          </w:p>
        </w:tc>
        <w:tc>
          <w:tcPr>
            <w:tcW w:w="56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Form of Restricted Stock Award Agreement and Restricted Stock Unit Award</w:t>
              </w:r>
            </w:hyperlink>
          </w:p>
        </w:tc>
        <w:tc>
          <w:tcPr>
            <w:tcW w:w="2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Grant Notice under the 2014 Equity Incentive Award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18605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7"/>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6/24/2014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270"/>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6/20/2023</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486"/>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6/24/2014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r>
      <w:tr>
        <w:trPr>
          <w:trHeight w:val="54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3/4/2016</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10.1(d)</w:t>
            </w:r>
          </w:p>
        </w:tc>
      </w:tr>
      <w:tr>
        <w:trPr>
          <w:trHeight w:val="702"/>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10.4(a)</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10.4(b)</w:t>
            </w:r>
          </w:p>
        </w:tc>
      </w:tr>
      <w:tr>
        <w:trPr>
          <w:trHeight w:val="486"/>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10.2(e)</w:t>
            </w:r>
          </w:p>
        </w:tc>
      </w:tr>
      <w:tr>
        <w:trPr>
          <w:trHeight w:val="486"/>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6/1/2021</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10.3(b)</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10.3(c)</w:t>
            </w:r>
          </w:p>
        </w:tc>
      </w:tr>
      <w:tr>
        <w:trPr>
          <w:trHeight w:val="419"/>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10.5(a)</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10.5(b)</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10.5(c)</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10.6(b)</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66040</wp:posOffset>
            </wp:positionV>
            <wp:extent cx="660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11738" w:lineRule="exact"/>
        <w:rPr>
          <w:sz w:val="20"/>
          <w:szCs w:val="20"/>
          <w:color w:val="auto"/>
        </w:rPr>
      </w:pPr>
    </w:p>
    <w:p>
      <w:pPr>
        <w:sectPr>
          <w:pgSz w:w="11900" w:h="16838" w:orient="portrait"/>
          <w:cols w:equalWidth="0" w:num="3">
            <w:col w:w="7040" w:space="100"/>
            <w:col w:w="2940" w:space="260"/>
            <w:col w:w="72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92"/>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0"/>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1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Ardelyx, Inc. Amended and Restated 2014 Employee Stock Purchase Plan</w:t>
              </w:r>
            </w:hyperlink>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c>
          <w:tcPr>
            <w:tcW w:w="20" w:type="dxa"/>
            <w:vAlign w:val="bottom"/>
          </w:tcPr>
          <w:p>
            <w:pPr>
              <w:spacing w:after="0"/>
              <w:rPr>
                <w:sz w:val="21"/>
                <w:szCs w:val="21"/>
                <w:color w:val="auto"/>
              </w:rPr>
            </w:pPr>
          </w:p>
        </w:tc>
        <w:tc>
          <w:tcPr>
            <w:tcW w:w="464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Ardelyx, Inc. 2016 Employment Commencement Incentive Plan</w:t>
              </w:r>
            </w:hyperlink>
          </w:p>
        </w:tc>
        <w:tc>
          <w:tcPr>
            <w:tcW w:w="720" w:type="dxa"/>
            <w:vAlign w:val="bottom"/>
            <w:tcBorders>
              <w:top w:val="single" w:sz="8" w:color="0000FF"/>
            </w:tcBorders>
            <w:gridSpan w:val="7"/>
          </w:tcPr>
          <w:p>
            <w:pPr>
              <w:spacing w:after="0"/>
              <w:rPr>
                <w:sz w:val="21"/>
                <w:szCs w:val="21"/>
                <w:color w:val="auto"/>
              </w:rPr>
            </w:pPr>
          </w:p>
        </w:tc>
        <w:tc>
          <w:tcPr>
            <w:tcW w:w="460" w:type="dxa"/>
            <w:vAlign w:val="bottom"/>
            <w:gridSpan w:val="12"/>
          </w:tcPr>
          <w:p>
            <w:pPr>
              <w:spacing w:after="0"/>
              <w:rPr>
                <w:sz w:val="21"/>
                <w:szCs w:val="2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10.10(b)#</w:t>
            </w:r>
          </w:p>
        </w:tc>
        <w:tc>
          <w:tcPr>
            <w:tcW w:w="20" w:type="dxa"/>
            <w:vAlign w:val="bottom"/>
          </w:tcPr>
          <w:p>
            <w:pPr>
              <w:spacing w:after="0"/>
              <w:rPr>
                <w:sz w:val="21"/>
                <w:szCs w:val="21"/>
                <w:color w:val="auto"/>
              </w:rPr>
            </w:pPr>
          </w:p>
        </w:tc>
        <w:tc>
          <w:tcPr>
            <w:tcW w:w="54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Stock Option Grant Notice and Stock Option Agreement under the</w:t>
              </w:r>
            </w:hyperlink>
          </w:p>
        </w:tc>
        <w:tc>
          <w:tcPr>
            <w:tcW w:w="360" w:type="dxa"/>
            <w:vAlign w:val="bottom"/>
            <w:gridSpan w:val="10"/>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2016 Employment Commencement Incentive Plan</w:t>
              </w:r>
            </w:hyperlink>
          </w:p>
        </w:tc>
        <w:tc>
          <w:tcPr>
            <w:tcW w:w="2180" w:type="dxa"/>
            <w:vAlign w:val="bottom"/>
            <w:gridSpan w:val="25"/>
          </w:tcPr>
          <w:p>
            <w:pPr>
              <w:spacing w:after="0"/>
              <w:rPr>
                <w:sz w:val="17"/>
                <w:szCs w:val="17"/>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10.10(c)#</w:t>
            </w:r>
          </w:p>
        </w:tc>
        <w:tc>
          <w:tcPr>
            <w:tcW w:w="20" w:type="dxa"/>
            <w:vAlign w:val="bottom"/>
          </w:tcPr>
          <w:p>
            <w:pPr>
              <w:spacing w:after="0"/>
              <w:rPr>
                <w:sz w:val="21"/>
                <w:szCs w:val="21"/>
                <w:color w:val="auto"/>
              </w:rPr>
            </w:pPr>
          </w:p>
        </w:tc>
        <w:tc>
          <w:tcPr>
            <w:tcW w:w="56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of Restricted Stock Unit Award Grant Notice and Restricted Stock Unit</w:t>
              </w:r>
            </w:hyperlink>
          </w:p>
        </w:tc>
        <w:tc>
          <w:tcPr>
            <w:tcW w:w="220" w:type="dxa"/>
            <w:vAlign w:val="bottom"/>
            <w:gridSpan w:val="7"/>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Award Agreement under the 2016 Employment Commencement Incentive Plan</w:t>
              </w:r>
            </w:hyperlink>
          </w:p>
        </w:tc>
        <w:tc>
          <w:tcPr>
            <w:tcW w:w="80" w:type="dxa"/>
            <w:vAlign w:val="bottom"/>
            <w:gridSpan w:val="2"/>
          </w:tcPr>
          <w:p>
            <w:pPr>
              <w:spacing w:after="0"/>
              <w:rPr>
                <w:sz w:val="17"/>
                <w:szCs w:val="17"/>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10.10(d)#</w:t>
            </w: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Restricted Stock Award Grant Notice and Restricted Stock Award</w:t>
              </w:r>
            </w:hyperlink>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Agreement under the 2016 Employment Commencement Incentive Plan</w:t>
              </w:r>
            </w:hyperlink>
          </w:p>
        </w:tc>
        <w:tc>
          <w:tcPr>
            <w:tcW w:w="140" w:type="dxa"/>
            <w:vAlign w:val="bottom"/>
            <w:tcBorders>
              <w:top w:val="single" w:sz="8" w:color="0000FF"/>
            </w:tcBorders>
            <w:gridSpan w:val="4"/>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Registration Rights Agreement by and among Ardelyx, Inc. and the investors</w:t>
              </w:r>
            </w:hyperlink>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signatory thereto, dated June 2, 2015</w:t>
              </w:r>
            </w:hyperlink>
          </w:p>
        </w:tc>
        <w:tc>
          <w:tcPr>
            <w:tcW w:w="2900" w:type="dxa"/>
            <w:vAlign w:val="bottom"/>
            <w:tcBorders>
              <w:top w:val="single" w:sz="8" w:color="0000FF"/>
            </w:tcBorders>
            <w:gridSpan w:val="20"/>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Registration Rights Agreement by and among Ardelyx, Inc. and the investors</w:t>
              </w:r>
            </w:hyperlink>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signatory thereto, dated July 14, 2016</w:t>
              </w:r>
            </w:hyperlink>
          </w:p>
        </w:tc>
        <w:tc>
          <w:tcPr>
            <w:tcW w:w="2840" w:type="dxa"/>
            <w:vAlign w:val="bottom"/>
            <w:tcBorders>
              <w:top w:val="single" w:sz="8" w:color="0000FF"/>
            </w:tcBorders>
            <w:gridSpan w:val="19"/>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Indemnification Agreement for directors and officers</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Amended and Restated Executive Employment Agreement, dated June 6, 2014,</w:t>
              </w:r>
            </w:hyperlink>
          </w:p>
        </w:tc>
        <w:tc>
          <w:tcPr>
            <w:tcW w:w="80" w:type="dxa"/>
            <w:vAlign w:val="bottom"/>
            <w:gridSpan w:val="2"/>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by and between Ardelyx, Inc. and Michael Raab</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Offer Letter, dated December 28, 2009, by and between Ardelyx, Inc. and</w:t>
              </w:r>
            </w:hyperlink>
          </w:p>
        </w:tc>
        <w:tc>
          <w:tcPr>
            <w:tcW w:w="500" w:type="dxa"/>
            <w:vAlign w:val="bottom"/>
            <w:gridSpan w:val="14"/>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David Rosenbaum, Ph.D.</w:t>
              </w:r>
            </w:hyperlink>
          </w:p>
        </w:tc>
        <w:tc>
          <w:tcPr>
            <w:tcW w:w="3980" w:type="dxa"/>
            <w:vAlign w:val="bottom"/>
            <w:gridSpan w:val="32"/>
          </w:tcPr>
          <w:p>
            <w:pPr>
              <w:spacing w:after="0"/>
              <w:rPr>
                <w:sz w:val="17"/>
                <w:szCs w:val="17"/>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10.16(a)#</w:t>
            </w:r>
          </w:p>
        </w:tc>
        <w:tc>
          <w:tcPr>
            <w:tcW w:w="20" w:type="dxa"/>
            <w:vAlign w:val="bottom"/>
          </w:tcPr>
          <w:p>
            <w:pPr>
              <w:spacing w:after="0"/>
              <w:rPr>
                <w:sz w:val="21"/>
                <w:szCs w:val="21"/>
                <w:color w:val="auto"/>
              </w:rPr>
            </w:pPr>
          </w:p>
        </w:tc>
        <w:tc>
          <w:tcPr>
            <w:tcW w:w="57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Second Amended and Restated Change in Control and Severance Agreement by</w:t>
              </w:r>
            </w:hyperlink>
          </w:p>
        </w:tc>
        <w:tc>
          <w:tcPr>
            <w:tcW w:w="4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and between Ardelyx, Inc. and David P. Rosenbaum, Ph.D.</w:t>
              </w:r>
            </w:hyperlink>
          </w:p>
        </w:tc>
        <w:tc>
          <w:tcPr>
            <w:tcW w:w="1560" w:type="dxa"/>
            <w:vAlign w:val="bottom"/>
            <w:gridSpan w:val="22"/>
          </w:tcPr>
          <w:p>
            <w:pPr>
              <w:spacing w:after="0"/>
              <w:rPr>
                <w:sz w:val="17"/>
                <w:szCs w:val="17"/>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10.16(b)#</w:t>
            </w:r>
          </w:p>
        </w:tc>
        <w:tc>
          <w:tcPr>
            <w:tcW w:w="20" w:type="dxa"/>
            <w:vAlign w:val="bottom"/>
          </w:tcPr>
          <w:p>
            <w:pPr>
              <w:spacing w:after="0"/>
              <w:rPr>
                <w:sz w:val="21"/>
                <w:szCs w:val="21"/>
                <w:color w:val="auto"/>
              </w:rPr>
            </w:pPr>
          </w:p>
        </w:tc>
        <w:tc>
          <w:tcPr>
            <w:tcW w:w="57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Amendment Number One to Second Amended and Restated Change in Control</w:t>
              </w:r>
            </w:hyperlink>
          </w:p>
        </w:tc>
        <w:tc>
          <w:tcPr>
            <w:tcW w:w="100" w:type="dxa"/>
            <w:vAlign w:val="bottom"/>
            <w:gridSpan w:val="3"/>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Severance Agreement and Retention Agreement dated December 1, 2021</w:t>
              </w:r>
            </w:hyperlink>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between Ardelyx, Inc. and David Rosenbaum</w:t>
              </w:r>
            </w:hyperlink>
          </w:p>
        </w:tc>
        <w:tc>
          <w:tcPr>
            <w:tcW w:w="54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Offer Letter, dated November 21, 2012, by and between Ardelyx, Inc. and</w:t>
              </w:r>
            </w:hyperlink>
          </w:p>
        </w:tc>
        <w:tc>
          <w:tcPr>
            <w:tcW w:w="480" w:type="dxa"/>
            <w:vAlign w:val="bottom"/>
            <w:gridSpan w:val="13"/>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Elizabeth Grammer, Esq.</w:t>
              </w:r>
            </w:hyperlink>
          </w:p>
        </w:tc>
        <w:tc>
          <w:tcPr>
            <w:tcW w:w="4000" w:type="dxa"/>
            <w:vAlign w:val="bottom"/>
            <w:gridSpan w:val="33"/>
          </w:tcPr>
          <w:p>
            <w:pPr>
              <w:spacing w:after="0"/>
              <w:rPr>
                <w:sz w:val="17"/>
                <w:szCs w:val="17"/>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Second Amended and Restated Change in Control and Severance Agreement by</w:t>
              </w:r>
            </w:hyperlink>
          </w:p>
        </w:tc>
        <w:tc>
          <w:tcPr>
            <w:tcW w:w="4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and between Ardelyx, Inc. and Elizabeth Grammer.</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Offer Letter, dated April 27, 2020, by and between Ardelyx, Inc. and Susan</w:t>
              </w:r>
            </w:hyperlink>
          </w:p>
        </w:tc>
        <w:tc>
          <w:tcPr>
            <w:tcW w:w="380" w:type="dxa"/>
            <w:vAlign w:val="bottom"/>
            <w:gridSpan w:val="11"/>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Rodriguez</w:t>
              </w:r>
            </w:hyperlink>
          </w:p>
        </w:tc>
        <w:tc>
          <w:tcPr>
            <w:tcW w:w="5060" w:type="dxa"/>
            <w:vAlign w:val="bottom"/>
            <w:gridSpan w:val="35"/>
          </w:tcPr>
          <w:p>
            <w:pPr>
              <w:spacing w:after="0"/>
              <w:rPr>
                <w:sz w:val="17"/>
                <w:szCs w:val="17"/>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Change in Control Severance Agreement dated June 2, 2020, by and between</w:t>
              </w:r>
            </w:hyperlink>
          </w:p>
        </w:tc>
        <w:tc>
          <w:tcPr>
            <w:tcW w:w="240" w:type="dxa"/>
            <w:vAlign w:val="bottom"/>
            <w:gridSpan w:val="8"/>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Ardelyx, Inc. and Susan Rodriguez</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Offer Letter, dated June 2, 2020, by and between Ardelyx, Inc. and Justin Renz</w:t>
              </w:r>
            </w:hyperlink>
          </w:p>
        </w:tc>
        <w:tc>
          <w:tcPr>
            <w:tcW w:w="120" w:type="dxa"/>
            <w:vAlign w:val="bottom"/>
            <w:gridSpan w:val="4"/>
          </w:tcPr>
          <w:p>
            <w:pPr>
              <w:spacing w:after="0"/>
              <w:rPr>
                <w:sz w:val="21"/>
                <w:szCs w:val="2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Change in Control Severance Agreement, dated June 8, 2020, by and between</w:t>
              </w:r>
            </w:hyperlink>
          </w:p>
        </w:tc>
        <w:tc>
          <w:tcPr>
            <w:tcW w:w="200" w:type="dxa"/>
            <w:vAlign w:val="bottom"/>
            <w:gridSpan w:val="6"/>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Ardelyx, Inc. and Justin Renz</w:t>
              </w:r>
            </w:hyperlink>
          </w:p>
        </w:tc>
        <w:tc>
          <w:tcPr>
            <w:tcW w:w="3680" w:type="dxa"/>
            <w:vAlign w:val="bottom"/>
            <w:gridSpan w:val="31"/>
          </w:tcPr>
          <w:p>
            <w:pPr>
              <w:spacing w:after="0"/>
              <w:rPr>
                <w:sz w:val="17"/>
                <w:szCs w:val="17"/>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10.23(a)#</w:t>
            </w: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Amended and Restated Non-Employee Director Compensation Program</w:t>
              </w:r>
            </w:hyperlink>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10.23(b)#</w:t>
            </w:r>
          </w:p>
        </w:tc>
        <w:tc>
          <w:tcPr>
            <w:tcW w:w="20" w:type="dxa"/>
            <w:vAlign w:val="bottom"/>
          </w:tcPr>
          <w:p>
            <w:pPr>
              <w:spacing w:after="0"/>
              <w:rPr>
                <w:sz w:val="21"/>
                <w:szCs w:val="21"/>
                <w:color w:val="auto"/>
              </w:rPr>
            </w:pPr>
          </w:p>
        </w:tc>
        <w:tc>
          <w:tcPr>
            <w:tcW w:w="5660" w:type="dxa"/>
            <w:vAlign w:val="bottom"/>
            <w:tcBorders>
              <w:top w:val="single" w:sz="8" w:color="0000FF"/>
              <w:bottom w:val="single" w:sz="8" w:color="0000FF"/>
            </w:tcBorders>
            <w:gridSpan w:val="31"/>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Third Amended and Restated Non-Employee Director Compensation Program</w:t>
              </w:r>
            </w:hyperlink>
          </w:p>
        </w:tc>
        <w:tc>
          <w:tcPr>
            <w:tcW w:w="120" w:type="dxa"/>
            <w:vAlign w:val="bottom"/>
            <w:tcBorders>
              <w:top w:val="single" w:sz="8" w:color="0000FF"/>
            </w:tcBorders>
            <w:gridSpan w:val="4"/>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Offer Letter, dated February 13, 2024 by and between Ardelyx, Inc. and</w:t>
              </w:r>
            </w:hyperlink>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Michael Kelliher.</w:t>
              </w:r>
            </w:hyperlink>
          </w:p>
        </w:tc>
        <w:tc>
          <w:tcPr>
            <w:tcW w:w="3940" w:type="dxa"/>
            <w:vAlign w:val="bottom"/>
            <w:tcBorders>
              <w:top w:val="single" w:sz="8" w:color="0000FF"/>
            </w:tcBorders>
            <w:gridSpan w:val="17"/>
          </w:tcPr>
          <w:p>
            <w:pPr>
              <w:spacing w:after="0"/>
              <w:rPr>
                <w:sz w:val="13"/>
                <w:szCs w:val="13"/>
                <w:color w:val="auto"/>
              </w:rPr>
            </w:pPr>
          </w:p>
        </w:tc>
        <w:tc>
          <w:tcPr>
            <w:tcW w:w="420" w:type="dxa"/>
            <w:vAlign w:val="bottom"/>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Offer Letter, dated July 25, 2024 by and between Ardelyx, Inc. and Eric Foster.</w:t>
              </w:r>
            </w:hyperlink>
          </w:p>
        </w:tc>
      </w:tr>
      <w:tr>
        <w:trPr>
          <w:trHeight w:val="210"/>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8"/>
                <w:szCs w:val="18"/>
                <w:color w:val="auto"/>
              </w:rPr>
            </w:pPr>
          </w:p>
        </w:tc>
        <w:tc>
          <w:tcPr>
            <w:tcW w:w="5700" w:type="dxa"/>
            <w:vAlign w:val="bottom"/>
            <w:tcBorders>
              <w:top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Commercial Supply Agreement, dated August 7, 2024 and effective as of July</w:t>
              </w:r>
            </w:hyperlink>
          </w:p>
        </w:tc>
        <w:tc>
          <w:tcPr>
            <w:tcW w:w="120" w:type="dxa"/>
            <w:vAlign w:val="bottom"/>
            <w:gridSpan w:val="4"/>
          </w:tcPr>
          <w:p>
            <w:pPr>
              <w:spacing w:after="0"/>
              <w:rPr>
                <w:sz w:val="18"/>
                <w:szCs w:val="18"/>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23, 2024, by and between Ardelyx, Inc. and Catalent.</w:t>
              </w:r>
            </w:hyperlink>
          </w:p>
        </w:tc>
        <w:tc>
          <w:tcPr>
            <w:tcW w:w="200" w:type="dxa"/>
            <w:vAlign w:val="bottom"/>
            <w:gridSpan w:val="6"/>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1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40" w:type="dxa"/>
            <w:vAlign w:val="bottom"/>
            <w:gridSpan w:val="18"/>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9"/>
                <w:szCs w:val="19"/>
                <w:color w:val="auto"/>
              </w:rPr>
            </w:pPr>
          </w:p>
        </w:tc>
        <w:tc>
          <w:tcPr>
            <w:tcW w:w="5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Commercial Supply Agreement, dated October 25, 2024, by and among</w:t>
              </w:r>
            </w:hyperlink>
          </w:p>
        </w:tc>
        <w:tc>
          <w:tcPr>
            <w:tcW w:w="640" w:type="dxa"/>
            <w:vAlign w:val="bottom"/>
            <w:gridSpan w:val="18"/>
          </w:tcPr>
          <w:p>
            <w:pPr>
              <w:spacing w:after="0"/>
              <w:rPr>
                <w:sz w:val="19"/>
                <w:szCs w:val="19"/>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Ardelyx, Inc., Hovione Farmaciência, S.A. and Hovione, LLC.</w:t>
              </w:r>
            </w:hyperlink>
          </w:p>
        </w:tc>
        <w:tc>
          <w:tcPr>
            <w:tcW w:w="640" w:type="dxa"/>
            <w:vAlign w:val="bottom"/>
            <w:gridSpan w:val="2"/>
          </w:tcPr>
          <w:p>
            <w:pPr>
              <w:spacing w:after="0"/>
              <w:rPr>
                <w:sz w:val="13"/>
                <w:szCs w:val="13"/>
                <w:color w:val="auto"/>
              </w:rPr>
            </w:pPr>
          </w:p>
        </w:tc>
        <w:tc>
          <w:tcPr>
            <w:tcW w:w="640" w:type="dxa"/>
            <w:vAlign w:val="bottom"/>
            <w:gridSpan w:val="1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18605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7"/>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2/22/2024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10.7(a)</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11/10/2016</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11/10/2016</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11/10/2016</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r>
      <w:tr>
        <w:trPr>
          <w:trHeight w:val="702"/>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2/22/2024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10.20(b)</w:t>
            </w: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5/2/2024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8/12/2024</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66040</wp:posOffset>
            </wp:positionV>
            <wp:extent cx="6604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ectPr>
          <w:pgSz w:w="11900" w:h="16838" w:orient="portrait"/>
          <w:cols w:equalWidth="0" w:num="3">
            <w:col w:w="7040" w:space="100"/>
            <w:col w:w="2940" w:space="260"/>
            <w:col w:w="720"/>
          </w:cols>
          <w:pgMar w:left="320" w:top="121" w:right="5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2"/>
        </w:trPr>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34"/>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0"/>
        </w:trPr>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10.28(a)††</w:t>
            </w: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License Agreement, dated November 27, 2017, by and between Kyowa Hakko</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Kirin Co., Ltd. and Ardelyx, Inc.</w:t>
              </w:r>
            </w:hyperlink>
          </w:p>
        </w:tc>
        <w:tc>
          <w:tcPr>
            <w:tcW w:w="160" w:type="dxa"/>
            <w:vAlign w:val="bottom"/>
            <w:gridSpan w:val="7"/>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10.28(b)</w:t>
            </w: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Number 1 to License Agreement, dated as of November 27, 2017,</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by and among Ardelyx, Inc., and Kyowa Kirin Co., Ltd.</w:t>
              </w:r>
            </w:hyperlink>
          </w:p>
        </w:tc>
        <w:tc>
          <w:tcPr>
            <w:tcW w:w="1640" w:type="dxa"/>
            <w:vAlign w:val="bottom"/>
            <w:tcBorders>
              <w:top w:val="single" w:sz="8" w:color="0000FF"/>
            </w:tcBorders>
            <w:gridSpan w:val="20"/>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25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10.28(c)††</w:t>
            </w:r>
          </w:p>
        </w:tc>
        <w:tc>
          <w:tcPr>
            <w:tcW w:w="20" w:type="dxa"/>
            <w:vAlign w:val="bottom"/>
          </w:tcPr>
          <w:p>
            <w:pPr>
              <w:spacing w:after="0"/>
              <w:rPr>
                <w:sz w:val="21"/>
                <w:szCs w:val="21"/>
                <w:color w:val="auto"/>
              </w:rPr>
            </w:pPr>
          </w:p>
        </w:tc>
        <w:tc>
          <w:tcPr>
            <w:tcW w:w="5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Amendment Number 2 to License Agreement, dated as of April 11, 2022, by</w:t>
              </w:r>
            </w:hyperlink>
          </w:p>
        </w:tc>
        <w:tc>
          <w:tcPr>
            <w:tcW w:w="300" w:type="dxa"/>
            <w:vAlign w:val="bottom"/>
            <w:gridSpan w:val="10"/>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and among Ardelyx, Inc., and Kyowa Kirin Co., Ltd.</w:t>
              </w:r>
            </w:hyperlink>
          </w:p>
        </w:tc>
        <w:tc>
          <w:tcPr>
            <w:tcW w:w="2000" w:type="dxa"/>
            <w:vAlign w:val="bottom"/>
            <w:gridSpan w:val="28"/>
          </w:tcPr>
          <w:p>
            <w:pPr>
              <w:spacing w:after="0"/>
              <w:rPr>
                <w:sz w:val="17"/>
                <w:szCs w:val="17"/>
                <w:color w:val="auto"/>
              </w:rPr>
            </w:pPr>
          </w:p>
        </w:tc>
      </w:tr>
      <w:tr>
        <w:trPr>
          <w:trHeight w:val="25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License Agreement, dated December 11, 2017, by and between Shanghai Fosun</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Pharmaceutical Industrial Development Co. Ltd. and Ardelyx, Inc.</w:t>
              </w:r>
            </w:hyperlink>
          </w:p>
        </w:tc>
        <w:tc>
          <w:tcPr>
            <w:tcW w:w="940" w:type="dxa"/>
            <w:vAlign w:val="bottom"/>
            <w:tcBorders>
              <w:top w:val="single" w:sz="8" w:color="0000FF"/>
            </w:tcBorders>
            <w:gridSpan w:val="16"/>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3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0"/>
                <w:szCs w:val="20"/>
                <w:color w:val="auto"/>
              </w:rPr>
            </w:pPr>
          </w:p>
        </w:tc>
        <w:tc>
          <w:tcPr>
            <w:tcW w:w="5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Royalty and Sales Milestone Interest Acquisition Agreement dated June 29,</w:t>
              </w:r>
            </w:hyperlink>
          </w:p>
        </w:tc>
        <w:tc>
          <w:tcPr>
            <w:tcW w:w="340" w:type="dxa"/>
            <w:vAlign w:val="bottom"/>
            <w:gridSpan w:val="12"/>
          </w:tcPr>
          <w:p>
            <w:pPr>
              <w:spacing w:after="0"/>
              <w:rPr>
                <w:sz w:val="20"/>
                <w:szCs w:val="20"/>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2022, by and between Ardelyx, Inc. and Healthcare Royalty Partners IV, L.P.</w:t>
              </w:r>
            </w:hyperlink>
          </w:p>
        </w:tc>
        <w:tc>
          <w:tcPr>
            <w:tcW w:w="280" w:type="dxa"/>
            <w:vAlign w:val="bottom"/>
            <w:gridSpan w:val="9"/>
          </w:tcPr>
          <w:p>
            <w:pPr>
              <w:spacing w:after="0"/>
              <w:rPr>
                <w:sz w:val="13"/>
                <w:szCs w:val="13"/>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10.31(a)</w:t>
            </w:r>
          </w:p>
        </w:tc>
        <w:tc>
          <w:tcPr>
            <w:tcW w:w="20" w:type="dxa"/>
            <w:vAlign w:val="bottom"/>
          </w:tcPr>
          <w:p>
            <w:pPr>
              <w:spacing w:after="0"/>
              <w:rPr>
                <w:sz w:val="19"/>
                <w:szCs w:val="19"/>
                <w:color w:val="auto"/>
              </w:rPr>
            </w:pPr>
          </w:p>
        </w:tc>
        <w:tc>
          <w:tcPr>
            <w:tcW w:w="5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Loan and Security Agreement dated February 23, 2022, by and between</w:t>
              </w:r>
            </w:hyperlink>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gridSpan w:val="1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Ardelyx, Inc. and SLR Investment Corp.</w:t>
              </w:r>
            </w:hyperlink>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10.31(b)</w:t>
            </w:r>
          </w:p>
        </w:tc>
        <w:tc>
          <w:tcPr>
            <w:tcW w:w="20" w:type="dxa"/>
            <w:vAlign w:val="bottom"/>
          </w:tcPr>
          <w:p>
            <w:pPr>
              <w:spacing w:after="0"/>
              <w:rPr>
                <w:sz w:val="19"/>
                <w:szCs w:val="19"/>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First Amendment to the Loan and Security Agreement dated August 1, 2022, by</w:t>
              </w:r>
            </w:hyperlink>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and between Ardelyx, Inc. and SLR Investment Corp.</w:t>
              </w:r>
            </w:hyperlink>
          </w:p>
        </w:tc>
        <w:tc>
          <w:tcPr>
            <w:tcW w:w="19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10.31(c)</w:t>
            </w:r>
          </w:p>
        </w:tc>
        <w:tc>
          <w:tcPr>
            <w:tcW w:w="20" w:type="dxa"/>
            <w:vAlign w:val="bottom"/>
          </w:tcPr>
          <w:p>
            <w:pPr>
              <w:spacing w:after="0"/>
              <w:rPr>
                <w:sz w:val="19"/>
                <w:szCs w:val="19"/>
                <w:color w:val="auto"/>
              </w:rPr>
            </w:pPr>
          </w:p>
        </w:tc>
        <w:tc>
          <w:tcPr>
            <w:tcW w:w="5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Second Amendment to the Loan and Security Agreement dated February 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gridSpan w:val="23"/>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2023, by and between Ardelyx, Inc. and SLR Investment 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10.31(d)</w:t>
            </w:r>
          </w:p>
        </w:tc>
        <w:tc>
          <w:tcPr>
            <w:tcW w:w="20" w:type="dxa"/>
            <w:vAlign w:val="bottom"/>
          </w:tcPr>
          <w:p>
            <w:pPr>
              <w:spacing w:after="0"/>
              <w:rPr>
                <w:sz w:val="19"/>
                <w:szCs w:val="19"/>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Third Amendment to the Loan and Security Agreement dated October 17, 2023,</w:t>
              </w:r>
            </w:hyperlink>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by and between Ardelyx, Inc. and SLR Investment Corp.</w:t>
              </w:r>
            </w:hyperlink>
          </w:p>
        </w:tc>
        <w:tc>
          <w:tcPr>
            <w:tcW w:w="16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10.31(e)</w:t>
            </w:r>
          </w:p>
        </w:tc>
        <w:tc>
          <w:tcPr>
            <w:tcW w:w="20" w:type="dxa"/>
            <w:vAlign w:val="bottom"/>
          </w:tcPr>
          <w:p>
            <w:pPr>
              <w:spacing w:after="0"/>
              <w:rPr>
                <w:sz w:val="19"/>
                <w:szCs w:val="19"/>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Fourth Amendment to the Loan and Security Agreement dated October 29,</w:t>
              </w:r>
            </w:hyperlink>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2024, by and between Ardelyx, Inc. and SLR Investment Corp.</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Exit Fee Agreement dated February 23, 2022, by and between Ardelyx, Inc. and</w:t>
              </w:r>
            </w:hyperlink>
          </w:p>
        </w:tc>
        <w:tc>
          <w:tcPr>
            <w:tcW w:w="40" w:type="dxa"/>
            <w:vAlign w:val="bottom"/>
            <w:gridSpan w:val="2"/>
          </w:tcPr>
          <w:p>
            <w:pPr>
              <w:spacing w:after="0"/>
              <w:rPr>
                <w:sz w:val="19"/>
                <w:szCs w:val="19"/>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SLR Investment Corp.</w:t>
              </w:r>
            </w:hyperlink>
          </w:p>
        </w:tc>
        <w:tc>
          <w:tcPr>
            <w:tcW w:w="4160" w:type="dxa"/>
            <w:vAlign w:val="bottom"/>
            <w:gridSpan w:val="3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Exit Fee Agreement, dated May 16, 2018, by and between the Company and</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Solar Capital Ltd. and Western Alliance Bank</w:t>
              </w:r>
            </w:hyperlink>
          </w:p>
        </w:tc>
        <w:tc>
          <w:tcPr>
            <w:tcW w:w="2200" w:type="dxa"/>
            <w:vAlign w:val="bottom"/>
            <w:tcBorders>
              <w:top w:val="single" w:sz="8" w:color="0000FF"/>
            </w:tcBorders>
            <w:gridSpan w:val="18"/>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25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10.34(a)††</w:t>
            </w:r>
          </w:p>
        </w:tc>
        <w:tc>
          <w:tcPr>
            <w:tcW w:w="20" w:type="dxa"/>
            <w:vAlign w:val="bottom"/>
          </w:tcPr>
          <w:p>
            <w:pPr>
              <w:spacing w:after="0"/>
              <w:rPr>
                <w:sz w:val="21"/>
                <w:szCs w:val="21"/>
                <w:color w:val="auto"/>
              </w:rPr>
            </w:pPr>
          </w:p>
        </w:tc>
        <w:tc>
          <w:tcPr>
            <w:tcW w:w="5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Manufacturing Services Agreement, dated May 18, 2020, between Ardelyx,</w:t>
              </w:r>
            </w:hyperlink>
          </w:p>
        </w:tc>
        <w:tc>
          <w:tcPr>
            <w:tcW w:w="340" w:type="dxa"/>
            <w:vAlign w:val="bottom"/>
            <w:gridSpan w:val="12"/>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 and Patheon Pharmaceuticals Inc.</w:t>
              </w:r>
            </w:hyperlink>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10.34(b)††</w:t>
            </w: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First Amendment to the Manufacturing Services Agreement dated February 27,</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2023, between Ardelyx, Inc. and Patheon Pharmaceuticals Inc.</w:t>
              </w:r>
            </w:hyperlink>
          </w:p>
        </w:tc>
        <w:tc>
          <w:tcPr>
            <w:tcW w:w="1180" w:type="dxa"/>
            <w:vAlign w:val="bottom"/>
            <w:tcBorders>
              <w:top w:val="single" w:sz="8" w:color="0000FF"/>
            </w:tcBorders>
            <w:gridSpan w:val="17"/>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Open Market Sales Agreement, dated January 18, 2023 between Ardelyx, Inc.</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and Jefferies LLC.</w:t>
              </w:r>
            </w:hyperlink>
          </w:p>
        </w:tc>
        <w:tc>
          <w:tcPr>
            <w:tcW w:w="4280" w:type="dxa"/>
            <w:vAlign w:val="bottom"/>
            <w:tcBorders>
              <w:top w:val="single" w:sz="8" w:color="0000FF"/>
            </w:tcBorders>
            <w:gridSpan w:val="27"/>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Ardelyx, Inc. Insider Trading Compliance Policy and Procedures</w:t>
            </w: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340" w:type="dxa"/>
            <w:vAlign w:val="bottom"/>
            <w:tcBorders>
              <w:top w:val="single" w:sz="8" w:color="0000FF"/>
            </w:tcBorders>
            <w:gridSpan w:val="3"/>
          </w:tcPr>
          <w:p>
            <w:pPr>
              <w:spacing w:after="0"/>
              <w:rPr>
                <w:sz w:val="21"/>
                <w:szCs w:val="21"/>
                <w:color w:val="auto"/>
              </w:rPr>
            </w:pPr>
          </w:p>
        </w:tc>
        <w:tc>
          <w:tcPr>
            <w:tcW w:w="1160" w:type="dxa"/>
            <w:vAlign w:val="bottom"/>
            <w:gridSpan w:val="21"/>
          </w:tcPr>
          <w:p>
            <w:pPr>
              <w:spacing w:after="0"/>
              <w:rPr>
                <w:sz w:val="21"/>
                <w:szCs w:val="21"/>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14(a) and 15d-14(a) of the Securities Exchange Act of 1934, as amended</w:t>
            </w: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Required Under Rule 13a-</w:t>
            </w:r>
          </w:p>
        </w:tc>
        <w:tc>
          <w:tcPr>
            <w:tcW w:w="180" w:type="dxa"/>
            <w:vAlign w:val="bottom"/>
            <w:tcBorders>
              <w:top w:val="single" w:sz="8" w:color="0000FF"/>
            </w:tcBorders>
            <w:gridSpan w:val="2"/>
          </w:tcPr>
          <w:p>
            <w:pPr>
              <w:spacing w:after="0"/>
              <w:rPr>
                <w:sz w:val="21"/>
                <w:szCs w:val="21"/>
                <w:color w:val="auto"/>
              </w:rPr>
            </w:pPr>
          </w:p>
        </w:tc>
        <w:tc>
          <w:tcPr>
            <w:tcW w:w="580" w:type="dxa"/>
            <w:vAlign w:val="bottom"/>
            <w:gridSpan w:val="17"/>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14(a) and 15d-14(a) of the Securities Exchange Act of 1934, as amended</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Required Under Rule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14(b) of the Securities Exchange Act of 1934, as</w:t>
            </w:r>
          </w:p>
        </w:tc>
        <w:tc>
          <w:tcPr>
            <w:tcW w:w="40" w:type="dxa"/>
            <w:vAlign w:val="bottom"/>
            <w:tcBorders>
              <w:bottom w:val="single" w:sz="8" w:color="0000FF"/>
            </w:tcBorders>
            <w:gridSpan w:val="2"/>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 and 18 U.S.C §1350</w:t>
            </w:r>
          </w:p>
        </w:tc>
        <w:tc>
          <w:tcPr>
            <w:tcW w:w="3620" w:type="dxa"/>
            <w:vAlign w:val="bottom"/>
            <w:gridSpan w:val="33"/>
          </w:tcPr>
          <w:p>
            <w:pPr>
              <w:spacing w:after="0"/>
              <w:rPr>
                <w:sz w:val="17"/>
                <w:szCs w:val="17"/>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Policy for Recovery of Erroneously Awarded Compensation</w:t>
              </w:r>
            </w:hyperlink>
          </w:p>
        </w:tc>
        <w:tc>
          <w:tcPr>
            <w:tcW w:w="1480" w:type="dxa"/>
            <w:vAlign w:val="bottom"/>
            <w:gridSpan w:val="23"/>
          </w:tcPr>
          <w:p>
            <w:pPr>
              <w:spacing w:after="0"/>
              <w:rPr>
                <w:sz w:val="21"/>
                <w:szCs w:val="21"/>
                <w:color w:val="auto"/>
              </w:rPr>
            </w:pPr>
          </w:p>
        </w:tc>
      </w:tr>
      <w:tr>
        <w:trPr>
          <w:trHeight w:val="29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8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58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58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49"/>
        </w:trPr>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8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3/14/2018</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10.21(b)</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10.27(b)</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702"/>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2/22/2024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ectPr>
          <w:pgSz w:w="11900" w:h="16838" w:orient="portrait"/>
          <w:cols w:equalWidth="0" w:num="2">
            <w:col w:w="7040" w:space="100"/>
            <w:col w:w="4080"/>
          </w:cols>
          <w:pgMar w:left="320" w:top="121" w:right="359" w:bottom="1440" w:gutter="0" w:footer="0" w:header="0"/>
          <w:type w:val="continuous"/>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2"/>
        </w:trPr>
        <w:tc>
          <w:tcPr>
            <w:tcW w:w="4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Borders>
              <w:top w:val="single" w:sz="8" w:color="0000FF"/>
            </w:tcBorders>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49"/>
        </w:trPr>
        <w:tc>
          <w:tcPr>
            <w:tcW w:w="40" w:type="dxa"/>
            <w:vAlign w:val="bottom"/>
            <w:vMerge w:val="restart"/>
          </w:tcPr>
          <w:p>
            <w:pPr>
              <w:spacing w:after="0"/>
              <w:rPr>
                <w:sz w:val="4"/>
                <w:szCs w:val="4"/>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4"/>
                <w:szCs w:val="4"/>
                <w:color w:val="auto"/>
              </w:rPr>
            </w:pPr>
          </w:p>
        </w:tc>
        <w:tc>
          <w:tcPr>
            <w:tcW w:w="586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7"/>
        </w:trPr>
        <w:tc>
          <w:tcPr>
            <w:tcW w:w="4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gridSpan w:val="2"/>
            <w:vMerge w:val="continue"/>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Confidential treatment granted as to portions of this Exhibit. The confidential portions of this Exhibit have been omitted and are marked by asterisks.</w:t>
      </w:r>
    </w:p>
    <w:p>
      <w:pPr>
        <w:spacing w:after="0" w:line="153" w:lineRule="exact"/>
        <w:rPr>
          <w:sz w:val="20"/>
          <w:szCs w:val="20"/>
          <w:color w:val="auto"/>
        </w:rPr>
      </w:pPr>
    </w:p>
    <w:p>
      <w:pPr>
        <w:ind w:left="340" w:right="240" w:hanging="332"/>
        <w:spacing w:after="0" w:line="282" w:lineRule="auto"/>
        <w:tabs>
          <w:tab w:leader="none" w:pos="3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37" w:lineRule="exact"/>
        <w:rPr>
          <w:sz w:val="20"/>
          <w:szCs w:val="20"/>
          <w:color w:val="auto"/>
        </w:rPr>
      </w:pPr>
    </w:p>
    <w:p>
      <w:pPr>
        <w:ind w:left="20"/>
        <w:spacing w:after="0"/>
        <w:tabs>
          <w:tab w:leader="none" w:pos="5380" w:val="left"/>
          <w:tab w:leader="none" w:pos="592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34290</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Joseph Reilly</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Accounting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Michael Raab, Justin Renz, and Joseph Reilly,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21" w:right="399" w:bottom="1440" w:gutter="0" w:footer="0" w:header="0"/>
        </w:sectPr>
      </w:pPr>
    </w:p>
    <w:p>
      <w:pPr>
        <w:spacing w:after="0" w:line="15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36830</wp:posOffset>
            </wp:positionV>
            <wp:extent cx="24517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Michael Raab</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Justin Renz</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Joseph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Joseph Reilly</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David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David Mott</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Robert 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Robert Bazemore</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William 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William Bertrand, Jr., J.D.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Muna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Muna Bhanji, R.Ph</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 Onaiza 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41910</wp:posOffset>
            </wp:positionV>
            <wp:extent cx="24517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Onaiza Cadoret-Manier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36830</wp:posOffset>
            </wp:positionV>
            <wp:extent cx="30175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36830</wp:posOffset>
            </wp:positionV>
            <wp:extent cx="15005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495" w:lineRule="exact"/>
        <w:rPr>
          <w:sz w:val="20"/>
          <w:szCs w:val="20"/>
          <w:color w:val="auto"/>
        </w:rPr>
      </w:pPr>
    </w:p>
    <w:p>
      <w:pPr>
        <w:sectPr>
          <w:pgSz w:w="11900" w:h="16838" w:orient="portrait"/>
          <w:cols w:equalWidth="0" w:num="3">
            <w:col w:w="3940" w:space="720"/>
            <w:col w:w="4000" w:space="720"/>
            <w:col w:w="1800"/>
          </w:cols>
          <w:pgMar w:left="320" w:top="121" w:right="399" w:bottom="1440" w:gutter="0" w:footer="0" w:header="0"/>
          <w:type w:val="continuous"/>
        </w:sectPr>
      </w:pPr>
    </w:p>
    <w:p>
      <w:pPr>
        <w:spacing w:after="0" w:line="13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 Richard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4517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Richard Rodgers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20, 2025</w:t>
      </w:r>
    </w:p>
    <w:p>
      <w:pPr>
        <w:spacing w:after="0" w:line="495" w:lineRule="exact"/>
        <w:rPr>
          <w:sz w:val="20"/>
          <w:szCs w:val="20"/>
          <w:color w:val="auto"/>
        </w:rPr>
      </w:pPr>
    </w:p>
    <w:p>
      <w:pPr>
        <w:sectPr>
          <w:pgSz w:w="11900" w:h="16838" w:orient="portrait"/>
          <w:cols w:equalWidth="0" w:num="2">
            <w:col w:w="5360" w:space="720"/>
            <w:col w:w="510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SUMMARY OF ABBREVIATED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2024 Form 10-K, we have used terms which are defined below:</w:t>
      </w:r>
    </w:p>
    <w:p>
      <w:pPr>
        <w:spacing w:after="0" w:line="196"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136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340B Program</w:t>
            </w:r>
          </w:p>
        </w:tc>
        <w:tc>
          <w:tcPr>
            <w:tcW w:w="4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Public Health Service’s 340B Drug Pricing Program</w:t>
            </w:r>
          </w:p>
        </w:tc>
        <w:tc>
          <w:tcPr>
            <w:tcW w:w="1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HCR Agreement</w:t>
            </w:r>
          </w:p>
        </w:tc>
        <w:tc>
          <w:tcPr>
            <w:tcW w:w="4320" w:type="dxa"/>
            <w:vAlign w:val="bottom"/>
            <w:tcBorders>
              <w:top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Royalty and Sales Milestone Interest Acquisition Agreement</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AAKP</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American Association of Kidney Patients</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HHS</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Department of Health and Human Services</w:t>
            </w:r>
          </w:p>
        </w:tc>
      </w:tr>
      <w:tr>
        <w:trPr>
          <w:trHeight w:val="165"/>
        </w:trPr>
        <w:tc>
          <w:tcPr>
            <w:tcW w:w="1360" w:type="dxa"/>
            <w:vAlign w:val="bottom"/>
            <w:tcBorders>
              <w:left w:val="single" w:sz="8" w:color="auto"/>
            </w:tcBorders>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ACA</w:t>
            </w:r>
          </w:p>
        </w:tc>
        <w:tc>
          <w:tcPr>
            <w:tcW w:w="420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Affordable Care Act</w:t>
            </w:r>
          </w:p>
        </w:tc>
        <w:tc>
          <w:tcPr>
            <w:tcW w:w="13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HIPAA</w:t>
            </w:r>
          </w:p>
        </w:tc>
        <w:tc>
          <w:tcPr>
            <w:tcW w:w="4320" w:type="dxa"/>
            <w:vAlign w:val="bottom"/>
            <w:tcBorders>
              <w:right w:val="single" w:sz="8" w:color="auto"/>
            </w:tcBorders>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Health Insurance Portability and Accountability Act of 1996,</w:t>
            </w:r>
          </w:p>
        </w:tc>
      </w:tr>
      <w:tr>
        <w:trPr>
          <w:trHeight w:val="216"/>
        </w:trPr>
        <w:tc>
          <w:tcPr>
            <w:tcW w:w="136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 amended, and regulations promulgated thereunder</w:t>
            </w:r>
          </w:p>
        </w:tc>
      </w:tr>
      <w:tr>
        <w:trPr>
          <w:trHeight w:val="162"/>
        </w:trPr>
        <w:tc>
          <w:tcPr>
            <w:tcW w:w="1360" w:type="dxa"/>
            <w:vAlign w:val="bottom"/>
            <w:tcBorders>
              <w:lef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AI Technologies</w:t>
            </w:r>
          </w:p>
        </w:tc>
        <w:tc>
          <w:tcPr>
            <w:tcW w:w="42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Artificial intelligence, machine learning and certain automated</w:t>
            </w:r>
          </w:p>
        </w:tc>
        <w:tc>
          <w:tcPr>
            <w:tcW w:w="13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HRSA</w:t>
            </w:r>
          </w:p>
        </w:tc>
        <w:tc>
          <w:tcPr>
            <w:tcW w:w="4320" w:type="dxa"/>
            <w:vAlign w:val="bottom"/>
            <w:tcBorders>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6"/>
                <w:szCs w:val="16"/>
                <w:color w:val="auto"/>
              </w:rPr>
              <w:t>Health Resources and Services Administration</w:t>
            </w:r>
          </w:p>
        </w:tc>
      </w:tr>
      <w:tr>
        <w:trPr>
          <w:trHeight w:val="213"/>
        </w:trPr>
        <w:tc>
          <w:tcPr>
            <w:tcW w:w="1360" w:type="dxa"/>
            <w:vAlign w:val="bottom"/>
            <w:tcBorders>
              <w:left w:val="single" w:sz="8" w:color="auto"/>
            </w:tcBorders>
          </w:tcPr>
          <w:p>
            <w:pPr>
              <w:spacing w:after="0"/>
              <w:rPr>
                <w:sz w:val="18"/>
                <w:szCs w:val="18"/>
                <w:color w:val="auto"/>
              </w:rPr>
            </w:pP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decision-making technologies</w:t>
            </w:r>
          </w:p>
        </w:tc>
        <w:tc>
          <w:tcPr>
            <w:tcW w:w="1340" w:type="dxa"/>
            <w:vAlign w:val="bottom"/>
          </w:tcPr>
          <w:p>
            <w:pPr>
              <w:spacing w:after="0"/>
              <w:rPr>
                <w:sz w:val="18"/>
                <w:szCs w:val="18"/>
                <w:color w:val="auto"/>
              </w:rPr>
            </w:pPr>
          </w:p>
        </w:tc>
        <w:tc>
          <w:tcPr>
            <w:tcW w:w="4320" w:type="dxa"/>
            <w:vAlign w:val="bottom"/>
            <w:tcBorders>
              <w:right w:val="single" w:sz="8" w:color="auto"/>
            </w:tcBorders>
          </w:tcPr>
          <w:p>
            <w:pPr>
              <w:spacing w:after="0"/>
              <w:rPr>
                <w:sz w:val="18"/>
                <w:szCs w:val="18"/>
                <w:color w:val="auto"/>
              </w:rPr>
            </w:pP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AMP</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average manufacturer price</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IBS-C</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irritable bowel syndrome with constipation</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ANDA</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abbreviated New Drug Application</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Investigational New Drug</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API</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active pharmaceutical ingredient</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IRA</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Inflation Reduction Act of 2022</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AstraZeneca</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AstraZeneca AB</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IRB</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institutional review board</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ASU</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Jefferies</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Jefferies, LLC</w:t>
            </w:r>
          </w:p>
        </w:tc>
      </w:tr>
      <w:tr>
        <w:trPr>
          <w:trHeight w:val="162"/>
        </w:trPr>
        <w:tc>
          <w:tcPr>
            <w:tcW w:w="1360" w:type="dxa"/>
            <w:vAlign w:val="bottom"/>
            <w:tcBorders>
              <w:lef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CCPA</w:t>
            </w:r>
          </w:p>
        </w:tc>
        <w:tc>
          <w:tcPr>
            <w:tcW w:w="42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California Consumer Privacy Act, as amended by the</w:t>
            </w:r>
          </w:p>
        </w:tc>
        <w:tc>
          <w:tcPr>
            <w:tcW w:w="13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Kyowa Kirin</w:t>
            </w:r>
          </w:p>
        </w:tc>
        <w:tc>
          <w:tcPr>
            <w:tcW w:w="4320" w:type="dxa"/>
            <w:vAlign w:val="bottom"/>
            <w:tcBorders>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6"/>
                <w:szCs w:val="16"/>
                <w:color w:val="auto"/>
              </w:rPr>
              <w:t>Kyowa Kirin Co., Ltd.</w:t>
            </w:r>
          </w:p>
        </w:tc>
      </w:tr>
      <w:tr>
        <w:trPr>
          <w:trHeight w:val="213"/>
        </w:trPr>
        <w:tc>
          <w:tcPr>
            <w:tcW w:w="1360" w:type="dxa"/>
            <w:vAlign w:val="bottom"/>
            <w:tcBorders>
              <w:left w:val="single" w:sz="8" w:color="auto"/>
            </w:tcBorders>
          </w:tcPr>
          <w:p>
            <w:pPr>
              <w:spacing w:after="0"/>
              <w:rPr>
                <w:sz w:val="18"/>
                <w:szCs w:val="18"/>
                <w:color w:val="auto"/>
              </w:rPr>
            </w:pP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California Privacy Rights Act</w:t>
            </w:r>
          </w:p>
        </w:tc>
        <w:tc>
          <w:tcPr>
            <w:tcW w:w="1340" w:type="dxa"/>
            <w:vAlign w:val="bottom"/>
          </w:tcPr>
          <w:p>
            <w:pPr>
              <w:spacing w:after="0"/>
              <w:rPr>
                <w:sz w:val="18"/>
                <w:szCs w:val="18"/>
                <w:color w:val="auto"/>
              </w:rPr>
            </w:pPr>
          </w:p>
        </w:tc>
        <w:tc>
          <w:tcPr>
            <w:tcW w:w="4320" w:type="dxa"/>
            <w:vAlign w:val="bottom"/>
            <w:tcBorders>
              <w:right w:val="single" w:sz="8" w:color="auto"/>
            </w:tcBorders>
          </w:tcPr>
          <w:p>
            <w:pPr>
              <w:spacing w:after="0"/>
              <w:rPr>
                <w:sz w:val="18"/>
                <w:szCs w:val="18"/>
                <w:color w:val="auto"/>
              </w:rPr>
            </w:pP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cGMP</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Good Manufacturing Practice</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Knight</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Knight Therapeutics, Inc.</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CKD</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chronic kidney disease</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MDRP</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Medicaid Drug Rebate Program</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CME</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Chicago Mercantile Exchange</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METiS</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METiS Therapeutics, Inc.</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CMO</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contract manufacturing organization</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MHLW</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Ministry of Health, Labour and Welfare</w:t>
            </w:r>
          </w:p>
        </w:tc>
      </w:tr>
      <w:tr>
        <w:trPr>
          <w:trHeight w:val="165"/>
        </w:trPr>
        <w:tc>
          <w:tcPr>
            <w:tcW w:w="1360" w:type="dxa"/>
            <w:vAlign w:val="bottom"/>
            <w:tcBorders>
              <w:left w:val="single" w:sz="8" w:color="auto"/>
            </w:tcBorders>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CMS</w:t>
            </w:r>
          </w:p>
        </w:tc>
        <w:tc>
          <w:tcPr>
            <w:tcW w:w="420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Centers for Medicare &amp; Medicaid Services</w:t>
            </w:r>
          </w:p>
        </w:tc>
        <w:tc>
          <w:tcPr>
            <w:tcW w:w="13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MIPPA</w:t>
            </w:r>
          </w:p>
        </w:tc>
        <w:tc>
          <w:tcPr>
            <w:tcW w:w="4320" w:type="dxa"/>
            <w:vAlign w:val="bottom"/>
            <w:tcBorders>
              <w:right w:val="single" w:sz="8" w:color="auto"/>
            </w:tcBorders>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Medicare Improvements for Patients and</w:t>
            </w:r>
          </w:p>
        </w:tc>
      </w:tr>
      <w:tr>
        <w:trPr>
          <w:trHeight w:val="216"/>
        </w:trPr>
        <w:tc>
          <w:tcPr>
            <w:tcW w:w="136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Providers Act</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CRO</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contract research organization</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OLC</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Oxylanthanum Carbonate</w:t>
            </w:r>
          </w:p>
        </w:tc>
      </w:tr>
      <w:tr>
        <w:trPr>
          <w:trHeight w:val="165"/>
        </w:trPr>
        <w:tc>
          <w:tcPr>
            <w:tcW w:w="1360" w:type="dxa"/>
            <w:vAlign w:val="bottom"/>
            <w:tcBorders>
              <w:left w:val="single" w:sz="8" w:color="auto"/>
            </w:tcBorders>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Customers</w:t>
            </w:r>
          </w:p>
        </w:tc>
        <w:tc>
          <w:tcPr>
            <w:tcW w:w="5540" w:type="dxa"/>
            <w:vAlign w:val="bottom"/>
            <w:gridSpan w:val="2"/>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collectively, major wholesalers, specialty pharmacies and GPOs NCE</w:t>
            </w:r>
          </w:p>
        </w:tc>
        <w:tc>
          <w:tcPr>
            <w:tcW w:w="4320" w:type="dxa"/>
            <w:vAlign w:val="bottom"/>
            <w:tcBorders>
              <w:right w:val="single" w:sz="8" w:color="auto"/>
            </w:tcBorders>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new chemical entity</w:t>
            </w:r>
          </w:p>
        </w:tc>
      </w:tr>
      <w:tr>
        <w:trPr>
          <w:trHeight w:val="216"/>
        </w:trPr>
        <w:tc>
          <w:tcPr>
            <w:tcW w:w="136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(IBSRELA) and specialty wholesaler (XPHOZAH)</w:t>
            </w:r>
          </w:p>
        </w:tc>
        <w:tc>
          <w:tcPr>
            <w:tcW w:w="1340" w:type="dxa"/>
            <w:vAlign w:val="bottom"/>
            <w:shd w:val="clear" w:color="auto" w:fill="CCEEFF"/>
          </w:tcPr>
          <w:p>
            <w:pPr>
              <w:spacing w:after="0"/>
              <w:rPr>
                <w:sz w:val="18"/>
                <w:szCs w:val="18"/>
                <w:color w:val="auto"/>
              </w:rPr>
            </w:pPr>
          </w:p>
        </w:tc>
        <w:tc>
          <w:tcPr>
            <w:tcW w:w="4320" w:type="dxa"/>
            <w:vAlign w:val="bottom"/>
            <w:tcBorders>
              <w:right w:val="single" w:sz="8" w:color="auto"/>
            </w:tcBorders>
            <w:shd w:val="clear" w:color="auto" w:fill="CCEEFF"/>
          </w:tcPr>
          <w:p>
            <w:pPr>
              <w:spacing w:after="0"/>
              <w:rPr>
                <w:sz w:val="18"/>
                <w:szCs w:val="18"/>
                <w:color w:val="auto"/>
              </w:rPr>
            </w:pP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DPF</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EU-US Data Privacy Framework</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NDA</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New Drug Application</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EEA</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European Economic Area</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NH3</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sodium hydrogen exchange 3</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ESPP</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NMPA</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National Medical Products Administration</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ESRD</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End-Stage Renal Disease</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NOL</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operating loss</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ESRD PPS</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End-Stage Renal Disease Prospective Payment System</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NMQF</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National Minority Quality Forum</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EU Patent Package</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European Patent Package</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Non-FAMP</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Non-Federal Average Manufacturer Price</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FASB</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R&amp;D</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FDA</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Food and Drug Administration</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REMS</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Risk Evaluation and Mitigation Strategy</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FFDCA</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Federal Food, Drug, and Cosmetic Act</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RSU</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restricted stock units</w:t>
            </w:r>
          </w:p>
        </w:tc>
      </w:tr>
      <w:tr>
        <w:trPr>
          <w:trHeight w:val="165"/>
        </w:trPr>
        <w:tc>
          <w:tcPr>
            <w:tcW w:w="1360" w:type="dxa"/>
            <w:vAlign w:val="bottom"/>
            <w:tcBorders>
              <w:left w:val="single" w:sz="8" w:color="auto"/>
            </w:tcBorders>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Fosun Pharma</w:t>
            </w:r>
          </w:p>
        </w:tc>
        <w:tc>
          <w:tcPr>
            <w:tcW w:w="420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Shanghai Fosun Pharmaceutical Industrial Development Co.</w:t>
            </w:r>
          </w:p>
        </w:tc>
        <w:tc>
          <w:tcPr>
            <w:tcW w:w="13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SLR</w:t>
            </w:r>
          </w:p>
        </w:tc>
        <w:tc>
          <w:tcPr>
            <w:tcW w:w="4320" w:type="dxa"/>
            <w:vAlign w:val="bottom"/>
            <w:tcBorders>
              <w:right w:val="single" w:sz="8" w:color="auto"/>
            </w:tcBorders>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SLR Investment Corp.</w:t>
            </w:r>
          </w:p>
        </w:tc>
      </w:tr>
      <w:tr>
        <w:trPr>
          <w:trHeight w:val="216"/>
        </w:trPr>
        <w:tc>
          <w:tcPr>
            <w:tcW w:w="136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Ltd.</w:t>
            </w:r>
          </w:p>
        </w:tc>
        <w:tc>
          <w:tcPr>
            <w:tcW w:w="1340" w:type="dxa"/>
            <w:vAlign w:val="bottom"/>
            <w:shd w:val="clear" w:color="auto" w:fill="CCEEFF"/>
          </w:tcPr>
          <w:p>
            <w:pPr>
              <w:spacing w:after="0"/>
              <w:rPr>
                <w:sz w:val="18"/>
                <w:szCs w:val="18"/>
                <w:color w:val="auto"/>
              </w:rPr>
            </w:pPr>
          </w:p>
        </w:tc>
        <w:tc>
          <w:tcPr>
            <w:tcW w:w="4320" w:type="dxa"/>
            <w:vAlign w:val="bottom"/>
            <w:tcBorders>
              <w:right w:val="single" w:sz="8" w:color="auto"/>
            </w:tcBorders>
            <w:shd w:val="clear" w:color="auto" w:fill="CCEEFF"/>
          </w:tcPr>
          <w:p>
            <w:pPr>
              <w:spacing w:after="0"/>
              <w:rPr>
                <w:sz w:val="18"/>
                <w:szCs w:val="18"/>
                <w:color w:val="auto"/>
              </w:rPr>
            </w:pP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FSS</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Federal Supply Schedule</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Securities and Exchange Commission</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FTC</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Federal Trade Commission</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SOFR</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Secured Overnight Financing Rate</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GCP</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 Clinical Practice</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TDAPA</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Transitional Drug Add-on Payment Adjustment</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GDPR</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European Union General Data Protection Regulation</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UPC</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European Unified Patent Court</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GLP</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 Laboratory Practice</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U.S.</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9"/>
        </w:trPr>
        <w:tc>
          <w:tcPr>
            <w:tcW w:w="13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GPO</w:t>
            </w: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group purchasing organization</w:t>
            </w:r>
          </w:p>
        </w:tc>
        <w:tc>
          <w:tcPr>
            <w:tcW w:w="1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USPTO</w:t>
            </w:r>
          </w:p>
        </w:tc>
        <w:tc>
          <w:tcPr>
            <w:tcW w:w="432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Patent and Trademark Office</w:t>
            </w:r>
          </w:p>
        </w:tc>
      </w:tr>
      <w:tr>
        <w:trPr>
          <w:trHeight w:val="213"/>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GTN</w:t>
            </w:r>
          </w:p>
        </w:tc>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gross-to-net</w:t>
            </w:r>
          </w:p>
        </w:tc>
        <w:tc>
          <w:tcPr>
            <w:tcW w:w="1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VA</w:t>
            </w:r>
          </w:p>
        </w:tc>
        <w:tc>
          <w:tcPr>
            <w:tcW w:w="4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Department of Veterans Affairs</w:t>
            </w:r>
          </w:p>
        </w:tc>
      </w:tr>
      <w:tr>
        <w:trPr>
          <w:trHeight w:val="216"/>
        </w:trPr>
        <w:tc>
          <w:tcPr>
            <w:tcW w:w="1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HCR</w:t>
            </w:r>
          </w:p>
        </w:tc>
        <w:tc>
          <w:tcPr>
            <w:tcW w:w="4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HealthCare Royalty Partners IV, L.P.</w:t>
            </w:r>
          </w:p>
        </w:tc>
        <w:tc>
          <w:tcPr>
            <w:tcW w:w="134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21" w:right="33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86"/>
        </w:trPr>
        <w:tc>
          <w:tcPr>
            <w:tcW w:w="19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22"/>
                <w:szCs w:val="22"/>
                <w:b w:val="1"/>
                <w:bCs w:val="1"/>
                <w:color w:val="auto"/>
                <w:w w:val="96"/>
              </w:rPr>
              <w:t>Exhibit 19.1</w:t>
            </w:r>
          </w:p>
        </w:tc>
      </w:tr>
      <w:tr>
        <w:trPr>
          <w:trHeight w:val="380"/>
        </w:trPr>
        <w:tc>
          <w:tcPr>
            <w:tcW w:w="1960" w:type="dxa"/>
            <w:vAlign w:val="bottom"/>
          </w:tcPr>
          <w:p>
            <w:pPr>
              <w:spacing w:after="0"/>
              <w:rPr>
                <w:sz w:val="24"/>
                <w:szCs w:val="24"/>
                <w:color w:val="auto"/>
              </w:rPr>
            </w:pPr>
          </w:p>
        </w:tc>
        <w:tc>
          <w:tcPr>
            <w:tcW w:w="7660" w:type="dxa"/>
            <w:vAlign w:val="bottom"/>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ARDELYX, INC.</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960" w:type="dxa"/>
            <w:vAlign w:val="bottom"/>
          </w:tcPr>
          <w:p>
            <w:pPr>
              <w:spacing w:after="0"/>
              <w:rPr>
                <w:sz w:val="24"/>
                <w:szCs w:val="24"/>
                <w:color w:val="auto"/>
              </w:rPr>
            </w:pPr>
          </w:p>
        </w:tc>
        <w:tc>
          <w:tcPr>
            <w:tcW w:w="7660" w:type="dxa"/>
            <w:vAlign w:val="bottom"/>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8"/>
              </w:rPr>
              <w:t>INSIDER TRADING COMPLIANCE POLICY AND PROCEDURES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5"/>
        </w:trPr>
        <w:tc>
          <w:tcPr>
            <w:tcW w:w="1960" w:type="dxa"/>
            <w:vAlign w:val="bottom"/>
          </w:tcPr>
          <w:p>
            <w:pPr>
              <w:spacing w:after="0"/>
              <w:rPr>
                <w:sz w:val="24"/>
                <w:szCs w:val="24"/>
                <w:color w:val="auto"/>
              </w:rPr>
            </w:pPr>
          </w:p>
        </w:tc>
        <w:tc>
          <w:tcPr>
            <w:tcW w:w="7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7"/>
              </w:rPr>
              <w:t>(As amended on February 18, 2025)</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196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620" w:type="dxa"/>
            <w:vAlign w:val="bottom"/>
            <w:gridSpan w:val="2"/>
          </w:tcPr>
          <w:p>
            <w:pPr>
              <w:spacing w:after="0"/>
              <w:rPr>
                <w:sz w:val="20"/>
                <w:szCs w:val="20"/>
                <w:color w:val="auto"/>
              </w:rPr>
            </w:pPr>
          </w:p>
        </w:tc>
      </w:tr>
      <w:tr>
        <w:trPr>
          <w:trHeight w:val="298"/>
        </w:trPr>
        <w:tc>
          <w:tcPr>
            <w:tcW w:w="1960" w:type="dxa"/>
            <w:vAlign w:val="bottom"/>
            <w:tcBorders>
              <w:top w:val="single" w:sz="8" w:color="BFBFBF"/>
              <w:left w:val="single" w:sz="8" w:color="BFBFBF"/>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I</w:t>
            </w:r>
          </w:p>
        </w:tc>
        <w:tc>
          <w:tcPr>
            <w:tcW w:w="7660" w:type="dxa"/>
            <w:vAlign w:val="bottom"/>
            <w:tcBorders>
              <w:top w:val="single" w:sz="8" w:color="BFBFBF"/>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22"/>
                <w:szCs w:val="22"/>
                <w:color w:val="auto"/>
              </w:rPr>
              <w:t>Summary</w:t>
            </w:r>
          </w:p>
        </w:tc>
        <w:tc>
          <w:tcPr>
            <w:tcW w:w="1600" w:type="dxa"/>
            <w:vAlign w:val="bottom"/>
            <w:tcBorders>
              <w:top w:val="single" w:sz="8" w:color="BFBFBF"/>
              <w:bottom w:val="single" w:sz="8" w:color="BFBFBF"/>
              <w:right w:val="single" w:sz="8" w:color="BFBFBF"/>
            </w:tcBorders>
          </w:tcPr>
          <w:p>
            <w:pPr>
              <w:ind w:left="900"/>
              <w:spacing w:after="0"/>
              <w:rPr>
                <w:sz w:val="20"/>
                <w:szCs w:val="20"/>
                <w:color w:val="auto"/>
              </w:rPr>
            </w:pPr>
            <w:r>
              <w:rPr>
                <w:rFonts w:ascii="Times New Roman" w:cs="Times New Roman" w:eastAsia="Times New Roman" w:hAnsi="Times New Roman"/>
                <w:sz w:val="22"/>
                <w:szCs w:val="22"/>
                <w:color w:val="auto"/>
              </w:rPr>
              <w:t>page 1</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shd w:val="clear" w:color="auto" w:fill="F2F2F2"/>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II</w:t>
            </w:r>
          </w:p>
        </w:tc>
        <w:tc>
          <w:tcPr>
            <w:tcW w:w="7660" w:type="dxa"/>
            <w:vAlign w:val="bottom"/>
            <w:tcBorders>
              <w:bottom w:val="single" w:sz="8" w:color="BFBFBF"/>
              <w:right w:val="single" w:sz="8" w:color="BFBFBF"/>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Persons covered and administration of policy</w:t>
            </w:r>
          </w:p>
        </w:tc>
        <w:tc>
          <w:tcPr>
            <w:tcW w:w="1600" w:type="dxa"/>
            <w:vAlign w:val="bottom"/>
            <w:tcBorders>
              <w:bottom w:val="single" w:sz="8" w:color="BFBFBF"/>
              <w:right w:val="single" w:sz="8" w:color="BFBFBF"/>
            </w:tcBorders>
            <w:shd w:val="clear" w:color="auto" w:fill="F2F2F2"/>
          </w:tcPr>
          <w:p>
            <w:pPr>
              <w:ind w:left="900"/>
              <w:spacing w:after="0"/>
              <w:rPr>
                <w:sz w:val="20"/>
                <w:szCs w:val="20"/>
                <w:color w:val="auto"/>
              </w:rPr>
            </w:pPr>
            <w:r>
              <w:rPr>
                <w:rFonts w:ascii="Times New Roman" w:cs="Times New Roman" w:eastAsia="Times New Roman" w:hAnsi="Times New Roman"/>
                <w:sz w:val="22"/>
                <w:szCs w:val="22"/>
                <w:color w:val="auto"/>
              </w:rPr>
              <w:t>page 1</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III</w:t>
            </w:r>
          </w:p>
        </w:tc>
        <w:tc>
          <w:tcPr>
            <w:tcW w:w="766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22"/>
                <w:szCs w:val="22"/>
                <w:color w:val="auto"/>
              </w:rPr>
              <w:t>Policy statement</w:t>
            </w:r>
          </w:p>
        </w:tc>
        <w:tc>
          <w:tcPr>
            <w:tcW w:w="1600" w:type="dxa"/>
            <w:vAlign w:val="bottom"/>
            <w:tcBorders>
              <w:bottom w:val="single" w:sz="8" w:color="BFBFBF"/>
              <w:right w:val="single" w:sz="8" w:color="BFBFBF"/>
            </w:tcBorders>
          </w:tcPr>
          <w:p>
            <w:pPr>
              <w:ind w:left="900"/>
              <w:spacing w:after="0"/>
              <w:rPr>
                <w:sz w:val="20"/>
                <w:szCs w:val="20"/>
                <w:color w:val="auto"/>
              </w:rPr>
            </w:pPr>
            <w:r>
              <w:rPr>
                <w:rFonts w:ascii="Times New Roman" w:cs="Times New Roman" w:eastAsia="Times New Roman" w:hAnsi="Times New Roman"/>
                <w:sz w:val="22"/>
                <w:szCs w:val="22"/>
                <w:color w:val="auto"/>
              </w:rPr>
              <w:t>page 2</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shd w:val="clear" w:color="auto" w:fill="F2F2F2"/>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IV</w:t>
            </w:r>
          </w:p>
        </w:tc>
        <w:tc>
          <w:tcPr>
            <w:tcW w:w="7660" w:type="dxa"/>
            <w:vAlign w:val="bottom"/>
            <w:tcBorders>
              <w:bottom w:val="single" w:sz="8" w:color="BFBFBF"/>
              <w:right w:val="single" w:sz="8" w:color="BFBFBF"/>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Blackout periods</w:t>
            </w:r>
          </w:p>
        </w:tc>
        <w:tc>
          <w:tcPr>
            <w:tcW w:w="1600" w:type="dxa"/>
            <w:vAlign w:val="bottom"/>
            <w:tcBorders>
              <w:bottom w:val="single" w:sz="8" w:color="BFBFBF"/>
              <w:right w:val="single" w:sz="8" w:color="BFBFBF"/>
            </w:tcBorders>
            <w:shd w:val="clear" w:color="auto" w:fill="F2F2F2"/>
          </w:tcPr>
          <w:p>
            <w:pPr>
              <w:ind w:left="900"/>
              <w:spacing w:after="0"/>
              <w:rPr>
                <w:sz w:val="20"/>
                <w:szCs w:val="20"/>
                <w:color w:val="auto"/>
              </w:rPr>
            </w:pPr>
            <w:r>
              <w:rPr>
                <w:rFonts w:ascii="Times New Roman" w:cs="Times New Roman" w:eastAsia="Times New Roman" w:hAnsi="Times New Roman"/>
                <w:sz w:val="22"/>
                <w:szCs w:val="22"/>
                <w:color w:val="auto"/>
              </w:rPr>
              <w:t>page 3</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V</w:t>
            </w:r>
          </w:p>
        </w:tc>
        <w:tc>
          <w:tcPr>
            <w:tcW w:w="766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22"/>
                <w:szCs w:val="22"/>
                <w:color w:val="auto"/>
              </w:rPr>
              <w:t>Preclearance of trades</w:t>
            </w:r>
          </w:p>
        </w:tc>
        <w:tc>
          <w:tcPr>
            <w:tcW w:w="1600" w:type="dxa"/>
            <w:vAlign w:val="bottom"/>
            <w:tcBorders>
              <w:bottom w:val="single" w:sz="8" w:color="BFBFBF"/>
              <w:right w:val="single" w:sz="8" w:color="BFBFBF"/>
            </w:tcBorders>
          </w:tcPr>
          <w:p>
            <w:pPr>
              <w:ind w:left="900"/>
              <w:spacing w:after="0"/>
              <w:rPr>
                <w:sz w:val="20"/>
                <w:szCs w:val="20"/>
                <w:color w:val="auto"/>
              </w:rPr>
            </w:pPr>
            <w:r>
              <w:rPr>
                <w:rFonts w:ascii="Times New Roman" w:cs="Times New Roman" w:eastAsia="Times New Roman" w:hAnsi="Times New Roman"/>
                <w:sz w:val="22"/>
                <w:szCs w:val="22"/>
                <w:color w:val="auto"/>
              </w:rPr>
              <w:t>page 3</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shd w:val="clear" w:color="auto" w:fill="F2F2F2"/>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VI</w:t>
            </w:r>
          </w:p>
        </w:tc>
        <w:tc>
          <w:tcPr>
            <w:tcW w:w="7660" w:type="dxa"/>
            <w:vAlign w:val="bottom"/>
            <w:tcBorders>
              <w:bottom w:val="single" w:sz="8" w:color="BFBFBF"/>
              <w:right w:val="single" w:sz="8" w:color="BFBFBF"/>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Exempt transactions</w:t>
            </w:r>
          </w:p>
        </w:tc>
        <w:tc>
          <w:tcPr>
            <w:tcW w:w="1600" w:type="dxa"/>
            <w:vAlign w:val="bottom"/>
            <w:tcBorders>
              <w:bottom w:val="single" w:sz="8" w:color="BFBFBF"/>
              <w:right w:val="single" w:sz="8" w:color="BFBFBF"/>
            </w:tcBorders>
            <w:shd w:val="clear" w:color="auto" w:fill="F2F2F2"/>
          </w:tcPr>
          <w:p>
            <w:pPr>
              <w:ind w:left="900"/>
              <w:spacing w:after="0"/>
              <w:rPr>
                <w:sz w:val="20"/>
                <w:szCs w:val="20"/>
                <w:color w:val="auto"/>
              </w:rPr>
            </w:pPr>
            <w:r>
              <w:rPr>
                <w:rFonts w:ascii="Times New Roman" w:cs="Times New Roman" w:eastAsia="Times New Roman" w:hAnsi="Times New Roman"/>
                <w:sz w:val="22"/>
                <w:szCs w:val="22"/>
                <w:color w:val="auto"/>
              </w:rPr>
              <w:t>page 4</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VII</w:t>
            </w:r>
          </w:p>
        </w:tc>
        <w:tc>
          <w:tcPr>
            <w:tcW w:w="766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22"/>
                <w:szCs w:val="22"/>
                <w:color w:val="auto"/>
              </w:rPr>
              <w:t>Material non-public information</w:t>
            </w:r>
          </w:p>
        </w:tc>
        <w:tc>
          <w:tcPr>
            <w:tcW w:w="1600" w:type="dxa"/>
            <w:vAlign w:val="bottom"/>
            <w:tcBorders>
              <w:bottom w:val="single" w:sz="8" w:color="BFBFBF"/>
              <w:right w:val="single" w:sz="8" w:color="BFBFBF"/>
            </w:tcBorders>
          </w:tcPr>
          <w:p>
            <w:pPr>
              <w:ind w:left="900"/>
              <w:spacing w:after="0"/>
              <w:rPr>
                <w:sz w:val="20"/>
                <w:szCs w:val="20"/>
                <w:color w:val="auto"/>
              </w:rPr>
            </w:pPr>
            <w:r>
              <w:rPr>
                <w:rFonts w:ascii="Times New Roman" w:cs="Times New Roman" w:eastAsia="Times New Roman" w:hAnsi="Times New Roman"/>
                <w:sz w:val="22"/>
                <w:szCs w:val="22"/>
                <w:color w:val="auto"/>
              </w:rPr>
              <w:t>page 5</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shd w:val="clear" w:color="auto" w:fill="F2F2F2"/>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VIII</w:t>
            </w:r>
          </w:p>
        </w:tc>
        <w:tc>
          <w:tcPr>
            <w:tcW w:w="7660" w:type="dxa"/>
            <w:vAlign w:val="bottom"/>
            <w:tcBorders>
              <w:bottom w:val="single" w:sz="8" w:color="BFBFBF"/>
              <w:right w:val="single" w:sz="8" w:color="BFBFBF"/>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Post-termination and prohibited transactions</w:t>
            </w:r>
          </w:p>
        </w:tc>
        <w:tc>
          <w:tcPr>
            <w:tcW w:w="1600" w:type="dxa"/>
            <w:vAlign w:val="bottom"/>
            <w:tcBorders>
              <w:bottom w:val="single" w:sz="8" w:color="BFBFBF"/>
              <w:right w:val="single" w:sz="8" w:color="BFBFBF"/>
            </w:tcBorders>
            <w:shd w:val="clear" w:color="auto" w:fill="F2F2F2"/>
          </w:tcPr>
          <w:p>
            <w:pPr>
              <w:ind w:left="900"/>
              <w:spacing w:after="0"/>
              <w:rPr>
                <w:sz w:val="20"/>
                <w:szCs w:val="20"/>
                <w:color w:val="auto"/>
              </w:rPr>
            </w:pPr>
            <w:r>
              <w:rPr>
                <w:rFonts w:ascii="Times New Roman" w:cs="Times New Roman" w:eastAsia="Times New Roman" w:hAnsi="Times New Roman"/>
                <w:sz w:val="22"/>
                <w:szCs w:val="22"/>
                <w:color w:val="auto"/>
              </w:rPr>
              <w:t>page 6</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IX</w:t>
            </w:r>
          </w:p>
        </w:tc>
        <w:tc>
          <w:tcPr>
            <w:tcW w:w="766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22"/>
                <w:szCs w:val="22"/>
                <w:color w:val="auto"/>
              </w:rPr>
              <w:t>Rule 10b5-1 trading plans</w:t>
            </w:r>
          </w:p>
        </w:tc>
        <w:tc>
          <w:tcPr>
            <w:tcW w:w="1600" w:type="dxa"/>
            <w:vAlign w:val="bottom"/>
            <w:tcBorders>
              <w:bottom w:val="single" w:sz="8" w:color="BFBFBF"/>
              <w:right w:val="single" w:sz="8" w:color="BFBFBF"/>
            </w:tcBorders>
          </w:tcPr>
          <w:p>
            <w:pPr>
              <w:ind w:left="900"/>
              <w:spacing w:after="0"/>
              <w:rPr>
                <w:sz w:val="20"/>
                <w:szCs w:val="20"/>
                <w:color w:val="auto"/>
              </w:rPr>
            </w:pPr>
            <w:r>
              <w:rPr>
                <w:rFonts w:ascii="Times New Roman" w:cs="Times New Roman" w:eastAsia="Times New Roman" w:hAnsi="Times New Roman"/>
                <w:sz w:val="22"/>
                <w:szCs w:val="22"/>
                <w:color w:val="auto"/>
              </w:rPr>
              <w:t>page 7</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shd w:val="clear" w:color="auto" w:fill="F2F2F2"/>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X</w:t>
            </w:r>
          </w:p>
        </w:tc>
        <w:tc>
          <w:tcPr>
            <w:tcW w:w="7660" w:type="dxa"/>
            <w:vAlign w:val="bottom"/>
            <w:tcBorders>
              <w:bottom w:val="single" w:sz="8" w:color="BFBFBF"/>
              <w:right w:val="single" w:sz="8" w:color="BFBFBF"/>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Interpretation, amendment, and implementation of this policy</w:t>
            </w:r>
          </w:p>
        </w:tc>
        <w:tc>
          <w:tcPr>
            <w:tcW w:w="1600" w:type="dxa"/>
            <w:vAlign w:val="bottom"/>
            <w:tcBorders>
              <w:bottom w:val="single" w:sz="8" w:color="BFBFBF"/>
              <w:right w:val="single" w:sz="8" w:color="BFBFBF"/>
            </w:tcBorders>
            <w:shd w:val="clear" w:color="auto" w:fill="F2F2F2"/>
          </w:tcPr>
          <w:p>
            <w:pPr>
              <w:ind w:left="900"/>
              <w:spacing w:after="0"/>
              <w:rPr>
                <w:sz w:val="20"/>
                <w:szCs w:val="20"/>
                <w:color w:val="auto"/>
              </w:rPr>
            </w:pPr>
            <w:r>
              <w:rPr>
                <w:rFonts w:ascii="Times New Roman" w:cs="Times New Roman" w:eastAsia="Times New Roman" w:hAnsi="Times New Roman"/>
                <w:sz w:val="22"/>
                <w:szCs w:val="22"/>
                <w:color w:val="auto"/>
              </w:rPr>
              <w:t>page 8</w:t>
            </w:r>
          </w:p>
        </w:tc>
        <w:tc>
          <w:tcPr>
            <w:tcW w:w="20" w:type="dxa"/>
            <w:vAlign w:val="bottom"/>
          </w:tcPr>
          <w:p>
            <w:pPr>
              <w:spacing w:after="0"/>
              <w:rPr>
                <w:sz w:val="24"/>
                <w:szCs w:val="24"/>
                <w:color w:val="auto"/>
              </w:rPr>
            </w:pPr>
          </w:p>
        </w:tc>
      </w:tr>
      <w:tr>
        <w:trPr>
          <w:trHeight w:val="304"/>
        </w:trPr>
        <w:tc>
          <w:tcPr>
            <w:tcW w:w="1960" w:type="dxa"/>
            <w:vAlign w:val="bottom"/>
            <w:tcBorders>
              <w:left w:val="single" w:sz="8" w:color="BFBFBF"/>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Section XI</w:t>
            </w:r>
          </w:p>
        </w:tc>
        <w:tc>
          <w:tcPr>
            <w:tcW w:w="766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22"/>
                <w:szCs w:val="22"/>
                <w:color w:val="auto"/>
              </w:rPr>
              <w:t>Review and acknowledgement of this policy</w:t>
            </w:r>
          </w:p>
        </w:tc>
        <w:tc>
          <w:tcPr>
            <w:tcW w:w="1600" w:type="dxa"/>
            <w:vAlign w:val="bottom"/>
            <w:tcBorders>
              <w:bottom w:val="single" w:sz="8" w:color="BFBFBF"/>
              <w:right w:val="single" w:sz="8" w:color="BFBFBF"/>
            </w:tcBorders>
          </w:tcPr>
          <w:p>
            <w:pPr>
              <w:ind w:left="900"/>
              <w:spacing w:after="0"/>
              <w:rPr>
                <w:sz w:val="20"/>
                <w:szCs w:val="20"/>
                <w:color w:val="auto"/>
              </w:rPr>
            </w:pPr>
            <w:r>
              <w:rPr>
                <w:rFonts w:ascii="Times New Roman" w:cs="Times New Roman" w:eastAsia="Times New Roman" w:hAnsi="Times New Roman"/>
                <w:sz w:val="22"/>
                <w:szCs w:val="22"/>
                <w:color w:val="auto"/>
              </w:rPr>
              <w:t>page 8</w:t>
            </w:r>
          </w:p>
        </w:tc>
        <w:tc>
          <w:tcPr>
            <w:tcW w:w="20" w:type="dxa"/>
            <w:vAlign w:val="bottom"/>
          </w:tcPr>
          <w:p>
            <w:pPr>
              <w:spacing w:after="0"/>
              <w:rPr>
                <w:sz w:val="24"/>
                <w:szCs w:val="24"/>
                <w:color w:val="auto"/>
              </w:rPr>
            </w:pPr>
          </w:p>
        </w:tc>
      </w:tr>
    </w:tbl>
    <w:p>
      <w:pPr>
        <w:spacing w:after="0" w:line="239"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w:t>
      </w:r>
    </w:p>
    <w:p>
      <w:pPr>
        <w:spacing w:after="0" w:line="1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Preventing insider trading is necessary to comply with securities laws and to preserve the reputation and integrity of Ardelyx,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well as that of all persons affiliated with the Company. “Insider trading” occurs when any person purchases or sells a security (e.g., stock) while in possession of “inside information” relating to the security. “Inside information” is information that is both “material” and “non-public.” Insider trading violates several laws, including civil and criminal laws. This Insider Trading Compliance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is designed to facilitate compliance with those laws. The penalties for violating insider trading laws include imprisonment, disgorgement of profits, civil fines, and criminal fines. Insider trading is also prohibited by this Policy, and violation of this Policy may result in Company-imposed sanctions, including removal or dismissal for cause. The Company reserves the right to take disciplinary or other measure(s) it determines in its sole discretion to be appropriate in any particular situation, including disclosure of wrongdoing to governmental authorities.</w:t>
      </w:r>
    </w:p>
    <w:p>
      <w:pPr>
        <w:spacing w:after="0" w:line="112" w:lineRule="exact"/>
        <w:rPr>
          <w:sz w:val="20"/>
          <w:szCs w:val="20"/>
          <w:color w:val="auto"/>
        </w:rPr>
      </w:pPr>
    </w:p>
    <w:p>
      <w:pPr>
        <w:ind w:left="440" w:hanging="432"/>
        <w:spacing w:after="0"/>
        <w:tabs>
          <w:tab w:leader="none" w:pos="44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COVERED AND ADMINISTRATION OF POLICY</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and extends to all activities within and outside an individual’s duties at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Individuals subject to this Policy are responsible for ensuring that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listed under “Applicable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21"/>
          <w:szCs w:val="21"/>
          <w:color w:val="929292"/>
        </w:rPr>
        <w:t>Page 1 of 8</w:t>
      </w:r>
    </w:p>
    <w:p>
      <w:pPr>
        <w:sectPr>
          <w:pgSz w:w="11900" w:h="16838" w:orient="portrait"/>
          <w:cols w:equalWidth="0" w:num="1">
            <w:col w:w="11240"/>
          </w:cols>
          <w:pgMar w:left="320" w:top="1418" w:right="339" w:bottom="1440" w:gutter="0" w:footer="0" w:header="0"/>
          <w:type w:val="continuous"/>
        </w:sectPr>
      </w:pPr>
    </w:p>
    <w:bookmarkStart w:id="107" w:name="page108"/>
    <w:bookmarkEnd w:id="107"/>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Contractors and Consultants” (if any)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or any other consultant otherwise designated as such by written notice from the Company’s Chief Legal Officer, together with members of their households and any other person designated as being subject to this Policy by the Company’s Chief Legal Officer are referred to collectively as “Covered Persons.”.</w:t>
      </w:r>
    </w:p>
    <w:p>
      <w:pPr>
        <w:spacing w:after="0" w:line="13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Questions regarding this Policy should be directed to the Company’s Chief Legal Officer, who is responsible for the administration of this Policy.</w:t>
      </w:r>
    </w:p>
    <w:p>
      <w:pPr>
        <w:spacing w:after="0" w:line="100" w:lineRule="exact"/>
        <w:rPr>
          <w:sz w:val="20"/>
          <w:szCs w:val="20"/>
          <w:color w:val="auto"/>
        </w:rPr>
      </w:pPr>
    </w:p>
    <w:p>
      <w:pPr>
        <w:ind w:left="540" w:hanging="532"/>
        <w:spacing w:after="0"/>
        <w:tabs>
          <w:tab w:leader="none" w:pos="5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STATEMENT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permitted by this Policy, no Covered Person shall:</w:t>
      </w:r>
    </w:p>
    <w:p>
      <w:pPr>
        <w:spacing w:after="0" w:line="166" w:lineRule="exact"/>
        <w:rPr>
          <w:sz w:val="20"/>
          <w:szCs w:val="20"/>
          <w:color w:val="auto"/>
        </w:rPr>
      </w:pPr>
    </w:p>
    <w:p>
      <w:pPr>
        <w:ind w:left="1040" w:right="780" w:hanging="319"/>
        <w:spacing w:after="0" w:line="284" w:lineRule="auto"/>
        <w:tabs>
          <w:tab w:leader="none" w:pos="10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type of security of the Company while in possession of material nonpublic information about the Company;</w:t>
      </w:r>
    </w:p>
    <w:p>
      <w:pPr>
        <w:spacing w:after="0" w:line="89" w:lineRule="exact"/>
        <w:rPr>
          <w:rFonts w:ascii="Times New Roman" w:cs="Times New Roman" w:eastAsia="Times New Roman" w:hAnsi="Times New Roman"/>
          <w:sz w:val="22"/>
          <w:szCs w:val="22"/>
          <w:color w:val="auto"/>
        </w:rPr>
      </w:pPr>
    </w:p>
    <w:p>
      <w:pPr>
        <w:ind w:left="1040" w:right="140" w:hanging="319"/>
        <w:spacing w:after="0" w:line="250" w:lineRule="auto"/>
        <w:tabs>
          <w:tab w:leader="none" w:pos="10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any other company, including a customer, supplier, business partner, or an economically-linked company, such as a competitor or peer company, while in possession of material nonpublic information obtained in connection with your employment by or service to the Company (to the extent there is a reasonable likelihood that such information would be considered important to an investor in making an investment decision in such other company);</w:t>
      </w:r>
    </w:p>
    <w:p>
      <w:pPr>
        <w:spacing w:after="0" w:line="140" w:lineRule="exact"/>
        <w:rPr>
          <w:rFonts w:ascii="Times New Roman" w:cs="Times New Roman" w:eastAsia="Times New Roman" w:hAnsi="Times New Roman"/>
          <w:sz w:val="22"/>
          <w:szCs w:val="22"/>
          <w:color w:val="auto"/>
        </w:rPr>
      </w:pPr>
    </w:p>
    <w:p>
      <w:pPr>
        <w:ind w:left="1040" w:right="220" w:hanging="319"/>
        <w:spacing w:after="0" w:line="271" w:lineRule="auto"/>
        <w:tabs>
          <w:tab w:leader="none" w:pos="10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(or “tip”) material nonpublic information to anyone outside the Company unless in accordance with Company policy regarding confidential information; or</w:t>
      </w:r>
    </w:p>
    <w:p>
      <w:pPr>
        <w:spacing w:after="0" w:line="103" w:lineRule="exact"/>
        <w:rPr>
          <w:rFonts w:ascii="Times New Roman" w:cs="Times New Roman" w:eastAsia="Times New Roman" w:hAnsi="Times New Roman"/>
          <w:sz w:val="22"/>
          <w:szCs w:val="22"/>
          <w:color w:val="auto"/>
        </w:rPr>
      </w:pPr>
    </w:p>
    <w:p>
      <w:pPr>
        <w:ind w:left="1040" w:right="160" w:hanging="319"/>
        <w:spacing w:after="0" w:line="271" w:lineRule="auto"/>
        <w:tabs>
          <w:tab w:leader="none" w:pos="10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within the Company except on a need-to-know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equity and other convertible securities, as well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derivative instruments.</w:t>
      </w:r>
    </w:p>
    <w:p>
      <w:pPr>
        <w:spacing w:after="0" w:line="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also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12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laws and regulations concerning insider trading are complex, and Covered Persons are encouraged to seek guidance from the Chief Legal Officer prior to considering a transaction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2 of 8</w:t>
      </w:r>
    </w:p>
    <w:p>
      <w:pPr>
        <w:sectPr>
          <w:pgSz w:w="11900" w:h="16838" w:orient="portrait"/>
          <w:cols w:equalWidth="0" w:num="1">
            <w:col w:w="11240"/>
          </w:cols>
          <w:pgMar w:left="320" w:top="1422" w:right="339" w:bottom="1440" w:gutter="0" w:footer="0" w:header="0"/>
        </w:sectPr>
      </w:pPr>
    </w:p>
    <w:bookmarkStart w:id="108" w:name="page109"/>
    <w:bookmarkEnd w:id="108"/>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BLACKOUT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Blackout Periods</w:t>
      </w:r>
    </w:p>
    <w:p>
      <w:pPr>
        <w:spacing w:after="0" w:line="1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Chief Legal Officer will designate a list of persons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as it may be revised by the Securities Director (as defined in </w:t>
      </w:r>
      <w:r>
        <w:rPr>
          <w:rFonts w:ascii="Times New Roman" w:cs="Times New Roman" w:eastAsia="Times New Roman" w:hAnsi="Times New Roman"/>
          <w:sz w:val="22"/>
          <w:szCs w:val="22"/>
          <w:u w:val="single" w:color="auto"/>
          <w:color w:val="auto"/>
        </w:rPr>
        <w:t>Section V</w:t>
      </w:r>
      <w:r>
        <w:rPr>
          <w:rFonts w:ascii="Times New Roman" w:cs="Times New Roman" w:eastAsia="Times New Roman" w:hAnsi="Times New Roman"/>
          <w:sz w:val="22"/>
          <w:szCs w:val="22"/>
          <w:color w:val="auto"/>
        </w:rPr>
        <w:t xml:space="preserve"> below) or the Chief Legal Officer in each of his or her reasonable discretion (together with their controlled entities and household members) must not purchase, sell, gift or otherwise transfer any security of the Company during any blackout period, except as otherwise permitted by this Policy.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quarterly blackout period:</w:t>
      </w:r>
    </w:p>
    <w:p>
      <w:pPr>
        <w:spacing w:after="0" w:line="166" w:lineRule="exact"/>
        <w:rPr>
          <w:sz w:val="20"/>
          <w:szCs w:val="20"/>
          <w:color w:val="auto"/>
        </w:rPr>
      </w:pPr>
    </w:p>
    <w:p>
      <w:pPr>
        <w:ind w:left="1040" w:hanging="319"/>
        <w:spacing w:after="0"/>
        <w:tabs>
          <w:tab w:leader="none" w:pos="1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before the end of any fiscal quarter of the Company and</w:t>
      </w:r>
    </w:p>
    <w:p>
      <w:pPr>
        <w:spacing w:after="0" w:line="110" w:lineRule="exact"/>
        <w:rPr>
          <w:rFonts w:ascii="Times New Roman" w:cs="Times New Roman" w:eastAsia="Times New Roman" w:hAnsi="Times New Roman"/>
          <w:sz w:val="22"/>
          <w:szCs w:val="22"/>
          <w:color w:val="auto"/>
        </w:rPr>
      </w:pPr>
    </w:p>
    <w:p>
      <w:pPr>
        <w:ind w:left="1040" w:hanging="319"/>
        <w:spacing w:after="0"/>
        <w:tabs>
          <w:tab w:leader="none" w:pos="1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ends one full trading day after the public release of earnings data for such fiscal quarter.</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purposes of this Policy, a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is a day on which U.S. national stock exchanges are open for trading. If, for example, the Company were to make an announcement on Monday prior to 9:30 a.m. Eastern Time, then the blackout period would terminate after the close of trading on Monday. If an announcement were made on Monday after 9:30 a.m. Eastern Time, then the blackout period would terminate after the close of trading on Tuesday. If you have any question as to whether information is publicly available, please direct an inquiry to the Chief Legal Officer.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Blackout Periods</w:t>
      </w:r>
    </w:p>
    <w:p>
      <w:pPr>
        <w:spacing w:after="0" w:line="170" w:lineRule="exact"/>
        <w:rPr>
          <w:sz w:val="20"/>
          <w:szCs w:val="20"/>
          <w:color w:val="auto"/>
        </w:rPr>
      </w:pPr>
    </w:p>
    <w:p>
      <w:pPr>
        <w:jc w:val="both"/>
        <w:ind w:firstLine="235"/>
        <w:spacing w:after="0" w:line="257" w:lineRule="auto"/>
        <w:rPr>
          <w:sz w:val="20"/>
          <w:szCs w:val="20"/>
          <w:color w:val="auto"/>
        </w:rPr>
      </w:pPr>
      <w:r>
        <w:rPr>
          <w:rFonts w:ascii="Times New Roman" w:cs="Times New Roman" w:eastAsia="Times New Roman" w:hAnsi="Times New Roman"/>
          <w:sz w:val="22"/>
          <w:szCs w:val="22"/>
          <w:color w:val="auto"/>
        </w:rPr>
        <w:t>From time to time, the Chief Legal Officer may determine that an additional blackout period is appropriate. Persons subject to an additional blackout period must not purchase, sell, gift or otherwise transfer any security of the Company, except as otherwise permitted by this Policy, and must not disclose to others that an additional blackout period is in effect.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 PRECLEARANCE OF TRADES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All transactions in the Company's securities (including without limitation, acquisitions and dispositions of Company stock, the “cashless exercise” of stock options and the sale of Company stock issued upon exercise of stock options) by all directors and officers and those employees and consultants (if any) listed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as it may be revised by the Securities Director (as defined below) or the Chief Legal Officer in each of his or her reasonable discretion (together with their controlled entities and household members, each, a “</w:t>
      </w:r>
      <w:r>
        <w:rPr>
          <w:rFonts w:ascii="Times New Roman" w:cs="Times New Roman" w:eastAsia="Times New Roman" w:hAnsi="Times New Roman"/>
          <w:sz w:val="22"/>
          <w:szCs w:val="22"/>
          <w:u w:val="single" w:color="auto"/>
          <w:color w:val="auto"/>
        </w:rPr>
        <w:t>Preclearance Person</w:t>
      </w:r>
      <w:r>
        <w:rPr>
          <w:rFonts w:ascii="Times New Roman" w:cs="Times New Roman" w:eastAsia="Times New Roman" w:hAnsi="Times New Roman"/>
          <w:sz w:val="22"/>
          <w:szCs w:val="22"/>
          <w:color w:val="auto"/>
        </w:rPr>
        <w:t>”) must be precleared by the Senior Director of Corporate Securities and Governance (“</w:t>
      </w:r>
      <w:r>
        <w:rPr>
          <w:rFonts w:ascii="Times New Roman" w:cs="Times New Roman" w:eastAsia="Times New Roman" w:hAnsi="Times New Roman"/>
          <w:sz w:val="22"/>
          <w:szCs w:val="22"/>
          <w:u w:val="single" w:color="auto"/>
          <w:color w:val="auto"/>
        </w:rPr>
        <w:t>Securities Director</w:t>
      </w:r>
      <w:r>
        <w:rPr>
          <w:rFonts w:ascii="Times New Roman" w:cs="Times New Roman" w:eastAsia="Times New Roman" w:hAnsi="Times New Roman"/>
          <w:sz w:val="22"/>
          <w:szCs w:val="22"/>
          <w:color w:val="auto"/>
        </w:rPr>
        <w:t>”) by emailing him at erabinowitz@ardelyx.com and, if the Securities Director is not available, the Chief Legal Officer.</w:t>
      </w:r>
    </w:p>
    <w:p>
      <w:pPr>
        <w:spacing w:after="0" w:line="12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confirm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3 of 8</w:t>
      </w:r>
    </w:p>
    <w:p>
      <w:pPr>
        <w:sectPr>
          <w:pgSz w:w="11900" w:h="16838" w:orient="portrait"/>
          <w:cols w:equalWidth="0" w:num="1">
            <w:col w:w="11240"/>
          </w:cols>
          <w:pgMar w:left="320" w:top="1418" w:right="339" w:bottom="1440" w:gutter="0" w:footer="0" w:header="0"/>
        </w:sectPr>
      </w:pPr>
    </w:p>
    <w:bookmarkStart w:id="109" w:name="page110"/>
    <w:bookmarkEnd w:id="109"/>
    <w:p>
      <w:pPr>
        <w:jc w:val="both"/>
        <w:spacing w:after="0" w:line="256" w:lineRule="auto"/>
        <w:rPr>
          <w:sz w:val="20"/>
          <w:szCs w:val="20"/>
          <w:color w:val="auto"/>
        </w:rPr>
      </w:pPr>
      <w:r>
        <w:rPr>
          <w:rFonts w:ascii="Times New Roman" w:cs="Times New Roman" w:eastAsia="Times New Roman" w:hAnsi="Times New Roman"/>
          <w:sz w:val="22"/>
          <w:szCs w:val="22"/>
          <w:color w:val="auto"/>
        </w:rPr>
        <w:t>in writing that he or she is not aware of material nonpublic information about the Company. The Securities Director, or the Chief Legal Officer, Officer, shall have sole discretion to decide whether to clear any contemplated transaction. Notwithstanding receipt of preclearance, if the Preclearance Person becomes aware of material nonpublic information, or becomes subject to a blackout period before the transaction is effected, the transaction may not be completed.</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Preclearance should not be understood to represent legal advice by the Company that a proposed transaction complies with the law and preclearance does not relieve anyone of their responsibility under SEC rules. None of the Company, the Securities Director, Chief Legal Officer, or the Company’s other employees will have any liability for any delay in reviewing, or refusal of, a request for preclearance.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 EXEMPT TRANSACTIONS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prohibitions set forth in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V</w:t>
      </w:r>
      <w:r>
        <w:rPr>
          <w:rFonts w:ascii="Times New Roman" w:cs="Times New Roman" w:eastAsia="Times New Roman" w:hAnsi="Times New Roman"/>
          <w:sz w:val="22"/>
          <w:szCs w:val="22"/>
          <w:color w:val="auto"/>
        </w:rPr>
        <w:t xml:space="preserve"> do not apply to:</w:t>
      </w:r>
    </w:p>
    <w:p>
      <w:pPr>
        <w:spacing w:after="0" w:line="166" w:lineRule="exact"/>
        <w:rPr>
          <w:sz w:val="20"/>
          <w:szCs w:val="20"/>
          <w:color w:val="auto"/>
        </w:rPr>
      </w:pPr>
    </w:p>
    <w:p>
      <w:pPr>
        <w:jc w:val="both"/>
        <w:ind w:left="1040" w:right="20" w:hanging="319"/>
        <w:spacing w:after="0" w:line="257" w:lineRule="auto"/>
        <w:tabs>
          <w:tab w:leader="none" w:pos="10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from the Company or sales of the Company’s securities to the Company, or the surrender to or withholding by the Company of the Company’s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to cover withholding obligations upon the vesting or settlement of equity-based awards);</w:t>
      </w:r>
    </w:p>
    <w:p>
      <w:pPr>
        <w:spacing w:after="0" w:line="118" w:lineRule="exact"/>
        <w:rPr>
          <w:rFonts w:ascii="Times New Roman" w:cs="Times New Roman" w:eastAsia="Times New Roman" w:hAnsi="Times New Roman"/>
          <w:sz w:val="22"/>
          <w:szCs w:val="22"/>
          <w:color w:val="auto"/>
        </w:rPr>
      </w:pPr>
    </w:p>
    <w:p>
      <w:pPr>
        <w:jc w:val="both"/>
        <w:ind w:left="1040" w:hanging="319"/>
        <w:spacing w:after="0" w:line="256" w:lineRule="auto"/>
        <w:tabs>
          <w:tab w:leader="none" w:pos="10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vesting of equity-based awards that do not involve a market sale of the Company’s securities (note that the “cashless exercise” of a Company stock option or other equity award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122" w:lineRule="exact"/>
        <w:rPr>
          <w:rFonts w:ascii="Times New Roman" w:cs="Times New Roman" w:eastAsia="Times New Roman" w:hAnsi="Times New Roman"/>
          <w:sz w:val="22"/>
          <w:szCs w:val="22"/>
          <w:color w:val="auto"/>
        </w:rPr>
      </w:pPr>
    </w:p>
    <w:p>
      <w:pPr>
        <w:ind w:left="1040" w:hanging="319"/>
        <w:spacing w:after="0" w:line="271" w:lineRule="auto"/>
        <w:tabs>
          <w:tab w:leader="none" w:pos="10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elections to participate in the Company’s Employee Stock Purchase Plan (“</w:t>
      </w: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subsequent elections to change the contribution amount under the ESPP, or purchases made pursuant to and in accordance with the ESPP;</w:t>
      </w:r>
    </w:p>
    <w:p>
      <w:pPr>
        <w:spacing w:after="0" w:line="117" w:lineRule="exact"/>
        <w:rPr>
          <w:rFonts w:ascii="Times New Roman" w:cs="Times New Roman" w:eastAsia="Times New Roman" w:hAnsi="Times New Roman"/>
          <w:sz w:val="22"/>
          <w:szCs w:val="22"/>
          <w:color w:val="auto"/>
        </w:rPr>
      </w:pPr>
    </w:p>
    <w:p>
      <w:pPr>
        <w:ind w:left="1040" w:hanging="319"/>
        <w:spacing w:after="0" w:line="271" w:lineRule="auto"/>
        <w:tabs>
          <w:tab w:leader="none" w:pos="10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03" w:lineRule="exact"/>
        <w:rPr>
          <w:rFonts w:ascii="Times New Roman" w:cs="Times New Roman" w:eastAsia="Times New Roman" w:hAnsi="Times New Roman"/>
          <w:sz w:val="22"/>
          <w:szCs w:val="22"/>
          <w:color w:val="auto"/>
        </w:rPr>
      </w:pPr>
    </w:p>
    <w:p>
      <w:pPr>
        <w:ind w:left="1040" w:hanging="319"/>
        <w:spacing w:after="0" w:line="271" w:lineRule="auto"/>
        <w:tabs>
          <w:tab w:leader="none" w:pos="10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 or</w:t>
      </w:r>
    </w:p>
    <w:p>
      <w:pPr>
        <w:spacing w:after="0" w:line="103" w:lineRule="exact"/>
        <w:rPr>
          <w:rFonts w:ascii="Times New Roman" w:cs="Times New Roman" w:eastAsia="Times New Roman" w:hAnsi="Times New Roman"/>
          <w:sz w:val="22"/>
          <w:szCs w:val="22"/>
          <w:color w:val="auto"/>
        </w:rPr>
      </w:pPr>
    </w:p>
    <w:p>
      <w:pPr>
        <w:jc w:val="both"/>
        <w:ind w:left="1040" w:hanging="319"/>
        <w:spacing w:after="0" w:line="253" w:lineRule="auto"/>
        <w:tabs>
          <w:tab w:leader="none" w:pos="10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 plan adopted to comply with Exchange Act Rule 10b5-1 (“</w:t>
      </w:r>
      <w:r>
        <w:rPr>
          <w:rFonts w:ascii="Times New Roman" w:cs="Times New Roman" w:eastAsia="Times New Roman" w:hAnsi="Times New Roman"/>
          <w:sz w:val="22"/>
          <w:szCs w:val="22"/>
          <w:u w:val="single" w:color="auto"/>
          <w:color w:val="auto"/>
        </w:rPr>
        <w:t>Rule 10b5-1</w:t>
      </w:r>
      <w:r>
        <w:rPr>
          <w:rFonts w:ascii="Times New Roman" w:cs="Times New Roman" w:eastAsia="Times New Roman" w:hAnsi="Times New Roman"/>
          <w:sz w:val="22"/>
          <w:szCs w:val="22"/>
          <w:color w:val="auto"/>
        </w:rPr>
        <w:t xml:space="preserve">”) and which plan (i) was precleared in advance pursuant to this Policy and (ii) has not been amended or modified in any respect after such initial preclearance without such amendment or modification being precleared in advance pursuant to this Policy. For more information about Rule 10b5-1 trading plans, see </w:t>
      </w:r>
      <w:r>
        <w:rPr>
          <w:rFonts w:ascii="Times New Roman" w:cs="Times New Roman" w:eastAsia="Times New Roman" w:hAnsi="Times New Roman"/>
          <w:sz w:val="22"/>
          <w:szCs w:val="22"/>
          <w:u w:val="single" w:color="auto"/>
          <w:color w:val="auto"/>
        </w:rPr>
        <w:t>Section IX</w:t>
      </w:r>
      <w:r>
        <w:rPr>
          <w:rFonts w:ascii="Times New Roman" w:cs="Times New Roman" w:eastAsia="Times New Roman" w:hAnsi="Times New Roman"/>
          <w:sz w:val="22"/>
          <w:szCs w:val="22"/>
          <w:color w:val="auto"/>
        </w:rPr>
        <w:t xml:space="preserve"> below.</w:t>
      </w:r>
    </w:p>
    <w:p>
      <w:pPr>
        <w:spacing w:after="0" w:line="1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Exceptions to the blackout period policy may be approved by the Chief Legal Officer or, in the case of exceptions for directors, the Audit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4 of 8</w:t>
      </w:r>
    </w:p>
    <w:p>
      <w:pPr>
        <w:sectPr>
          <w:pgSz w:w="11900" w:h="16838" w:orient="portrait"/>
          <w:cols w:equalWidth="0" w:num="1">
            <w:col w:w="11240"/>
          </w:cols>
          <w:pgMar w:left="320" w:top="1422"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b w:val="1"/>
          <w:bCs w:val="1"/>
          <w:color w:val="auto"/>
        </w:rPr>
        <w:t>VII. MATERIAL NON-PUBLIC INFORMATION</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 information about:</w:t>
      </w:r>
    </w:p>
    <w:p>
      <w:pPr>
        <w:spacing w:after="0" w:line="166" w:lineRule="exact"/>
        <w:rPr>
          <w:sz w:val="20"/>
          <w:szCs w:val="20"/>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 sent to or received from the U.S. Food and Drug Administration;</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165" w:lineRule="exact"/>
        <w:rPr>
          <w:rFonts w:ascii="Times New Roman" w:cs="Times New Roman" w:eastAsia="Times New Roman" w:hAnsi="Times New Roman"/>
          <w:sz w:val="22"/>
          <w:szCs w:val="22"/>
          <w:color w:val="auto"/>
        </w:rPr>
      </w:pPr>
    </w:p>
    <w:p>
      <w:pPr>
        <w:ind w:left="1300" w:hanging="320"/>
        <w:spacing w:after="0" w:line="284" w:lineRule="auto"/>
        <w:tabs>
          <w:tab w:leader="none" w:pos="12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borrowing or financing developments including pending public sales or offerings of debt or equity securities;</w:t>
      </w:r>
    </w:p>
    <w:p>
      <w:pPr>
        <w:spacing w:after="0" w:line="8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or data security incidents; and</w:t>
      </w:r>
    </w:p>
    <w:p>
      <w:pPr>
        <w:spacing w:after="0" w:line="1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17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if it is not available to the general public. In order for information to be considered public, it must be widely disseminated in a manner making it generally available to investors in a Regulation FD-compliant method, such as through a press release, a filing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 Regulation FD-compliant conference call. The Chief Legal Officer shall have sole discretion to decide whether information is public for purposes of this Policy.</w:t>
      </w:r>
    </w:p>
    <w:p>
      <w:pPr>
        <w:spacing w:after="0" w:line="14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one should allow one full trading day following release of information to the public, as a reasonable waiting period before such information is deemed to be public.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POST-TERMINATION AND PROHIBITED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5 of 8</w:t>
      </w:r>
    </w:p>
    <w:p>
      <w:pPr>
        <w:sectPr>
          <w:pgSz w:w="11900" w:h="16838" w:orient="portrait"/>
          <w:cols w:equalWidth="0" w:num="1">
            <w:col w:w="11240"/>
          </w:cols>
          <w:pgMar w:left="320" w:top="1418" w:right="339" w:bottom="1440" w:gutter="0" w:footer="0" w:header="0"/>
        </w:sectPr>
      </w:pPr>
    </w:p>
    <w:bookmarkStart w:id="111" w:name="page112"/>
    <w:bookmarkEnd w:id="111"/>
    <w:p>
      <w:pPr>
        <w:ind w:left="440" w:hanging="432"/>
        <w:spacing w:after="0"/>
        <w:tabs>
          <w:tab w:leader="none" w:pos="4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w:t>
      </w:r>
    </w:p>
    <w:p>
      <w:pPr>
        <w:spacing w:after="0" w:line="17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13" w:lineRule="exact"/>
        <w:rPr>
          <w:sz w:val="20"/>
          <w:szCs w:val="20"/>
          <w:color w:val="auto"/>
        </w:rPr>
      </w:pPr>
    </w:p>
    <w:p>
      <w:pPr>
        <w:ind w:left="420" w:hanging="412"/>
        <w:spacing w:after="0"/>
        <w:tabs>
          <w:tab w:leader="none" w:pos="42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Company’s securities:</w:t>
      </w:r>
    </w:p>
    <w:p>
      <w:pPr>
        <w:spacing w:after="0" w:line="119" w:lineRule="exact"/>
        <w:rPr>
          <w:sz w:val="20"/>
          <w:szCs w:val="20"/>
          <w:color w:val="auto"/>
        </w:rPr>
      </w:pPr>
    </w:p>
    <w:p>
      <w:pPr>
        <w:ind w:left="1040" w:hanging="384"/>
        <w:spacing w:after="0"/>
        <w:tabs>
          <w:tab w:leader="none" w:pos="1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Short sales of the Company’s securities are prohibited by this Policy. Short sales are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46" w:lineRule="exact"/>
        <w:rPr>
          <w:sz w:val="20"/>
          <w:szCs w:val="20"/>
          <w:color w:val="auto"/>
        </w:rPr>
      </w:pPr>
    </w:p>
    <w:p>
      <w:pPr>
        <w:ind w:left="1040" w:hanging="384"/>
        <w:spacing w:after="0"/>
        <w:tabs>
          <w:tab w:leader="none" w:pos="10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Transactions in puts, calls, or other derivative securities involving covered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127" w:lineRule="exact"/>
        <w:rPr>
          <w:sz w:val="20"/>
          <w:szCs w:val="20"/>
          <w:color w:val="auto"/>
        </w:rPr>
      </w:pPr>
    </w:p>
    <w:p>
      <w:pPr>
        <w:ind w:left="1040" w:hanging="384"/>
        <w:spacing w:after="0"/>
        <w:tabs>
          <w:tab w:leader="none" w:pos="1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Hedging transactions involving covered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25" w:lineRule="exact"/>
        <w:rPr>
          <w:sz w:val="20"/>
          <w:szCs w:val="20"/>
          <w:color w:val="auto"/>
        </w:rPr>
      </w:pPr>
    </w:p>
    <w:p>
      <w:pPr>
        <w:ind w:left="1040" w:hanging="384"/>
        <w:spacing w:after="0"/>
        <w:tabs>
          <w:tab w:leader="none" w:pos="10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Accounts and Pledging</w:t>
      </w:r>
    </w:p>
    <w:p>
      <w:pPr>
        <w:spacing w:after="0" w:line="1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Individuals are prohibited from pledging covered securities as collateral for a loan, purchasing covered securities on margin (i.e., borrowing money to purchase the securities), or placing covered securities in a margin account. This prohibition does not apply to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6 of 8</w:t>
      </w:r>
    </w:p>
    <w:p>
      <w:pPr>
        <w:sectPr>
          <w:pgSz w:w="11900" w:h="16838" w:orient="portrait"/>
          <w:cols w:equalWidth="0" w:num="1">
            <w:col w:w="11240"/>
          </w:cols>
          <w:pgMar w:left="320" w:top="1418" w:right="339" w:bottom="1440" w:gutter="0" w:footer="0" w:header="0"/>
        </w:sectPr>
      </w:pPr>
    </w:p>
    <w:bookmarkStart w:id="112" w:name="page113"/>
    <w:bookmarkEnd w:id="112"/>
    <w:p>
      <w:pPr>
        <w:spacing w:after="0" w:line="271" w:lineRule="auto"/>
        <w:rPr>
          <w:sz w:val="20"/>
          <w:szCs w:val="20"/>
          <w:color w:val="auto"/>
        </w:rPr>
      </w:pPr>
      <w:r>
        <w:rPr>
          <w:rFonts w:ascii="Times New Roman" w:cs="Times New Roman" w:eastAsia="Times New Roman" w:hAnsi="Times New Roman"/>
          <w:sz w:val="22"/>
          <w:szCs w:val="22"/>
          <w:color w:val="auto"/>
        </w:rPr>
        <w:t>exercises of stock options under the Company’s equity plans, nor to situations approved in advance by the Company's Chief Legal Officer.</w:t>
      </w:r>
    </w:p>
    <w:p>
      <w:pPr>
        <w:spacing w:after="0" w:line="10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RULE 10b5-1 TRADING PLANS</w:t>
      </w:r>
    </w:p>
    <w:p>
      <w:pPr>
        <w:spacing w:after="0" w:line="156"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 trading restrictions set forth in this Policy, other than those transactions described under “Prohibited Transactions”, do not apply to transactions under a previously established contract, plan or instruction to trade in the Company’s securities entered into in accordance with the terms of Rule 10b5-1 and all applicable state laws (a “</w:t>
      </w:r>
      <w:r>
        <w:rPr>
          <w:rFonts w:ascii="Times New Roman" w:cs="Times New Roman" w:eastAsia="Times New Roman" w:hAnsi="Times New Roman"/>
          <w:sz w:val="22"/>
          <w:szCs w:val="22"/>
          <w:u w:val="single" w:color="auto"/>
          <w:color w:val="auto"/>
        </w:rPr>
        <w:t>Trading Plan</w:t>
      </w:r>
      <w:r>
        <w:rPr>
          <w:rFonts w:ascii="Times New Roman" w:cs="Times New Roman" w:eastAsia="Times New Roman" w:hAnsi="Times New Roman"/>
          <w:sz w:val="22"/>
          <w:szCs w:val="22"/>
          <w:color w:val="auto"/>
        </w:rPr>
        <w:t>”) that:</w:t>
      </w:r>
    </w:p>
    <w:p>
      <w:pPr>
        <w:spacing w:after="0" w:line="152" w:lineRule="exact"/>
        <w:rPr>
          <w:sz w:val="20"/>
          <w:szCs w:val="20"/>
          <w:color w:val="auto"/>
        </w:rPr>
      </w:pPr>
    </w:p>
    <w:p>
      <w:pPr>
        <w:jc w:val="both"/>
        <w:ind w:left="660" w:hanging="328"/>
        <w:spacing w:after="0" w:line="225"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submitted to and pre-approved by the Company’s Chief Legal Officer or Chief Financial Officer, or such other person as the Company’s Board of Directors may designate from time to time at least 30 days before the commencement of any transactions under the Trading Plan;</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a “Cooling Off Period” for:</w:t>
      </w:r>
    </w:p>
    <w:p>
      <w:pPr>
        <w:spacing w:after="0" w:line="206" w:lineRule="exact"/>
        <w:rPr>
          <w:sz w:val="20"/>
          <w:szCs w:val="20"/>
          <w:color w:val="auto"/>
        </w:rPr>
      </w:pPr>
    </w:p>
    <w:p>
      <w:pPr>
        <w:jc w:val="both"/>
        <w:ind w:left="1360" w:hanging="330"/>
        <w:spacing w:after="0" w:line="260" w:lineRule="auto"/>
        <w:tabs>
          <w:tab w:leader="none" w:pos="1725" w:val="left"/>
        </w:tabs>
        <w:numPr>
          <w:ilvl w:val="1"/>
          <w:numId w:val="5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116" w:lineRule="exact"/>
        <w:rPr>
          <w:rFonts w:ascii="Courier New" w:cs="Courier New" w:eastAsia="Courier New" w:hAnsi="Courier New"/>
          <w:sz w:val="22"/>
          <w:szCs w:val="22"/>
          <w:color w:val="auto"/>
        </w:rPr>
      </w:pPr>
    </w:p>
    <w:p>
      <w:pPr>
        <w:ind w:left="1360" w:hanging="330"/>
        <w:spacing w:after="0" w:line="279" w:lineRule="auto"/>
        <w:tabs>
          <w:tab w:leader="none" w:pos="1684" w:val="left"/>
        </w:tabs>
        <w:numPr>
          <w:ilvl w:val="1"/>
          <w:numId w:val="5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employees and any other persons, other than the Company, that extends 30 days after adoption or modification of a Trading Plan;</w:t>
      </w:r>
    </w:p>
    <w:p>
      <w:pPr>
        <w:spacing w:after="0" w:line="105" w:lineRule="exact"/>
        <w:rPr>
          <w:rFonts w:ascii="Courier New" w:cs="Courier New" w:eastAsia="Courier New" w:hAnsi="Courier New"/>
          <w:sz w:val="22"/>
          <w:szCs w:val="22"/>
          <w:color w:val="auto"/>
        </w:rPr>
      </w:pPr>
    </w:p>
    <w:p>
      <w:pPr>
        <w:jc w:val="both"/>
        <w:ind w:left="660" w:hanging="328"/>
        <w:spacing w:after="0" w:line="257" w:lineRule="auto"/>
        <w:tabs>
          <w:tab w:leader="none" w:pos="6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Section 16 reporting persons, includes a representation in the Trading Plan that the Section 16 reporting person is (i) not aware of any material non-public information about the Company or its securities; and (ii) adopting the Trading Plan in good faith and not as part of a plan or scheme to evade Rule 10b-5;</w:t>
      </w:r>
    </w:p>
    <w:p>
      <w:pPr>
        <w:spacing w:after="0" w:line="118"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13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(i) specifies the amounts, prices, and dates of all transactions under the Trading Plan, (ii) provides a written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formula,  algorithm,  or  computer  program  for  determining  the  amount,  price,  and  date  of  the  transactions,  or</w:t>
      </w:r>
    </w:p>
    <w:p>
      <w:pPr>
        <w:spacing w:after="0" w:line="4" w:lineRule="exact"/>
        <w:rPr>
          <w:sz w:val="20"/>
          <w:szCs w:val="20"/>
          <w:color w:val="auto"/>
        </w:rPr>
      </w:pPr>
    </w:p>
    <w:p>
      <w:pPr>
        <w:ind w:left="1200" w:hanging="544"/>
        <w:spacing w:after="0"/>
        <w:tabs>
          <w:tab w:leader="none" w:pos="12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prohibits the individual from exercising any subsequent influence over the transactions; and</w:t>
      </w:r>
    </w:p>
    <w:p>
      <w:pPr>
        <w:spacing w:after="0" w:line="14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complies with all other applicable requirements of Rule 10b5-1.</w:t>
      </w:r>
    </w:p>
    <w:p>
      <w:pPr>
        <w:spacing w:after="0" w:line="16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Legal Officer may impose such other conditions on the implementation and operation of the Trading Plan as</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the Chief Legal Officer deems necessary or advisable. Individuals may not adopt more than one Trading Plan at a time except under the limited circumstances permitted by Rule 10b5-1 and subject to preapproval by the Chief Legal Officer.</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 individual may only modify a Trading Plan outside of a blackout period and, in any event, when the individual does not possess material non-public information. Modifications to and terminations of a Trading Plan are subject to preapproval by the Chief Legal Officer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7 of 8</w:t>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71" w:lineRule="auto"/>
        <w:rPr>
          <w:sz w:val="20"/>
          <w:szCs w:val="20"/>
          <w:color w:val="auto"/>
        </w:rPr>
      </w:pPr>
      <w:r>
        <w:rPr>
          <w:rFonts w:ascii="Times New Roman" w:cs="Times New Roman" w:eastAsia="Times New Roman" w:hAnsi="Times New Roman"/>
          <w:sz w:val="22"/>
          <w:szCs w:val="22"/>
          <w:color w:val="auto"/>
        </w:rPr>
        <w:t>modifications of a Trading Plan that change the amount, price, or timing of the purchase or sale of the securities underlying a Trading Plan will trigger a new Cooling-Off Period.</w:t>
      </w:r>
    </w:p>
    <w:p>
      <w:pPr>
        <w:spacing w:after="0" w:line="1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Chief Legal Officer or the Board of Directors, in its discretion, determines that such suspension, discontinuation, or other prohibition is in the best interests of the Company.</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Compliance of a Trading Plan with the terms of Rule 10b5-1 and the execution of transactions pursuant to the Trading Plan are the sole responsibility of the person initiating the Trading Plan, and none of the Company, the Chief Legal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21"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 AMENDMENT, AND IMPLEMENTATION OF THIS POLICY</w:t>
      </w:r>
    </w:p>
    <w:p>
      <w:pPr>
        <w:spacing w:after="0" w:line="1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Chief Legal Officer shall have the authority to interpret and update this Policy and all related policies and procedures. In particular, such interpretations and updates of this Policy, as authorized by the Chief Legal Officer, may include amendments to or departures from the terms of this Policy to the extent consistent with the general purpose of this Policy and applicable securities laws.</w:t>
      </w:r>
    </w:p>
    <w:p>
      <w:pPr>
        <w:spacing w:after="0" w:line="12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Actions taken by the Company, the Chief Legal Officer, or any other Company personnel do not constitute legal advice, nor do they insulate you from the consequences of noncompliance with this Policy or with securities laws.</w:t>
      </w:r>
    </w:p>
    <w:p>
      <w:pPr>
        <w:spacing w:after="0" w:line="1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XI</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REVIEW AND ACKNOWLEDGMENT OF THIS POLICY</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Covered Person that is employed by the Company is required to review this Policy and acknowledge such review and understanding of this Policy through ComplianceWire upon commencement of their employment with the Company and annually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929292"/>
        </w:rPr>
        <w:t>Page 8 of 8</w:t>
      </w:r>
    </w:p>
    <w:p>
      <w:pPr>
        <w:sectPr>
          <w:pgSz w:w="11900" w:h="16838" w:orient="portrait"/>
          <w:cols w:equalWidth="0" w:num="1">
            <w:col w:w="11240"/>
          </w:cols>
          <w:pgMar w:left="320" w:top="1422"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APPLICABLE CONTRACTORS AND CONSULTANTS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[intentionally omitted]</w:t>
      </w:r>
    </w:p>
    <w:p>
      <w:pPr>
        <w:sectPr>
          <w:pgSz w:w="11900" w:h="16838" w:orient="portrait"/>
          <w:cols w:equalWidth="0" w:num="1">
            <w:col w:w="9019"/>
          </w:cols>
          <w:pgMar w:left="144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929292"/>
        </w:rPr>
        <w:t>SCHEDULE A</w:t>
      </w:r>
    </w:p>
    <w:p>
      <w:pPr>
        <w:sectPr>
          <w:pgSz w:w="11900" w:h="16838" w:orient="portrait"/>
          <w:cols w:equalWidth="0" w:num="1">
            <w:col w:w="9019"/>
          </w:cols>
          <w:pgMar w:left="1440" w:top="1418" w:right="1440" w:bottom="1440" w:gutter="0" w:footer="0" w:header="0"/>
          <w:type w:val="continuous"/>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INDIVIDUALS SUBJECT TO QUARTERLY BLACKOUT PERIODS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[intentionally omitted]</w:t>
      </w:r>
    </w:p>
    <w:p>
      <w:pPr>
        <w:sectPr>
          <w:pgSz w:w="11900" w:h="16838" w:orient="portrait"/>
          <w:cols w:equalWidth="0" w:num="1">
            <w:col w:w="9019"/>
          </w:cols>
          <w:pgMar w:left="144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929292"/>
        </w:rPr>
        <w:t>SCHEDULE B</w:t>
      </w:r>
    </w:p>
    <w:p>
      <w:pPr>
        <w:sectPr>
          <w:pgSz w:w="11900" w:h="16838" w:orient="portrait"/>
          <w:cols w:equalWidth="0" w:num="1">
            <w:col w:w="9019"/>
          </w:cols>
          <w:pgMar w:left="1440" w:top="1418" w:right="1440" w:bottom="1440" w:gutter="0" w:footer="0" w:header="0"/>
          <w:type w:val="continuous"/>
        </w:sectPr>
      </w:pPr>
    </w:p>
    <w:bookmarkStart w:id="116" w:name="page117"/>
    <w:bookmarkEnd w:id="116"/>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INDIVIDUALS SUBJECT TO PRECLEARANCE REQUIREMENT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[intentionally omitted]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929292"/>
        </w:rPr>
        <w:t>SCHEDULE C</w:t>
      </w:r>
    </w:p>
    <w:p>
      <w:pPr>
        <w:sectPr>
          <w:pgSz w:w="11900" w:h="16838" w:orient="portrait"/>
          <w:cols w:equalWidth="0" w:num="1">
            <w:col w:w="9019"/>
          </w:cols>
          <w:pgMar w:left="1440" w:top="1440" w:right="1440"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20" w:firstLine="33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05" w:lineRule="exact"/>
        <w:rPr>
          <w:sz w:val="20"/>
          <w:szCs w:val="20"/>
          <w:color w:val="auto"/>
        </w:rPr>
      </w:pPr>
    </w:p>
    <w:p>
      <w:pPr>
        <w:ind w:left="340" w:right="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333-197408) pertaining to the 2008 Stock Incentive Plan, as amended, the 2014 Equity Incentive Award Plan and the 2014 Employee Stock Purchase Plan of Ardelyx, Inc.,</w:t>
      </w:r>
    </w:p>
    <w:p>
      <w:pPr>
        <w:spacing w:after="0" w:line="10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(Nos. 333-202663 and 333-230156) pertaining to the 2014 Equity Incentive Award Plan and the 2014 Employee Stock Purchase Plan of Ardelyx, Inc.,</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(Nos. 333-205630, 333-213085, 333-239764 and 333-269297) of Ardelyx, Inc.,</w:t>
      </w:r>
    </w:p>
    <w:p>
      <w:pPr>
        <w:spacing w:after="0" w:line="17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333-210079, 333-216154, 333-223694 and 333-237057) pertaining to the 2014 Equity Incentive Award Plan of Ardelyx, Inc.,</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333-214538) pertaining to the 2016 Employment Commencement Incentive Plan of Ardelyx, Inc.,</w:t>
      </w:r>
    </w:p>
    <w:p>
      <w:pPr>
        <w:spacing w:after="0" w:line="171"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333-254187 and 333-270314) pertaining to the 2014 Equity Incentive Award Plan, the 2014 Employee Stock Purchase Plan and the 2016 Employment Commencement Incentive Plan of Ardelyx, Inc.,</w:t>
      </w:r>
    </w:p>
    <w:p>
      <w:pPr>
        <w:spacing w:after="0" w:line="107"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333-263145) pertaining to the 2014 Equity Incentive Award Plan and the 2016 Employment Commencement Incentive Plan of Ardelyx, Inc.,</w:t>
      </w:r>
    </w:p>
    <w:p>
      <w:pPr>
        <w:spacing w:after="0" w:line="10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333-270314) pertaining to the 2014 Equity Incentive Award Plan and the 2014 Employee Stock Purchase Plan of Ardelyx, Inc., and</w:t>
      </w:r>
    </w:p>
    <w:p>
      <w:pPr>
        <w:spacing w:after="0" w:line="107"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(Nos. 333-283006) pertaining to the Amended and Restated 2014 Equity Incentive Award Plan and the Amended and Restated 2014 Employee Stock Purchase Plan of Ardelyx, Inc.;</w:t>
      </w:r>
    </w:p>
    <w:p>
      <w:pPr>
        <w:spacing w:after="0" w:line="200" w:lineRule="exact"/>
        <w:rPr>
          <w:sz w:val="20"/>
          <w:szCs w:val="20"/>
          <w:color w:val="auto"/>
        </w:rPr>
      </w:pPr>
    </w:p>
    <w:p>
      <w:pPr>
        <w:spacing w:after="0" w:line="31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of our reports dated February 20, 2025, with respect to the financial statements of Ardelyx, Inc. and the effectiveness of internal control over financial reporting of Ardelyx, Inc. included in this Annual Report (Form 10-K) of Ardelyx, Inc. for the year ended December 31, 2024.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Ardelyx,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80" w:right="60" w:hanging="648"/>
        <w:spacing w:after="0" w:line="266" w:lineRule="auto"/>
        <w:tabs>
          <w:tab w:leader="none" w:pos="9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 w:leader="none" w:pos="832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Ardelyx, Inc.;</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60" w:hanging="648"/>
        <w:spacing w:after="0" w:line="266"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6180" w:val="left"/>
          <w:tab w:leader="none" w:pos="840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Justin Renz</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Chief Financial &amp; Operations Officer</w:t>
      </w:r>
    </w:p>
    <w:p>
      <w:pPr>
        <w:spacing w:after="0" w:line="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62"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Ardelyx, Inc. (the “Company”) on Form 10-K for the period ending December 31, 2024,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spacing w:after="0" w:line="139" w:lineRule="exact"/>
        <w:rPr>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4" w:lineRule="exact"/>
        <w:rPr>
          <w:sz w:val="20"/>
          <w:szCs w:val="20"/>
          <w:color w:val="auto"/>
        </w:rPr>
      </w:pPr>
    </w:p>
    <w:p>
      <w:pPr>
        <w:ind w:left="20"/>
        <w:spacing w:after="0"/>
        <w:tabs>
          <w:tab w:leader="none" w:pos="6180" w:val="left"/>
          <w:tab w:leader="none" w:pos="832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66" w:lineRule="exact"/>
        <w:rPr>
          <w:sz w:val="20"/>
          <w:szCs w:val="20"/>
          <w:color w:val="auto"/>
        </w:rPr>
      </w:pPr>
    </w:p>
    <w:p>
      <w:pPr>
        <w:ind w:left="20"/>
        <w:spacing w:after="0"/>
        <w:tabs>
          <w:tab w:leader="none" w:pos="6140" w:val="left"/>
          <w:tab w:leader="none" w:pos="834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34290</wp:posOffset>
            </wp:positionV>
            <wp:extent cx="29146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Justin Renz</w:t>
      </w:r>
    </w:p>
    <w:p>
      <w:pPr>
        <w:spacing w:after="0" w:line="3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Chief Financial &amp; Operations Officer</w:t>
      </w:r>
    </w:p>
    <w:p>
      <w:pPr>
        <w:spacing w:after="0" w:line="9"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decimal"/>
      <w:start w:val="2"/>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lowerRoman"/>
      <w:start w:val="2"/>
    </w:lvl>
  </w:abstractNum>
  <w:abstractNum w:abstractNumId="32">
    <w:nsid w:val="684A481A"/>
    <w:multiLevelType w:val="hybridMultilevel"/>
    <w:lvl w:ilvl="0">
      <w:lvlJc w:val="left"/>
      <w:lvlText w:val="(%1)"/>
      <w:numFmt w:val="lowerRoman"/>
      <w:start w:val="2"/>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lowerRoman"/>
      <w:start w:val="2"/>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2"/>
    </w:lvl>
  </w:abstractNum>
  <w:abstractNum w:abstractNumId="42">
    <w:nsid w:val="374A3FE6"/>
    <w:multiLevelType w:val="hybridMultilevel"/>
    <w:lvl w:ilvl="0">
      <w:lvlJc w:val="left"/>
      <w:lvlText w:val="%1."/>
      <w:numFmt w:val="decimal"/>
      <w:start w:val="3"/>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upperLetter"/>
      <w:start w:val="9"/>
    </w:lvl>
  </w:abstractNum>
  <w:abstractNum w:abstractNumId="45">
    <w:nsid w:val="649BB77C"/>
    <w:multiLevelType w:val="hybridMultilevel"/>
    <w:lvl w:ilvl="0">
      <w:lvlJc w:val="left"/>
      <w:lvlText w:val="%1."/>
      <w:numFmt w:val="upperLetter"/>
      <w:start w:val="35"/>
    </w:lvl>
  </w:abstractNum>
  <w:abstractNum w:abstractNumId="46">
    <w:nsid w:val="275AC794"/>
    <w:multiLevelType w:val="hybridMultilevel"/>
    <w:lvl w:ilvl="0">
      <w:lvlJc w:val="left"/>
      <w:lvlText w:val="%1."/>
      <w:numFmt w:val="upperLetter"/>
      <w:start w:val="6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upperLetter"/>
      <w:start w:val="1"/>
    </w:lvl>
  </w:abstractNum>
  <w:abstractNum w:abstractNumId="52">
    <w:nsid w:val="354FE9F9"/>
    <w:multiLevelType w:val="hybridMultilevel"/>
    <w:lvl w:ilvl="0">
      <w:lvlJc w:val="left"/>
      <w:lvlText w:val="%1."/>
      <w:numFmt w:val="upperLetter"/>
      <w:start w:val="2"/>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1."/>
      <w:numFmt w:val="decimal"/>
      <w:start w:val="3"/>
    </w:lvl>
  </w:abstractNum>
  <w:abstractNum w:abstractNumId="56">
    <w:nsid w:val="10233C99"/>
    <w:multiLevelType w:val="hybridMultilevel"/>
    <w:lvl w:ilvl="0">
      <w:lvlJc w:val="left"/>
      <w:lvlText w:val="%1."/>
      <w:numFmt w:val="decimal"/>
      <w:start w:val="4"/>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lvl w:ilvl="1">
      <w:lvlJc w:val="left"/>
      <w:lvlText w:val="o"/>
      <w:numFmt w:val="bullet"/>
      <w:start w:val="1"/>
    </w:lvl>
  </w:abstractNum>
  <w:abstractNum w:abstractNumId="59">
    <w:nsid w:val="7E0C57B1"/>
    <w:multiLevelType w:val="hybridMultilevel"/>
    <w:lvl w:ilvl="0">
      <w:lvlJc w:val="left"/>
      <w:lvlText w:val="•"/>
      <w:numFmt w:val="bullet"/>
      <w:start w:val="1"/>
    </w:lvl>
    <w:lvl w:ilvl="1">
      <w:lvlJc w:val="left"/>
      <w:lvlText w:val="(%2)"/>
      <w:numFmt w:val="lowerRoman"/>
      <w:start w:val="3"/>
    </w:lvl>
  </w:abstractNum>
  <w:abstractNum w:abstractNumId="60">
    <w:nsid w:val="77AE35EB"/>
    <w:multiLevelType w:val="hybridMultilevel"/>
    <w:lvl w:ilvl="0">
      <w:lvlJc w:val="left"/>
      <w:lvlText w:val="%1."/>
      <w:numFmt w:val="upperLetter"/>
      <w:start w:val="24"/>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87" Type="http://schemas.openxmlformats.org/officeDocument/2006/relationships/image" Target="media/image116.png"/><Relationship Id="rId188" Type="http://schemas.openxmlformats.org/officeDocument/2006/relationships/image" Target="media/image117.png"/><Relationship Id="rId189" Type="http://schemas.openxmlformats.org/officeDocument/2006/relationships/image" Target="media/image118.png"/><Relationship Id="rId190" Type="http://schemas.openxmlformats.org/officeDocument/2006/relationships/image" Target="media/image119.png"/><Relationship Id="rId191" Type="http://schemas.openxmlformats.org/officeDocument/2006/relationships/image" Target="media/image120.png"/><Relationship Id="rId192" Type="http://schemas.openxmlformats.org/officeDocument/2006/relationships/image" Target="media/image121.png"/><Relationship Id="rId193" Type="http://schemas.openxmlformats.org/officeDocument/2006/relationships/image" Target="media/image122.png"/><Relationship Id="rId194" Type="http://schemas.openxmlformats.org/officeDocument/2006/relationships/image" Target="media/image123.png"/><Relationship Id="rId195" Type="http://schemas.openxmlformats.org/officeDocument/2006/relationships/image" Target="media/image124.png"/><Relationship Id="rId196" Type="http://schemas.openxmlformats.org/officeDocument/2006/relationships/image" Target="media/image125.png"/><Relationship Id="rId197" Type="http://schemas.openxmlformats.org/officeDocument/2006/relationships/image" Target="media/image126.png"/><Relationship Id="rId198" Type="http://schemas.openxmlformats.org/officeDocument/2006/relationships/image" Target="media/image127.png"/><Relationship Id="rId199" Type="http://schemas.openxmlformats.org/officeDocument/2006/relationships/image" Target="media/image128.png"/><Relationship Id="rId200" Type="http://schemas.openxmlformats.org/officeDocument/2006/relationships/image" Target="media/image129.png"/><Relationship Id="rId201" Type="http://schemas.openxmlformats.org/officeDocument/2006/relationships/image" Target="media/image130.png"/><Relationship Id="rId202" Type="http://schemas.openxmlformats.org/officeDocument/2006/relationships/image" Target="media/image131.png"/><Relationship Id="rId203" Type="http://schemas.openxmlformats.org/officeDocument/2006/relationships/image" Target="media/image132.png"/><Relationship Id="rId204" Type="http://schemas.openxmlformats.org/officeDocument/2006/relationships/image" Target="media/image133.png"/><Relationship Id="rId205" Type="http://schemas.openxmlformats.org/officeDocument/2006/relationships/image" Target="media/image134.png"/><Relationship Id="rId206" Type="http://schemas.openxmlformats.org/officeDocument/2006/relationships/image" Target="media/image135.png"/><Relationship Id="rId207" Type="http://schemas.openxmlformats.org/officeDocument/2006/relationships/image" Target="media/image136.png"/><Relationship Id="rId117" Type="http://schemas.openxmlformats.org/officeDocument/2006/relationships/hyperlink" Target="https://www.sec.gov/Archives/edgar/data/1437402/000119312514247380/d748616dex31.htm" TargetMode="External"/><Relationship Id="rId118" Type="http://schemas.openxmlformats.org/officeDocument/2006/relationships/hyperlink" Target="https://www.sec.gov/Archives/edgar/data/1437402/000162828023022681/certificateofamendment6-16.htm" TargetMode="External"/><Relationship Id="rId119" Type="http://schemas.openxmlformats.org/officeDocument/2006/relationships/hyperlink" Target="https://www.sec.gov/Archives/edgar/data/1437402/000119312514247380/d748616dex32.htm" TargetMode="External"/><Relationship Id="rId120" Type="http://schemas.openxmlformats.org/officeDocument/2006/relationships/hyperlink" Target="https://www.sec.gov/Archives/edgar/data/1437402/000119312514240520/d704770dex42.htm" TargetMode="External"/><Relationship Id="rId121" Type="http://schemas.openxmlformats.org/officeDocument/2006/relationships/hyperlink" Target="https://www.sec.gov/Archives/edgar/data/1437402/000155837021002500/ardx-20201231xex4d4.htm" TargetMode="External"/><Relationship Id="rId122" Type="http://schemas.openxmlformats.org/officeDocument/2006/relationships/hyperlink" Target="https://www.sec.gov/Archives/edgar/data/1437402/000119312515288082/d948397dex101.htm" TargetMode="External"/><Relationship Id="rId123" Type="http://schemas.openxmlformats.org/officeDocument/2006/relationships/hyperlink" Target="https://www.sec.gov/Archives/edgar/data/1437402/000119312516493375/d133887dex101d.htm" TargetMode="External"/><Relationship Id="rId124" Type="http://schemas.openxmlformats.org/officeDocument/2006/relationships/hyperlink" Target="https://www.sec.gov/Archives/edgar/data/1437402/000119312514204985/d704770dex104a.htm" TargetMode="External"/><Relationship Id="rId125" Type="http://schemas.openxmlformats.org/officeDocument/2006/relationships/hyperlink" Target="https://www.sec.gov/Archives/edgar/data/1437402/000119312514204985/d704770dex104b.htm" TargetMode="External"/><Relationship Id="rId126" Type="http://schemas.openxmlformats.org/officeDocument/2006/relationships/hyperlink" Target="https://www.sec.gov/Archives/edgar/data/1437402/000119312514336840/d786507dex101.htm" TargetMode="External"/><Relationship Id="rId127" Type="http://schemas.openxmlformats.org/officeDocument/2006/relationships/hyperlink" Target="https://www.sec.gov/Archives/edgar/data/1437402/000119312516675135/d201246dex103.htm" TargetMode="External"/><Relationship Id="rId128" Type="http://schemas.openxmlformats.org/officeDocument/2006/relationships/hyperlink" Target="https://www.sec.gov/Archives/edgar/data/1437402/000162828023006041/ardenwoodventurellc-leasea.htm" TargetMode="External"/><Relationship Id="rId129" Type="http://schemas.openxmlformats.org/officeDocument/2006/relationships/hyperlink" Target="https://www.sec.gov/Archives/edgar/data/1437402/000162828021011446/ardenwoodleasefifthamendme.htm" TargetMode="External"/><Relationship Id="rId130" Type="http://schemas.openxmlformats.org/officeDocument/2006/relationships/hyperlink" Target="https://www.sec.gov/Archives/edgar/data/1437402/000162828024042602/exhibit102-ardenwoodxardel.htm" TargetMode="External"/><Relationship Id="rId131" Type="http://schemas.openxmlformats.org/officeDocument/2006/relationships/hyperlink" Target="https://www.sec.gov/Archives/edgar/data/1437402/000155837021002500/ardx-20201231xex10d31.htm" TargetMode="External"/><Relationship Id="rId132" Type="http://schemas.openxmlformats.org/officeDocument/2006/relationships/hyperlink" Target="https://www.sec.gov/Archives/edgar/data/1437402/000162828024019990/prospectfifthave2ndamendme.htm" TargetMode="External"/><Relationship Id="rId133" Type="http://schemas.openxmlformats.org/officeDocument/2006/relationships/hyperlink" Target="https://www.sec.gov/Archives/edgar/data/1437402/000162828024019990/prospectfifthave3rdamendme.htm" TargetMode="External"/><Relationship Id="rId134" Type="http://schemas.openxmlformats.org/officeDocument/2006/relationships/hyperlink" Target="https://www.sec.gov/Archives/edgar/data/1437402/000162828024042602/exhibit101-ardelyxxlease.htm" TargetMode="External"/><Relationship Id="rId135" Type="http://schemas.openxmlformats.org/officeDocument/2006/relationships/hyperlink" Target="https://www.sec.gov/Archives/edgar/data/1437402/000162828024034121/exhibit101-xardelyxxamende.htm" TargetMode="External"/><Relationship Id="rId136" Type="http://schemas.openxmlformats.org/officeDocument/2006/relationships/hyperlink" Target="https://www.sec.gov/Archives/edgar/data/1437402/000162828024034121/exhibit102-xardelyxxamende.htm" TargetMode="External"/><Relationship Id="rId137" Type="http://schemas.openxmlformats.org/officeDocument/2006/relationships/hyperlink" Target="https://www.sec.gov/Archives/edgar/data/1437402/000119312514204985/d704770dex105a.htm" TargetMode="External"/><Relationship Id="rId138" Type="http://schemas.openxmlformats.org/officeDocument/2006/relationships/hyperlink" Target="https://www.sec.gov/Archives/edgar/data/1437402/000119312514204985/d704770dex105b.htm" TargetMode="External"/><Relationship Id="rId139" Type="http://schemas.openxmlformats.org/officeDocument/2006/relationships/hyperlink" Target="https://www.sec.gov/Archives/edgar/data/1437402/000119312514204985/d704770dex105c.htm" TargetMode="External"/><Relationship Id="rId140" Type="http://schemas.openxmlformats.org/officeDocument/2006/relationships/hyperlink" Target="https://www.sec.gov/Archives/edgar/data/1437402/000119312514229371/d704770dex106b.htm" TargetMode="External"/><Relationship Id="rId141" Type="http://schemas.openxmlformats.org/officeDocument/2006/relationships/hyperlink" Target="https://www.sec.gov/Archives/edgar/data/1437402/000119312514229371/d704770dex106c.htm" TargetMode="External"/><Relationship Id="rId145" Type="http://schemas.openxmlformats.org/officeDocument/2006/relationships/hyperlink" Target="https://www.sec.gov/Archives/edgar/data/1437402/000162828024006393/ardelyxinc2016employmentco.htm" TargetMode="External"/><Relationship Id="rId146" Type="http://schemas.openxmlformats.org/officeDocument/2006/relationships/hyperlink" Target="https://www.sec.gov/Archives/edgar/data/1437402/000119312516764653/d276142dex992.htm" TargetMode="External"/><Relationship Id="rId147" Type="http://schemas.openxmlformats.org/officeDocument/2006/relationships/hyperlink" Target="https://www.sec.gov/Archives/edgar/data/1437402/000119312516764653/d276142dex993.htm" TargetMode="External"/><Relationship Id="rId148" Type="http://schemas.openxmlformats.org/officeDocument/2006/relationships/hyperlink" Target="https://www.sec.gov/Archives/edgar/data/1437402/000119312516764653/d276142dex994.htm" TargetMode="External"/><Relationship Id="rId149" Type="http://schemas.openxmlformats.org/officeDocument/2006/relationships/hyperlink" Target="https://www.sec.gov/Archives/edgar/data/1437402/000119312515250831/d44646dex991.htm" TargetMode="External"/><Relationship Id="rId150" Type="http://schemas.openxmlformats.org/officeDocument/2006/relationships/hyperlink" Target="https://www.sec.gov/Archives/edgar/data/1437402/000119312516675135/d201246dex102.htm" TargetMode="External"/><Relationship Id="rId151" Type="http://schemas.openxmlformats.org/officeDocument/2006/relationships/hyperlink" Target="https://www.sec.gov/Archives/edgar/data/1437402/000119312514229371/d704770dex107.htm" TargetMode="External"/><Relationship Id="rId152" Type="http://schemas.openxmlformats.org/officeDocument/2006/relationships/hyperlink" Target="https://www.sec.gov/Archives/edgar/data/1437402/000119312514229371/d704770dex108.htm" TargetMode="External"/><Relationship Id="rId153" Type="http://schemas.openxmlformats.org/officeDocument/2006/relationships/hyperlink" Target="https://www.sec.gov/Archives/edgar/data/1437402/000119312514229371/d704770dex1013.htm" TargetMode="External"/><Relationship Id="rId154" Type="http://schemas.openxmlformats.org/officeDocument/2006/relationships/hyperlink" Target="https://www.sec.gov/Archives/edgar/data/1437402/000155837018004307/ardx-20180331ex101b83033.htm" TargetMode="External"/><Relationship Id="rId155" Type="http://schemas.openxmlformats.org/officeDocument/2006/relationships/hyperlink" Target="https://www.sec.gov/Archives/edgar/data/1437402/000162828022004226/amendmentnumberone_drosenb.htm" TargetMode="External"/><Relationship Id="rId156" Type="http://schemas.openxmlformats.org/officeDocument/2006/relationships/hyperlink" Target="https://www.sec.gov/Archives/edgar/data/1437402/000119312514229371/d704770dex1014.htm" TargetMode="External"/><Relationship Id="rId157" Type="http://schemas.openxmlformats.org/officeDocument/2006/relationships/hyperlink" Target="https://www.sec.gov/Archives/edgar/data/1437402/000155837018004307/ardx-20180331ex100e97155.htm" TargetMode="External"/><Relationship Id="rId158" Type="http://schemas.openxmlformats.org/officeDocument/2006/relationships/hyperlink" Target="https://www.sec.gov/Archives/edgar/data/1437402/000155837020009636/ardx-20200630xex10d1.htm" TargetMode="External"/><Relationship Id="rId159" Type="http://schemas.openxmlformats.org/officeDocument/2006/relationships/hyperlink" Target="https://www.sec.gov/Archives/edgar/data/1437402/000155837020009636/ardx-20200630xex10d2.htm" TargetMode="External"/><Relationship Id="rId160" Type="http://schemas.openxmlformats.org/officeDocument/2006/relationships/hyperlink" Target="https://www.sec.gov/Archives/edgar/data/1437402/000155837020009636/ardx-20200630xex10d3.htm" TargetMode="External"/><Relationship Id="rId161" Type="http://schemas.openxmlformats.org/officeDocument/2006/relationships/hyperlink" Target="https://www.sec.gov/Archives/edgar/data/1437402/000155837020009636/ardx-20200630xex10d4.htm" TargetMode="External"/><Relationship Id="rId162" Type="http://schemas.openxmlformats.org/officeDocument/2006/relationships/hyperlink" Target="https://www.sec.gov/Archives/edgar/data/1437402/000162828022021047/secondamendedandrestatedno.htm" TargetMode="External"/><Relationship Id="rId163" Type="http://schemas.openxmlformats.org/officeDocument/2006/relationships/hyperlink" Target="https://www.sec.gov/Archives/edgar/data/1437402/000162828024006393/thirdamendedandrestatednon.htm" TargetMode="External"/><Relationship Id="rId164" Type="http://schemas.openxmlformats.org/officeDocument/2006/relationships/hyperlink" Target="https://www.sec.gov/Archives/edgar/data/1437402/000162828024019990/mkelliherofferletterfeb132.htm" TargetMode="External"/><Relationship Id="rId165" Type="http://schemas.openxmlformats.org/officeDocument/2006/relationships/hyperlink" Target="https://www.sec.gov/Archives/edgar/data/1437402/000162828024044551/exhibit106-xericfosteroffe.htm" TargetMode="External"/><Relationship Id="rId166" Type="http://schemas.openxmlformats.org/officeDocument/2006/relationships/hyperlink" Target="https://www.sec.gov/Archives/edgar/data/1437402/000162828024036749/exhibit101-xardelyxcatalen.htm" TargetMode="External"/><Relationship Id="rId167" Type="http://schemas.openxmlformats.org/officeDocument/2006/relationships/hyperlink" Target="https://www.sec.gov/Archives/edgar/data/1437402/000162828024044551/exhibit102-xhovionecommerc.htm" TargetMode="External"/><Relationship Id="rId171" Type="http://schemas.openxmlformats.org/officeDocument/2006/relationships/hyperlink" Target="https://www.sec.gov/Archives/edgar/data/1437402/000155837018002056/ardx-20171231ex10353fabf.htm" TargetMode="External"/><Relationship Id="rId172" Type="http://schemas.openxmlformats.org/officeDocument/2006/relationships/hyperlink" Target="https://www.sec.gov/Archives/edgar/data/1437402/000162828023006041/kyowakirincoltdfkakyowahak.htm" TargetMode="External"/><Relationship Id="rId173" Type="http://schemas.openxmlformats.org/officeDocument/2006/relationships/hyperlink" Target="https://www.sec.gov/Archives/edgar/data/1437402/000162828022008924/a2ndamendmenttokkc-ardxlic.htm" TargetMode="External"/><Relationship Id="rId174" Type="http://schemas.openxmlformats.org/officeDocument/2006/relationships/hyperlink" Target="https://www.sec.gov/Archives/edgar/data/1437402/000155837018002056/ardx-20171231ex103695c56.htm" TargetMode="External"/><Relationship Id="rId175" Type="http://schemas.openxmlformats.org/officeDocument/2006/relationships/hyperlink" Target="https://www.sec.gov/Archives/edgar/data/1437402/000162828022021047/hcr-ardelyxxroyaltyandmile.htm" TargetMode="External"/><Relationship Id="rId176" Type="http://schemas.openxmlformats.org/officeDocument/2006/relationships/hyperlink" Target="https://www.sec.gov/Archives/edgar/data/1437402/000162828022012630/slrloanandsecurityagreemen.htm" TargetMode="External"/><Relationship Id="rId177" Type="http://schemas.openxmlformats.org/officeDocument/2006/relationships/hyperlink" Target="https://www.sec.gov/Archives/edgar/data/1437402/000162828022021047/slr-ardelyxxfirstamendment.htm" TargetMode="External"/><Relationship Id="rId178" Type="http://schemas.openxmlformats.org/officeDocument/2006/relationships/hyperlink" Target="https://www.sec.gov/Archives/edgar/data/1437402/000162828023006041/slr-ardelyxxsecondamendmen.htm" TargetMode="External"/><Relationship Id="rId179" Type="http://schemas.openxmlformats.org/officeDocument/2006/relationships/hyperlink" Target="https://www.sec.gov/Archives/edgar/data/1437402/000162828023034587/ardelyx-thirdamendmenttolo.htm" TargetMode="External"/><Relationship Id="rId180" Type="http://schemas.openxmlformats.org/officeDocument/2006/relationships/hyperlink" Target="https://www.sec.gov/Archives/edgar/data/1437402/000162828024044551/exhibit105-xardelyxxfourth.htm" TargetMode="External"/><Relationship Id="rId181" Type="http://schemas.openxmlformats.org/officeDocument/2006/relationships/hyperlink" Target="https://www.sec.gov/Archives/edgar/data/1437402/000162828022012630/slrexitfeeagreement-ex102.htm" TargetMode="External"/><Relationship Id="rId182" Type="http://schemas.openxmlformats.org/officeDocument/2006/relationships/hyperlink" Target="https://www.sec.gov/Archives/edgar/data/1437402/000155837018006606/ardx-20180630ex102467e2d.htm" TargetMode="External"/><Relationship Id="rId183" Type="http://schemas.openxmlformats.org/officeDocument/2006/relationships/hyperlink" Target="https://www.sec.gov/Archives/edgar/data/1437402/000155837020009636/ardx-20200630xex10d5.htm" TargetMode="External"/><Relationship Id="rId184" Type="http://schemas.openxmlformats.org/officeDocument/2006/relationships/hyperlink" Target="https://www.sec.gov/Archives/edgar/data/1437402/000162828023006041/ardelyx_psgxmsaamendment1.htm" TargetMode="External"/><Relationship Id="rId185" Type="http://schemas.openxmlformats.org/officeDocument/2006/relationships/hyperlink" Target="https://www.sec.gov/Archives/edgar/data/1437402/000119312523010411/d429337dex12.htm" TargetMode="External"/><Relationship Id="rId186" Type="http://schemas.openxmlformats.org/officeDocument/2006/relationships/hyperlink" Target="https://www.sec.gov/Archives/edgar/data/1437402/000162828024006393/policyforrecoveryoferrone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2025-02-20T11:21:41Z</dcterms:created>
  <dcterms:modified xsi:type="dcterms:W3CDTF">2025-02-20T11:21:41Z</dcterms:modified>
</cp:coreProperties>
</file>