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8"/>
              </w:rPr>
              <w:t>34175 ARDENWOOD BLVD., FREMONT, CALIFORNIA 94555</w:t>
            </w:r>
          </w:p>
        </w:tc>
        <w:tc>
          <w:tcPr>
            <w:tcW w:w="2740" w:type="dxa"/>
            <w:vAlign w:val="bottom"/>
          </w:tcPr>
          <w:p>
            <w:pPr>
              <w:spacing w:after="0"/>
              <w:rPr>
                <w:sz w:val="24"/>
                <w:szCs w:val="24"/>
                <w:color w:val="auto"/>
              </w:rPr>
            </w:pPr>
          </w:p>
        </w:tc>
      </w:tr>
      <w:tr>
        <w:trPr>
          <w:trHeight w:val="212"/>
        </w:trPr>
        <w:tc>
          <w:tcPr>
            <w:tcW w:w="28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18"/>
                <w:szCs w:val="18"/>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July 29, 2021, Ardelyx, Inc. (the “Company”) entered into that certain Fourth Amendment to Loan and Security Agreement (the “Amendment”), which amended that certain Loan and Security Agreement, dated as of May 16, 2018 (as amended, restated or modified from time to time, including by that certain First Amendment to Loan and Security Agreement, dated as of October 9, 2020, that certain Second Amendment to Loan and Security Agreement, dated as of March 1, 2021, and that certain Third Amendment to Loan and Security Agreement, dated as of May 5, 2021, the “Loan and Security Agreement”) among the Company, Solar Capital Ltd. and the lenders party thereto, by extending the period of time that the Company is permitted to make interest-only payments on the term loan facility under the Loan Agreement to November 1, 2021. Without such extension, following the July 28, 2021 issuance by the U.S. Food and Drug Administration (“FDA”) of a complete response letter (“CRL”) for tenapanor for the control of serum phosphorus in adult patients with chronic kidney disease (“CKD”) on dialysis, the interest only period had been set at August 1, 2021.</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above summaries of the material terms of the Amendment do not purport to be complete and are qualified in their entirety by reference to the Amendment, a copy of which is filed as Exhibit 10.1, respectively, to this Current Report on Form 8-K and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July 29, 2021, the Company announced that it received a complete response letter (“CRL”) from the U.S. Food and Drug Administration (the “FDA”) on July 28, 2021 regarding the Company’s New Drug Application (“NDA”) for the control of serum phosphorus in chronic kidney disease (“CKD”) patients on dialysis. According to the CRL, while the FDA agrees “that the submitted data provide substantial evidence that tenapanor is effective in reducing serum phosphorus in CKD patients on dialysis,” the Agency characterizes the magnitude of the treatment effect as “small and of unclear clinical significance.” Additionally, the FDA noted that for the application to be approved, Ardelyx will need “to conduct an additional adequate and well-controlled trial demonstrating a clinically relevant treatment effect on serum phosphorus or an effect on the clinical outcome thought to be caused by hyperphosphatemia in CKD patients on dialysis.” There were no safety, clinical pharmacology/biopharmaceutics, chemistry, manufacturing, and controls or non-clinical issues identified in the CRL.</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intends to request a Type A meeting as soon as possible to discuss the CRL and determine potential paths forward for the approval of tenapanor for the control of serum phosphorus in adult patients with CKD on dialysis.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Exhibit</w:t>
      </w:r>
    </w:p>
    <w:p>
      <w:pPr>
        <w:ind w:left="320"/>
        <w:spacing w:after="0"/>
        <w:tabs>
          <w:tab w:leader="none" w:pos="10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14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14" w:lineRule="exact"/>
        <w:rPr>
          <w:sz w:val="20"/>
          <w:szCs w:val="20"/>
          <w:color w:val="auto"/>
        </w:rPr>
      </w:pPr>
    </w:p>
    <w:p>
      <w:pPr>
        <w:ind w:left="1100" w:right="1600" w:hanging="1065"/>
        <w:spacing w:after="0" w:line="277"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FF"/>
          </w:rPr>
          <w:t>Fourth Amendment to the Loan and Security Agreement, dated as of July 29, 2021, by and among Ardelyx, Inc., Solar</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Capital Ltd. and the lenders party thereto.</w:t>
        </w:r>
      </w:hyperlink>
    </w:p>
    <w:p>
      <w:pPr>
        <w:spacing w:after="0" w:line="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Legal and Administrative Officer</w:t>
      </w:r>
    </w:p>
    <w:p>
      <w:pPr>
        <w:sectPr>
          <w:pgSz w:w="11900" w:h="16838" w:orient="portrait"/>
          <w:cols w:equalWidth="0" w:num="1">
            <w:col w:w="11220"/>
          </w:cols>
          <w:pgMar w:left="320" w:top="1147" w:right="359" w:bottom="1440" w:gutter="0" w:footer="0" w:header="0"/>
        </w:sectPr>
      </w:pPr>
    </w:p>
    <w:bookmarkStart w:id="3" w:name="page4"/>
    <w:bookmarkEnd w:id="3"/>
    <w:p>
      <w:pPr>
        <w:spacing w:after="0" w:line="27"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FOURTH AMENDMENT TO LOAN AND SECURITY AGREEMENT</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THIS FOURTH AMENDMENT TO LOAN AND SECURITY AGREEMENT </w:t>
      </w:r>
      <w:r>
        <w:rPr>
          <w:rFonts w:ascii="Arial" w:cs="Arial" w:eastAsia="Arial" w:hAnsi="Arial"/>
          <w:sz w:val="20"/>
          <w:szCs w:val="20"/>
          <w:color w:val="auto"/>
        </w:rPr>
        <w:t>(this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w:t>
      </w:r>
      <w:r>
        <w:rPr>
          <w:rFonts w:ascii="Arial" w:cs="Arial" w:eastAsia="Arial" w:hAnsi="Arial"/>
          <w:sz w:val="20"/>
          <w:szCs w:val="20"/>
          <w:color w:val="auto"/>
        </w:rPr>
        <w:t>”), dated as of July 29, 2021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is made by and among Ardelyx, Inc.,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SLR Investment Corp., a Maryland corporation and formerly known as Solar Capital Ltd. (“</w:t>
      </w:r>
      <w:r>
        <w:rPr>
          <w:rFonts w:ascii="Arial" w:cs="Arial" w:eastAsia="Arial" w:hAnsi="Arial"/>
          <w:sz w:val="20"/>
          <w:szCs w:val="20"/>
          <w:b w:val="1"/>
          <w:bCs w:val="1"/>
          <w:color w:val="auto"/>
        </w:rPr>
        <w:t>Solar</w:t>
      </w:r>
      <w:r>
        <w:rPr>
          <w:rFonts w:ascii="Arial" w:cs="Arial" w:eastAsia="Arial" w:hAnsi="Arial"/>
          <w:sz w:val="20"/>
          <w:szCs w:val="20"/>
          <w:color w:val="auto"/>
        </w:rPr>
        <w:t>”), in its capacity as collateral agent for Lenders (in such capacity, together with its successors and assigns in such capacity, “</w:t>
      </w:r>
      <w:r>
        <w:rPr>
          <w:rFonts w:ascii="Arial" w:cs="Arial" w:eastAsia="Arial" w:hAnsi="Arial"/>
          <w:sz w:val="20"/>
          <w:szCs w:val="20"/>
          <w:b w:val="1"/>
          <w:bCs w:val="1"/>
          <w:color w:val="auto"/>
        </w:rPr>
        <w:t>Collateral Agent</w:t>
      </w:r>
      <w:r>
        <w:rPr>
          <w:rFonts w:ascii="Arial" w:cs="Arial" w:eastAsia="Arial" w:hAnsi="Arial"/>
          <w:sz w:val="20"/>
          <w:szCs w:val="20"/>
          <w:color w:val="auto"/>
        </w:rPr>
        <w:t>”), and the Lenders listed on Schedule 1.1 of the Loan and Security Agreement (as defined below) or otherwise a party hereto from time to time including Solar in its capacity as a Lender and Western Alliance Bank, an Arizona corporation, as a Lender (each a “</w:t>
      </w:r>
      <w:r>
        <w:rPr>
          <w:rFonts w:ascii="Arial" w:cs="Arial" w:eastAsia="Arial" w:hAnsi="Arial"/>
          <w:sz w:val="20"/>
          <w:szCs w:val="20"/>
          <w:b w:val="1"/>
          <w:b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Borrower, the Lenders and Collateral Agent are parties to a Loan and Security Agreement dated as of May 16, 2018 (as amended, restated or modified from time to time, including by that certain First Amendment to Loan and Security Agreement, dated as of October 9, 2020, that certain Second Amendment to Loan and Security Agreement, dated as of March 1, 2021, and that certain Third Amendment to Loan and Security Agreement, dated as of May 5, 2021, the “</w:t>
      </w:r>
      <w:r>
        <w:rPr>
          <w:rFonts w:ascii="Arial" w:cs="Arial" w:eastAsia="Arial" w:hAnsi="Arial"/>
          <w:sz w:val="20"/>
          <w:szCs w:val="20"/>
          <w:b w:val="1"/>
          <w:bCs w:val="1"/>
          <w:color w:val="auto"/>
        </w:rPr>
        <w:t>Loan and Security Agreement</w:t>
      </w:r>
      <w:r>
        <w:rPr>
          <w:rFonts w:ascii="Arial" w:cs="Arial" w:eastAsia="Arial" w:hAnsi="Arial"/>
          <w:sz w:val="20"/>
          <w:szCs w:val="20"/>
          <w:color w:val="auto"/>
        </w:rPr>
        <w:t>”). The Borrower has requested that the Lenders agree to certain amendments to the Loan and Security Agreement. The Lenders have agreed to such request, subject to the terms and conditions hereof.</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Accordingly, the parties hereto agree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9"/>
          <w:szCs w:val="19"/>
          <w:b w:val="1"/>
          <w:bCs w:val="1"/>
          <w:color w:val="auto"/>
        </w:rPr>
        <w:t>Definitions; Interpretation.</w:t>
      </w:r>
    </w:p>
    <w:p>
      <w:pPr>
        <w:spacing w:after="0" w:line="254" w:lineRule="exact"/>
        <w:rPr>
          <w:sz w:val="20"/>
          <w:szCs w:val="20"/>
          <w:color w:val="auto"/>
        </w:rPr>
      </w:pPr>
    </w:p>
    <w:p>
      <w:pPr>
        <w:ind w:firstLine="646"/>
        <w:spacing w:after="0" w:line="293" w:lineRule="auto"/>
        <w:tabs>
          <w:tab w:leader="none" w:pos="1205"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Terms Defined in Loan and Security Agreement</w:t>
      </w:r>
      <w:r>
        <w:rPr>
          <w:rFonts w:ascii="Arial" w:cs="Arial" w:eastAsia="Arial" w:hAnsi="Arial"/>
          <w:sz w:val="19"/>
          <w:szCs w:val="19"/>
          <w:color w:val="auto"/>
        </w:rPr>
        <w:t>. All capitalized terms used in this Amendment (including in the recitals</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not otherwise defined herein shall have the meanings assigned to them in the Loan and Security Agreement.</w:t>
      </w:r>
    </w:p>
    <w:p>
      <w:pPr>
        <w:spacing w:after="0" w:line="168" w:lineRule="exact"/>
        <w:rPr>
          <w:rFonts w:ascii="Arial" w:cs="Arial" w:eastAsia="Arial" w:hAnsi="Arial"/>
          <w:sz w:val="19"/>
          <w:szCs w:val="19"/>
          <w:color w:val="auto"/>
        </w:rPr>
      </w:pPr>
    </w:p>
    <w:p>
      <w:pPr>
        <w:ind w:right="20" w:firstLine="646"/>
        <w:spacing w:after="0" w:line="267" w:lineRule="auto"/>
        <w:tabs>
          <w:tab w:leader="none" w:pos="1203"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Interpretation</w:t>
      </w:r>
      <w:r>
        <w:rPr>
          <w:rFonts w:ascii="Arial" w:cs="Arial" w:eastAsia="Arial" w:hAnsi="Arial"/>
          <w:sz w:val="20"/>
          <w:szCs w:val="20"/>
          <w:color w:val="auto"/>
        </w:rPr>
        <w:t>. The rules of interpretation set forth in Section 1.1 of the Loan and Security Agreement shall be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Amendment and are incorporated herein by this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9"/>
          <w:szCs w:val="19"/>
          <w:b w:val="1"/>
          <w:bCs w:val="1"/>
          <w:color w:val="auto"/>
        </w:rPr>
        <w:t>Amendments to the Loan and Security Agreement.</w:t>
      </w:r>
    </w:p>
    <w:p>
      <w:pPr>
        <w:spacing w:after="0" w:line="274" w:lineRule="exact"/>
        <w:rPr>
          <w:sz w:val="20"/>
          <w:szCs w:val="20"/>
          <w:color w:val="auto"/>
        </w:rPr>
      </w:pPr>
    </w:p>
    <w:p>
      <w:pPr>
        <w:ind w:left="1200" w:hanging="55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Loan and Security Agreement shall be amended as follows effective as of the Amendment Effective Date:</w:t>
      </w:r>
    </w:p>
    <w:p>
      <w:pPr>
        <w:spacing w:after="0" w:line="324" w:lineRule="exact"/>
        <w:rPr>
          <w:sz w:val="20"/>
          <w:szCs w:val="20"/>
          <w:color w:val="auto"/>
        </w:rPr>
      </w:pPr>
    </w:p>
    <w:p>
      <w:pPr>
        <w:ind w:left="1940" w:hanging="646"/>
        <w:spacing w:after="0"/>
        <w:tabs>
          <w:tab w:leader="none" w:pos="1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Section 2.2(b)(ii) of the Loan and Security Agreement is amended and restated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308" w:lineRule="exact"/>
        <w:rPr>
          <w:sz w:val="20"/>
          <w:szCs w:val="20"/>
          <w:color w:val="auto"/>
        </w:rPr>
      </w:pPr>
    </w:p>
    <w:p>
      <w:pPr>
        <w:jc w:val="both"/>
        <w:ind w:left="640" w:right="660" w:firstLine="648"/>
        <w:spacing w:after="0" w:line="278" w:lineRule="auto"/>
        <w:rPr>
          <w:sz w:val="20"/>
          <w:szCs w:val="20"/>
          <w:color w:val="auto"/>
        </w:rPr>
      </w:pPr>
      <w:r>
        <w:rPr>
          <w:rFonts w:ascii="Arial" w:cs="Arial" w:eastAsia="Arial" w:hAnsi="Arial"/>
          <w:sz w:val="18"/>
          <w:szCs w:val="18"/>
          <w:color w:val="auto"/>
        </w:rPr>
        <w:t>“(ii) Commencing on the Amortization Date, and continuing on the Payment Date of each month thereafter, Borrower shall (i) make monthly payments of interest to the respective Lender to which such payments are owed in accordance with their respective Pro Rata Shares, as calculated by Collateral Agent (which calculations shall be deemed correct absent manifest error) based upon the effective rate of interest applicable to the Term Loan, as determined in Section 2.3(a) plus (ii) make consecutive equal monthly payments of principal to the respective Lender to which</w:t>
      </w:r>
    </w:p>
    <w:p>
      <w:pPr>
        <w:sectPr>
          <w:pgSz w:w="11900" w:h="16838" w:orient="portrait"/>
          <w:cols w:equalWidth="0" w:num="1">
            <w:col w:w="11040"/>
          </w:cols>
          <w:pgMar w:left="420" w:top="1440" w:right="439" w:bottom="1440" w:gutter="0" w:footer="0" w:header="0"/>
        </w:sectPr>
      </w:pPr>
    </w:p>
    <w:bookmarkStart w:id="4" w:name="page5"/>
    <w:bookmarkEnd w:id="4"/>
    <w:p>
      <w:pPr>
        <w:spacing w:after="0" w:line="60" w:lineRule="exact"/>
        <w:rPr>
          <w:sz w:val="20"/>
          <w:szCs w:val="20"/>
          <w:color w:val="auto"/>
        </w:rPr>
      </w:pPr>
    </w:p>
    <w:p>
      <w:pPr>
        <w:jc w:val="both"/>
        <w:ind w:left="640" w:right="660"/>
        <w:spacing w:after="0" w:line="256" w:lineRule="auto"/>
        <w:rPr>
          <w:sz w:val="20"/>
          <w:szCs w:val="20"/>
          <w:color w:val="auto"/>
        </w:rPr>
      </w:pPr>
      <w:r>
        <w:rPr>
          <w:rFonts w:ascii="Arial" w:cs="Arial" w:eastAsia="Arial" w:hAnsi="Arial"/>
          <w:sz w:val="19"/>
          <w:szCs w:val="19"/>
          <w:color w:val="auto"/>
        </w:rPr>
        <w:t>such payments are owed in accordance with their respective Pro Rata Shares, as calculated by Collateral Agent (which calculations shall be deemed correct absent manifest error) based upon: (A) the respective principal amounts of such Lender’s Term Loan outstanding less the additional principal payment (if any) pursuant to the proviso at the end of this sentence, and (B) a repayment schedule equal to the number of months from (and including) the Amortization Date through (and including) the Maturity Date; provided, however, if the Amortization date is November 1, 2021, Borrower shall make an additional principal payment to Lenders on such date in an amount equal to $13,888,888.89, without any Prepayment Premium in respect of such additional principal payment. All unpaid principal and accrued and unpaid interest with respect to each such Term Loan is due and payable in full on the Maturity Date. The Term Loan may only be prepaid in accordance with Sections 2.2(c) and 2.2(d).”</w:t>
      </w:r>
    </w:p>
    <w:p>
      <w:pPr>
        <w:spacing w:after="0" w:line="225" w:lineRule="exact"/>
        <w:rPr>
          <w:sz w:val="20"/>
          <w:szCs w:val="20"/>
          <w:color w:val="auto"/>
        </w:rPr>
      </w:pPr>
    </w:p>
    <w:p>
      <w:pPr>
        <w:ind w:left="1840" w:hanging="546"/>
        <w:spacing w:after="0"/>
        <w:tabs>
          <w:tab w:leader="none" w:pos="18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defined term “Amortization Date” is hereby amended and restated in its entirety as follows:</w:t>
      </w:r>
    </w:p>
    <w:p>
      <w:pPr>
        <w:spacing w:after="0" w:line="237" w:lineRule="exact"/>
        <w:rPr>
          <w:sz w:val="20"/>
          <w:szCs w:val="20"/>
          <w:color w:val="auto"/>
        </w:rPr>
      </w:pPr>
    </w:p>
    <w:p>
      <w:pPr>
        <w:jc w:val="both"/>
        <w:ind w:left="640" w:right="66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means December 1, 2021; provided, however, if the FDA does not approve the Borrower’s New Drug Application for tenapanor for control of serum phosphorus in adult chronic kidney disease patients (CKD) on dialysis on or before October 25, 2021, subject to reasonable verification by Collateral Agent (including supporting documentation reasonably requested by Collateral Agent), then the Amortization Date shall mean November 1, 2021.</w:t>
      </w:r>
    </w:p>
    <w:p>
      <w:pPr>
        <w:spacing w:after="0" w:line="191" w:lineRule="exact"/>
        <w:rPr>
          <w:sz w:val="20"/>
          <w:szCs w:val="20"/>
          <w:color w:val="auto"/>
        </w:rPr>
      </w:pPr>
    </w:p>
    <w:p>
      <w:pPr>
        <w:jc w:val="both"/>
        <w:ind w:firstLine="646"/>
        <w:spacing w:after="0" w:line="253" w:lineRule="auto"/>
        <w:tabs>
          <w:tab w:leader="none" w:pos="1203"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References Within Loan and Security Agreement</w:t>
      </w:r>
      <w:r>
        <w:rPr>
          <w:rFonts w:ascii="Arial" w:cs="Arial" w:eastAsia="Arial" w:hAnsi="Arial"/>
          <w:sz w:val="20"/>
          <w:szCs w:val="20"/>
          <w:color w:val="auto"/>
        </w:rPr>
        <w:t>. Each reference in the Loan and Security Agreement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words “hereof,” “herein,” “hereunder,” or words of like import, shall mean and be a reference to the Loan and Security Agreement as amended by this Amendment.</w:t>
      </w:r>
    </w:p>
    <w:p>
      <w:pPr>
        <w:spacing w:after="0" w:line="20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9"/>
          <w:szCs w:val="19"/>
          <w:b w:val="1"/>
          <w:bCs w:val="1"/>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9"/>
          <w:szCs w:val="19"/>
          <w:color w:val="auto"/>
        </w:rPr>
        <w:t>The effectiveness of</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9"/>
          <w:szCs w:val="19"/>
          <w:color w:val="auto"/>
        </w:rPr>
        <w:t>of this Amendment shall be subject to the satisfaction of each</w:t>
      </w:r>
      <w:r>
        <w:rPr>
          <w:rFonts w:ascii="Arial" w:cs="Arial" w:eastAsia="Arial" w:hAnsi="Arial"/>
          <w:sz w:val="18"/>
          <w:szCs w:val="18"/>
          <w:b w:val="1"/>
          <w:bCs w:val="1"/>
          <w:color w:val="auto"/>
        </w:rPr>
        <w:t xml:space="preserve"> </w:t>
      </w:r>
      <w:r>
        <w:rPr>
          <w:rFonts w:ascii="Arial" w:cs="Arial" w:eastAsia="Arial" w:hAnsi="Arial"/>
          <w:sz w:val="19"/>
          <w:szCs w:val="19"/>
          <w:color w:val="auto"/>
        </w:rPr>
        <w:t>of the following conditions precedent:</w:t>
      </w:r>
    </w:p>
    <w:p>
      <w:pPr>
        <w:spacing w:after="0" w:line="182" w:lineRule="exact"/>
        <w:rPr>
          <w:sz w:val="20"/>
          <w:szCs w:val="20"/>
          <w:color w:val="auto"/>
        </w:rPr>
      </w:pPr>
    </w:p>
    <w:p>
      <w:pPr>
        <w:jc w:val="both"/>
        <w:ind w:firstLine="646"/>
        <w:spacing w:after="0" w:line="253" w:lineRule="auto"/>
        <w:tabs>
          <w:tab w:leader="none" w:pos="1205"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Fees and Expenses</w:t>
      </w:r>
      <w:r>
        <w:rPr>
          <w:rFonts w:ascii="Arial" w:cs="Arial" w:eastAsia="Arial" w:hAnsi="Arial"/>
          <w:sz w:val="20"/>
          <w:szCs w:val="20"/>
          <w:color w:val="auto"/>
        </w:rPr>
        <w:t>. The Borrower shall have paid (i) an amendment fee of Fifty Thousand Dollars ($50,000) to be shared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the Lenders seventy percent (70%) to Solar and thirty percent (30%) to Western Alliance Bank, and (ii) all invoiced costs and expenses then due in accordance with </w:t>
      </w:r>
      <w:r>
        <w:rPr>
          <w:rFonts w:ascii="Arial" w:cs="Arial" w:eastAsia="Arial" w:hAnsi="Arial"/>
          <w:sz w:val="20"/>
          <w:szCs w:val="20"/>
          <w:u w:val="single" w:color="auto"/>
          <w:color w:val="auto"/>
        </w:rPr>
        <w:t>Section 5(e)</w:t>
      </w:r>
      <w:r>
        <w:rPr>
          <w:rFonts w:ascii="Arial" w:cs="Arial" w:eastAsia="Arial" w:hAnsi="Arial"/>
          <w:sz w:val="20"/>
          <w:szCs w:val="20"/>
          <w:color w:val="auto"/>
        </w:rPr>
        <w:t>.</w:t>
      </w:r>
    </w:p>
    <w:p>
      <w:pPr>
        <w:spacing w:after="0" w:line="285" w:lineRule="exact"/>
        <w:rPr>
          <w:rFonts w:ascii="Arial" w:cs="Arial" w:eastAsia="Arial" w:hAnsi="Arial"/>
          <w:sz w:val="20"/>
          <w:szCs w:val="20"/>
          <w:color w:val="auto"/>
        </w:rPr>
      </w:pPr>
    </w:p>
    <w:p>
      <w:pPr>
        <w:ind w:left="1200" w:hanging="554"/>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This Amendment</w:t>
      </w:r>
      <w:r>
        <w:rPr>
          <w:rFonts w:ascii="Arial" w:cs="Arial" w:eastAsia="Arial" w:hAnsi="Arial"/>
          <w:sz w:val="18"/>
          <w:szCs w:val="18"/>
          <w:color w:val="auto"/>
        </w:rPr>
        <w:t>. Collateral Agent shall have received this Amendment, executed by Collateral Agent, the Lenders and</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Borrower.</w:t>
      </w:r>
    </w:p>
    <w:p>
      <w:pPr>
        <w:spacing w:after="0" w:line="220" w:lineRule="exact"/>
        <w:rPr>
          <w:rFonts w:ascii="Arial" w:cs="Arial" w:eastAsia="Arial" w:hAnsi="Arial"/>
          <w:sz w:val="18"/>
          <w:szCs w:val="18"/>
          <w:color w:val="auto"/>
        </w:rPr>
      </w:pPr>
    </w:p>
    <w:p>
      <w:pPr>
        <w:ind w:right="20" w:firstLine="646"/>
        <w:spacing w:after="0" w:line="267" w:lineRule="auto"/>
        <w:tabs>
          <w:tab w:leader="none" w:pos="1205"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 No Default</w:t>
      </w:r>
      <w:r>
        <w:rPr>
          <w:rFonts w:ascii="Arial" w:cs="Arial" w:eastAsia="Arial" w:hAnsi="Arial"/>
          <w:sz w:val="20"/>
          <w:szCs w:val="20"/>
          <w:color w:val="auto"/>
        </w:rPr>
        <w:t>. On the Amendment Effective Date, after giving effect to the amendment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and Security Agreement contemplated hereby:</w:t>
      </w:r>
    </w:p>
    <w:p>
      <w:pPr>
        <w:spacing w:after="0" w:line="209" w:lineRule="exact"/>
        <w:rPr>
          <w:rFonts w:ascii="Arial" w:cs="Arial" w:eastAsia="Arial" w:hAnsi="Arial"/>
          <w:sz w:val="20"/>
          <w:szCs w:val="20"/>
          <w:color w:val="auto"/>
        </w:rPr>
      </w:pPr>
    </w:p>
    <w:p>
      <w:pPr>
        <w:ind w:firstLine="1294"/>
        <w:spacing w:after="0" w:line="260" w:lineRule="auto"/>
        <w:tabs>
          <w:tab w:leader="none" w:pos="1847" w:val="left"/>
        </w:tabs>
        <w:numPr>
          <w:ilvl w:val="1"/>
          <w:numId w:val="7"/>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shall be true and correct in all material respects on and as of the Amendment Effective Date as though made on and as of such date; and</w:t>
      </w:r>
    </w:p>
    <w:p>
      <w:pPr>
        <w:spacing w:after="0" w:line="203" w:lineRule="exact"/>
        <w:rPr>
          <w:rFonts w:ascii="Arial" w:cs="Arial" w:eastAsia="Arial" w:hAnsi="Arial"/>
          <w:sz w:val="20"/>
          <w:szCs w:val="20"/>
          <w:color w:val="auto"/>
        </w:rPr>
      </w:pPr>
    </w:p>
    <w:p>
      <w:pPr>
        <w:ind w:left="1940" w:hanging="646"/>
        <w:spacing w:after="0"/>
        <w:tabs>
          <w:tab w:leader="none" w:pos="194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There exist no Events of Default.</w:t>
      </w:r>
    </w:p>
    <w:p>
      <w:pPr>
        <w:spacing w:after="0" w:line="250"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To induce the Lenders to enter into this Amendment, the Borrower hereby confirms, as of</w:t>
      </w:r>
      <w:r>
        <w:rPr>
          <w:rFonts w:ascii="Arial" w:cs="Arial" w:eastAsia="Arial" w:hAnsi="Arial"/>
          <w:sz w:val="18"/>
          <w:szCs w:val="18"/>
          <w:b w:val="1"/>
          <w:bCs w:val="1"/>
          <w:color w:val="auto"/>
        </w:rPr>
        <w:t xml:space="preserve"> </w:t>
      </w:r>
      <w:r>
        <w:rPr>
          <w:rFonts w:ascii="Arial" w:cs="Arial" w:eastAsia="Arial" w:hAnsi="Arial"/>
          <w:sz w:val="19"/>
          <w:szCs w:val="19"/>
          <w:color w:val="auto"/>
        </w:rPr>
        <w:t>the date hereof, (a) that the representations and warranties made by</w:t>
      </w:r>
    </w:p>
    <w:p>
      <w:pPr>
        <w:sectPr>
          <w:pgSz w:w="11900" w:h="16838" w:orient="portrait"/>
          <w:cols w:equalWidth="0" w:num="1">
            <w:col w:w="11040"/>
          </w:cols>
          <w:pgMar w:left="420" w:top="1440" w:right="4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8"/>
          <w:szCs w:val="18"/>
          <w:color w:val="auto"/>
        </w:rPr>
        <w:t xml:space="preserve">it in Section 5 of the Loan and Security Agreement and in the other Loan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materiality qualifier shall not be applicable to any representations and warranties that already are qualified or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materiality in the text thereof; (b) that there has not been and there does not exist a Material Adverse Change; and (c) that the information included in the Perfection Certificate most recently delivered to Collateral Agent pursuant to Section 6.2(a)(xiv) of the Loan Agreement remains true and correct in all material respects. For the purposes of this </w:t>
      </w:r>
      <w:r>
        <w:rPr>
          <w:rFonts w:ascii="Arial" w:cs="Arial" w:eastAsia="Arial" w:hAnsi="Arial"/>
          <w:sz w:val="18"/>
          <w:szCs w:val="18"/>
          <w:u w:val="single" w:color="auto"/>
          <w:color w:val="auto"/>
        </w:rPr>
        <w:t>Section 4</w:t>
      </w:r>
      <w:r>
        <w:rPr>
          <w:rFonts w:ascii="Arial" w:cs="Arial" w:eastAsia="Arial" w:hAnsi="Arial"/>
          <w:sz w:val="18"/>
          <w:szCs w:val="18"/>
          <w:color w:val="auto"/>
        </w:rPr>
        <w:t>,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in all material respects as of such earlier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9"/>
          <w:szCs w:val="19"/>
          <w:b w:val="1"/>
          <w:bCs w:val="1"/>
          <w:color w:val="auto"/>
        </w:rPr>
        <w:t>Miscellaneous.</w:t>
      </w:r>
    </w:p>
    <w:p>
      <w:pPr>
        <w:spacing w:after="0" w:line="268" w:lineRule="exact"/>
        <w:rPr>
          <w:sz w:val="20"/>
          <w:szCs w:val="20"/>
          <w:color w:val="auto"/>
        </w:rPr>
      </w:pPr>
    </w:p>
    <w:p>
      <w:pPr>
        <w:jc w:val="both"/>
        <w:ind w:firstLine="646"/>
        <w:spacing w:after="0" w:line="243" w:lineRule="auto"/>
        <w:tabs>
          <w:tab w:leader="none" w:pos="1205"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Loan Documents Otherwise Not Affected; Reaffirmation</w:t>
      </w:r>
      <w:r>
        <w:rPr>
          <w:rFonts w:ascii="Arial" w:cs="Arial" w:eastAsia="Arial" w:hAnsi="Arial"/>
          <w:sz w:val="20"/>
          <w:szCs w:val="20"/>
          <w:color w:val="auto"/>
        </w:rPr>
        <w:t>. Except as expressly amended pursuant hereto or referenced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the Loan and Security Agreement and the other Loan Documents shall remain unchanged and in full force and effect and are hereby ratified and confirmed in all respects. The Lenders’ and Collateral Agent’s execution and delivery of, or acceptance of, this Amendment shall not be deemed to create a course of dealing or otherwise create any express or implied duty by any of them to provide any other or further amendments, consents or waivers in the future. The Borrower hereby reaffirms the grant of security under Section 4.1 of the Loan and Security Agreement and hereby reaffirms that such grant of security in the Collateral secures all Obligations under the Loan and Security Agreement, including without limitation any Term Loans funded on or after the Amendment Effective Date, as of the date hereof.</w:t>
      </w:r>
    </w:p>
    <w:p>
      <w:pPr>
        <w:spacing w:after="0" w:line="229" w:lineRule="exact"/>
        <w:rPr>
          <w:rFonts w:ascii="Arial" w:cs="Arial" w:eastAsia="Arial" w:hAnsi="Arial"/>
          <w:sz w:val="20"/>
          <w:szCs w:val="20"/>
          <w:color w:val="auto"/>
        </w:rPr>
      </w:pPr>
    </w:p>
    <w:p>
      <w:pPr>
        <w:jc w:val="both"/>
        <w:ind w:firstLine="646"/>
        <w:spacing w:after="0" w:line="265" w:lineRule="auto"/>
        <w:tabs>
          <w:tab w:leader="none" w:pos="1203"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color w:val="auto"/>
        </w:rPr>
        <w:t>, each Lender that has</w:t>
      </w:r>
      <w:r>
        <w:rPr>
          <w:rFonts w:ascii="Arial" w:cs="Arial" w:eastAsia="Arial" w:hAnsi="Arial"/>
          <w:sz w:val="19"/>
          <w:szCs w:val="19"/>
          <w:b w:val="1"/>
          <w:bCs w:val="1"/>
          <w:color w:val="auto"/>
        </w:rPr>
        <w:t xml:space="preserve"> </w:t>
      </w:r>
      <w:r>
        <w:rPr>
          <w:rFonts w:ascii="Arial" w:cs="Arial" w:eastAsia="Arial" w:hAnsi="Arial"/>
          <w:sz w:val="19"/>
          <w:szCs w:val="19"/>
          <w:color w:val="auto"/>
        </w:rPr>
        <w:t>signed this Amendment shall be deemed to have consented to, approved or accepted or to be satisfied with, each document or other matter required thereunder to be consented to or approved by or acceptable or satisfactory to a Lender unless Collateral Agent shall have received notice from such Lender prior to the Amendment Effective Date specifying its objection thereto.</w:t>
      </w:r>
    </w:p>
    <w:p>
      <w:pPr>
        <w:spacing w:after="0" w:line="196" w:lineRule="exact"/>
        <w:rPr>
          <w:rFonts w:ascii="Arial" w:cs="Arial" w:eastAsia="Arial" w:hAnsi="Arial"/>
          <w:sz w:val="19"/>
          <w:szCs w:val="19"/>
          <w:color w:val="auto"/>
        </w:rPr>
      </w:pPr>
    </w:p>
    <w:p>
      <w:pPr>
        <w:jc w:val="both"/>
        <w:ind w:firstLine="646"/>
        <w:spacing w:after="0" w:line="271" w:lineRule="auto"/>
        <w:tabs>
          <w:tab w:leader="none" w:pos="120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consideration of the agreements of Collateral Agent and each Lender contained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Borrower, on behalf of itself and its successors, assigns, and other legal representatives, hereby fully, absolutely, unconditionally and irrevocably releases, remises and forever discharges Collateral Agent and each Lender, and its successors and assigns, and its present and former shareholders, affiliates, subsidiaries, divisions, predecessors, directors, officers, attorneys, employees, agents and other representatives (Collateral Agent, Lenders and all such other persons being hereinafter referred to collectively as the “</w:t>
      </w:r>
      <w:r>
        <w:rPr>
          <w:rFonts w:ascii="Arial" w:cs="Arial" w:eastAsia="Arial" w:hAnsi="Arial"/>
          <w:sz w:val="18"/>
          <w:szCs w:val="18"/>
          <w:b w:val="1"/>
          <w:bCs w:val="1"/>
          <w:color w:val="auto"/>
        </w:rPr>
        <w:t>Releasees</w:t>
      </w:r>
      <w:r>
        <w:rPr>
          <w:rFonts w:ascii="Arial" w:cs="Arial" w:eastAsia="Arial" w:hAnsi="Arial"/>
          <w:sz w:val="18"/>
          <w:szCs w:val="18"/>
          <w:color w:val="auto"/>
        </w:rPr>
        <w:t>” and individually as a “</w:t>
      </w:r>
      <w:r>
        <w:rPr>
          <w:rFonts w:ascii="Arial" w:cs="Arial" w:eastAsia="Arial" w:hAnsi="Arial"/>
          <w:sz w:val="18"/>
          <w:szCs w:val="18"/>
          <w:b w:val="1"/>
          <w:bCs w:val="1"/>
          <w:color w:val="auto"/>
        </w:rPr>
        <w:t>Releasee</w:t>
      </w:r>
      <w:r>
        <w:rPr>
          <w:rFonts w:ascii="Arial" w:cs="Arial" w:eastAsia="Arial" w:hAnsi="Arial"/>
          <w:sz w:val="18"/>
          <w:szCs w:val="18"/>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w:t>
      </w:r>
    </w:p>
    <w:p>
      <w:pPr>
        <w:sectPr>
          <w:pgSz w:w="11900" w:h="16838" w:orient="portrait"/>
          <w:cols w:equalWidth="0" w:num="1">
            <w:col w:w="11040"/>
          </w:cols>
          <w:pgMar w:left="420" w:top="1419" w:right="4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9"/>
          <w:szCs w:val="19"/>
          <w:color w:val="auto"/>
        </w:rPr>
        <w:t>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215" w:lineRule="exact"/>
        <w:rPr>
          <w:sz w:val="20"/>
          <w:szCs w:val="20"/>
          <w:color w:val="auto"/>
        </w:rPr>
      </w:pPr>
    </w:p>
    <w:p>
      <w:pPr>
        <w:jc w:val="both"/>
        <w:ind w:firstLine="646"/>
        <w:spacing w:after="0" w:line="243" w:lineRule="auto"/>
        <w:tabs>
          <w:tab w:leader="none" w:pos="1203"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No Reliance</w:t>
      </w:r>
      <w:r>
        <w:rPr>
          <w:rFonts w:ascii="Arial" w:cs="Arial" w:eastAsia="Arial" w:hAnsi="Arial"/>
          <w:sz w:val="20"/>
          <w:szCs w:val="20"/>
          <w:color w:val="auto"/>
        </w:rPr>
        <w:t>. The Borrower hereby acknowledges and confirms to Collateral Agent and the Lenders that the Borrower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executing this Amendment on the basis of its own investigation and for its own reasons without reliance upon any agreement, representation, understanding or communication by or on behalf of any other Person. </w:t>
      </w:r>
      <w:r>
        <w:rPr>
          <w:rFonts w:ascii="Arial" w:cs="Arial" w:eastAsia="Arial" w:hAnsi="Arial"/>
          <w:sz w:val="20"/>
          <w:szCs w:val="20"/>
          <w:b w:val="1"/>
          <w:bCs w:val="1"/>
          <w:color w:val="auto"/>
        </w:rPr>
        <w:t>Costs and Expenses</w:t>
      </w:r>
      <w:r>
        <w:rPr>
          <w:rFonts w:ascii="Arial" w:cs="Arial" w:eastAsia="Arial" w:hAnsi="Arial"/>
          <w:sz w:val="20"/>
          <w:szCs w:val="20"/>
          <w:color w:val="auto"/>
        </w:rPr>
        <w:t>. The Borrower agrees to pay to Collateral Agent within the later of (i) ten (10) days following its receipt of an invoice, or (ii) ten (10) days following the Amendment Effective Date, the reasonable and documented out-of-pocket costs and expenses of Collateral Agent and the Lenders party hereto, and the reasonable and documented fees of counsel to Collateral Agent and the Lenders party thereto, in connection with the negotiation, preparation, execution and delivery of this Amendment and any other documents to be delivered in connection herewith on the Amendment Effective Date.</w:t>
      </w:r>
    </w:p>
    <w:p>
      <w:pPr>
        <w:spacing w:after="0" w:line="216" w:lineRule="exact"/>
        <w:rPr>
          <w:rFonts w:ascii="Arial" w:cs="Arial" w:eastAsia="Arial" w:hAnsi="Arial"/>
          <w:sz w:val="20"/>
          <w:szCs w:val="20"/>
          <w:color w:val="auto"/>
        </w:rPr>
      </w:pPr>
    </w:p>
    <w:p>
      <w:pPr>
        <w:ind w:left="1200" w:hanging="554"/>
        <w:spacing w:after="0"/>
        <w:tabs>
          <w:tab w:leader="none" w:pos="120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This Amendment binds and is for the benefit of the successors and permitted assigns of each party.</w:t>
      </w:r>
    </w:p>
    <w:p>
      <w:pPr>
        <w:spacing w:after="0" w:line="254" w:lineRule="exact"/>
        <w:rPr>
          <w:rFonts w:ascii="Arial" w:cs="Arial" w:eastAsia="Arial" w:hAnsi="Arial"/>
          <w:sz w:val="19"/>
          <w:szCs w:val="19"/>
          <w:color w:val="auto"/>
        </w:rPr>
      </w:pPr>
    </w:p>
    <w:p>
      <w:pPr>
        <w:ind w:left="1200" w:hanging="554"/>
        <w:spacing w:after="0"/>
        <w:tabs>
          <w:tab w:leader="none" w:pos="120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w:t>
      </w:r>
      <w:r>
        <w:rPr>
          <w:rFonts w:ascii="Arial" w:cs="Arial" w:eastAsia="Arial" w:hAnsi="Arial"/>
          <w:sz w:val="20"/>
          <w:szCs w:val="20"/>
          <w:b w:val="1"/>
          <w:bCs w:val="1"/>
          <w:color w:val="auto"/>
        </w:rPr>
        <w:t xml:space="preserve">  THIS  AMENDMENT  AND  THE  RIGHTS  AND  OBLIGATIONS  OF  THE  PARTIES</w:t>
      </w:r>
    </w:p>
    <w:p>
      <w:pPr>
        <w:spacing w:after="0" w:line="21" w:lineRule="exact"/>
        <w:rPr>
          <w:rFonts w:ascii="Arial" w:cs="Arial" w:eastAsia="Arial" w:hAnsi="Arial"/>
          <w:sz w:val="20"/>
          <w:szCs w:val="20"/>
          <w:color w:val="auto"/>
        </w:rPr>
      </w:pPr>
    </w:p>
    <w:p>
      <w:pPr>
        <w:jc w:val="both"/>
        <w:spacing w:after="0"/>
        <w:rPr>
          <w:rFonts w:ascii="Arial" w:cs="Arial" w:eastAsia="Arial" w:hAnsi="Arial"/>
          <w:sz w:val="20"/>
          <w:szCs w:val="20"/>
          <w:color w:val="auto"/>
        </w:rPr>
      </w:pPr>
      <w:r>
        <w:rPr>
          <w:rFonts w:ascii="Arial" w:cs="Arial" w:eastAsia="Arial" w:hAnsi="Arial"/>
          <w:sz w:val="20"/>
          <w:szCs w:val="20"/>
          <w:b w:val="1"/>
          <w:bCs w:val="1"/>
          <w:color w:val="auto"/>
        </w:rPr>
        <w:t>HEREUNDER SHALL IN ALL RESPECTS BE GOVERNED BY AND CONSTRUED IN ACCORDANCE WITH, THE INTERNAL LAWS OF THE STATE OF NEW YORK (WITHOUT REGARD TO THE CONFLICT OF LAWS PRINCIPLES THAT WOULD RESULT IN THE APPLICATION OF ANY LAWS OTHER THAN THE LAWS OF THE STATE OF NEW YORK (OTHER THAN SECTION 5-1401 OF THE GENERAL OBLIGATIONS LAW)), INCLUDING ALL MATTERS OF CONSTRUCTION, VALIDITY AND PERFORMANCE, REGARDLESS OF THE LOCATION OF THE COLLATERAL.</w:t>
      </w:r>
    </w:p>
    <w:p>
      <w:pPr>
        <w:spacing w:after="0" w:line="218" w:lineRule="exact"/>
        <w:rPr>
          <w:rFonts w:ascii="Arial" w:cs="Arial" w:eastAsia="Arial" w:hAnsi="Arial"/>
          <w:sz w:val="20"/>
          <w:szCs w:val="20"/>
          <w:color w:val="auto"/>
        </w:rPr>
      </w:pPr>
    </w:p>
    <w:p>
      <w:pPr>
        <w:jc w:val="both"/>
        <w:ind w:firstLine="646"/>
        <w:spacing w:after="0" w:line="242" w:lineRule="auto"/>
        <w:tabs>
          <w:tab w:leader="none" w:pos="1203"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Complete Agreement; Amendments; Exit Fee Agreement</w:t>
      </w:r>
      <w:r>
        <w:rPr>
          <w:rFonts w:ascii="Arial" w:cs="Arial" w:eastAsia="Arial" w:hAnsi="Arial"/>
          <w:sz w:val="20"/>
          <w:szCs w:val="20"/>
          <w:color w:val="auto"/>
        </w:rPr>
        <w:t>. This Amendment and the Loan Documents represent the</w:t>
      </w:r>
      <w:r>
        <w:rPr>
          <w:rFonts w:ascii="Arial" w:cs="Arial" w:eastAsia="Arial" w:hAnsi="Arial"/>
          <w:sz w:val="20"/>
          <w:szCs w:val="20"/>
          <w:b w:val="1"/>
          <w:bCs w:val="1"/>
          <w:color w:val="auto"/>
        </w:rPr>
        <w:t xml:space="preserve"> </w:t>
      </w:r>
      <w:r>
        <w:rPr>
          <w:rFonts w:ascii="Arial" w:cs="Arial" w:eastAsia="Arial" w:hAnsi="Arial"/>
          <w:sz w:val="20"/>
          <w:szCs w:val="20"/>
          <w:color w:val="auto"/>
        </w:rPr>
        <w:t>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For the avoidance of doubt and notwithstanding anything to the contrary in this Amendment, Borrower (a) reaffirms its obligations under the Exit Fee Agreement, including without limitation its obligation to pay the Exit Fee (as defined in the Exit Fee Agreement) if and when due thereunder, and (b) agrees that the defined term “Loan Agreement” as defined in the Exit Fee Agreement shall on and after the Amendment Effective Date mean the Loan and Security Agreement as amended by this Amendment and may be amended, restated or modified from time to time on or after the Amendment Effective Date.</w:t>
      </w:r>
    </w:p>
    <w:p>
      <w:pPr>
        <w:spacing w:after="0" w:line="221" w:lineRule="exact"/>
        <w:rPr>
          <w:rFonts w:ascii="Arial" w:cs="Arial" w:eastAsia="Arial" w:hAnsi="Arial"/>
          <w:sz w:val="20"/>
          <w:szCs w:val="20"/>
          <w:color w:val="auto"/>
        </w:rPr>
      </w:pPr>
    </w:p>
    <w:p>
      <w:pPr>
        <w:ind w:firstLine="646"/>
        <w:spacing w:after="0" w:line="267" w:lineRule="auto"/>
        <w:tabs>
          <w:tab w:leader="none" w:pos="1203"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Each provision of this Amendment is severable from every other provision in determining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provision.</w:t>
      </w:r>
    </w:p>
    <w:p>
      <w:pPr>
        <w:spacing w:after="0" w:line="190" w:lineRule="exact"/>
        <w:rPr>
          <w:rFonts w:ascii="Arial" w:cs="Arial" w:eastAsia="Arial" w:hAnsi="Arial"/>
          <w:sz w:val="20"/>
          <w:szCs w:val="20"/>
          <w:color w:val="auto"/>
        </w:rPr>
      </w:pPr>
    </w:p>
    <w:p>
      <w:pPr>
        <w:ind w:right="20" w:firstLine="646"/>
        <w:spacing w:after="0" w:line="267" w:lineRule="auto"/>
        <w:tabs>
          <w:tab w:leader="none" w:pos="1199"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and by different parties on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counterparts, each of which, when executed and delivered, is an original,</w:t>
      </w:r>
    </w:p>
    <w:p>
      <w:pPr>
        <w:sectPr>
          <w:pgSz w:w="11900" w:h="16838" w:orient="portrait"/>
          <w:cols w:equalWidth="0" w:num="1">
            <w:col w:w="11040"/>
          </w:cols>
          <w:pgMar w:left="420" w:top="1419" w:right="4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0"/>
          <w:szCs w:val="20"/>
          <w:color w:val="auto"/>
        </w:rPr>
        <w:t>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207" w:lineRule="exact"/>
        <w:rPr>
          <w:sz w:val="20"/>
          <w:szCs w:val="20"/>
          <w:color w:val="auto"/>
        </w:rPr>
      </w:pPr>
    </w:p>
    <w:p>
      <w:pPr>
        <w:ind w:left="1200" w:hanging="554"/>
        <w:spacing w:after="0"/>
        <w:tabs>
          <w:tab w:leader="none" w:pos="120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Loan Documents</w:t>
      </w:r>
      <w:r>
        <w:rPr>
          <w:rFonts w:ascii="Arial" w:cs="Arial" w:eastAsia="Arial" w:hAnsi="Arial"/>
          <w:sz w:val="20"/>
          <w:szCs w:val="20"/>
          <w:color w:val="auto"/>
        </w:rPr>
        <w:t>. This Amendment and the documents related thereto shall constitute Loan Documents</w:t>
      </w:r>
    </w:p>
    <w:p>
      <w:pPr>
        <w:spacing w:after="0" w:line="242" w:lineRule="exact"/>
        <w:rPr>
          <w:rFonts w:ascii="Arial" w:cs="Arial" w:eastAsia="Arial" w:hAnsi="Arial"/>
          <w:sz w:val="20"/>
          <w:szCs w:val="20"/>
          <w:color w:val="auto"/>
        </w:rPr>
      </w:pPr>
    </w:p>
    <w:p>
      <w:pPr>
        <w:jc w:val="both"/>
        <w:ind w:firstLine="646"/>
        <w:spacing w:after="0" w:line="274" w:lineRule="auto"/>
        <w:tabs>
          <w:tab w:leader="none" w:pos="1203"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Electronic Execution of Certain Other Documents</w:t>
      </w:r>
      <w:r>
        <w:rPr>
          <w:rFonts w:ascii="Arial" w:cs="Arial" w:eastAsia="Arial" w:hAnsi="Arial"/>
          <w:sz w:val="18"/>
          <w:szCs w:val="18"/>
          <w:color w:val="auto"/>
        </w:rPr>
        <w:t>. The words “execution,” “execute”, “signed,” “signature,” and words</w:t>
      </w:r>
      <w:r>
        <w:rPr>
          <w:rFonts w:ascii="Arial" w:cs="Arial" w:eastAsia="Arial" w:hAnsi="Arial"/>
          <w:sz w:val="18"/>
          <w:szCs w:val="18"/>
          <w:b w:val="1"/>
          <w:bCs w:val="1"/>
          <w:color w:val="auto"/>
        </w:rPr>
        <w:t xml:space="preserve"> </w:t>
      </w:r>
      <w:r>
        <w:rPr>
          <w:rFonts w:ascii="Arial" w:cs="Arial" w:eastAsia="Arial" w:hAnsi="Arial"/>
          <w:sz w:val="18"/>
          <w:szCs w:val="18"/>
          <w:color w:val="auto"/>
        </w:rPr>
        <w:t>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[Balance of Page Intentionally Left Blank; Signature Pages Follow]</w:t>
      </w:r>
    </w:p>
    <w:p>
      <w:pPr>
        <w:sectPr>
          <w:pgSz w:w="11900" w:h="16838" w:orient="portrait"/>
          <w:cols w:equalWidth="0" w:num="1">
            <w:col w:w="11040"/>
          </w:cols>
          <w:pgMar w:left="420" w:top="1419" w:right="439" w:bottom="1440" w:gutter="0" w:footer="0" w:header="0"/>
        </w:sectPr>
      </w:pPr>
    </w:p>
    <w:bookmarkStart w:id="8" w:name="page9"/>
    <w:bookmarkEnd w:id="8"/>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383B3D"/>
        </w:rPr>
        <w:t>IN WITNESS WHEREOF</w:t>
      </w:r>
      <w:r>
        <w:rPr>
          <w:rFonts w:ascii="Arial" w:cs="Arial" w:eastAsia="Arial" w:hAnsi="Arial"/>
          <w:sz w:val="16"/>
          <w:szCs w:val="16"/>
          <w:color w:val="676B6B"/>
        </w:rPr>
        <w:t>,</w:t>
      </w:r>
      <w:r>
        <w:rPr>
          <w:rFonts w:ascii="Arial" w:cs="Arial" w:eastAsia="Arial" w:hAnsi="Arial"/>
          <w:sz w:val="16"/>
          <w:szCs w:val="16"/>
          <w:color w:val="383B3D"/>
        </w:rPr>
        <w:t xml:space="preserve"> the partie</w:t>
      </w:r>
      <w:r>
        <w:rPr>
          <w:rFonts w:ascii="Arial" w:cs="Arial" w:eastAsia="Arial" w:hAnsi="Arial"/>
          <w:sz w:val="16"/>
          <w:szCs w:val="16"/>
          <w:color w:val="676B6B"/>
        </w:rPr>
        <w:t>s</w:t>
      </w:r>
      <w:r>
        <w:rPr>
          <w:rFonts w:ascii="Arial" w:cs="Arial" w:eastAsia="Arial" w:hAnsi="Arial"/>
          <w:sz w:val="16"/>
          <w:szCs w:val="16"/>
          <w:color w:val="383B3D"/>
        </w:rPr>
        <w:t xml:space="preserve"> </w:t>
      </w:r>
      <w:r>
        <w:rPr>
          <w:rFonts w:ascii="Arial" w:cs="Arial" w:eastAsia="Arial" w:hAnsi="Arial"/>
          <w:sz w:val="16"/>
          <w:szCs w:val="16"/>
          <w:color w:val="4B4F50"/>
        </w:rPr>
        <w:t>hereto have</w:t>
      </w:r>
      <w:r>
        <w:rPr>
          <w:rFonts w:ascii="Arial" w:cs="Arial" w:eastAsia="Arial" w:hAnsi="Arial"/>
          <w:sz w:val="16"/>
          <w:szCs w:val="16"/>
          <w:color w:val="383B3D"/>
        </w:rPr>
        <w:t xml:space="preserve"> duly executed </w:t>
      </w:r>
      <w:r>
        <w:rPr>
          <w:rFonts w:ascii="Arial" w:cs="Arial" w:eastAsia="Arial" w:hAnsi="Arial"/>
          <w:sz w:val="16"/>
          <w:szCs w:val="16"/>
          <w:color w:val="4B4F50"/>
        </w:rPr>
        <w:t>th</w:t>
      </w:r>
      <w:r>
        <w:rPr>
          <w:rFonts w:ascii="Arial" w:cs="Arial" w:eastAsia="Arial" w:hAnsi="Arial"/>
          <w:sz w:val="16"/>
          <w:szCs w:val="16"/>
          <w:color w:val="232326"/>
        </w:rPr>
        <w:t>is</w:t>
      </w:r>
      <w:r>
        <w:rPr>
          <w:rFonts w:ascii="Arial" w:cs="Arial" w:eastAsia="Arial" w:hAnsi="Arial"/>
          <w:sz w:val="16"/>
          <w:szCs w:val="16"/>
          <w:color w:val="383B3D"/>
        </w:rPr>
        <w:t xml:space="preserve"> Amendment</w:t>
      </w:r>
      <w:r>
        <w:rPr>
          <w:rFonts w:ascii="Arial" w:cs="Arial" w:eastAsia="Arial" w:hAnsi="Arial"/>
          <w:sz w:val="16"/>
          <w:szCs w:val="16"/>
          <w:color w:val="676B6B"/>
        </w:rPr>
        <w:t>,</w:t>
      </w:r>
      <w:r>
        <w:rPr>
          <w:rFonts w:ascii="Arial" w:cs="Arial" w:eastAsia="Arial" w:hAnsi="Arial"/>
          <w:sz w:val="16"/>
          <w:szCs w:val="16"/>
          <w:color w:val="383B3D"/>
        </w:rPr>
        <w:t xml:space="preserve"> as of the date first above </w:t>
      </w:r>
      <w:r>
        <w:rPr>
          <w:rFonts w:ascii="Arial" w:cs="Arial" w:eastAsia="Arial" w:hAnsi="Arial"/>
          <w:sz w:val="16"/>
          <w:szCs w:val="16"/>
          <w:color w:val="4B4F50"/>
        </w:rPr>
        <w:t>written.</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383B3D"/>
        </w:rPr>
        <w:t>BORROWER:</w:t>
      </w:r>
    </w:p>
    <w:p>
      <w:pPr>
        <w:spacing w:after="0" w:line="33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4B4F50"/>
        </w:rPr>
        <w:t xml:space="preserve">ARDELYX, </w:t>
      </w:r>
      <w:r>
        <w:rPr>
          <w:rFonts w:ascii="Arial" w:cs="Arial" w:eastAsia="Arial" w:hAnsi="Arial"/>
          <w:sz w:val="18"/>
          <w:szCs w:val="18"/>
          <w:b w:val="1"/>
          <w:bCs w:val="1"/>
          <w:color w:val="383B3D"/>
        </w:rPr>
        <w:t>INC.</w:t>
      </w:r>
      <w:r>
        <w:rPr>
          <w:rFonts w:ascii="Arial" w:cs="Arial" w:eastAsia="Arial" w:hAnsi="Arial"/>
          <w:sz w:val="18"/>
          <w:szCs w:val="18"/>
          <w:b w:val="1"/>
          <w:bCs w:val="1"/>
          <w:color w:val="676B6B"/>
        </w:rPr>
        <w:t>,</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4B4F50"/>
        </w:rPr>
        <w:t>a</w:t>
      </w:r>
      <w:r>
        <w:rPr>
          <w:rFonts w:ascii="Arial" w:cs="Arial" w:eastAsia="Arial" w:hAnsi="Arial"/>
          <w:sz w:val="18"/>
          <w:szCs w:val="18"/>
          <w:color w:val="676B6B"/>
        </w:rPr>
        <w:t>s</w:t>
      </w:r>
      <w:r>
        <w:rPr>
          <w:rFonts w:ascii="Arial" w:cs="Arial" w:eastAsia="Arial" w:hAnsi="Arial"/>
          <w:sz w:val="18"/>
          <w:szCs w:val="18"/>
          <w:color w:val="4B4F50"/>
        </w:rPr>
        <w:t xml:space="preserve"> </w:t>
      </w:r>
      <w:r>
        <w:rPr>
          <w:rFonts w:ascii="Arial" w:cs="Arial" w:eastAsia="Arial" w:hAnsi="Arial"/>
          <w:sz w:val="18"/>
          <w:szCs w:val="18"/>
          <w:color w:val="383B3D"/>
        </w:rPr>
        <w:t>Borrower</w:t>
      </w:r>
    </w:p>
    <w:p>
      <w:pPr>
        <w:spacing w:after="0" w:line="200" w:lineRule="exact"/>
        <w:rPr>
          <w:sz w:val="20"/>
          <w:szCs w:val="20"/>
          <w:color w:val="auto"/>
        </w:rPr>
      </w:pPr>
    </w:p>
    <w:p>
      <w:pPr>
        <w:spacing w:after="0" w:line="294"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 xml:space="preserve">By: </w:t>
      </w:r>
      <w:r>
        <w:rPr>
          <w:rFonts w:ascii="Arial" w:cs="Arial" w:eastAsia="Arial" w:hAnsi="Arial"/>
          <w:sz w:val="18"/>
          <w:szCs w:val="18"/>
          <w:u w:val="single" w:color="auto"/>
          <w:color w:val="383B3D"/>
        </w:rPr>
        <w:t>/s/ Justin Renz</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Name: Justin Renz</w:t>
      </w:r>
    </w:p>
    <w:p>
      <w:pPr>
        <w:ind w:left="3160"/>
        <w:spacing w:after="0"/>
        <w:rPr>
          <w:sz w:val="20"/>
          <w:szCs w:val="20"/>
          <w:color w:val="auto"/>
        </w:rPr>
      </w:pPr>
      <w:r>
        <w:rPr>
          <w:rFonts w:ascii="Arial" w:cs="Arial" w:eastAsia="Arial" w:hAnsi="Arial"/>
          <w:sz w:val="18"/>
          <w:szCs w:val="18"/>
          <w:color w:val="383B3D"/>
        </w:rPr>
        <w:t>Title: Chief Financial Officer</w:t>
      </w:r>
    </w:p>
    <w:p>
      <w:pPr>
        <w:spacing w:after="0" w:line="340" w:lineRule="exact"/>
        <w:rPr>
          <w:sz w:val="20"/>
          <w:szCs w:val="20"/>
          <w:color w:val="auto"/>
        </w:rPr>
      </w:pPr>
    </w:p>
    <w:p>
      <w:pPr>
        <w:ind w:left="3160" w:right="639" w:hanging="7"/>
        <w:spacing w:after="0" w:line="407" w:lineRule="auto"/>
        <w:rPr>
          <w:sz w:val="20"/>
          <w:szCs w:val="20"/>
          <w:color w:val="auto"/>
        </w:rPr>
      </w:pPr>
      <w:r>
        <w:rPr>
          <w:rFonts w:ascii="Arial" w:cs="Arial" w:eastAsia="Arial" w:hAnsi="Arial"/>
          <w:sz w:val="18"/>
          <w:szCs w:val="18"/>
          <w:b w:val="1"/>
          <w:bCs w:val="1"/>
          <w:color w:val="4B4F50"/>
        </w:rPr>
        <w:t xml:space="preserve">COLLATERAL </w:t>
      </w:r>
      <w:r>
        <w:rPr>
          <w:rFonts w:ascii="Arial" w:cs="Arial" w:eastAsia="Arial" w:hAnsi="Arial"/>
          <w:sz w:val="18"/>
          <w:szCs w:val="18"/>
          <w:b w:val="1"/>
          <w:bCs w:val="1"/>
          <w:color w:val="383B3D"/>
        </w:rPr>
        <w:t>AGENT AND LENDER:</w:t>
      </w:r>
      <w:r>
        <w:rPr>
          <w:rFonts w:ascii="Arial" w:cs="Arial" w:eastAsia="Arial" w:hAnsi="Arial"/>
          <w:sz w:val="18"/>
          <w:szCs w:val="18"/>
          <w:b w:val="1"/>
          <w:bCs w:val="1"/>
          <w:color w:val="4B4F50"/>
        </w:rPr>
        <w:t xml:space="preserve"> SLR </w:t>
      </w:r>
      <w:r>
        <w:rPr>
          <w:rFonts w:ascii="Arial" w:cs="Arial" w:eastAsia="Arial" w:hAnsi="Arial"/>
          <w:sz w:val="18"/>
          <w:szCs w:val="18"/>
          <w:b w:val="1"/>
          <w:bCs w:val="1"/>
          <w:color w:val="383B3D"/>
        </w:rPr>
        <w:t>INVESTMENT CORP.</w:t>
      </w:r>
      <w:r>
        <w:rPr>
          <w:rFonts w:ascii="Arial" w:cs="Arial" w:eastAsia="Arial" w:hAnsi="Arial"/>
          <w:sz w:val="18"/>
          <w:szCs w:val="18"/>
          <w:b w:val="1"/>
          <w:bCs w:val="1"/>
          <w:color w:val="676B6B"/>
        </w:rPr>
        <w:t>,</w:t>
      </w:r>
      <w:r>
        <w:rPr>
          <w:rFonts w:ascii="Arial" w:cs="Arial" w:eastAsia="Arial" w:hAnsi="Arial"/>
          <w:sz w:val="18"/>
          <w:szCs w:val="18"/>
          <w:b w:val="1"/>
          <w:bCs w:val="1"/>
          <w:color w:val="4B4F50"/>
        </w:rPr>
        <w:t xml:space="preserve"> </w:t>
      </w:r>
      <w:r>
        <w:rPr>
          <w:rFonts w:ascii="Arial" w:cs="Arial" w:eastAsia="Arial" w:hAnsi="Arial"/>
          <w:sz w:val="18"/>
          <w:szCs w:val="18"/>
          <w:color w:val="4B4F50"/>
        </w:rPr>
        <w:t>a</w:t>
      </w:r>
      <w:r>
        <w:rPr>
          <w:rFonts w:ascii="Arial" w:cs="Arial" w:eastAsia="Arial" w:hAnsi="Arial"/>
          <w:sz w:val="18"/>
          <w:szCs w:val="18"/>
          <w:color w:val="676B6B"/>
        </w:rPr>
        <w:t>s</w:t>
      </w:r>
      <w:r>
        <w:rPr>
          <w:rFonts w:ascii="Arial" w:cs="Arial" w:eastAsia="Arial" w:hAnsi="Arial"/>
          <w:sz w:val="18"/>
          <w:szCs w:val="18"/>
          <w:color w:val="4B4F50"/>
        </w:rPr>
        <w:t xml:space="preserve"> Co</w:t>
      </w:r>
      <w:r>
        <w:rPr>
          <w:rFonts w:ascii="Arial" w:cs="Arial" w:eastAsia="Arial" w:hAnsi="Arial"/>
          <w:sz w:val="18"/>
          <w:szCs w:val="18"/>
          <w:color w:val="232326"/>
        </w:rPr>
        <w:t>ll</w:t>
      </w:r>
      <w:r>
        <w:rPr>
          <w:rFonts w:ascii="Arial" w:cs="Arial" w:eastAsia="Arial" w:hAnsi="Arial"/>
          <w:sz w:val="18"/>
          <w:szCs w:val="18"/>
          <w:color w:val="4B4F50"/>
        </w:rPr>
        <w:t>atera</w:t>
      </w:r>
      <w:r>
        <w:rPr>
          <w:rFonts w:ascii="Arial" w:cs="Arial" w:eastAsia="Arial" w:hAnsi="Arial"/>
          <w:sz w:val="18"/>
          <w:szCs w:val="18"/>
          <w:color w:val="232326"/>
        </w:rPr>
        <w:t>l</w:t>
      </w:r>
      <w:r>
        <w:rPr>
          <w:rFonts w:ascii="Arial" w:cs="Arial" w:eastAsia="Arial" w:hAnsi="Arial"/>
          <w:sz w:val="18"/>
          <w:szCs w:val="18"/>
          <w:color w:val="4B4F50"/>
        </w:rPr>
        <w:t xml:space="preserve"> </w:t>
      </w:r>
      <w:r>
        <w:rPr>
          <w:rFonts w:ascii="Arial" w:cs="Arial" w:eastAsia="Arial" w:hAnsi="Arial"/>
          <w:sz w:val="18"/>
          <w:szCs w:val="18"/>
          <w:color w:val="383B3D"/>
        </w:rPr>
        <w:t>Agent</w:t>
      </w:r>
      <w:r>
        <w:rPr>
          <w:rFonts w:ascii="Arial" w:cs="Arial" w:eastAsia="Arial" w:hAnsi="Arial"/>
          <w:sz w:val="18"/>
          <w:szCs w:val="18"/>
          <w:color w:val="4B4F50"/>
        </w:rPr>
        <w:t xml:space="preserve"> and a </w:t>
      </w:r>
      <w:r>
        <w:rPr>
          <w:rFonts w:ascii="Arial" w:cs="Arial" w:eastAsia="Arial" w:hAnsi="Arial"/>
          <w:sz w:val="18"/>
          <w:szCs w:val="18"/>
          <w:color w:val="383B3D"/>
        </w:rPr>
        <w:t>Lender</w:t>
      </w:r>
    </w:p>
    <w:p>
      <w:pPr>
        <w:spacing w:after="0" w:line="328"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 xml:space="preserve">By: </w:t>
      </w:r>
      <w:r>
        <w:rPr>
          <w:rFonts w:ascii="Arial" w:cs="Arial" w:eastAsia="Arial" w:hAnsi="Arial"/>
          <w:sz w:val="18"/>
          <w:szCs w:val="18"/>
          <w:u w:val="single" w:color="auto"/>
          <w:color w:val="383B3D"/>
        </w:rPr>
        <w:t>/s/ Anthony Storino</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Name: Anthony Storino</w:t>
      </w:r>
    </w:p>
    <w:p>
      <w:pPr>
        <w:ind w:left="3160"/>
        <w:spacing w:after="0"/>
        <w:rPr>
          <w:sz w:val="20"/>
          <w:szCs w:val="20"/>
          <w:color w:val="auto"/>
        </w:rPr>
      </w:pPr>
      <w:r>
        <w:rPr>
          <w:rFonts w:ascii="Arial" w:cs="Arial" w:eastAsia="Arial" w:hAnsi="Arial"/>
          <w:sz w:val="18"/>
          <w:szCs w:val="18"/>
          <w:color w:val="383B3D"/>
        </w:rPr>
        <w:t>Title: Authorized Signatory</w:t>
      </w:r>
    </w:p>
    <w:p>
      <w:pPr>
        <w:spacing w:after="0" w:line="200" w:lineRule="exact"/>
        <w:rPr>
          <w:sz w:val="20"/>
          <w:szCs w:val="20"/>
          <w:color w:val="auto"/>
        </w:rPr>
      </w:pP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383B3D"/>
        </w:rPr>
        <w:t>LENDER:</w:t>
      </w:r>
    </w:p>
    <w:p>
      <w:pPr>
        <w:spacing w:after="0" w:line="26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383B3D"/>
        </w:rPr>
        <w:t xml:space="preserve">SCP PRIVATE CREDIT INCOME </w:t>
      </w:r>
      <w:r>
        <w:rPr>
          <w:rFonts w:ascii="Arial" w:cs="Arial" w:eastAsia="Arial" w:hAnsi="Arial"/>
          <w:sz w:val="18"/>
          <w:szCs w:val="18"/>
          <w:b w:val="1"/>
          <w:bCs w:val="1"/>
          <w:color w:val="4B4F50"/>
        </w:rPr>
        <w:t>FUND</w:t>
      </w:r>
      <w:r>
        <w:rPr>
          <w:rFonts w:ascii="Arial" w:cs="Arial" w:eastAsia="Arial" w:hAnsi="Arial"/>
          <w:sz w:val="18"/>
          <w:szCs w:val="18"/>
          <w:b w:val="1"/>
          <w:bCs w:val="1"/>
          <w:color w:val="383B3D"/>
        </w:rPr>
        <w:t xml:space="preserve"> SPV, LLC</w:t>
      </w:r>
      <w:r>
        <w:rPr>
          <w:rFonts w:ascii="Arial" w:cs="Arial" w:eastAsia="Arial" w:hAnsi="Arial"/>
          <w:sz w:val="18"/>
          <w:szCs w:val="18"/>
          <w:b w:val="1"/>
          <w:bCs w:val="1"/>
          <w:color w:val="676B6B"/>
        </w:rPr>
        <w:t>,</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color w:val="4B4F50"/>
        </w:rPr>
        <w:t>as a Lender</w:t>
      </w:r>
    </w:p>
    <w:p>
      <w:pPr>
        <w:spacing w:after="0" w:line="200" w:lineRule="exact"/>
        <w:rPr>
          <w:sz w:val="20"/>
          <w:szCs w:val="20"/>
          <w:color w:val="auto"/>
        </w:rPr>
      </w:pPr>
    </w:p>
    <w:p>
      <w:pPr>
        <w:spacing w:after="0" w:line="266"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 xml:space="preserve">By: </w:t>
      </w:r>
      <w:r>
        <w:rPr>
          <w:rFonts w:ascii="Arial" w:cs="Arial" w:eastAsia="Arial" w:hAnsi="Arial"/>
          <w:sz w:val="18"/>
          <w:szCs w:val="18"/>
          <w:u w:val="single" w:color="auto"/>
          <w:color w:val="383B3D"/>
        </w:rPr>
        <w:t>/s/ Anthony Storino</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Name: Anthony Storino</w:t>
      </w:r>
    </w:p>
    <w:p>
      <w:pPr>
        <w:ind w:left="3160"/>
        <w:spacing w:after="0"/>
        <w:rPr>
          <w:sz w:val="20"/>
          <w:szCs w:val="20"/>
          <w:color w:val="auto"/>
        </w:rPr>
      </w:pPr>
      <w:r>
        <w:rPr>
          <w:rFonts w:ascii="Arial" w:cs="Arial" w:eastAsia="Arial" w:hAnsi="Arial"/>
          <w:sz w:val="18"/>
          <w:szCs w:val="18"/>
          <w:color w:val="383B3D"/>
        </w:rPr>
        <w:t>Title: Authorized Signatory</w:t>
      </w:r>
    </w:p>
    <w:p>
      <w:pPr>
        <w:spacing w:after="0" w:line="21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383B3D"/>
        </w:rPr>
        <w:t>LENDER</w:t>
      </w:r>
      <w:r>
        <w:rPr>
          <w:rFonts w:ascii="Arial" w:cs="Arial" w:eastAsia="Arial" w:hAnsi="Arial"/>
          <w:sz w:val="18"/>
          <w:szCs w:val="18"/>
          <w:b w:val="1"/>
          <w:bCs w:val="1"/>
          <w:color w:val="676B6B"/>
        </w:rPr>
        <w:t>:</w:t>
      </w:r>
    </w:p>
    <w:p>
      <w:pPr>
        <w:spacing w:after="0" w:line="25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383B3D"/>
        </w:rPr>
        <w:t>WESTERN ALLIANCE BANK</w:t>
      </w:r>
      <w:r>
        <w:rPr>
          <w:rFonts w:ascii="Arial" w:cs="Arial" w:eastAsia="Arial" w:hAnsi="Arial"/>
          <w:sz w:val="18"/>
          <w:szCs w:val="18"/>
          <w:b w:val="1"/>
          <w:bCs w:val="1"/>
          <w:color w:val="676B6B"/>
        </w:rPr>
        <w:t>,</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color w:val="4B4F50"/>
        </w:rPr>
        <w:t>a</w:t>
      </w:r>
      <w:r>
        <w:rPr>
          <w:rFonts w:ascii="Arial" w:cs="Arial" w:eastAsia="Arial" w:hAnsi="Arial"/>
          <w:sz w:val="18"/>
          <w:szCs w:val="18"/>
          <w:color w:val="676B6B"/>
        </w:rPr>
        <w:t>s</w:t>
      </w:r>
      <w:r>
        <w:rPr>
          <w:rFonts w:ascii="Arial" w:cs="Arial" w:eastAsia="Arial" w:hAnsi="Arial"/>
          <w:sz w:val="18"/>
          <w:szCs w:val="18"/>
          <w:color w:val="4B4F50"/>
        </w:rPr>
        <w:t xml:space="preserve"> a Lender</w:t>
      </w:r>
    </w:p>
    <w:p>
      <w:pPr>
        <w:spacing w:after="0" w:line="200" w:lineRule="exact"/>
        <w:rPr>
          <w:sz w:val="20"/>
          <w:szCs w:val="20"/>
          <w:color w:val="auto"/>
        </w:rPr>
      </w:pPr>
    </w:p>
    <w:p>
      <w:pPr>
        <w:spacing w:after="0" w:line="294"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 xml:space="preserve">By: </w:t>
      </w:r>
      <w:r>
        <w:rPr>
          <w:rFonts w:ascii="Arial" w:cs="Arial" w:eastAsia="Arial" w:hAnsi="Arial"/>
          <w:sz w:val="18"/>
          <w:szCs w:val="18"/>
          <w:u w:val="single" w:color="auto"/>
          <w:color w:val="383B3D"/>
        </w:rPr>
        <w:t>/s/ Bill Wickline</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8"/>
          <w:szCs w:val="18"/>
          <w:color w:val="383B3D"/>
        </w:rPr>
        <w:t>Name: Bill Wickline</w:t>
      </w:r>
    </w:p>
    <w:p>
      <w:pPr>
        <w:ind w:left="3160"/>
        <w:spacing w:after="0"/>
        <w:rPr>
          <w:sz w:val="20"/>
          <w:szCs w:val="20"/>
          <w:color w:val="auto"/>
        </w:rPr>
      </w:pPr>
      <w:r>
        <w:rPr>
          <w:rFonts w:ascii="Arial" w:cs="Arial" w:eastAsia="Arial" w:hAnsi="Arial"/>
          <w:sz w:val="18"/>
          <w:szCs w:val="18"/>
          <w:color w:val="383B3D"/>
        </w:rPr>
        <w:t>Title: Head of Life Sciences</w:t>
      </w:r>
    </w:p>
    <w:sectPr>
      <w:pgSz w:w="11900" w:h="16838" w:orient="portrait"/>
      <w:cols w:equalWidth="0" w:num="1">
        <w:col w:w="9279"/>
      </w:cols>
      <w:pgMar w:left="11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lvl w:ilvl="1">
      <w:lvlJc w:val="left"/>
      <w:lvlText w:val="(%2)"/>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2021-07-30T05:59:25Z</dcterms:created>
  <dcterms:modified xsi:type="dcterms:W3CDTF">2021-07-30T05:59:25Z</dcterms:modified>
</cp:coreProperties>
</file>