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1075055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276860</wp:posOffset>
            </wp:positionV>
            <wp:extent cx="643255" cy="643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643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ARDELYX,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001-36485</w:t>
            </w:r>
          </w:p>
        </w:tc>
        <w:tc>
          <w:tcPr>
            <w:tcW w:w="2740" w:type="dxa"/>
            <w:vAlign w:val="bottom"/>
          </w:tcPr>
          <w:p>
            <w:pPr>
              <w:jc w:val="center"/>
              <w:ind w:right="942"/>
              <w:spacing w:after="0"/>
              <w:rPr>
                <w:sz w:val="20"/>
                <w:szCs w:val="20"/>
                <w:color w:val="auto"/>
              </w:rPr>
            </w:pPr>
            <w:r>
              <w:rPr>
                <w:rFonts w:ascii="Times New Roman" w:cs="Times New Roman" w:eastAsia="Times New Roman" w:hAnsi="Times New Roman"/>
                <w:sz w:val="18"/>
                <w:szCs w:val="18"/>
                <w:b w:val="1"/>
                <w:bCs w:val="1"/>
                <w:color w:val="auto"/>
              </w:rPr>
              <w:t>26-1303944</w:t>
            </w:r>
          </w:p>
        </w:tc>
      </w:tr>
      <w:tr>
        <w:trPr>
          <w:trHeight w:val="146"/>
        </w:trPr>
        <w:tc>
          <w:tcPr>
            <w:tcW w:w="2800" w:type="dxa"/>
            <w:vAlign w:val="bottom"/>
          </w:tcPr>
          <w:p>
            <w:pPr>
              <w:jc w:val="center"/>
              <w:ind w:left="882"/>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7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40" w:type="dxa"/>
            <w:vAlign w:val="bottom"/>
          </w:tcPr>
          <w:p>
            <w:pPr>
              <w:jc w:val="center"/>
              <w:ind w:right="942"/>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00" w:type="dxa"/>
            <w:vAlign w:val="bottom"/>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400 FIFTH AVE., SUITE 210, WALTHAM, MASSACHUSETTS 02451</w:t>
            </w:r>
          </w:p>
        </w:tc>
        <w:tc>
          <w:tcPr>
            <w:tcW w:w="2740" w:type="dxa"/>
            <w:vAlign w:val="bottom"/>
          </w:tcPr>
          <w:p>
            <w:pPr>
              <w:spacing w:after="0"/>
              <w:rPr>
                <w:sz w:val="24"/>
                <w:szCs w:val="24"/>
                <w:color w:val="auto"/>
              </w:rPr>
            </w:pPr>
          </w:p>
        </w:tc>
      </w:tr>
      <w:tr>
        <w:trPr>
          <w:trHeight w:val="190"/>
        </w:trPr>
        <w:tc>
          <w:tcPr>
            <w:tcW w:w="2800" w:type="dxa"/>
            <w:vAlign w:val="bottom"/>
          </w:tcPr>
          <w:p>
            <w:pPr>
              <w:spacing w:after="0"/>
              <w:rPr>
                <w:sz w:val="16"/>
                <w:szCs w:val="16"/>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2740" w:type="dxa"/>
            <w:vAlign w:val="bottom"/>
          </w:tcPr>
          <w:p>
            <w:pPr>
              <w:spacing w:after="0"/>
              <w:rPr>
                <w:sz w:val="16"/>
                <w:szCs w:val="16"/>
                <w:color w:val="auto"/>
              </w:rPr>
            </w:pPr>
          </w:p>
        </w:tc>
      </w:tr>
      <w:tr>
        <w:trPr>
          <w:trHeight w:val="361"/>
        </w:trPr>
        <w:tc>
          <w:tcPr>
            <w:tcW w:w="2800" w:type="dxa"/>
            <w:vAlign w:val="bottom"/>
          </w:tcPr>
          <w:p>
            <w:pPr>
              <w:spacing w:after="0"/>
              <w:rPr>
                <w:sz w:val="24"/>
                <w:szCs w:val="24"/>
                <w:color w:val="auto"/>
              </w:rPr>
            </w:pPr>
          </w:p>
        </w:tc>
        <w:tc>
          <w:tcPr>
            <w:tcW w:w="5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(510) 745-1700</w:t>
            </w:r>
          </w:p>
        </w:tc>
        <w:tc>
          <w:tcPr>
            <w:tcW w:w="2740" w:type="dxa"/>
            <w:vAlign w:val="bottom"/>
          </w:tcPr>
          <w:p>
            <w:pPr>
              <w:spacing w:after="0"/>
              <w:rPr>
                <w:sz w:val="24"/>
                <w:szCs w:val="24"/>
                <w:color w:val="auto"/>
              </w:rPr>
            </w:pPr>
          </w:p>
        </w:tc>
      </w:tr>
      <w:tr>
        <w:trPr>
          <w:trHeight w:val="189"/>
        </w:trPr>
        <w:tc>
          <w:tcPr>
            <w:tcW w:w="2800" w:type="dxa"/>
            <w:vAlign w:val="bottom"/>
            <w:tcBorders>
              <w:bottom w:val="single" w:sz="8" w:color="auto"/>
            </w:tcBorders>
          </w:tcPr>
          <w:p>
            <w:pPr>
              <w:spacing w:after="0"/>
              <w:rPr>
                <w:sz w:val="16"/>
                <w:szCs w:val="16"/>
                <w:color w:val="auto"/>
              </w:rPr>
            </w:pPr>
          </w:p>
        </w:tc>
        <w:tc>
          <w:tcPr>
            <w:tcW w:w="57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tcPr>
          <w:p>
            <w:pPr>
              <w:spacing w:after="0"/>
              <w:rPr>
                <w:sz w:val="16"/>
                <w:szCs w:val="16"/>
                <w:color w:val="auto"/>
              </w:rPr>
            </w:pPr>
          </w:p>
        </w:tc>
      </w:tr>
    </w:tbl>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94"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44"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highlight w:val="black"/>
        </w:rPr>
      </w:pPr>
    </w:p>
    <w:p>
      <w:pPr>
        <w:ind w:left="420" w:hanging="394"/>
        <w:spacing w:after="0"/>
        <w:tabs>
          <w:tab w:leader="none" w:pos="42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68"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341"/>
        </w:trPr>
        <w:tc>
          <w:tcPr>
            <w:tcW w:w="40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w:t>
            </w:r>
          </w:p>
        </w:tc>
        <w:tc>
          <w:tcPr>
            <w:tcW w:w="140" w:type="dxa"/>
            <w:vAlign w:val="bottom"/>
          </w:tcPr>
          <w:p>
            <w:pPr>
              <w:spacing w:after="0"/>
              <w:rPr>
                <w:sz w:val="17"/>
                <w:szCs w:val="17"/>
                <w:color w:val="auto"/>
              </w:rPr>
            </w:pPr>
          </w:p>
        </w:tc>
        <w:tc>
          <w:tcPr>
            <w:tcW w:w="3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ARDX</w:t>
            </w:r>
          </w:p>
        </w:tc>
        <w:tc>
          <w:tcPr>
            <w:tcW w:w="140" w:type="dxa"/>
            <w:vAlign w:val="bottom"/>
          </w:tcPr>
          <w:p>
            <w:pPr>
              <w:spacing w:after="0"/>
              <w:rPr>
                <w:sz w:val="17"/>
                <w:szCs w:val="17"/>
                <w:color w:val="auto"/>
              </w:rPr>
            </w:pPr>
          </w:p>
        </w:tc>
        <w:tc>
          <w:tcPr>
            <w:tcW w:w="3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181" w:lineRule="exact"/>
        <w:rPr>
          <w:sz w:val="24"/>
          <w:szCs w:val="24"/>
          <w:color w:val="auto"/>
        </w:rPr>
      </w:pPr>
    </w:p>
    <w:p>
      <w:pPr>
        <w:ind w:right="6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highlight w:val="black"/>
        </w:rPr>
        <w:t>☐</w:t>
      </w:r>
    </w:p>
    <w:p>
      <w:pPr>
        <w:spacing w:after="0" w:line="166" w:lineRule="exact"/>
        <w:rPr>
          <w:sz w:val="24"/>
          <w:szCs w:val="24"/>
          <w:color w:val="auto"/>
        </w:rPr>
      </w:pPr>
    </w:p>
    <w:p>
      <w:pPr>
        <w:ind w:right="580"/>
        <w:spacing w:after="0" w:line="28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883920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219710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245110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tab/>
        <w:t>Entry into a Material Definitive Agreement.</w:t>
      </w:r>
    </w:p>
    <w:p>
      <w:pPr>
        <w:spacing w:after="0" w:line="2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April 11, 2022, Ardelyx, Inc. (the “Company”) entered into that certain Amendment Number 2 to License Agreement (the “Amendment”), which amended that certain License Agreement (the “Agreement”) dated as of November 27, 2017, by and between Kyowa Kirin Co., Ltd. (“Kyowa Kirin”, f/k/a Kyowa Hakko Kirin Co., Ltd.). Under the terms of the Amendment, the parties have agreed to a reduction in the royalty rate payable to the Company by Kyowa Kirin upon net sales of tenapanor in Japan. The royalty rate will be reduced from the high teens to low double digits for a two-year period of time following the first commercial sale in Japan, and then to mid-single digits for the remainder of the royalty term. As consideration for the reduction in the royalty rate, Kyowa Kirin has agreed to pay the Company up to additional U.S. $40 million payable in two tranches, with the first payment due following Kyowa Kirin’s filing with the Japanese Ministry Health, Labour and Welfare (MHLW) of its application for marketing approval for tenapanor and the second payment due following Kyowa Kirin’s receipt of regulatory approval to market tenapanor for hyperphosphatemia in Japan.</w:t>
      </w:r>
    </w:p>
    <w:p>
      <w:pPr>
        <w:spacing w:after="0" w:line="219" w:lineRule="exact"/>
        <w:rPr>
          <w:sz w:val="20"/>
          <w:szCs w:val="20"/>
          <w:color w:val="auto"/>
        </w:rPr>
      </w:pPr>
    </w:p>
    <w:p>
      <w:pPr>
        <w:ind w:right="780"/>
        <w:spacing w:after="0" w:line="312" w:lineRule="auto"/>
        <w:rPr>
          <w:sz w:val="20"/>
          <w:szCs w:val="20"/>
          <w:color w:val="auto"/>
        </w:rPr>
      </w:pPr>
      <w:r>
        <w:rPr>
          <w:rFonts w:ascii="Times New Roman" w:cs="Times New Roman" w:eastAsia="Times New Roman" w:hAnsi="Times New Roman"/>
          <w:sz w:val="17"/>
          <w:szCs w:val="17"/>
          <w:color w:val="auto"/>
        </w:rPr>
        <w:t>The above summary of the material terms of the Amendment do not purport to be complete and are qualified in their entirety by reference to the Amendment, a copy of which is filed as Exhibit 10.1, respectively, to this Current Report on Form 8-K and incorporated by reference herein.</w:t>
      </w:r>
    </w:p>
    <w:p>
      <w:pPr>
        <w:spacing w:after="0" w:line="167" w:lineRule="exact"/>
        <w:rPr>
          <w:sz w:val="20"/>
          <w:szCs w:val="20"/>
          <w:color w:val="auto"/>
        </w:rPr>
      </w:pPr>
    </w:p>
    <w:p>
      <w:pPr>
        <w:ind w:right="780"/>
        <w:spacing w:after="0" w:line="312" w:lineRule="auto"/>
        <w:rPr>
          <w:sz w:val="20"/>
          <w:szCs w:val="20"/>
          <w:color w:val="auto"/>
        </w:rPr>
      </w:pPr>
      <w:r>
        <w:rPr>
          <w:rFonts w:ascii="Times New Roman" w:cs="Times New Roman" w:eastAsia="Times New Roman" w:hAnsi="Times New Roman"/>
          <w:sz w:val="17"/>
          <w:szCs w:val="17"/>
          <w:color w:val="auto"/>
        </w:rPr>
        <w:t>The above summary of the material terms of the Amendment do not purport to be complete and are qualified in their entirety by reference to the Amendment, a copy of which is filed as Exhibit 10.1, respectively, to this Current Report on Form 8-K and incorporated by reference herein.</w:t>
      </w:r>
    </w:p>
    <w:p>
      <w:pPr>
        <w:spacing w:after="0" w:line="37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Exhibit</w:t>
      </w:r>
    </w:p>
    <w:p>
      <w:pPr>
        <w:ind w:left="380"/>
        <w:spacing w:after="0"/>
        <w:tabs>
          <w:tab w:leader="none" w:pos="1220"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10" w:lineRule="exact"/>
        <w:rPr>
          <w:sz w:val="20"/>
          <w:szCs w:val="20"/>
          <w:color w:val="auto"/>
        </w:rPr>
      </w:pPr>
    </w:p>
    <w:p>
      <w:pPr>
        <w:ind w:left="20"/>
        <w:spacing w:after="0"/>
        <w:tabs>
          <w:tab w:leader="none" w:pos="122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FF"/>
          </w:rPr>
          <w:t>Amendment Number 2 to License Agreement, dated as of April 11, 2022, by and among Ardelyx, Inc. and Kyowa Kirin Co., Ltd.</w:t>
        </w:r>
      </w:hyperlink>
    </w:p>
    <w:p>
      <w:pPr>
        <w:spacing w:after="0" w:line="63" w:lineRule="exact"/>
        <w:rPr>
          <w:sz w:val="20"/>
          <w:szCs w:val="20"/>
          <w:color w:val="auto"/>
        </w:rPr>
      </w:pPr>
    </w:p>
    <w:p>
      <w:pPr>
        <w:ind w:left="1240" w:hanging="1214"/>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333" w:lineRule="exact"/>
        <w:rPr>
          <w:rFonts w:ascii="Times New Roman" w:cs="Times New Roman" w:eastAsia="Times New Roman" w:hAnsi="Times New Roman"/>
          <w:sz w:val="18"/>
          <w:szCs w:val="18"/>
          <w:color w:val="auto"/>
        </w:rPr>
      </w:pPr>
    </w:p>
    <w:p>
      <w:pPr>
        <w:ind w:right="40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portions of this exhibit have been redacted pursuant to Item 601(b)(10) of Regulation S-K. A copy of the omitted portions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556895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27" w:right="4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94" w:lineRule="exact"/>
        <w:rPr>
          <w:sz w:val="20"/>
          <w:szCs w:val="20"/>
          <w:color w:val="auto"/>
        </w:rPr>
      </w:pPr>
    </w:p>
    <w:p>
      <w:pPr>
        <w:ind w:left="20"/>
        <w:spacing w:after="0"/>
        <w:tabs>
          <w:tab w:leader="none" w:pos="4820" w:val="left"/>
        </w:tabs>
        <w:rPr>
          <w:sz w:val="20"/>
          <w:szCs w:val="20"/>
          <w:color w:val="auto"/>
        </w:rPr>
      </w:pPr>
      <w:r>
        <w:rPr>
          <w:rFonts w:ascii="Times New Roman" w:cs="Times New Roman" w:eastAsia="Times New Roman" w:hAnsi="Times New Roman"/>
          <w:sz w:val="18"/>
          <w:szCs w:val="18"/>
          <w:color w:val="auto"/>
        </w:rPr>
        <w:t>Date: April 11, 2022</w:t>
      </w:r>
      <w:r>
        <w:rPr>
          <w:sz w:val="20"/>
          <w:szCs w:val="20"/>
          <w:color w:val="auto"/>
        </w:rPr>
        <w:tab/>
      </w:r>
      <w:r>
        <w:rPr>
          <w:rFonts w:ascii="Times New Roman" w:cs="Times New Roman" w:eastAsia="Times New Roman" w:hAnsi="Times New Roman"/>
          <w:sz w:val="17"/>
          <w:szCs w:val="17"/>
          <w:color w:val="auto"/>
        </w:rPr>
        <w:t>ARDELYX, INC.</w:t>
      </w:r>
    </w:p>
    <w:p>
      <w:pPr>
        <w:spacing w:after="0" w:line="239" w:lineRule="exact"/>
        <w:rPr>
          <w:sz w:val="20"/>
          <w:szCs w:val="20"/>
          <w:color w:val="auto"/>
        </w:rPr>
      </w:pPr>
    </w:p>
    <w:p>
      <w:pPr>
        <w:ind w:left="4840"/>
        <w:spacing w:after="0"/>
        <w:tabs>
          <w:tab w:leader="none" w:pos="5300" w:val="left"/>
        </w:tabs>
        <w:rPr>
          <w:sz w:val="20"/>
          <w:szCs w:val="20"/>
          <w:color w:val="auto"/>
        </w:rPr>
      </w:pPr>
      <w:r>
        <w:rPr>
          <w:rFonts w:ascii="Times New Roman" w:cs="Times New Roman" w:eastAsia="Times New Roman" w:hAnsi="Times New Roman"/>
          <w:sz w:val="18"/>
          <w:szCs w:val="18"/>
          <w:color w:val="auto"/>
        </w:rPr>
        <w:t>By:</w:t>
        <w:tab/>
        <w:t>/s/ Justin Renz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3365500</wp:posOffset>
            </wp:positionH>
            <wp:positionV relativeFrom="paragraph">
              <wp:posOffset>17145</wp:posOffset>
            </wp:positionV>
            <wp:extent cx="37376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737610" cy="8255"/>
                    </a:xfrm>
                    <a:prstGeom prst="rect">
                      <a:avLst/>
                    </a:prstGeom>
                    <a:noFill/>
                  </pic:spPr>
                </pic:pic>
              </a:graphicData>
            </a:graphic>
          </wp:anchor>
        </w:drawing>
      </w:r>
    </w:p>
    <w:p>
      <w:pPr>
        <w:spacing w:after="0" w:line="16"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Justin Renz</w:t>
      </w:r>
    </w:p>
    <w:p>
      <w:pPr>
        <w:spacing w:after="0" w:line="27"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20"/>
          </w:cols>
          <w:pgMar w:left="320" w:top="1143" w:right="359" w:bottom="1440" w:gutter="0" w:footer="0" w:header="0"/>
        </w:sectPr>
      </w:pPr>
    </w:p>
    <w:bookmarkStart w:id="3" w:name="page4"/>
    <w:bookmarkEnd w:id="3"/>
    <w:p>
      <w:pPr>
        <w:ind w:left="80" w:right="40"/>
        <w:spacing w:after="0" w:line="239" w:lineRule="auto"/>
        <w:rPr>
          <w:sz w:val="20"/>
          <w:szCs w:val="20"/>
          <w:color w:val="auto"/>
        </w:rPr>
      </w:pPr>
      <w:r>
        <w:rPr>
          <w:rFonts w:ascii="PMingLiU" w:cs="PMingLiU" w:eastAsia="PMingLiU" w:hAnsi="PMingLiU"/>
          <w:sz w:val="19"/>
          <w:szCs w:val="19"/>
          <w:b w:val="1"/>
          <w:bCs w:val="1"/>
          <w:color w:val="auto"/>
        </w:rPr>
        <w:drawing>
          <wp:anchor simplePos="0" relativeHeight="251657728" behindDoc="1" locked="0" layoutInCell="0" allowOverlap="1">
            <wp:simplePos x="0" y="0"/>
            <wp:positionH relativeFrom="page">
              <wp:posOffset>233680</wp:posOffset>
            </wp:positionH>
            <wp:positionV relativeFrom="page">
              <wp:posOffset>106045</wp:posOffset>
            </wp:positionV>
            <wp:extent cx="7115175" cy="436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436880"/>
                    </a:xfrm>
                    <a:prstGeom prst="rect">
                      <a:avLst/>
                    </a:prstGeom>
                    <a:noFill/>
                  </pic:spPr>
                </pic:pic>
              </a:graphicData>
            </a:graphic>
          </wp:anchor>
        </w:drawing>
        <w:t>Certain confidenal informaon contained in this document, marked by [***], has been omiued because it is both (i) not material and (ii) is the type that the registrant treats as private or confidenal.</w:t>
      </w:r>
    </w:p>
    <w:p>
      <w:pPr>
        <w:spacing w:after="0" w:line="277" w:lineRule="exact"/>
        <w:rPr>
          <w:sz w:val="20"/>
          <w:szCs w:val="20"/>
          <w:color w:val="auto"/>
        </w:rPr>
      </w:pPr>
    </w:p>
    <w:p>
      <w:pPr>
        <w:ind w:left="10260"/>
        <w:spacing w:after="0"/>
        <w:rPr>
          <w:sz w:val="20"/>
          <w:szCs w:val="20"/>
          <w:color w:val="auto"/>
        </w:rPr>
      </w:pPr>
      <w:r>
        <w:rPr>
          <w:rFonts w:ascii="PMingLiU" w:cs="PMingLiU" w:eastAsia="PMingLiU" w:hAnsi="PMingLiU"/>
          <w:sz w:val="20"/>
          <w:szCs w:val="20"/>
          <w:b w:val="1"/>
          <w:bCs w:val="1"/>
          <w:color w:val="auto"/>
        </w:rPr>
        <w:t>Exhibit 99.1</w:t>
      </w:r>
    </w:p>
    <w:p>
      <w:pPr>
        <w:spacing w:after="0" w:line="200" w:lineRule="exact"/>
        <w:rPr>
          <w:sz w:val="20"/>
          <w:szCs w:val="20"/>
          <w:color w:val="auto"/>
        </w:rPr>
      </w:pPr>
    </w:p>
    <w:p>
      <w:pPr>
        <w:spacing w:after="0" w:line="295" w:lineRule="exact"/>
        <w:rPr>
          <w:sz w:val="20"/>
          <w:szCs w:val="20"/>
          <w:color w:val="auto"/>
        </w:rPr>
      </w:pPr>
    </w:p>
    <w:p>
      <w:pPr>
        <w:ind w:left="4680"/>
        <w:spacing w:after="0"/>
        <w:rPr>
          <w:sz w:val="20"/>
          <w:szCs w:val="20"/>
          <w:color w:val="auto"/>
        </w:rPr>
      </w:pPr>
      <w:r>
        <w:rPr>
          <w:rFonts w:ascii="PMingLiU" w:cs="PMingLiU" w:eastAsia="PMingLiU" w:hAnsi="PMingLiU"/>
          <w:sz w:val="20"/>
          <w:szCs w:val="20"/>
          <w:b w:val="1"/>
          <w:bCs w:val="1"/>
          <w:color w:val="auto"/>
        </w:rPr>
        <w:t>AMENDMENT NO.2 to</w:t>
      </w:r>
    </w:p>
    <w:p>
      <w:pPr>
        <w:ind w:left="4720"/>
        <w:spacing w:after="0" w:line="196" w:lineRule="auto"/>
        <w:rPr>
          <w:sz w:val="20"/>
          <w:szCs w:val="20"/>
          <w:color w:val="auto"/>
        </w:rPr>
      </w:pPr>
      <w:r>
        <w:rPr>
          <w:rFonts w:ascii="PMingLiU" w:cs="PMingLiU" w:eastAsia="PMingLiU" w:hAnsi="PMingLiU"/>
          <w:sz w:val="20"/>
          <w:szCs w:val="20"/>
          <w:b w:val="1"/>
          <w:bCs w:val="1"/>
          <w:color w:val="auto"/>
        </w:rPr>
        <w:t>LICENSE AGREEMENT</w:t>
      </w:r>
    </w:p>
    <w:p>
      <w:pPr>
        <w:spacing w:after="0" w:line="171" w:lineRule="exact"/>
        <w:rPr>
          <w:sz w:val="20"/>
          <w:szCs w:val="20"/>
          <w:color w:val="auto"/>
        </w:rPr>
      </w:pPr>
    </w:p>
    <w:p>
      <w:pPr>
        <w:jc w:val="both"/>
        <w:ind w:right="20" w:firstLine="648"/>
        <w:spacing w:after="0" w:line="195" w:lineRule="auto"/>
        <w:rPr>
          <w:sz w:val="20"/>
          <w:szCs w:val="20"/>
          <w:color w:val="auto"/>
        </w:rPr>
      </w:pPr>
      <w:r>
        <w:rPr>
          <w:rFonts w:ascii="PMingLiU" w:cs="PMingLiU" w:eastAsia="PMingLiU" w:hAnsi="PMingLiU"/>
          <w:sz w:val="20"/>
          <w:szCs w:val="20"/>
          <w:color w:val="auto"/>
        </w:rPr>
        <w:t xml:space="preserve">This </w:t>
      </w:r>
      <w:r>
        <w:rPr>
          <w:rFonts w:ascii="PMingLiU" w:cs="PMingLiU" w:eastAsia="PMingLiU" w:hAnsi="PMingLiU"/>
          <w:sz w:val="20"/>
          <w:szCs w:val="20"/>
          <w:b w:val="1"/>
          <w:bCs w:val="1"/>
          <w:color w:val="auto"/>
        </w:rPr>
        <w:t>SECOND AMENDMENT</w:t>
      </w:r>
      <w:r>
        <w:rPr>
          <w:rFonts w:ascii="PMingLiU" w:cs="PMingLiU" w:eastAsia="PMingLiU" w:hAnsi="PMingLiU"/>
          <w:sz w:val="20"/>
          <w:szCs w:val="20"/>
          <w:color w:val="auto"/>
        </w:rPr>
        <w:t xml:space="preserve"> (the “Amendment”), e ecve as of the date last signed below (the “</w:t>
      </w:r>
      <w:r>
        <w:rPr>
          <w:rFonts w:ascii="PMingLiU" w:cs="PMingLiU" w:eastAsia="PMingLiU" w:hAnsi="PMingLiU"/>
          <w:sz w:val="20"/>
          <w:szCs w:val="20"/>
          <w:u w:val="single" w:color="auto"/>
          <w:color w:val="auto"/>
        </w:rPr>
        <w:t>E ecve Date</w:t>
      </w:r>
      <w:r>
        <w:rPr>
          <w:rFonts w:ascii="PMingLiU" w:cs="PMingLiU" w:eastAsia="PMingLiU" w:hAnsi="PMingLiU"/>
          <w:sz w:val="20"/>
          <w:szCs w:val="20"/>
          <w:color w:val="auto"/>
        </w:rPr>
        <w:t>”), amends that certain License Agreement dated November 27, 2017 (together with all exhibits, amendments and aachments thereto, the “</w:t>
      </w:r>
      <w:r>
        <w:rPr>
          <w:rFonts w:ascii="PMingLiU" w:cs="PMingLiU" w:eastAsia="PMingLiU" w:hAnsi="PMingLiU"/>
          <w:sz w:val="20"/>
          <w:szCs w:val="20"/>
          <w:u w:val="single" w:color="auto"/>
          <w:color w:val="auto"/>
        </w:rPr>
        <w:t>Original</w:t>
      </w:r>
      <w:r>
        <w:rPr>
          <w:rFonts w:ascii="PMingLiU" w:cs="PMingLiU" w:eastAsia="PMingLiU" w:hAnsi="PMingLiU"/>
          <w:sz w:val="20"/>
          <w:szCs w:val="20"/>
          <w:color w:val="auto"/>
        </w:rPr>
        <w:t xml:space="preserve"> </w:t>
      </w:r>
      <w:r>
        <w:rPr>
          <w:rFonts w:ascii="PMingLiU" w:cs="PMingLiU" w:eastAsia="PMingLiU" w:hAnsi="PMingLiU"/>
          <w:sz w:val="20"/>
          <w:szCs w:val="20"/>
          <w:u w:val="single" w:color="auto"/>
          <w:color w:val="auto"/>
        </w:rPr>
        <w:t>Agreement</w:t>
      </w:r>
      <w:r>
        <w:rPr>
          <w:rFonts w:ascii="PMingLiU" w:cs="PMingLiU" w:eastAsia="PMingLiU" w:hAnsi="PMingLiU"/>
          <w:sz w:val="20"/>
          <w:szCs w:val="20"/>
          <w:color w:val="auto"/>
        </w:rPr>
        <w:t>”) by and between Kyowa Kirin Co., Ltd. (f/k/a Kyowa Hakko Kirin Co., Ltd.), a Japanese corporaon with a place of business at 1-9-2 Otemachi, Chiyoda-ku, Tokyo 100- 0004, Japan (“</w:t>
      </w:r>
      <w:r>
        <w:rPr>
          <w:rFonts w:ascii="PMingLiU" w:cs="PMingLiU" w:eastAsia="PMingLiU" w:hAnsi="PMingLiU"/>
          <w:sz w:val="20"/>
          <w:szCs w:val="20"/>
          <w:u w:val="single" w:color="auto"/>
          <w:color w:val="auto"/>
        </w:rPr>
        <w:t>KKC</w:t>
      </w:r>
      <w:r>
        <w:rPr>
          <w:rFonts w:ascii="PMingLiU" w:cs="PMingLiU" w:eastAsia="PMingLiU" w:hAnsi="PMingLiU"/>
          <w:sz w:val="20"/>
          <w:szCs w:val="20"/>
          <w:color w:val="auto"/>
        </w:rPr>
        <w:t>”), and Ardelyx, Inc., a Delaware corporaon having its principal place of business at 400 Fih Avenue, Suite 210 Waltham, MA 02451, United States of America (“</w:t>
      </w:r>
      <w:r>
        <w:rPr>
          <w:rFonts w:ascii="PMingLiU" w:cs="PMingLiU" w:eastAsia="PMingLiU" w:hAnsi="PMingLiU"/>
          <w:sz w:val="20"/>
          <w:szCs w:val="20"/>
          <w:u w:val="single" w:color="auto"/>
          <w:color w:val="auto"/>
        </w:rPr>
        <w:t>Ardelyx</w:t>
      </w:r>
      <w:r>
        <w:rPr>
          <w:rFonts w:ascii="PMingLiU" w:cs="PMingLiU" w:eastAsia="PMingLiU" w:hAnsi="PMingLiU"/>
          <w:sz w:val="20"/>
          <w:szCs w:val="20"/>
          <w:color w:val="auto"/>
        </w:rPr>
        <w:t>”). KKC and Ardelyx shall each be hereinaer referred to as a “</w:t>
      </w:r>
      <w:r>
        <w:rPr>
          <w:rFonts w:ascii="PMingLiU" w:cs="PMingLiU" w:eastAsia="PMingLiU" w:hAnsi="PMingLiU"/>
          <w:sz w:val="20"/>
          <w:szCs w:val="20"/>
          <w:u w:val="single" w:color="auto"/>
          <w:color w:val="auto"/>
        </w:rPr>
        <w:t>Party</w:t>
      </w:r>
      <w:r>
        <w:rPr>
          <w:rFonts w:ascii="PMingLiU" w:cs="PMingLiU" w:eastAsia="PMingLiU" w:hAnsi="PMingLiU"/>
          <w:sz w:val="20"/>
          <w:szCs w:val="20"/>
          <w:color w:val="auto"/>
        </w:rPr>
        <w:t>” and collecvely as the “</w:t>
      </w:r>
      <w:r>
        <w:rPr>
          <w:rFonts w:ascii="PMingLiU" w:cs="PMingLiU" w:eastAsia="PMingLiU" w:hAnsi="PMingLiU"/>
          <w:sz w:val="20"/>
          <w:szCs w:val="20"/>
          <w:u w:val="single" w:color="auto"/>
          <w:color w:val="auto"/>
        </w:rPr>
        <w:t>Pares</w:t>
      </w:r>
      <w:r>
        <w:rPr>
          <w:rFonts w:ascii="PMingLiU" w:cs="PMingLiU" w:eastAsia="PMingLiU" w:hAnsi="PMingLiU"/>
          <w:sz w:val="20"/>
          <w:szCs w:val="20"/>
          <w:color w:val="auto"/>
        </w:rPr>
        <w:t>”. Capitalized terms used but not otherwise defined herein shall have the meanings ascribed to them in the Original Agreement.</w:t>
      </w:r>
    </w:p>
    <w:p>
      <w:pPr>
        <w:spacing w:after="0" w:line="175" w:lineRule="exact"/>
        <w:rPr>
          <w:sz w:val="20"/>
          <w:szCs w:val="20"/>
          <w:color w:val="auto"/>
        </w:rPr>
      </w:pPr>
    </w:p>
    <w:p>
      <w:pPr>
        <w:jc w:val="both"/>
        <w:ind w:right="20" w:firstLine="210"/>
        <w:spacing w:after="0" w:line="211" w:lineRule="auto"/>
        <w:rPr>
          <w:sz w:val="20"/>
          <w:szCs w:val="20"/>
          <w:color w:val="auto"/>
        </w:rPr>
      </w:pPr>
      <w:r>
        <w:rPr>
          <w:rFonts w:ascii="PMingLiU" w:cs="PMingLiU" w:eastAsia="PMingLiU" w:hAnsi="PMingLiU"/>
          <w:sz w:val="20"/>
          <w:szCs w:val="20"/>
          <w:b w:val="1"/>
          <w:bCs w:val="1"/>
          <w:color w:val="auto"/>
        </w:rPr>
        <w:t xml:space="preserve">WHEREAS, </w:t>
      </w:r>
      <w:r>
        <w:rPr>
          <w:rFonts w:ascii="PMingLiU" w:cs="PMingLiU" w:eastAsia="PMingLiU" w:hAnsi="PMingLiU"/>
          <w:sz w:val="20"/>
          <w:szCs w:val="20"/>
          <w:color w:val="auto"/>
        </w:rPr>
        <w:t>the Pares desire to amend the milestone payments and the royales under Secons 6.02, 6.04 and 11.04 of the Original</w:t>
      </w: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Agreement.</w:t>
      </w:r>
    </w:p>
    <w:p>
      <w:pPr>
        <w:spacing w:after="0" w:line="159" w:lineRule="exact"/>
        <w:rPr>
          <w:sz w:val="20"/>
          <w:szCs w:val="20"/>
          <w:color w:val="auto"/>
        </w:rPr>
      </w:pPr>
    </w:p>
    <w:p>
      <w:pPr>
        <w:ind w:left="660"/>
        <w:spacing w:after="0"/>
        <w:rPr>
          <w:sz w:val="20"/>
          <w:szCs w:val="20"/>
          <w:color w:val="auto"/>
        </w:rPr>
      </w:pPr>
      <w:r>
        <w:rPr>
          <w:rFonts w:ascii="PMingLiU" w:cs="PMingLiU" w:eastAsia="PMingLiU" w:hAnsi="PMingLiU"/>
          <w:sz w:val="20"/>
          <w:szCs w:val="20"/>
          <w:b w:val="1"/>
          <w:bCs w:val="1"/>
          <w:color w:val="auto"/>
        </w:rPr>
        <w:t xml:space="preserve">Now Therefore, </w:t>
      </w:r>
      <w:r>
        <w:rPr>
          <w:rFonts w:ascii="PMingLiU" w:cs="PMingLiU" w:eastAsia="PMingLiU" w:hAnsi="PMingLiU"/>
          <w:sz w:val="20"/>
          <w:szCs w:val="20"/>
          <w:color w:val="auto"/>
        </w:rPr>
        <w:t>in consideraon of the premises and the terms and condions contained herein, the Pares hereby agree as</w:t>
      </w:r>
    </w:p>
    <w:p>
      <w:pPr>
        <w:spacing w:after="0" w:line="196" w:lineRule="auto"/>
        <w:rPr>
          <w:sz w:val="20"/>
          <w:szCs w:val="20"/>
          <w:color w:val="auto"/>
        </w:rPr>
      </w:pPr>
      <w:r>
        <w:rPr>
          <w:rFonts w:ascii="PMingLiU" w:cs="PMingLiU" w:eastAsia="PMingLiU" w:hAnsi="PMingLiU"/>
          <w:sz w:val="20"/>
          <w:szCs w:val="20"/>
          <w:color w:val="auto"/>
        </w:rPr>
        <w:t>follows:</w:t>
      </w:r>
    </w:p>
    <w:p>
      <w:pPr>
        <w:spacing w:after="0" w:line="171" w:lineRule="exact"/>
        <w:rPr>
          <w:sz w:val="20"/>
          <w:szCs w:val="20"/>
          <w:color w:val="auto"/>
        </w:rPr>
      </w:pPr>
    </w:p>
    <w:p>
      <w:pPr>
        <w:ind w:left="340" w:right="20" w:hanging="332"/>
        <w:spacing w:after="0" w:line="211" w:lineRule="auto"/>
        <w:tabs>
          <w:tab w:leader="none" w:pos="344" w:val="left"/>
        </w:tabs>
        <w:numPr>
          <w:ilvl w:val="0"/>
          <w:numId w:val="3"/>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 xml:space="preserve">Amendment to the Milestone Payments. </w:t>
      </w:r>
      <w:r>
        <w:rPr>
          <w:rFonts w:ascii="PMingLiU" w:cs="PMingLiU" w:eastAsia="PMingLiU" w:hAnsi="PMingLiU"/>
          <w:sz w:val="20"/>
          <w:szCs w:val="20"/>
          <w:color w:val="auto"/>
        </w:rPr>
        <w:t>As of the E ecve Date, the table of the milestone events for a Licensed Product set forth</w:t>
      </w: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in Secon 6.02 (a) of the Original Agreement shall be deleted and replaced in its enrety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6600" w:type="dxa"/>
            <w:vAlign w:val="bottom"/>
            <w:tcBorders>
              <w:top w:val="single" w:sz="8" w:color="auto"/>
              <w:left w:val="single" w:sz="8" w:color="auto"/>
              <w:right w:val="single" w:sz="8" w:color="auto"/>
            </w:tcBorders>
          </w:tcPr>
          <w:p>
            <w:pPr>
              <w:ind w:left="260"/>
              <w:spacing w:after="0"/>
              <w:rPr>
                <w:sz w:val="20"/>
                <w:szCs w:val="20"/>
                <w:color w:val="auto"/>
              </w:rPr>
            </w:pPr>
            <w:r>
              <w:rPr>
                <w:rFonts w:ascii="PMingLiU" w:cs="PMingLiU" w:eastAsia="PMingLiU" w:hAnsi="PMingLiU"/>
                <w:sz w:val="20"/>
                <w:szCs w:val="20"/>
                <w:b w:val="1"/>
                <w:bCs w:val="1"/>
                <w:color w:val="auto"/>
              </w:rPr>
              <w:t>Milestone Event for a Licensed Product</w:t>
            </w:r>
          </w:p>
        </w:tc>
        <w:tc>
          <w:tcPr>
            <w:tcW w:w="1940" w:type="dxa"/>
            <w:vAlign w:val="bottom"/>
            <w:tcBorders>
              <w:top w:val="single" w:sz="8" w:color="auto"/>
              <w:right w:val="single" w:sz="8" w:color="auto"/>
            </w:tcBorders>
          </w:tcPr>
          <w:p>
            <w:pPr>
              <w:ind w:left="220"/>
              <w:spacing w:after="0"/>
              <w:rPr>
                <w:sz w:val="20"/>
                <w:szCs w:val="20"/>
                <w:color w:val="auto"/>
              </w:rPr>
            </w:pPr>
            <w:r>
              <w:rPr>
                <w:rFonts w:ascii="PMingLiU" w:cs="PMingLiU" w:eastAsia="PMingLiU" w:hAnsi="PMingLiU"/>
                <w:sz w:val="20"/>
                <w:szCs w:val="20"/>
                <w:b w:val="1"/>
                <w:bCs w:val="1"/>
                <w:color w:val="auto"/>
              </w:rPr>
              <w:t>Milestone Number</w:t>
            </w:r>
          </w:p>
        </w:tc>
        <w:tc>
          <w:tcPr>
            <w:tcW w:w="2720" w:type="dxa"/>
            <w:vAlign w:val="bottom"/>
            <w:tcBorders>
              <w:top w:val="single" w:sz="8" w:color="auto"/>
              <w:right w:val="single" w:sz="8" w:color="auto"/>
            </w:tcBorders>
          </w:tcPr>
          <w:p>
            <w:pPr>
              <w:ind w:left="220"/>
              <w:spacing w:after="0"/>
              <w:rPr>
                <w:sz w:val="20"/>
                <w:szCs w:val="20"/>
                <w:color w:val="auto"/>
              </w:rPr>
            </w:pPr>
            <w:r>
              <w:rPr>
                <w:rFonts w:ascii="PMingLiU" w:cs="PMingLiU" w:eastAsia="PMingLiU" w:hAnsi="PMingLiU"/>
                <w:sz w:val="20"/>
                <w:szCs w:val="20"/>
                <w:b w:val="1"/>
                <w:bCs w:val="1"/>
                <w:color w:val="auto"/>
              </w:rPr>
              <w:t>Milestone Payment</w:t>
            </w:r>
          </w:p>
        </w:tc>
      </w:tr>
      <w:tr>
        <w:trPr>
          <w:trHeight w:val="60"/>
        </w:trPr>
        <w:tc>
          <w:tcPr>
            <w:tcW w:w="66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230"/>
        </w:trPr>
        <w:tc>
          <w:tcPr>
            <w:tcW w:w="6600" w:type="dxa"/>
            <w:vAlign w:val="bottom"/>
            <w:tcBorders>
              <w:left w:val="single" w:sz="8" w:color="auto"/>
              <w:right w:val="single" w:sz="8" w:color="auto"/>
            </w:tcBorders>
          </w:tcPr>
          <w:p>
            <w:pPr>
              <w:ind w:left="260"/>
              <w:spacing w:after="0" w:line="230" w:lineRule="exact"/>
              <w:rPr>
                <w:sz w:val="20"/>
                <w:szCs w:val="20"/>
                <w:color w:val="auto"/>
              </w:rPr>
            </w:pPr>
            <w:r>
              <w:rPr>
                <w:rFonts w:ascii="PMingLiU" w:cs="PMingLiU" w:eastAsia="PMingLiU" w:hAnsi="PMingLiU"/>
                <w:sz w:val="20"/>
                <w:szCs w:val="20"/>
                <w:color w:val="auto"/>
              </w:rPr>
              <w:t>[***]</w:t>
            </w:r>
          </w:p>
        </w:tc>
        <w:tc>
          <w:tcPr>
            <w:tcW w:w="194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01</w:t>
            </w:r>
          </w:p>
        </w:tc>
        <w:tc>
          <w:tcPr>
            <w:tcW w:w="272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USD [***]</w:t>
            </w:r>
          </w:p>
        </w:tc>
      </w:tr>
      <w:tr>
        <w:trPr>
          <w:trHeight w:val="60"/>
        </w:trPr>
        <w:tc>
          <w:tcPr>
            <w:tcW w:w="66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230"/>
        </w:trPr>
        <w:tc>
          <w:tcPr>
            <w:tcW w:w="6600" w:type="dxa"/>
            <w:vAlign w:val="bottom"/>
            <w:tcBorders>
              <w:left w:val="single" w:sz="8" w:color="auto"/>
              <w:right w:val="single" w:sz="8" w:color="auto"/>
            </w:tcBorders>
          </w:tcPr>
          <w:p>
            <w:pPr>
              <w:ind w:left="260"/>
              <w:spacing w:after="0" w:line="230" w:lineRule="exact"/>
              <w:rPr>
                <w:sz w:val="20"/>
                <w:szCs w:val="20"/>
                <w:color w:val="auto"/>
              </w:rPr>
            </w:pPr>
            <w:r>
              <w:rPr>
                <w:rFonts w:ascii="PMingLiU" w:cs="PMingLiU" w:eastAsia="PMingLiU" w:hAnsi="PMingLiU"/>
                <w:sz w:val="20"/>
                <w:szCs w:val="20"/>
                <w:color w:val="auto"/>
              </w:rPr>
              <w:t>[***]</w:t>
            </w:r>
          </w:p>
        </w:tc>
        <w:tc>
          <w:tcPr>
            <w:tcW w:w="194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02</w:t>
            </w:r>
          </w:p>
        </w:tc>
        <w:tc>
          <w:tcPr>
            <w:tcW w:w="272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USD [***]</w:t>
            </w:r>
          </w:p>
        </w:tc>
      </w:tr>
      <w:tr>
        <w:trPr>
          <w:trHeight w:val="60"/>
        </w:trPr>
        <w:tc>
          <w:tcPr>
            <w:tcW w:w="66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230"/>
        </w:trPr>
        <w:tc>
          <w:tcPr>
            <w:tcW w:w="6600" w:type="dxa"/>
            <w:vAlign w:val="bottom"/>
            <w:tcBorders>
              <w:left w:val="single" w:sz="8" w:color="auto"/>
              <w:right w:val="single" w:sz="8" w:color="auto"/>
            </w:tcBorders>
          </w:tcPr>
          <w:p>
            <w:pPr>
              <w:ind w:left="260"/>
              <w:spacing w:after="0" w:line="230" w:lineRule="exact"/>
              <w:rPr>
                <w:sz w:val="20"/>
                <w:szCs w:val="20"/>
                <w:color w:val="auto"/>
              </w:rPr>
            </w:pPr>
            <w:r>
              <w:rPr>
                <w:rFonts w:ascii="PMingLiU" w:cs="PMingLiU" w:eastAsia="PMingLiU" w:hAnsi="PMingLiU"/>
                <w:sz w:val="20"/>
                <w:szCs w:val="20"/>
                <w:color w:val="auto"/>
              </w:rPr>
              <w:t>[***]</w:t>
            </w:r>
          </w:p>
        </w:tc>
        <w:tc>
          <w:tcPr>
            <w:tcW w:w="194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03</w:t>
            </w:r>
          </w:p>
        </w:tc>
        <w:tc>
          <w:tcPr>
            <w:tcW w:w="272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USD [***]</w:t>
            </w:r>
          </w:p>
        </w:tc>
      </w:tr>
      <w:tr>
        <w:trPr>
          <w:trHeight w:val="60"/>
        </w:trPr>
        <w:tc>
          <w:tcPr>
            <w:tcW w:w="66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230"/>
        </w:trPr>
        <w:tc>
          <w:tcPr>
            <w:tcW w:w="6600" w:type="dxa"/>
            <w:vAlign w:val="bottom"/>
            <w:tcBorders>
              <w:left w:val="single" w:sz="8" w:color="auto"/>
              <w:right w:val="single" w:sz="8" w:color="auto"/>
            </w:tcBorders>
          </w:tcPr>
          <w:p>
            <w:pPr>
              <w:ind w:left="260"/>
              <w:spacing w:after="0" w:line="230" w:lineRule="exact"/>
              <w:rPr>
                <w:sz w:val="20"/>
                <w:szCs w:val="20"/>
                <w:color w:val="auto"/>
              </w:rPr>
            </w:pPr>
            <w:r>
              <w:rPr>
                <w:rFonts w:ascii="PMingLiU" w:cs="PMingLiU" w:eastAsia="PMingLiU" w:hAnsi="PMingLiU"/>
                <w:sz w:val="20"/>
                <w:szCs w:val="20"/>
                <w:color w:val="auto"/>
              </w:rPr>
              <w:t>[***]</w:t>
            </w:r>
          </w:p>
        </w:tc>
        <w:tc>
          <w:tcPr>
            <w:tcW w:w="194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04</w:t>
            </w:r>
          </w:p>
        </w:tc>
        <w:tc>
          <w:tcPr>
            <w:tcW w:w="272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USD [***]</w:t>
            </w:r>
          </w:p>
        </w:tc>
      </w:tr>
      <w:tr>
        <w:trPr>
          <w:trHeight w:val="60"/>
        </w:trPr>
        <w:tc>
          <w:tcPr>
            <w:tcW w:w="66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230"/>
        </w:trPr>
        <w:tc>
          <w:tcPr>
            <w:tcW w:w="6600" w:type="dxa"/>
            <w:vAlign w:val="bottom"/>
            <w:tcBorders>
              <w:left w:val="single" w:sz="8" w:color="auto"/>
              <w:right w:val="single" w:sz="8" w:color="auto"/>
            </w:tcBorders>
          </w:tcPr>
          <w:p>
            <w:pPr>
              <w:ind w:left="260"/>
              <w:spacing w:after="0" w:line="230" w:lineRule="exact"/>
              <w:rPr>
                <w:sz w:val="20"/>
                <w:szCs w:val="20"/>
                <w:color w:val="auto"/>
              </w:rPr>
            </w:pPr>
            <w:r>
              <w:rPr>
                <w:rFonts w:ascii="PMingLiU" w:cs="PMingLiU" w:eastAsia="PMingLiU" w:hAnsi="PMingLiU"/>
                <w:sz w:val="20"/>
                <w:szCs w:val="20"/>
                <w:color w:val="auto"/>
              </w:rPr>
              <w:t>[***]</w:t>
            </w:r>
          </w:p>
        </w:tc>
        <w:tc>
          <w:tcPr>
            <w:tcW w:w="194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05</w:t>
            </w:r>
          </w:p>
        </w:tc>
        <w:tc>
          <w:tcPr>
            <w:tcW w:w="272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USD [***]</w:t>
            </w:r>
          </w:p>
        </w:tc>
      </w:tr>
      <w:tr>
        <w:trPr>
          <w:trHeight w:val="60"/>
        </w:trPr>
        <w:tc>
          <w:tcPr>
            <w:tcW w:w="66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230"/>
        </w:trPr>
        <w:tc>
          <w:tcPr>
            <w:tcW w:w="6600" w:type="dxa"/>
            <w:vAlign w:val="bottom"/>
            <w:tcBorders>
              <w:left w:val="single" w:sz="8" w:color="auto"/>
              <w:right w:val="single" w:sz="8" w:color="auto"/>
            </w:tcBorders>
          </w:tcPr>
          <w:p>
            <w:pPr>
              <w:ind w:left="260"/>
              <w:spacing w:after="0" w:line="230" w:lineRule="exact"/>
              <w:rPr>
                <w:sz w:val="20"/>
                <w:szCs w:val="20"/>
                <w:color w:val="auto"/>
              </w:rPr>
            </w:pPr>
            <w:r>
              <w:rPr>
                <w:rFonts w:ascii="PMingLiU" w:cs="PMingLiU" w:eastAsia="PMingLiU" w:hAnsi="PMingLiU"/>
                <w:sz w:val="20"/>
                <w:szCs w:val="20"/>
                <w:color w:val="auto"/>
              </w:rPr>
              <w:t>[***]</w:t>
            </w:r>
          </w:p>
        </w:tc>
        <w:tc>
          <w:tcPr>
            <w:tcW w:w="194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06</w:t>
            </w:r>
          </w:p>
        </w:tc>
        <w:tc>
          <w:tcPr>
            <w:tcW w:w="272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USD [***]</w:t>
            </w:r>
          </w:p>
        </w:tc>
      </w:tr>
      <w:tr>
        <w:trPr>
          <w:trHeight w:val="60"/>
        </w:trPr>
        <w:tc>
          <w:tcPr>
            <w:tcW w:w="66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r>
        <w:trPr>
          <w:trHeight w:val="230"/>
        </w:trPr>
        <w:tc>
          <w:tcPr>
            <w:tcW w:w="6600" w:type="dxa"/>
            <w:vAlign w:val="bottom"/>
            <w:tcBorders>
              <w:left w:val="single" w:sz="8" w:color="auto"/>
              <w:right w:val="single" w:sz="8" w:color="auto"/>
            </w:tcBorders>
          </w:tcPr>
          <w:p>
            <w:pPr>
              <w:ind w:left="260"/>
              <w:spacing w:after="0" w:line="230" w:lineRule="exact"/>
              <w:rPr>
                <w:sz w:val="20"/>
                <w:szCs w:val="20"/>
                <w:color w:val="auto"/>
              </w:rPr>
            </w:pPr>
            <w:r>
              <w:rPr>
                <w:rFonts w:ascii="PMingLiU" w:cs="PMingLiU" w:eastAsia="PMingLiU" w:hAnsi="PMingLiU"/>
                <w:sz w:val="20"/>
                <w:szCs w:val="20"/>
                <w:color w:val="auto"/>
              </w:rPr>
              <w:t>[***]</w:t>
            </w:r>
          </w:p>
        </w:tc>
        <w:tc>
          <w:tcPr>
            <w:tcW w:w="194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07</w:t>
            </w:r>
          </w:p>
        </w:tc>
        <w:tc>
          <w:tcPr>
            <w:tcW w:w="2720" w:type="dxa"/>
            <w:vAlign w:val="bottom"/>
            <w:tcBorders>
              <w:right w:val="single" w:sz="8" w:color="auto"/>
            </w:tcBorders>
          </w:tcPr>
          <w:p>
            <w:pPr>
              <w:ind w:left="220"/>
              <w:spacing w:after="0" w:line="230" w:lineRule="exact"/>
              <w:rPr>
                <w:sz w:val="20"/>
                <w:szCs w:val="20"/>
                <w:color w:val="auto"/>
              </w:rPr>
            </w:pPr>
            <w:r>
              <w:rPr>
                <w:rFonts w:ascii="PMingLiU" w:cs="PMingLiU" w:eastAsia="PMingLiU" w:hAnsi="PMingLiU"/>
                <w:sz w:val="20"/>
                <w:szCs w:val="20"/>
                <w:color w:val="auto"/>
              </w:rPr>
              <w:t>USD [***]</w:t>
            </w:r>
          </w:p>
        </w:tc>
      </w:tr>
      <w:tr>
        <w:trPr>
          <w:trHeight w:val="60"/>
        </w:trPr>
        <w:tc>
          <w:tcPr>
            <w:tcW w:w="6600" w:type="dxa"/>
            <w:vAlign w:val="bottom"/>
            <w:tcBorders>
              <w:left w:val="single" w:sz="8" w:color="auto"/>
              <w:bottom w:val="single" w:sz="8" w:color="auto"/>
              <w:right w:val="single" w:sz="8" w:color="auto"/>
            </w:tcBorders>
          </w:tcPr>
          <w:p>
            <w:pPr>
              <w:spacing w:after="0"/>
              <w:rPr>
                <w:sz w:val="5"/>
                <w:szCs w:val="5"/>
                <w:color w:val="auto"/>
              </w:rPr>
            </w:pPr>
          </w:p>
        </w:tc>
        <w:tc>
          <w:tcPr>
            <w:tcW w:w="1940" w:type="dxa"/>
            <w:vAlign w:val="bottom"/>
            <w:tcBorders>
              <w:bottom w:val="single" w:sz="8" w:color="auto"/>
              <w:right w:val="single" w:sz="8" w:color="auto"/>
            </w:tcBorders>
          </w:tcPr>
          <w:p>
            <w:pPr>
              <w:spacing w:after="0"/>
              <w:rPr>
                <w:sz w:val="5"/>
                <w:szCs w:val="5"/>
                <w:color w:val="auto"/>
              </w:rPr>
            </w:pPr>
          </w:p>
        </w:tc>
        <w:tc>
          <w:tcPr>
            <w:tcW w:w="272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302" w:lineRule="exact"/>
        <w:rPr>
          <w:sz w:val="20"/>
          <w:szCs w:val="20"/>
          <w:color w:val="auto"/>
        </w:rPr>
      </w:pPr>
    </w:p>
    <w:p>
      <w:pPr>
        <w:ind w:left="340" w:right="20" w:hanging="332"/>
        <w:spacing w:after="0" w:line="211" w:lineRule="auto"/>
        <w:tabs>
          <w:tab w:leader="none" w:pos="344" w:val="left"/>
        </w:tabs>
        <w:numPr>
          <w:ilvl w:val="0"/>
          <w:numId w:val="4"/>
        </w:numPr>
        <w:rPr>
          <w:rFonts w:ascii="PMingLiU" w:cs="PMingLiU" w:eastAsia="PMingLiU" w:hAnsi="PMingLiU"/>
          <w:sz w:val="20"/>
          <w:szCs w:val="20"/>
          <w:b w:val="1"/>
          <w:bCs w:val="1"/>
          <w:color w:val="auto"/>
        </w:rPr>
      </w:pPr>
      <w:r>
        <w:rPr>
          <w:rFonts w:ascii="PMingLiU" w:cs="PMingLiU" w:eastAsia="PMingLiU" w:hAnsi="PMingLiU"/>
          <w:sz w:val="20"/>
          <w:szCs w:val="20"/>
          <w:b w:val="1"/>
          <w:bCs w:val="1"/>
          <w:color w:val="auto"/>
        </w:rPr>
        <w:t xml:space="preserve">Amendment to the Royales. </w:t>
      </w:r>
      <w:r>
        <w:rPr>
          <w:rFonts w:ascii="PMingLiU" w:cs="PMingLiU" w:eastAsia="PMingLiU" w:hAnsi="PMingLiU"/>
          <w:sz w:val="20"/>
          <w:szCs w:val="20"/>
          <w:color w:val="auto"/>
        </w:rPr>
        <w:t>As of the E ecve Date, Secon 6.04 and Secon 11.04 of the Original Agreement shall be deleted</w:t>
      </w:r>
      <w:r>
        <w:rPr>
          <w:rFonts w:ascii="PMingLiU" w:cs="PMingLiU" w:eastAsia="PMingLiU" w:hAnsi="PMingLiU"/>
          <w:sz w:val="20"/>
          <w:szCs w:val="20"/>
          <w:b w:val="1"/>
          <w:bCs w:val="1"/>
          <w:color w:val="auto"/>
        </w:rPr>
        <w:t xml:space="preserve"> </w:t>
      </w:r>
      <w:r>
        <w:rPr>
          <w:rFonts w:ascii="PMingLiU" w:cs="PMingLiU" w:eastAsia="PMingLiU" w:hAnsi="PMingLiU"/>
          <w:sz w:val="20"/>
          <w:szCs w:val="20"/>
          <w:color w:val="auto"/>
        </w:rPr>
        <w:t xml:space="preserve">and replaced in its enrety as set forth on </w:t>
      </w:r>
      <w:r>
        <w:rPr>
          <w:rFonts w:ascii="PMingLiU" w:cs="PMingLiU" w:eastAsia="PMingLiU" w:hAnsi="PMingLiU"/>
          <w:sz w:val="20"/>
          <w:szCs w:val="20"/>
          <w:u w:val="single" w:color="auto"/>
          <w:color w:val="auto"/>
        </w:rPr>
        <w:t>Exhibit A</w:t>
      </w:r>
      <w:r>
        <w:rPr>
          <w:rFonts w:ascii="PMingLiU" w:cs="PMingLiU" w:eastAsia="PMingLiU" w:hAnsi="PMingLiU"/>
          <w:sz w:val="20"/>
          <w:szCs w:val="20"/>
          <w:color w:val="auto"/>
        </w:rPr>
        <w:t xml:space="preserve"> to this Amendment.</w:t>
      </w:r>
    </w:p>
    <w:p>
      <w:pPr>
        <w:sectPr>
          <w:pgSz w:w="11900" w:h="16838" w:orient="portrait"/>
          <w:cols w:equalWidth="0" w:num="1">
            <w:col w:w="11260"/>
          </w:cols>
          <w:pgMar w:left="320" w:top="189" w:right="319" w:bottom="1440" w:gutter="0" w:footer="0" w:header="0"/>
        </w:sectPr>
      </w:pPr>
    </w:p>
    <w:bookmarkStart w:id="4" w:name="page5"/>
    <w:bookmarkEnd w:id="4"/>
    <w:p>
      <w:pPr>
        <w:jc w:val="right"/>
        <w:spacing w:after="0"/>
        <w:rPr>
          <w:sz w:val="20"/>
          <w:szCs w:val="20"/>
          <w:color w:val="auto"/>
        </w:rPr>
      </w:pPr>
      <w:r>
        <w:rPr>
          <w:rFonts w:ascii="PMingLiU" w:cs="PMingLiU" w:eastAsia="PMingLiU" w:hAnsi="PMingLiU"/>
          <w:sz w:val="20"/>
          <w:szCs w:val="20"/>
          <w:i w:val="1"/>
          <w:iCs w:val="1"/>
          <w:color w:val="auto"/>
        </w:rPr>
        <w:t>Execuon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left="340"/>
        <w:spacing w:after="0" w:line="238" w:lineRule="auto"/>
        <w:rPr>
          <w:sz w:val="20"/>
          <w:szCs w:val="20"/>
          <w:color w:val="auto"/>
        </w:rPr>
      </w:pPr>
      <w:r>
        <w:rPr>
          <w:rFonts w:ascii="PMingLiU" w:cs="PMingLiU" w:eastAsia="PMingLiU" w:hAnsi="PMingLiU"/>
          <w:sz w:val="20"/>
          <w:szCs w:val="20"/>
          <w:color w:val="auto"/>
        </w:rPr>
        <w:t>As full and complete consideraon for the amendments to the royalty provisions of the Original Agreement KKC shall make the following payments to Ardelyx, when and if earned:</w:t>
      </w:r>
    </w:p>
    <w:p>
      <w:pPr>
        <w:spacing w:after="0" w:line="226" w:lineRule="exact"/>
        <w:rPr>
          <w:sz w:val="20"/>
          <w:szCs w:val="20"/>
          <w:color w:val="auto"/>
        </w:rPr>
      </w:pPr>
    </w:p>
    <w:p>
      <w:pPr>
        <w:ind w:left="660" w:right="20" w:hanging="328"/>
        <w:spacing w:after="0" w:line="211" w:lineRule="auto"/>
        <w:tabs>
          <w:tab w:leader="none" w:pos="664" w:val="left"/>
        </w:tabs>
        <w:numPr>
          <w:ilvl w:val="1"/>
          <w:numId w:val="5"/>
        </w:numPr>
        <w:rPr>
          <w:rFonts w:ascii="PMingLiU" w:cs="PMingLiU" w:eastAsia="PMingLiU" w:hAnsi="PMingLiU"/>
          <w:sz w:val="20"/>
          <w:szCs w:val="20"/>
          <w:color w:val="auto"/>
        </w:rPr>
      </w:pPr>
      <w:r>
        <w:rPr>
          <w:rFonts w:ascii="PMingLiU" w:cs="PMingLiU" w:eastAsia="PMingLiU" w:hAnsi="PMingLiU"/>
          <w:sz w:val="20"/>
          <w:szCs w:val="20"/>
          <w:color w:val="auto"/>
        </w:rPr>
        <w:t>[***] U.S. dollars (U.S. [***]) shall be paid to Ardelyx within [***]days following the first filing of a Drug Approval Applicaon in the Territory for the first indicaon of a Licensed Product; and</w:t>
      </w:r>
    </w:p>
    <w:p>
      <w:pPr>
        <w:spacing w:after="0" w:line="172" w:lineRule="exact"/>
        <w:rPr>
          <w:rFonts w:ascii="PMingLiU" w:cs="PMingLiU" w:eastAsia="PMingLiU" w:hAnsi="PMingLiU"/>
          <w:sz w:val="20"/>
          <w:szCs w:val="20"/>
          <w:color w:val="auto"/>
        </w:rPr>
      </w:pPr>
    </w:p>
    <w:p>
      <w:pPr>
        <w:ind w:left="660" w:hanging="328"/>
        <w:spacing w:after="0" w:line="211" w:lineRule="auto"/>
        <w:tabs>
          <w:tab w:leader="none" w:pos="708" w:val="left"/>
        </w:tabs>
        <w:numPr>
          <w:ilvl w:val="1"/>
          <w:numId w:val="5"/>
        </w:numPr>
        <w:rPr>
          <w:rFonts w:ascii="PMingLiU" w:cs="PMingLiU" w:eastAsia="PMingLiU" w:hAnsi="PMingLiU"/>
          <w:sz w:val="20"/>
          <w:szCs w:val="20"/>
          <w:color w:val="auto"/>
        </w:rPr>
      </w:pPr>
      <w:r>
        <w:rPr>
          <w:rFonts w:ascii="PMingLiU" w:cs="PMingLiU" w:eastAsia="PMingLiU" w:hAnsi="PMingLiU"/>
          <w:sz w:val="20"/>
          <w:szCs w:val="20"/>
          <w:color w:val="auto"/>
        </w:rPr>
        <w:t>[***] U.S. dollars (U.S. [***]) shall be paid to Ardelyx within [***] days following KKC’s first receipt of Regulatory Approval in the Territory for the first indicaon of a Licensed Product.</w:t>
      </w:r>
    </w:p>
    <w:p>
      <w:pPr>
        <w:spacing w:after="0" w:line="172" w:lineRule="exact"/>
        <w:rPr>
          <w:rFonts w:ascii="PMingLiU" w:cs="PMingLiU" w:eastAsia="PMingLiU" w:hAnsi="PMingLiU"/>
          <w:sz w:val="20"/>
          <w:szCs w:val="20"/>
          <w:color w:val="auto"/>
        </w:rPr>
      </w:pPr>
    </w:p>
    <w:p>
      <w:pPr>
        <w:ind w:left="340" w:right="20" w:hanging="332"/>
        <w:spacing w:after="0" w:line="205" w:lineRule="auto"/>
        <w:tabs>
          <w:tab w:leader="none" w:pos="344"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Publicity. </w:t>
      </w:r>
      <w:r>
        <w:rPr>
          <w:rFonts w:ascii="PMingLiU" w:cs="PMingLiU" w:eastAsia="PMingLiU" w:hAnsi="PMingLiU"/>
          <w:sz w:val="20"/>
          <w:szCs w:val="20"/>
          <w:color w:val="auto"/>
        </w:rPr>
        <w:t>Notwithstanding the provisions of Secon 10.02 of the Original Agreement, the Pares agree that Ardelyx and KKC may</w:t>
      </w:r>
      <w:r>
        <w:rPr>
          <w:rFonts w:ascii="Calibri" w:cs="Calibri" w:eastAsia="Calibri" w:hAnsi="Calibri"/>
          <w:sz w:val="20"/>
          <w:szCs w:val="20"/>
          <w:b w:val="1"/>
          <w:bCs w:val="1"/>
          <w:color w:val="auto"/>
        </w:rPr>
        <w:t xml:space="preserve"> </w:t>
      </w:r>
      <w:r>
        <w:rPr>
          <w:rFonts w:ascii="PMingLiU" w:cs="PMingLiU" w:eastAsia="PMingLiU" w:hAnsi="PMingLiU"/>
          <w:sz w:val="20"/>
          <w:szCs w:val="20"/>
          <w:color w:val="auto"/>
        </w:rPr>
        <w:t>issue a press release set forth on Exhibit B regarding this Amendment.</w:t>
      </w:r>
    </w:p>
    <w:p>
      <w:pPr>
        <w:spacing w:after="0" w:line="172" w:lineRule="exact"/>
        <w:rPr>
          <w:rFonts w:ascii="Calibri" w:cs="Calibri" w:eastAsia="Calibri" w:hAnsi="Calibri"/>
          <w:sz w:val="20"/>
          <w:szCs w:val="20"/>
          <w:b w:val="1"/>
          <w:bCs w:val="1"/>
          <w:color w:val="auto"/>
        </w:rPr>
      </w:pPr>
    </w:p>
    <w:p>
      <w:pPr>
        <w:jc w:val="both"/>
        <w:ind w:left="340" w:hanging="332"/>
        <w:spacing w:after="0" w:line="195" w:lineRule="auto"/>
        <w:tabs>
          <w:tab w:leader="none" w:pos="344" w:val="left"/>
        </w:tabs>
        <w:numPr>
          <w:ilvl w:val="0"/>
          <w:numId w:val="6"/>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xml:space="preserve">Miscellaneous. </w:t>
      </w:r>
      <w:r>
        <w:rPr>
          <w:rFonts w:ascii="PMingLiU" w:cs="PMingLiU" w:eastAsia="PMingLiU" w:hAnsi="PMingLiU"/>
          <w:sz w:val="20"/>
          <w:szCs w:val="20"/>
          <w:color w:val="auto"/>
        </w:rPr>
        <w:t>This Amendment shall be governed and construed in accordance with the laws of the State of New York, without</w:t>
      </w:r>
      <w:r>
        <w:rPr>
          <w:rFonts w:ascii="Calibri" w:cs="Calibri" w:eastAsia="Calibri" w:hAnsi="Calibri"/>
          <w:sz w:val="20"/>
          <w:szCs w:val="20"/>
          <w:b w:val="1"/>
          <w:bCs w:val="1"/>
          <w:color w:val="auto"/>
        </w:rPr>
        <w:t xml:space="preserve"> </w:t>
      </w:r>
      <w:r>
        <w:rPr>
          <w:rFonts w:ascii="PMingLiU" w:cs="PMingLiU" w:eastAsia="PMingLiU" w:hAnsi="PMingLiU"/>
          <w:sz w:val="20"/>
          <w:szCs w:val="20"/>
          <w:color w:val="auto"/>
        </w:rPr>
        <w:t>giving e ect to the conflict of law rules thereof that would require applicaon of the laws of any other jurisdicon. Except for those amendments expressly described in this Amendment, the Original Agreement remains unchanged and in full force and e ect. This Amendment may be executed in any number of counterparts, each of which shall be deemed an original and all of which taken together shall be deemed to constute one and the same instrument.</w:t>
      </w:r>
    </w:p>
    <w:p>
      <w:pPr>
        <w:spacing w:after="0" w:line="165" w:lineRule="exact"/>
        <w:rPr>
          <w:rFonts w:ascii="Calibri" w:cs="Calibri" w:eastAsia="Calibri" w:hAnsi="Calibri"/>
          <w:sz w:val="20"/>
          <w:szCs w:val="20"/>
          <w:b w:val="1"/>
          <w:bCs w:val="1"/>
          <w:color w:val="auto"/>
        </w:rPr>
      </w:pPr>
    </w:p>
    <w:p>
      <w:pPr>
        <w:ind w:left="5420"/>
        <w:spacing w:after="0"/>
        <w:rPr>
          <w:rFonts w:ascii="Calibri" w:cs="Calibri" w:eastAsia="Calibri" w:hAnsi="Calibri"/>
          <w:sz w:val="20"/>
          <w:szCs w:val="20"/>
          <w:b w:val="1"/>
          <w:bCs w:val="1"/>
          <w:color w:val="auto"/>
        </w:rPr>
      </w:pPr>
      <w:r>
        <w:rPr>
          <w:rFonts w:ascii="Calibri" w:cs="Calibri" w:eastAsia="Calibri" w:hAnsi="Calibri"/>
          <w:sz w:val="20"/>
          <w:szCs w:val="20"/>
          <w:b w:val="1"/>
          <w:bCs w:val="1"/>
          <w:color w:val="auto"/>
        </w:rPr>
        <w:t>* * *</w:t>
      </w:r>
    </w:p>
    <w:p>
      <w:pPr>
        <w:spacing w:after="0" w:line="171" w:lineRule="exact"/>
        <w:rPr>
          <w:sz w:val="20"/>
          <w:szCs w:val="20"/>
          <w:color w:val="auto"/>
        </w:rPr>
      </w:pPr>
    </w:p>
    <w:p>
      <w:pPr>
        <w:ind w:right="240" w:firstLine="648"/>
        <w:spacing w:after="0" w:line="205" w:lineRule="auto"/>
        <w:rPr>
          <w:sz w:val="20"/>
          <w:szCs w:val="20"/>
          <w:color w:val="auto"/>
        </w:rPr>
      </w:pPr>
      <w:r>
        <w:rPr>
          <w:rFonts w:ascii="Calibri" w:cs="Calibri" w:eastAsia="Calibri" w:hAnsi="Calibri"/>
          <w:sz w:val="20"/>
          <w:szCs w:val="20"/>
          <w:b w:val="1"/>
          <w:bCs w:val="1"/>
          <w:color w:val="auto"/>
        </w:rPr>
        <w:t xml:space="preserve">IN WITNESS WHEREOF, </w:t>
      </w:r>
      <w:r>
        <w:rPr>
          <w:rFonts w:ascii="PMingLiU" w:cs="PMingLiU" w:eastAsia="PMingLiU" w:hAnsi="PMingLiU"/>
          <w:sz w:val="20"/>
          <w:szCs w:val="20"/>
          <w:color w:val="auto"/>
        </w:rPr>
        <w:t>the Pares have caused this Amendment to be executed by their duly authorized representaves as of</w:t>
      </w:r>
      <w:r>
        <w:rPr>
          <w:rFonts w:ascii="Calibri" w:cs="Calibri" w:eastAsia="Calibri" w:hAnsi="Calibri"/>
          <w:sz w:val="20"/>
          <w:szCs w:val="20"/>
          <w:b w:val="1"/>
          <w:bCs w:val="1"/>
          <w:color w:val="auto"/>
        </w:rPr>
        <w:t xml:space="preserve"> </w:t>
      </w:r>
      <w:r>
        <w:rPr>
          <w:rFonts w:ascii="PMingLiU" w:cs="PMingLiU" w:eastAsia="PMingLiU" w:hAnsi="PMingLiU"/>
          <w:sz w:val="20"/>
          <w:szCs w:val="20"/>
          <w:color w:val="auto"/>
        </w:rPr>
        <w:t>the E ecve Date.</w:t>
      </w:r>
    </w:p>
    <w:p>
      <w:pPr>
        <w:spacing w:after="0" w:line="163" w:lineRule="exact"/>
        <w:rPr>
          <w:sz w:val="20"/>
          <w:szCs w:val="20"/>
          <w:color w:val="auto"/>
        </w:rPr>
      </w:pPr>
    </w:p>
    <w:tbl>
      <w:tblPr>
        <w:tblLayout w:type="fixed"/>
        <w:tblInd w:w="200" w:type="dxa"/>
        <w:tblCellMar>
          <w:top w:w="0" w:type="dxa"/>
          <w:left w:w="0" w:type="dxa"/>
          <w:bottom w:w="0" w:type="dxa"/>
          <w:right w:w="0" w:type="dxa"/>
        </w:tblCellMar>
      </w:tblPr>
      <w:tr>
        <w:trPr>
          <w:trHeight w:val="244"/>
        </w:trPr>
        <w:tc>
          <w:tcPr>
            <w:tcW w:w="460" w:type="dxa"/>
            <w:vAlign w:val="bottom"/>
          </w:tcPr>
          <w:p>
            <w:pPr>
              <w:spacing w:after="0"/>
              <w:rPr>
                <w:sz w:val="21"/>
                <w:szCs w:val="21"/>
                <w:color w:val="auto"/>
              </w:rPr>
            </w:pPr>
          </w:p>
        </w:tc>
        <w:tc>
          <w:tcPr>
            <w:tcW w:w="1800" w:type="dxa"/>
            <w:vAlign w:val="bottom"/>
            <w:gridSpan w:val="4"/>
          </w:tcPr>
          <w:p>
            <w:pPr>
              <w:spacing w:after="0"/>
              <w:rPr>
                <w:sz w:val="20"/>
                <w:szCs w:val="20"/>
                <w:color w:val="auto"/>
              </w:rPr>
            </w:pPr>
            <w:r>
              <w:rPr>
                <w:rFonts w:ascii="Calibri" w:cs="Calibri" w:eastAsia="Calibri" w:hAnsi="Calibri"/>
                <w:sz w:val="20"/>
                <w:szCs w:val="20"/>
                <w:b w:val="1"/>
                <w:bCs w:val="1"/>
                <w:color w:val="auto"/>
              </w:rPr>
              <w:t>Kyowa Kirin Co., Ltd.</w:t>
            </w:r>
          </w:p>
        </w:tc>
        <w:tc>
          <w:tcPr>
            <w:tcW w:w="4720" w:type="dxa"/>
            <w:vAlign w:val="bottom"/>
            <w:gridSpan w:val="3"/>
          </w:tcPr>
          <w:p>
            <w:pPr>
              <w:ind w:left="640"/>
              <w:spacing w:after="0"/>
              <w:rPr>
                <w:sz w:val="20"/>
                <w:szCs w:val="20"/>
                <w:color w:val="auto"/>
              </w:rPr>
            </w:pPr>
            <w:r>
              <w:rPr>
                <w:rFonts w:ascii="Calibri" w:cs="Calibri" w:eastAsia="Calibri" w:hAnsi="Calibri"/>
                <w:sz w:val="20"/>
                <w:szCs w:val="20"/>
                <w:b w:val="1"/>
                <w:bCs w:val="1"/>
                <w:color w:val="auto"/>
              </w:rPr>
              <w:t>Ardelyx, Inc.</w:t>
            </w:r>
          </w:p>
        </w:tc>
      </w:tr>
      <w:tr>
        <w:trPr>
          <w:trHeight w:val="789"/>
        </w:trPr>
        <w:tc>
          <w:tcPr>
            <w:tcW w:w="460" w:type="dxa"/>
            <w:vAlign w:val="bottom"/>
          </w:tcPr>
          <w:p>
            <w:pPr>
              <w:spacing w:after="0"/>
              <w:rPr>
                <w:sz w:val="24"/>
                <w:szCs w:val="24"/>
                <w:color w:val="auto"/>
              </w:rPr>
            </w:pPr>
          </w:p>
        </w:tc>
        <w:tc>
          <w:tcPr>
            <w:tcW w:w="1320" w:type="dxa"/>
            <w:vAlign w:val="bottom"/>
            <w:tcBorders>
              <w:bottom w:val="single" w:sz="8" w:color="auto"/>
            </w:tcBorders>
          </w:tcPr>
          <w:p>
            <w:pPr>
              <w:spacing w:after="0"/>
              <w:rPr>
                <w:sz w:val="20"/>
                <w:szCs w:val="20"/>
                <w:color w:val="auto"/>
              </w:rPr>
            </w:pPr>
            <w:r>
              <w:rPr>
                <w:rFonts w:ascii="PMingLiU" w:cs="PMingLiU" w:eastAsia="PMingLiU" w:hAnsi="PMingLiU"/>
                <w:sz w:val="20"/>
                <w:szCs w:val="20"/>
                <w:color w:val="auto"/>
              </w:rPr>
              <w:t>/s/ Yasuo Fujii</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Borders>
              <w:bottom w:val="single" w:sz="8" w:color="auto"/>
            </w:tcBorders>
            <w:gridSpan w:val="2"/>
          </w:tcPr>
          <w:p>
            <w:pPr>
              <w:spacing w:after="0"/>
              <w:rPr>
                <w:sz w:val="20"/>
                <w:szCs w:val="20"/>
                <w:color w:val="auto"/>
              </w:rPr>
            </w:pPr>
            <w:r>
              <w:rPr>
                <w:rFonts w:ascii="PMingLiU" w:cs="PMingLiU" w:eastAsia="PMingLiU" w:hAnsi="PMingLiU"/>
                <w:sz w:val="20"/>
                <w:szCs w:val="20"/>
                <w:color w:val="auto"/>
              </w:rPr>
              <w:t>/s/ Michael Raab</w:t>
            </w:r>
          </w:p>
        </w:tc>
        <w:tc>
          <w:tcPr>
            <w:tcW w:w="120" w:type="dxa"/>
            <w:vAlign w:val="bottom"/>
            <w:tcBorders>
              <w:bottom w:val="single" w:sz="8" w:color="auto"/>
            </w:tcBorders>
          </w:tcPr>
          <w:p>
            <w:pPr>
              <w:spacing w:after="0"/>
              <w:rPr>
                <w:sz w:val="24"/>
                <w:szCs w:val="24"/>
                <w:color w:val="auto"/>
              </w:rPr>
            </w:pPr>
          </w:p>
        </w:tc>
        <w:tc>
          <w:tcPr>
            <w:tcW w:w="3440" w:type="dxa"/>
            <w:vAlign w:val="bottom"/>
          </w:tcPr>
          <w:p>
            <w:pPr>
              <w:spacing w:after="0"/>
              <w:rPr>
                <w:sz w:val="24"/>
                <w:szCs w:val="24"/>
                <w:color w:val="auto"/>
              </w:rPr>
            </w:pPr>
          </w:p>
        </w:tc>
      </w:tr>
      <w:tr>
        <w:trPr>
          <w:trHeight w:val="271"/>
        </w:trPr>
        <w:tc>
          <w:tcPr>
            <w:tcW w:w="460" w:type="dxa"/>
            <w:vAlign w:val="bottom"/>
          </w:tcPr>
          <w:p>
            <w:pPr>
              <w:spacing w:after="0"/>
              <w:rPr>
                <w:sz w:val="23"/>
                <w:szCs w:val="23"/>
                <w:color w:val="auto"/>
              </w:rPr>
            </w:pPr>
          </w:p>
        </w:tc>
        <w:tc>
          <w:tcPr>
            <w:tcW w:w="1480" w:type="dxa"/>
            <w:vAlign w:val="bottom"/>
            <w:gridSpan w:val="2"/>
          </w:tcPr>
          <w:p>
            <w:pPr>
              <w:spacing w:after="0"/>
              <w:rPr>
                <w:sz w:val="20"/>
                <w:szCs w:val="20"/>
                <w:color w:val="auto"/>
              </w:rPr>
            </w:pPr>
            <w:r>
              <w:rPr>
                <w:rFonts w:ascii="PMingLiU" w:cs="PMingLiU" w:eastAsia="PMingLiU" w:hAnsi="PMingLiU"/>
                <w:sz w:val="20"/>
                <w:szCs w:val="20"/>
                <w:color w:val="auto"/>
              </w:rPr>
              <w:t>Name: Yasuo Fujii</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720" w:type="dxa"/>
            <w:vAlign w:val="bottom"/>
            <w:gridSpan w:val="3"/>
          </w:tcPr>
          <w:p>
            <w:pPr>
              <w:ind w:left="20"/>
              <w:spacing w:after="0"/>
              <w:rPr>
                <w:sz w:val="20"/>
                <w:szCs w:val="20"/>
                <w:color w:val="auto"/>
              </w:rPr>
            </w:pPr>
            <w:r>
              <w:rPr>
                <w:rFonts w:ascii="PMingLiU" w:cs="PMingLiU" w:eastAsia="PMingLiU" w:hAnsi="PMingLiU"/>
                <w:sz w:val="20"/>
                <w:szCs w:val="20"/>
                <w:color w:val="auto"/>
              </w:rPr>
              <w:t>Name: Michael Raab</w:t>
            </w:r>
          </w:p>
        </w:tc>
      </w:tr>
      <w:tr>
        <w:trPr>
          <w:trHeight w:val="580"/>
        </w:trPr>
        <w:tc>
          <w:tcPr>
            <w:tcW w:w="460" w:type="dxa"/>
            <w:vAlign w:val="bottom"/>
          </w:tcPr>
          <w:p>
            <w:pPr>
              <w:spacing w:after="0"/>
              <w:rPr>
                <w:sz w:val="24"/>
                <w:szCs w:val="24"/>
                <w:color w:val="auto"/>
              </w:rPr>
            </w:pPr>
          </w:p>
        </w:tc>
        <w:tc>
          <w:tcPr>
            <w:tcW w:w="2960" w:type="dxa"/>
            <w:vAlign w:val="bottom"/>
            <w:gridSpan w:val="5"/>
          </w:tcPr>
          <w:p>
            <w:pPr>
              <w:spacing w:after="0"/>
              <w:rPr>
                <w:sz w:val="20"/>
                <w:szCs w:val="20"/>
                <w:color w:val="auto"/>
              </w:rPr>
            </w:pPr>
            <w:r>
              <w:rPr>
                <w:rFonts w:ascii="PMingLiU" w:cs="PMingLiU" w:eastAsia="PMingLiU" w:hAnsi="PMingLiU"/>
                <w:sz w:val="20"/>
                <w:szCs w:val="20"/>
                <w:color w:val="auto"/>
              </w:rPr>
              <w:t>Title: Execuve O cer, Director,</w:t>
            </w:r>
          </w:p>
        </w:tc>
        <w:tc>
          <w:tcPr>
            <w:tcW w:w="3560" w:type="dxa"/>
            <w:vAlign w:val="bottom"/>
            <w:gridSpan w:val="2"/>
          </w:tcPr>
          <w:p>
            <w:pPr>
              <w:ind w:left="60"/>
              <w:spacing w:after="0"/>
              <w:rPr>
                <w:sz w:val="20"/>
                <w:szCs w:val="20"/>
                <w:color w:val="auto"/>
              </w:rPr>
            </w:pPr>
            <w:r>
              <w:rPr>
                <w:rFonts w:ascii="PMingLiU" w:cs="PMingLiU" w:eastAsia="PMingLiU" w:hAnsi="PMingLiU"/>
                <w:sz w:val="20"/>
                <w:szCs w:val="20"/>
                <w:color w:val="auto"/>
              </w:rPr>
              <w:t>Title: President and Chief Execuve O cer</w:t>
            </w:r>
          </w:p>
        </w:tc>
      </w:tr>
      <w:tr>
        <w:trPr>
          <w:trHeight w:val="256"/>
        </w:trPr>
        <w:tc>
          <w:tcPr>
            <w:tcW w:w="3420" w:type="dxa"/>
            <w:vAlign w:val="bottom"/>
            <w:gridSpan w:val="6"/>
          </w:tcPr>
          <w:p>
            <w:pPr>
              <w:spacing w:after="0"/>
              <w:rPr>
                <w:sz w:val="20"/>
                <w:szCs w:val="20"/>
                <w:color w:val="auto"/>
              </w:rPr>
            </w:pPr>
            <w:r>
              <w:rPr>
                <w:rFonts w:ascii="PMingLiU" w:cs="PMingLiU" w:eastAsia="PMingLiU" w:hAnsi="PMingLiU"/>
                <w:sz w:val="20"/>
                <w:szCs w:val="20"/>
                <w:color w:val="auto"/>
              </w:rPr>
              <w:t>Business Development Department</w:t>
            </w:r>
          </w:p>
        </w:tc>
        <w:tc>
          <w:tcPr>
            <w:tcW w:w="120" w:type="dxa"/>
            <w:vAlign w:val="bottom"/>
          </w:tcPr>
          <w:p>
            <w:pPr>
              <w:spacing w:after="0"/>
              <w:rPr>
                <w:sz w:val="22"/>
                <w:szCs w:val="22"/>
                <w:color w:val="auto"/>
              </w:rPr>
            </w:pPr>
          </w:p>
        </w:tc>
        <w:tc>
          <w:tcPr>
            <w:tcW w:w="3440" w:type="dxa"/>
            <w:vAlign w:val="bottom"/>
          </w:tcPr>
          <w:p>
            <w:pPr>
              <w:spacing w:after="0"/>
              <w:rPr>
                <w:sz w:val="22"/>
                <w:szCs w:val="22"/>
                <w:color w:val="auto"/>
              </w:rPr>
            </w:pPr>
          </w:p>
        </w:tc>
      </w:tr>
      <w:tr>
        <w:trPr>
          <w:trHeight w:val="527"/>
        </w:trPr>
        <w:tc>
          <w:tcPr>
            <w:tcW w:w="460" w:type="dxa"/>
            <w:vAlign w:val="bottom"/>
          </w:tcPr>
          <w:p>
            <w:pPr>
              <w:spacing w:after="0"/>
              <w:rPr>
                <w:sz w:val="24"/>
                <w:szCs w:val="24"/>
                <w:color w:val="auto"/>
              </w:rPr>
            </w:pPr>
          </w:p>
        </w:tc>
        <w:tc>
          <w:tcPr>
            <w:tcW w:w="1800" w:type="dxa"/>
            <w:vAlign w:val="bottom"/>
            <w:gridSpan w:val="4"/>
          </w:tcPr>
          <w:p>
            <w:pPr>
              <w:spacing w:after="0"/>
              <w:rPr>
                <w:sz w:val="20"/>
                <w:szCs w:val="20"/>
                <w:color w:val="auto"/>
              </w:rPr>
            </w:pPr>
            <w:r>
              <w:rPr>
                <w:rFonts w:ascii="PMingLiU" w:cs="PMingLiU" w:eastAsia="PMingLiU" w:hAnsi="PMingLiU"/>
                <w:sz w:val="20"/>
                <w:szCs w:val="20"/>
                <w:color w:val="auto"/>
              </w:rPr>
              <w:t>Date: April 11th, 2022</w:t>
            </w:r>
          </w:p>
        </w:tc>
        <w:tc>
          <w:tcPr>
            <w:tcW w:w="4720" w:type="dxa"/>
            <w:vAlign w:val="bottom"/>
            <w:gridSpan w:val="3"/>
          </w:tcPr>
          <w:p>
            <w:pPr>
              <w:ind w:left="360"/>
              <w:spacing w:after="0"/>
              <w:rPr>
                <w:sz w:val="20"/>
                <w:szCs w:val="20"/>
                <w:color w:val="auto"/>
              </w:rPr>
            </w:pPr>
            <w:r>
              <w:rPr>
                <w:rFonts w:ascii="PMingLiU" w:cs="PMingLiU" w:eastAsia="PMingLiU" w:hAnsi="PMingLiU"/>
                <w:sz w:val="20"/>
                <w:szCs w:val="20"/>
                <w:color w:val="auto"/>
              </w:rPr>
              <w:t>Date: April 10th, 2022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PMingLiU" w:cs="PMingLiU" w:eastAsia="PMingLiU" w:hAnsi="PMingLiU"/>
          <w:sz w:val="20"/>
          <w:szCs w:val="20"/>
          <w:color w:val="auto"/>
        </w:rPr>
        <w:t>2</w:t>
      </w:r>
    </w:p>
    <w:p>
      <w:pPr>
        <w:spacing w:after="0" w:line="200" w:lineRule="exact"/>
        <w:rPr>
          <w:sz w:val="20"/>
          <w:szCs w:val="20"/>
          <w:color w:val="auto"/>
        </w:rPr>
      </w:pPr>
    </w:p>
    <w:p>
      <w:pPr>
        <w:spacing w:after="0" w:line="351" w:lineRule="exact"/>
        <w:rPr>
          <w:sz w:val="20"/>
          <w:szCs w:val="20"/>
          <w:color w:val="auto"/>
        </w:rPr>
      </w:pPr>
    </w:p>
    <w:p>
      <w:pPr>
        <w:ind w:right="160" w:firstLine="8"/>
        <w:spacing w:after="0" w:line="239" w:lineRule="auto"/>
        <w:tabs>
          <w:tab w:leader="none" w:pos="410" w:val="left"/>
        </w:tabs>
        <w:numPr>
          <w:ilvl w:val="0"/>
          <w:numId w:val="7"/>
        </w:numPr>
        <w:rPr>
          <w:rFonts w:ascii="PMingLiU" w:cs="PMingLiU" w:eastAsia="PMingLiU" w:hAnsi="PMingLiU"/>
          <w:sz w:val="18"/>
          <w:szCs w:val="18"/>
          <w:color w:val="auto"/>
        </w:rPr>
      </w:pPr>
      <w:r>
        <w:rPr>
          <w:rFonts w:ascii="PMingLiU" w:cs="PMingLiU" w:eastAsia="PMingLiU" w:hAnsi="PMingLiU"/>
          <w:sz w:val="18"/>
          <w:szCs w:val="18"/>
          <w:color w:val="auto"/>
        </w:rPr>
        <w:t>= Certain confidenal informaon contained in this document, marked by [***], has been omied because it is both (i) not material and (ii) is the type that the registrant treats as private or confidenal.</w:t>
      </w:r>
    </w:p>
    <w:p>
      <w:pPr>
        <w:sectPr>
          <w:pgSz w:w="11900" w:h="16838" w:orient="portrait"/>
          <w:cols w:equalWidth="0" w:num="1">
            <w:col w:w="11240"/>
          </w:cols>
          <w:pgMar w:left="320" w:top="110" w:right="339" w:bottom="1440" w:gutter="0" w:footer="0" w:header="0"/>
        </w:sectPr>
      </w:pPr>
    </w:p>
    <w:bookmarkStart w:id="5" w:name="page6"/>
    <w:bookmarkEnd w:id="5"/>
    <w:p>
      <w:pPr>
        <w:jc w:val="right"/>
        <w:spacing w:after="0"/>
        <w:rPr>
          <w:sz w:val="20"/>
          <w:szCs w:val="20"/>
          <w:color w:val="auto"/>
        </w:rPr>
      </w:pPr>
      <w:r>
        <w:rPr>
          <w:rFonts w:ascii="PMingLiU" w:cs="PMingLiU" w:eastAsia="PMingLiU" w:hAnsi="PMingLiU"/>
          <w:sz w:val="20"/>
          <w:szCs w:val="20"/>
          <w:i w:val="1"/>
          <w:iCs w:val="1"/>
          <w:color w:val="auto"/>
        </w:rPr>
        <w:t>Execuon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PMingLiU" w:cs="PMingLiU" w:eastAsia="PMingLiU" w:hAnsi="PMingLiU"/>
          <w:sz w:val="20"/>
          <w:szCs w:val="20"/>
          <w:b w:val="1"/>
          <w:bCs w:val="1"/>
          <w:color w:val="auto"/>
        </w:rPr>
        <w:t>EXHIBIT A</w:t>
      </w:r>
    </w:p>
    <w:p>
      <w:pPr>
        <w:spacing w:after="0" w:line="98"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 xml:space="preserve">Secon 6.04 </w:t>
      </w:r>
      <w:r>
        <w:rPr>
          <w:rFonts w:ascii="PMingLiU" w:cs="PMingLiU" w:eastAsia="PMingLiU" w:hAnsi="PMingLiU"/>
          <w:sz w:val="20"/>
          <w:szCs w:val="20"/>
          <w:b w:val="1"/>
          <w:bCs w:val="1"/>
          <w:u w:val="single" w:color="auto"/>
          <w:color w:val="auto"/>
        </w:rPr>
        <w:t>Royales</w:t>
      </w:r>
      <w:r>
        <w:rPr>
          <w:rFonts w:ascii="PMingLiU" w:cs="PMingLiU" w:eastAsia="PMingLiU" w:hAnsi="PMingLiU"/>
          <w:sz w:val="20"/>
          <w:szCs w:val="20"/>
          <w:b w:val="1"/>
          <w:bCs w:val="1"/>
          <w:color w:val="auto"/>
        </w:rPr>
        <w:t>.</w:t>
      </w:r>
    </w:p>
    <w:p>
      <w:pPr>
        <w:spacing w:after="0" w:line="171" w:lineRule="exact"/>
        <w:rPr>
          <w:sz w:val="20"/>
          <w:szCs w:val="20"/>
          <w:color w:val="auto"/>
        </w:rPr>
      </w:pPr>
    </w:p>
    <w:p>
      <w:pPr>
        <w:ind w:right="360" w:firstLine="500"/>
        <w:spacing w:after="0" w:line="211" w:lineRule="auto"/>
        <w:tabs>
          <w:tab w:leader="none" w:pos="1292" w:val="left"/>
        </w:tabs>
        <w:numPr>
          <w:ilvl w:val="0"/>
          <w:numId w:val="8"/>
        </w:numPr>
        <w:rPr>
          <w:rFonts w:ascii="PMingLiU" w:cs="PMingLiU" w:eastAsia="PMingLiU" w:hAnsi="PMingLiU"/>
          <w:sz w:val="20"/>
          <w:szCs w:val="20"/>
          <w:color w:val="auto"/>
        </w:rPr>
      </w:pPr>
      <w:r>
        <w:rPr>
          <w:rFonts w:ascii="PMingLiU" w:cs="PMingLiU" w:eastAsia="PMingLiU" w:hAnsi="PMingLiU"/>
          <w:sz w:val="20"/>
          <w:szCs w:val="20"/>
          <w:color w:val="auto"/>
        </w:rPr>
        <w:t>Subject to the provisions set forth below in Secon 6.04(b) through Secon 6.04(e) and Secon 6.05, KKC shall pay to Ardelyx a royalty on aggregate Annual Net Sales of the Licensed Products made by KKC, its A liates, or its Sublicensees as follows:</w:t>
      </w:r>
    </w:p>
    <w:p>
      <w:pPr>
        <w:spacing w:after="0" w:line="231" w:lineRule="exact"/>
        <w:rPr>
          <w:sz w:val="20"/>
          <w:szCs w:val="20"/>
          <w:color w:val="auto"/>
        </w:rPr>
      </w:pPr>
    </w:p>
    <w:tbl>
      <w:tblPr>
        <w:tblLayout w:type="fixed"/>
        <w:tblInd w:w="510" w:type="dxa"/>
        <w:tblCellMar>
          <w:top w:w="0" w:type="dxa"/>
          <w:left w:w="0" w:type="dxa"/>
          <w:bottom w:w="0" w:type="dxa"/>
          <w:right w:w="0" w:type="dxa"/>
        </w:tblCellMar>
      </w:tblPr>
      <w:tr>
        <w:trPr>
          <w:trHeight w:val="316"/>
        </w:trPr>
        <w:tc>
          <w:tcPr>
            <w:tcW w:w="7440" w:type="dxa"/>
            <w:vAlign w:val="bottom"/>
            <w:tcBorders>
              <w:top w:val="single" w:sz="8" w:color="auto"/>
              <w:left w:val="single" w:sz="8" w:color="auto"/>
              <w:bottom w:val="single" w:sz="8" w:color="FAFAFA"/>
              <w:right w:val="single" w:sz="8" w:color="auto"/>
            </w:tcBorders>
            <w:shd w:val="clear" w:color="auto" w:fill="FAFAFA"/>
          </w:tcPr>
          <w:p>
            <w:pPr>
              <w:ind w:left="80"/>
              <w:spacing w:after="0"/>
              <w:rPr>
                <w:sz w:val="20"/>
                <w:szCs w:val="20"/>
                <w:color w:val="auto"/>
              </w:rPr>
            </w:pPr>
            <w:r>
              <w:rPr>
                <w:rFonts w:ascii="PMingLiU" w:cs="PMingLiU" w:eastAsia="PMingLiU" w:hAnsi="PMingLiU"/>
                <w:sz w:val="20"/>
                <w:szCs w:val="20"/>
                <w:b w:val="1"/>
                <w:bCs w:val="1"/>
                <w:color w:val="auto"/>
              </w:rPr>
              <w:t>Period</w:t>
            </w:r>
          </w:p>
        </w:tc>
        <w:tc>
          <w:tcPr>
            <w:tcW w:w="1760" w:type="dxa"/>
            <w:vAlign w:val="bottom"/>
            <w:tcBorders>
              <w:top w:val="single" w:sz="8" w:color="auto"/>
              <w:bottom w:val="single" w:sz="8" w:color="FAFAFA"/>
              <w:right w:val="single" w:sz="8" w:color="auto"/>
            </w:tcBorders>
            <w:shd w:val="clear" w:color="auto" w:fill="FAFAFA"/>
          </w:tcPr>
          <w:p>
            <w:pPr>
              <w:jc w:val="center"/>
              <w:spacing w:after="0"/>
              <w:rPr>
                <w:sz w:val="20"/>
                <w:szCs w:val="20"/>
                <w:color w:val="auto"/>
              </w:rPr>
            </w:pPr>
            <w:r>
              <w:rPr>
                <w:rFonts w:ascii="PMingLiU" w:cs="PMingLiU" w:eastAsia="PMingLiU" w:hAnsi="PMingLiU"/>
                <w:sz w:val="20"/>
                <w:szCs w:val="20"/>
                <w:b w:val="1"/>
                <w:bCs w:val="1"/>
                <w:color w:val="auto"/>
              </w:rPr>
              <w:t>Royalty Rate</w:t>
            </w:r>
          </w:p>
        </w:tc>
      </w:tr>
      <w:tr>
        <w:trPr>
          <w:trHeight w:val="231"/>
        </w:trPr>
        <w:tc>
          <w:tcPr>
            <w:tcW w:w="7440" w:type="dxa"/>
            <w:vAlign w:val="bottom"/>
            <w:tcBorders>
              <w:top w:val="single" w:sz="8" w:color="auto"/>
              <w:left w:val="single" w:sz="8" w:color="auto"/>
              <w:right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The first twenty-four (24) months aer First Commercial Sale (“Royalty Period 1”)</w:t>
            </w:r>
          </w:p>
        </w:tc>
        <w:tc>
          <w:tcPr>
            <w:tcW w:w="1760" w:type="dxa"/>
            <w:vAlign w:val="bottom"/>
            <w:tcBorders>
              <w:top w:val="single" w:sz="8" w:color="auto"/>
              <w:right w:val="single" w:sz="8" w:color="auto"/>
            </w:tcBorders>
          </w:tcPr>
          <w:p>
            <w:pPr>
              <w:jc w:val="center"/>
              <w:spacing w:after="0" w:line="230" w:lineRule="exact"/>
              <w:rPr>
                <w:sz w:val="20"/>
                <w:szCs w:val="20"/>
                <w:color w:val="auto"/>
              </w:rPr>
            </w:pPr>
            <w:r>
              <w:rPr>
                <w:rFonts w:ascii="PMingLiU" w:cs="PMingLiU" w:eastAsia="PMingLiU" w:hAnsi="PMingLiU"/>
                <w:sz w:val="20"/>
                <w:szCs w:val="20"/>
                <w:color w:val="auto"/>
              </w:rPr>
              <w:t>[***]</w:t>
            </w:r>
          </w:p>
        </w:tc>
      </w:tr>
      <w:tr>
        <w:trPr>
          <w:trHeight w:val="60"/>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31"/>
        </w:trPr>
        <w:tc>
          <w:tcPr>
            <w:tcW w:w="7440" w:type="dxa"/>
            <w:vAlign w:val="bottom"/>
            <w:tcBorders>
              <w:left w:val="single" w:sz="8" w:color="auto"/>
              <w:right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 aer the end of the Royalty Period 1 (“Royalty Period 2”)</w:t>
            </w:r>
          </w:p>
        </w:tc>
        <w:tc>
          <w:tcPr>
            <w:tcW w:w="1760" w:type="dxa"/>
            <w:vAlign w:val="bottom"/>
            <w:tcBorders>
              <w:right w:val="single" w:sz="8" w:color="auto"/>
            </w:tcBorders>
          </w:tcPr>
          <w:p>
            <w:pPr>
              <w:jc w:val="center"/>
              <w:spacing w:after="0" w:line="230" w:lineRule="exact"/>
              <w:rPr>
                <w:sz w:val="20"/>
                <w:szCs w:val="20"/>
                <w:color w:val="auto"/>
              </w:rPr>
            </w:pPr>
            <w:r>
              <w:rPr>
                <w:rFonts w:ascii="PMingLiU" w:cs="PMingLiU" w:eastAsia="PMingLiU" w:hAnsi="PMingLiU"/>
                <w:sz w:val="20"/>
                <w:szCs w:val="20"/>
                <w:color w:val="auto"/>
              </w:rPr>
              <w:t>[***]</w:t>
            </w:r>
          </w:p>
        </w:tc>
      </w:tr>
      <w:tr>
        <w:trPr>
          <w:trHeight w:val="60"/>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bl>
    <w:p>
      <w:pPr>
        <w:spacing w:after="0" w:line="286" w:lineRule="exact"/>
        <w:rPr>
          <w:sz w:val="20"/>
          <w:szCs w:val="20"/>
          <w:color w:val="auto"/>
        </w:rPr>
      </w:pPr>
    </w:p>
    <w:p>
      <w:pPr>
        <w:ind w:right="20" w:firstLine="500"/>
        <w:spacing w:after="0" w:line="204" w:lineRule="auto"/>
        <w:tabs>
          <w:tab w:leader="none" w:pos="1288" w:val="left"/>
        </w:tabs>
        <w:numPr>
          <w:ilvl w:val="0"/>
          <w:numId w:val="9"/>
        </w:numPr>
        <w:rPr>
          <w:rFonts w:ascii="PMingLiU" w:cs="PMingLiU" w:eastAsia="PMingLiU" w:hAnsi="PMingLiU"/>
          <w:sz w:val="20"/>
          <w:szCs w:val="20"/>
          <w:color w:val="auto"/>
        </w:rPr>
      </w:pPr>
      <w:r>
        <w:rPr>
          <w:rFonts w:ascii="PMingLiU" w:cs="PMingLiU" w:eastAsia="PMingLiU" w:hAnsi="PMingLiU"/>
          <w:sz w:val="20"/>
          <w:szCs w:val="20"/>
          <w:color w:val="auto"/>
        </w:rPr>
        <w:t>Sales between KKC, its A liates and Sublicensees shall not be subject to royales hereunder. Royales shall be calculated on KKC’s, its A liates’ and Sublicensees’ sales of the Licensed Products to a Third Party, including Distributors (but excluding for the avoidance of doubt Sublicensees).</w:t>
      </w:r>
    </w:p>
    <w:p>
      <w:pPr>
        <w:spacing w:after="0" w:line="171" w:lineRule="exact"/>
        <w:rPr>
          <w:rFonts w:ascii="PMingLiU" w:cs="PMingLiU" w:eastAsia="PMingLiU" w:hAnsi="PMingLiU"/>
          <w:sz w:val="20"/>
          <w:szCs w:val="20"/>
          <w:color w:val="auto"/>
        </w:rPr>
      </w:pPr>
    </w:p>
    <w:p>
      <w:pPr>
        <w:ind w:right="620" w:firstLine="500"/>
        <w:spacing w:after="0" w:line="211" w:lineRule="auto"/>
        <w:tabs>
          <w:tab w:leader="none" w:pos="1295" w:val="left"/>
        </w:tabs>
        <w:numPr>
          <w:ilvl w:val="0"/>
          <w:numId w:val="9"/>
        </w:numPr>
        <w:rPr>
          <w:rFonts w:ascii="PMingLiU" w:cs="PMingLiU" w:eastAsia="PMingLiU" w:hAnsi="PMingLiU"/>
          <w:sz w:val="20"/>
          <w:szCs w:val="20"/>
          <w:color w:val="auto"/>
        </w:rPr>
      </w:pPr>
      <w:r>
        <w:rPr>
          <w:rFonts w:ascii="PMingLiU" w:cs="PMingLiU" w:eastAsia="PMingLiU" w:hAnsi="PMingLiU"/>
          <w:sz w:val="20"/>
          <w:szCs w:val="20"/>
          <w:color w:val="auto"/>
        </w:rPr>
        <w:t>If, at any me, a Generic Product receives Regulatory Approval then the royales that would otherwise have been payable on Net Sales of such Licensed Product in the Territory under this Agreement shall be reduced as follows:</w:t>
      </w:r>
    </w:p>
    <w:p>
      <w:pPr>
        <w:spacing w:after="0" w:line="172" w:lineRule="exact"/>
        <w:rPr>
          <w:rFonts w:ascii="PMingLiU" w:cs="PMingLiU" w:eastAsia="PMingLiU" w:hAnsi="PMingLiU"/>
          <w:sz w:val="20"/>
          <w:szCs w:val="20"/>
          <w:color w:val="auto"/>
        </w:rPr>
      </w:pPr>
    </w:p>
    <w:p>
      <w:pPr>
        <w:ind w:right="100" w:firstLine="980"/>
        <w:spacing w:after="0"/>
        <w:tabs>
          <w:tab w:leader="none" w:pos="1290" w:val="left"/>
        </w:tabs>
        <w:numPr>
          <w:ilvl w:val="1"/>
          <w:numId w:val="9"/>
        </w:numPr>
        <w:rPr>
          <w:rFonts w:ascii="PMingLiU" w:cs="PMingLiU" w:eastAsia="PMingLiU" w:hAnsi="PMingLiU"/>
          <w:sz w:val="20"/>
          <w:szCs w:val="20"/>
          <w:color w:val="1F1F1F"/>
        </w:rPr>
      </w:pPr>
      <w:r>
        <w:rPr>
          <w:rFonts w:ascii="PMingLiU" w:cs="PMingLiU" w:eastAsia="PMingLiU" w:hAnsi="PMingLiU"/>
          <w:sz w:val="20"/>
          <w:szCs w:val="20"/>
          <w:color w:val="auto"/>
        </w:rPr>
        <w:t>E ecve as of the first day of the first Calendar Quarter following the Calendar Quarter in which the NHI Price of the Licensed Product is reduced to a NHI Price being less than [***] of the NHI Price in e ect immediately prior to the launch of the Generic Product:</w:t>
      </w:r>
    </w:p>
    <w:p>
      <w:pPr>
        <w:spacing w:after="0" w:line="362" w:lineRule="exact"/>
        <w:rPr>
          <w:sz w:val="20"/>
          <w:szCs w:val="20"/>
          <w:color w:val="auto"/>
        </w:rPr>
      </w:pPr>
    </w:p>
    <w:tbl>
      <w:tblPr>
        <w:tblLayout w:type="fixed"/>
        <w:tblInd w:w="510" w:type="dxa"/>
        <w:tblCellMar>
          <w:top w:w="0" w:type="dxa"/>
          <w:left w:w="0" w:type="dxa"/>
          <w:bottom w:w="0" w:type="dxa"/>
          <w:right w:w="0" w:type="dxa"/>
        </w:tblCellMar>
      </w:tblPr>
      <w:tr>
        <w:trPr>
          <w:trHeight w:val="316"/>
        </w:trPr>
        <w:tc>
          <w:tcPr>
            <w:tcW w:w="7440" w:type="dxa"/>
            <w:vAlign w:val="bottom"/>
            <w:tcBorders>
              <w:top w:val="single" w:sz="8" w:color="auto"/>
              <w:left w:val="single" w:sz="8" w:color="auto"/>
              <w:bottom w:val="single" w:sz="8" w:color="FAFAFA"/>
              <w:right w:val="single" w:sz="8" w:color="auto"/>
            </w:tcBorders>
            <w:shd w:val="clear" w:color="auto" w:fill="FAFAFA"/>
          </w:tcPr>
          <w:p>
            <w:pPr>
              <w:ind w:left="80"/>
              <w:spacing w:after="0"/>
              <w:rPr>
                <w:sz w:val="20"/>
                <w:szCs w:val="20"/>
                <w:color w:val="auto"/>
              </w:rPr>
            </w:pPr>
            <w:r>
              <w:rPr>
                <w:rFonts w:ascii="PMingLiU" w:cs="PMingLiU" w:eastAsia="PMingLiU" w:hAnsi="PMingLiU"/>
                <w:sz w:val="20"/>
                <w:szCs w:val="20"/>
                <w:b w:val="1"/>
                <w:bCs w:val="1"/>
                <w:color w:val="auto"/>
              </w:rPr>
              <w:t>Period</w:t>
            </w:r>
          </w:p>
        </w:tc>
        <w:tc>
          <w:tcPr>
            <w:tcW w:w="1760" w:type="dxa"/>
            <w:vAlign w:val="bottom"/>
            <w:tcBorders>
              <w:top w:val="single" w:sz="8" w:color="auto"/>
              <w:bottom w:val="single" w:sz="8" w:color="FAFAFA"/>
              <w:right w:val="single" w:sz="8" w:color="auto"/>
            </w:tcBorders>
            <w:shd w:val="clear" w:color="auto" w:fill="FAFAFA"/>
          </w:tcPr>
          <w:p>
            <w:pPr>
              <w:jc w:val="center"/>
              <w:spacing w:after="0"/>
              <w:rPr>
                <w:sz w:val="20"/>
                <w:szCs w:val="20"/>
                <w:color w:val="auto"/>
              </w:rPr>
            </w:pPr>
            <w:r>
              <w:rPr>
                <w:rFonts w:ascii="PMingLiU" w:cs="PMingLiU" w:eastAsia="PMingLiU" w:hAnsi="PMingLiU"/>
                <w:sz w:val="20"/>
                <w:szCs w:val="20"/>
                <w:b w:val="1"/>
                <w:bCs w:val="1"/>
                <w:color w:val="auto"/>
              </w:rPr>
              <w:t>Royalty Rate</w:t>
            </w:r>
          </w:p>
        </w:tc>
      </w:tr>
      <w:tr>
        <w:trPr>
          <w:trHeight w:val="230"/>
        </w:trPr>
        <w:tc>
          <w:tcPr>
            <w:tcW w:w="7440" w:type="dxa"/>
            <w:vAlign w:val="bottom"/>
            <w:tcBorders>
              <w:top w:val="single" w:sz="8" w:color="auto"/>
              <w:left w:val="single" w:sz="8" w:color="auto"/>
              <w:right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Royalty Period 1</w:t>
            </w:r>
          </w:p>
        </w:tc>
        <w:tc>
          <w:tcPr>
            <w:tcW w:w="1760" w:type="dxa"/>
            <w:vAlign w:val="bottom"/>
            <w:tcBorders>
              <w:top w:val="single" w:sz="8" w:color="auto"/>
              <w:right w:val="single" w:sz="8" w:color="auto"/>
            </w:tcBorders>
          </w:tcPr>
          <w:p>
            <w:pPr>
              <w:jc w:val="center"/>
              <w:spacing w:after="0" w:line="230" w:lineRule="exact"/>
              <w:rPr>
                <w:sz w:val="20"/>
                <w:szCs w:val="20"/>
                <w:color w:val="auto"/>
              </w:rPr>
            </w:pPr>
            <w:r>
              <w:rPr>
                <w:rFonts w:ascii="PMingLiU" w:cs="PMingLiU" w:eastAsia="PMingLiU" w:hAnsi="PMingLiU"/>
                <w:sz w:val="20"/>
                <w:szCs w:val="20"/>
                <w:color w:val="auto"/>
              </w:rPr>
              <w:t>[***]</w:t>
            </w:r>
          </w:p>
        </w:tc>
      </w:tr>
      <w:tr>
        <w:trPr>
          <w:trHeight w:val="60"/>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30"/>
        </w:trPr>
        <w:tc>
          <w:tcPr>
            <w:tcW w:w="7440" w:type="dxa"/>
            <w:vAlign w:val="bottom"/>
            <w:tcBorders>
              <w:left w:val="single" w:sz="8" w:color="auto"/>
              <w:right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Royalty Period 2</w:t>
            </w:r>
          </w:p>
        </w:tc>
        <w:tc>
          <w:tcPr>
            <w:tcW w:w="1760" w:type="dxa"/>
            <w:vAlign w:val="bottom"/>
            <w:tcBorders>
              <w:right w:val="single" w:sz="8" w:color="auto"/>
            </w:tcBorders>
          </w:tcPr>
          <w:p>
            <w:pPr>
              <w:jc w:val="center"/>
              <w:spacing w:after="0" w:line="230" w:lineRule="exact"/>
              <w:rPr>
                <w:sz w:val="20"/>
                <w:szCs w:val="20"/>
                <w:color w:val="auto"/>
              </w:rPr>
            </w:pPr>
            <w:r>
              <w:rPr>
                <w:rFonts w:ascii="PMingLiU" w:cs="PMingLiU" w:eastAsia="PMingLiU" w:hAnsi="PMingLiU"/>
                <w:sz w:val="20"/>
                <w:szCs w:val="20"/>
                <w:color w:val="auto"/>
              </w:rPr>
              <w:t>[***]</w:t>
            </w:r>
          </w:p>
        </w:tc>
      </w:tr>
      <w:tr>
        <w:trPr>
          <w:trHeight w:val="60"/>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bl>
    <w:p>
      <w:pPr>
        <w:spacing w:after="0" w:line="273" w:lineRule="exact"/>
        <w:rPr>
          <w:sz w:val="20"/>
          <w:szCs w:val="20"/>
          <w:color w:val="auto"/>
        </w:rPr>
      </w:pPr>
    </w:p>
    <w:p>
      <w:pPr>
        <w:ind w:right="100" w:firstLine="980"/>
        <w:spacing w:after="0"/>
        <w:tabs>
          <w:tab w:leader="none" w:pos="1296" w:val="left"/>
        </w:tabs>
        <w:numPr>
          <w:ilvl w:val="0"/>
          <w:numId w:val="10"/>
        </w:numPr>
        <w:rPr>
          <w:rFonts w:ascii="PMingLiU" w:cs="PMingLiU" w:eastAsia="PMingLiU" w:hAnsi="PMingLiU"/>
          <w:sz w:val="20"/>
          <w:szCs w:val="20"/>
          <w:color w:val="1F1F1F"/>
        </w:rPr>
      </w:pPr>
      <w:r>
        <w:rPr>
          <w:rFonts w:ascii="PMingLiU" w:cs="PMingLiU" w:eastAsia="PMingLiU" w:hAnsi="PMingLiU"/>
          <w:sz w:val="20"/>
          <w:szCs w:val="20"/>
          <w:color w:val="auto"/>
        </w:rPr>
        <w:t>E ecve as of the first day of the first Calendar Quarter following the Calendar Quarter in which the NHI Price of the Licensed Product is reduced to a NHI Price being less than [***] of the NHI Price in e ect immediately prior to the launch of the Generic Product:</w:t>
      </w:r>
    </w:p>
    <w:p>
      <w:pPr>
        <w:spacing w:after="0" w:line="362" w:lineRule="exact"/>
        <w:rPr>
          <w:sz w:val="20"/>
          <w:szCs w:val="20"/>
          <w:color w:val="auto"/>
        </w:rPr>
      </w:pPr>
    </w:p>
    <w:tbl>
      <w:tblPr>
        <w:tblLayout w:type="fixed"/>
        <w:tblInd w:w="510" w:type="dxa"/>
        <w:tblCellMar>
          <w:top w:w="0" w:type="dxa"/>
          <w:left w:w="0" w:type="dxa"/>
          <w:bottom w:w="0" w:type="dxa"/>
          <w:right w:w="0" w:type="dxa"/>
        </w:tblCellMar>
      </w:tblPr>
      <w:tr>
        <w:trPr>
          <w:trHeight w:val="315"/>
        </w:trPr>
        <w:tc>
          <w:tcPr>
            <w:tcW w:w="7440" w:type="dxa"/>
            <w:vAlign w:val="bottom"/>
            <w:tcBorders>
              <w:top w:val="single" w:sz="8" w:color="auto"/>
              <w:left w:val="single" w:sz="8" w:color="auto"/>
              <w:bottom w:val="single" w:sz="8" w:color="FAFAFA"/>
              <w:right w:val="single" w:sz="8" w:color="auto"/>
            </w:tcBorders>
            <w:shd w:val="clear" w:color="auto" w:fill="FAFAFA"/>
          </w:tcPr>
          <w:p>
            <w:pPr>
              <w:ind w:left="80"/>
              <w:spacing w:after="0"/>
              <w:rPr>
                <w:sz w:val="20"/>
                <w:szCs w:val="20"/>
                <w:color w:val="auto"/>
              </w:rPr>
            </w:pPr>
            <w:r>
              <w:rPr>
                <w:rFonts w:ascii="PMingLiU" w:cs="PMingLiU" w:eastAsia="PMingLiU" w:hAnsi="PMingLiU"/>
                <w:sz w:val="20"/>
                <w:szCs w:val="20"/>
                <w:b w:val="1"/>
                <w:bCs w:val="1"/>
                <w:color w:val="auto"/>
              </w:rPr>
              <w:t>Period</w:t>
            </w:r>
          </w:p>
        </w:tc>
        <w:tc>
          <w:tcPr>
            <w:tcW w:w="1760" w:type="dxa"/>
            <w:vAlign w:val="bottom"/>
            <w:tcBorders>
              <w:top w:val="single" w:sz="8" w:color="auto"/>
              <w:bottom w:val="single" w:sz="8" w:color="FAFAFA"/>
              <w:right w:val="single" w:sz="8" w:color="auto"/>
            </w:tcBorders>
            <w:shd w:val="clear" w:color="auto" w:fill="FAFAFA"/>
          </w:tcPr>
          <w:p>
            <w:pPr>
              <w:jc w:val="center"/>
              <w:spacing w:after="0"/>
              <w:rPr>
                <w:sz w:val="20"/>
                <w:szCs w:val="20"/>
                <w:color w:val="auto"/>
              </w:rPr>
            </w:pPr>
            <w:r>
              <w:rPr>
                <w:rFonts w:ascii="PMingLiU" w:cs="PMingLiU" w:eastAsia="PMingLiU" w:hAnsi="PMingLiU"/>
                <w:sz w:val="20"/>
                <w:szCs w:val="20"/>
                <w:b w:val="1"/>
                <w:bCs w:val="1"/>
                <w:color w:val="auto"/>
              </w:rPr>
              <w:t>Royalty Rate</w:t>
            </w:r>
          </w:p>
        </w:tc>
      </w:tr>
      <w:tr>
        <w:trPr>
          <w:trHeight w:val="230"/>
        </w:trPr>
        <w:tc>
          <w:tcPr>
            <w:tcW w:w="7440" w:type="dxa"/>
            <w:vAlign w:val="bottom"/>
            <w:tcBorders>
              <w:top w:val="single" w:sz="8" w:color="auto"/>
              <w:left w:val="single" w:sz="8" w:color="auto"/>
              <w:right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Royalty Period 1</w:t>
            </w:r>
          </w:p>
        </w:tc>
        <w:tc>
          <w:tcPr>
            <w:tcW w:w="1760" w:type="dxa"/>
            <w:vAlign w:val="bottom"/>
            <w:tcBorders>
              <w:top w:val="single" w:sz="8" w:color="auto"/>
              <w:right w:val="single" w:sz="8" w:color="auto"/>
            </w:tcBorders>
          </w:tcPr>
          <w:p>
            <w:pPr>
              <w:jc w:val="center"/>
              <w:spacing w:after="0" w:line="230" w:lineRule="exact"/>
              <w:rPr>
                <w:sz w:val="20"/>
                <w:szCs w:val="20"/>
                <w:color w:val="auto"/>
              </w:rPr>
            </w:pPr>
            <w:r>
              <w:rPr>
                <w:rFonts w:ascii="PMingLiU" w:cs="PMingLiU" w:eastAsia="PMingLiU" w:hAnsi="PMingLiU"/>
                <w:sz w:val="20"/>
                <w:szCs w:val="20"/>
                <w:color w:val="auto"/>
              </w:rPr>
              <w:t>[***]</w:t>
            </w:r>
          </w:p>
        </w:tc>
      </w:tr>
      <w:tr>
        <w:trPr>
          <w:trHeight w:val="60"/>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30"/>
        </w:trPr>
        <w:tc>
          <w:tcPr>
            <w:tcW w:w="7440" w:type="dxa"/>
            <w:vAlign w:val="bottom"/>
            <w:tcBorders>
              <w:left w:val="single" w:sz="8" w:color="auto"/>
              <w:right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Royalty Period 2</w:t>
            </w:r>
          </w:p>
        </w:tc>
        <w:tc>
          <w:tcPr>
            <w:tcW w:w="1760" w:type="dxa"/>
            <w:vAlign w:val="bottom"/>
            <w:tcBorders>
              <w:right w:val="single" w:sz="8" w:color="auto"/>
            </w:tcBorders>
          </w:tcPr>
          <w:p>
            <w:pPr>
              <w:jc w:val="center"/>
              <w:spacing w:after="0" w:line="230" w:lineRule="exact"/>
              <w:rPr>
                <w:sz w:val="20"/>
                <w:szCs w:val="20"/>
                <w:color w:val="auto"/>
              </w:rPr>
            </w:pPr>
            <w:r>
              <w:rPr>
                <w:rFonts w:ascii="PMingLiU" w:cs="PMingLiU" w:eastAsia="PMingLiU" w:hAnsi="PMingLiU"/>
                <w:sz w:val="20"/>
                <w:szCs w:val="20"/>
                <w:color w:val="auto"/>
              </w:rPr>
              <w:t>[***]</w:t>
            </w:r>
          </w:p>
        </w:tc>
      </w:tr>
      <w:tr>
        <w:trPr>
          <w:trHeight w:val="60"/>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bl>
    <w:p>
      <w:pPr>
        <w:spacing w:after="0" w:line="200" w:lineRule="exact"/>
        <w:rPr>
          <w:sz w:val="20"/>
          <w:szCs w:val="20"/>
          <w:color w:val="auto"/>
        </w:rPr>
      </w:pPr>
    </w:p>
    <w:p>
      <w:pPr>
        <w:spacing w:after="0" w:line="302" w:lineRule="exact"/>
        <w:rPr>
          <w:sz w:val="20"/>
          <w:szCs w:val="20"/>
          <w:color w:val="auto"/>
        </w:rPr>
      </w:pPr>
    </w:p>
    <w:p>
      <w:pPr>
        <w:ind w:right="60" w:firstLine="500"/>
        <w:spacing w:after="0" w:line="195" w:lineRule="auto"/>
        <w:tabs>
          <w:tab w:leader="none" w:pos="1288" w:val="left"/>
        </w:tabs>
        <w:numPr>
          <w:ilvl w:val="0"/>
          <w:numId w:val="11"/>
        </w:numPr>
        <w:rPr>
          <w:rFonts w:ascii="PMingLiU" w:cs="PMingLiU" w:eastAsia="PMingLiU" w:hAnsi="PMingLiU"/>
          <w:sz w:val="20"/>
          <w:szCs w:val="20"/>
          <w:color w:val="auto"/>
        </w:rPr>
      </w:pPr>
      <w:r>
        <w:rPr>
          <w:rFonts w:ascii="PMingLiU" w:cs="PMingLiU" w:eastAsia="PMingLiU" w:hAnsi="PMingLiU"/>
          <w:sz w:val="20"/>
          <w:szCs w:val="20"/>
          <w:color w:val="auto"/>
        </w:rPr>
        <w:t>KKC’s obligaon to pay royales due under this Secon 6.04 shall commence with respect to each separate Licensed Product, on the date of the First Commercial Sale of such Licensed Product in the Territory and shall expire with respect to such Licensed Product, at the latest of: (i) the [***] ([***]) anniversary of the First Commercial Sale of such Licensed Product in the Territory, (ii) the date on which there is no longer a Valid Claim that covers the Exploitaon of the Licensed Product or the Licensed Compound contained within such Licensed Product in the Territory, and (iii) the expiraon of all Regulatory Exclusivies associated with the indicaon of [***] for such Licensed Product in the Territory; provided that (i) under no circumstances shall KKC have an obligaon to pay royales to Ardelyx aer the end of the Royalty Period 2 and (ii) in the event that the only Valid Claim that claims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PMingLiU" w:cs="PMingLiU" w:eastAsia="PMingLiU" w:hAnsi="PMingLiU"/>
          <w:sz w:val="20"/>
          <w:szCs w:val="20"/>
          <w:color w:val="auto"/>
        </w:rPr>
        <w:t>3</w:t>
      </w:r>
    </w:p>
    <w:p>
      <w:pPr>
        <w:spacing w:after="0" w:line="200" w:lineRule="exact"/>
        <w:rPr>
          <w:sz w:val="20"/>
          <w:szCs w:val="20"/>
          <w:color w:val="auto"/>
        </w:rPr>
      </w:pPr>
    </w:p>
    <w:p>
      <w:pPr>
        <w:spacing w:after="0" w:line="337" w:lineRule="exact"/>
        <w:rPr>
          <w:sz w:val="20"/>
          <w:szCs w:val="20"/>
          <w:color w:val="auto"/>
        </w:rPr>
      </w:pPr>
    </w:p>
    <w:p>
      <w:pPr>
        <w:ind w:right="160" w:firstLine="8"/>
        <w:spacing w:after="0" w:line="239" w:lineRule="auto"/>
        <w:tabs>
          <w:tab w:leader="none" w:pos="410" w:val="left"/>
        </w:tabs>
        <w:numPr>
          <w:ilvl w:val="0"/>
          <w:numId w:val="12"/>
        </w:numPr>
        <w:rPr>
          <w:rFonts w:ascii="PMingLiU" w:cs="PMingLiU" w:eastAsia="PMingLiU" w:hAnsi="PMingLiU"/>
          <w:sz w:val="18"/>
          <w:szCs w:val="18"/>
          <w:color w:val="auto"/>
        </w:rPr>
      </w:pPr>
      <w:r>
        <w:rPr>
          <w:rFonts w:ascii="PMingLiU" w:cs="PMingLiU" w:eastAsia="PMingLiU" w:hAnsi="PMingLiU"/>
          <w:sz w:val="18"/>
          <w:szCs w:val="18"/>
          <w:color w:val="auto"/>
        </w:rPr>
        <w:t>= Certain confidenal informaon contained in this document, marked by [***], has been omied because it is both (i) not material and (ii) is the type that the registrant treats as private or confidenal.</w:t>
      </w:r>
    </w:p>
    <w:p>
      <w:pPr>
        <w:sectPr>
          <w:pgSz w:w="11900" w:h="16838" w:orient="portrait"/>
          <w:cols w:equalWidth="0" w:num="1">
            <w:col w:w="11240"/>
          </w:cols>
          <w:pgMar w:left="320" w:top="110" w:right="339" w:bottom="1440" w:gutter="0" w:footer="0" w:header="0"/>
        </w:sectPr>
      </w:pPr>
    </w:p>
    <w:bookmarkStart w:id="6" w:name="page7"/>
    <w:bookmarkEnd w:id="6"/>
    <w:p>
      <w:pPr>
        <w:jc w:val="right"/>
        <w:spacing w:after="0"/>
        <w:rPr>
          <w:sz w:val="20"/>
          <w:szCs w:val="20"/>
          <w:color w:val="auto"/>
        </w:rPr>
      </w:pPr>
      <w:r>
        <w:rPr>
          <w:rFonts w:ascii="PMingLiU" w:cs="PMingLiU" w:eastAsia="PMingLiU" w:hAnsi="PMingLiU"/>
          <w:sz w:val="20"/>
          <w:szCs w:val="20"/>
          <w:i w:val="1"/>
          <w:iCs w:val="1"/>
          <w:color w:val="auto"/>
        </w:rPr>
        <w:t>Execuon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right="520"/>
        <w:spacing w:after="0" w:line="211" w:lineRule="auto"/>
        <w:rPr>
          <w:sz w:val="20"/>
          <w:szCs w:val="20"/>
          <w:color w:val="auto"/>
        </w:rPr>
      </w:pPr>
      <w:r>
        <w:rPr>
          <w:rFonts w:ascii="PMingLiU" w:cs="PMingLiU" w:eastAsia="PMingLiU" w:hAnsi="PMingLiU"/>
          <w:sz w:val="20"/>
          <w:szCs w:val="20"/>
          <w:color w:val="auto"/>
        </w:rPr>
        <w:t>the Licensed Product is a [***], the royalty that would otherwise have been payable on Net Sales of such Licensed Product shall be reduced as follows, subject to the reducon of the Third Party Compensaon set out in Secon 6.04(e).</w:t>
      </w:r>
    </w:p>
    <w:p>
      <w:pPr>
        <w:spacing w:after="0" w:line="231" w:lineRule="exact"/>
        <w:rPr>
          <w:sz w:val="20"/>
          <w:szCs w:val="20"/>
          <w:color w:val="auto"/>
        </w:rPr>
      </w:pPr>
    </w:p>
    <w:tbl>
      <w:tblPr>
        <w:tblLayout w:type="fixed"/>
        <w:tblInd w:w="510" w:type="dxa"/>
        <w:tblCellMar>
          <w:top w:w="0" w:type="dxa"/>
          <w:left w:w="0" w:type="dxa"/>
          <w:bottom w:w="0" w:type="dxa"/>
          <w:right w:w="0" w:type="dxa"/>
        </w:tblCellMar>
      </w:tblPr>
      <w:tr>
        <w:trPr>
          <w:trHeight w:val="315"/>
        </w:trPr>
        <w:tc>
          <w:tcPr>
            <w:tcW w:w="7440" w:type="dxa"/>
            <w:vAlign w:val="bottom"/>
            <w:tcBorders>
              <w:top w:val="single" w:sz="8" w:color="auto"/>
              <w:left w:val="single" w:sz="8" w:color="auto"/>
              <w:bottom w:val="single" w:sz="8" w:color="FAFAFA"/>
              <w:right w:val="single" w:sz="8" w:color="auto"/>
            </w:tcBorders>
            <w:shd w:val="clear" w:color="auto" w:fill="FAFAFA"/>
          </w:tcPr>
          <w:p>
            <w:pPr>
              <w:ind w:left="80"/>
              <w:spacing w:after="0"/>
              <w:rPr>
                <w:sz w:val="20"/>
                <w:szCs w:val="20"/>
                <w:color w:val="auto"/>
              </w:rPr>
            </w:pPr>
            <w:r>
              <w:rPr>
                <w:rFonts w:ascii="PMingLiU" w:cs="PMingLiU" w:eastAsia="PMingLiU" w:hAnsi="PMingLiU"/>
                <w:sz w:val="20"/>
                <w:szCs w:val="20"/>
                <w:b w:val="1"/>
                <w:bCs w:val="1"/>
                <w:color w:val="auto"/>
              </w:rPr>
              <w:t>Period</w:t>
            </w:r>
          </w:p>
        </w:tc>
        <w:tc>
          <w:tcPr>
            <w:tcW w:w="1760" w:type="dxa"/>
            <w:vAlign w:val="bottom"/>
            <w:tcBorders>
              <w:top w:val="single" w:sz="8" w:color="auto"/>
              <w:bottom w:val="single" w:sz="8" w:color="FAFAFA"/>
              <w:right w:val="single" w:sz="8" w:color="auto"/>
            </w:tcBorders>
            <w:shd w:val="clear" w:color="auto" w:fill="FAFAFA"/>
          </w:tcPr>
          <w:p>
            <w:pPr>
              <w:jc w:val="center"/>
              <w:spacing w:after="0"/>
              <w:rPr>
                <w:sz w:val="20"/>
                <w:szCs w:val="20"/>
                <w:color w:val="auto"/>
              </w:rPr>
            </w:pPr>
            <w:r>
              <w:rPr>
                <w:rFonts w:ascii="PMingLiU" w:cs="PMingLiU" w:eastAsia="PMingLiU" w:hAnsi="PMingLiU"/>
                <w:sz w:val="20"/>
                <w:szCs w:val="20"/>
                <w:b w:val="1"/>
                <w:bCs w:val="1"/>
                <w:color w:val="auto"/>
              </w:rPr>
              <w:t>Royalty Rate</w:t>
            </w:r>
          </w:p>
        </w:tc>
      </w:tr>
      <w:tr>
        <w:trPr>
          <w:trHeight w:val="231"/>
        </w:trPr>
        <w:tc>
          <w:tcPr>
            <w:tcW w:w="7440" w:type="dxa"/>
            <w:vAlign w:val="bottom"/>
            <w:tcBorders>
              <w:top w:val="single" w:sz="8" w:color="auto"/>
              <w:left w:val="single" w:sz="8" w:color="auto"/>
              <w:right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Royalty Period 1</w:t>
            </w:r>
          </w:p>
        </w:tc>
        <w:tc>
          <w:tcPr>
            <w:tcW w:w="1760" w:type="dxa"/>
            <w:vAlign w:val="bottom"/>
            <w:tcBorders>
              <w:top w:val="single" w:sz="8" w:color="auto"/>
              <w:right w:val="single" w:sz="8" w:color="auto"/>
            </w:tcBorders>
          </w:tcPr>
          <w:p>
            <w:pPr>
              <w:jc w:val="center"/>
              <w:spacing w:after="0" w:line="230" w:lineRule="exact"/>
              <w:rPr>
                <w:sz w:val="20"/>
                <w:szCs w:val="20"/>
                <w:color w:val="auto"/>
              </w:rPr>
            </w:pPr>
            <w:r>
              <w:rPr>
                <w:rFonts w:ascii="PMingLiU" w:cs="PMingLiU" w:eastAsia="PMingLiU" w:hAnsi="PMingLiU"/>
                <w:sz w:val="20"/>
                <w:szCs w:val="20"/>
                <w:color w:val="auto"/>
              </w:rPr>
              <w:t>[***]</w:t>
            </w:r>
          </w:p>
        </w:tc>
      </w:tr>
      <w:tr>
        <w:trPr>
          <w:trHeight w:val="60"/>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r>
        <w:trPr>
          <w:trHeight w:val="231"/>
        </w:trPr>
        <w:tc>
          <w:tcPr>
            <w:tcW w:w="7440" w:type="dxa"/>
            <w:vAlign w:val="bottom"/>
            <w:tcBorders>
              <w:left w:val="single" w:sz="8" w:color="auto"/>
              <w:right w:val="single" w:sz="8" w:color="auto"/>
            </w:tcBorders>
          </w:tcPr>
          <w:p>
            <w:pPr>
              <w:ind w:left="80"/>
              <w:spacing w:after="0" w:line="230" w:lineRule="exact"/>
              <w:rPr>
                <w:sz w:val="20"/>
                <w:szCs w:val="20"/>
                <w:color w:val="auto"/>
              </w:rPr>
            </w:pPr>
            <w:r>
              <w:rPr>
                <w:rFonts w:ascii="PMingLiU" w:cs="PMingLiU" w:eastAsia="PMingLiU" w:hAnsi="PMingLiU"/>
                <w:sz w:val="20"/>
                <w:szCs w:val="20"/>
                <w:color w:val="auto"/>
              </w:rPr>
              <w:t>Royalty Period 2</w:t>
            </w:r>
          </w:p>
        </w:tc>
        <w:tc>
          <w:tcPr>
            <w:tcW w:w="1760" w:type="dxa"/>
            <w:vAlign w:val="bottom"/>
            <w:tcBorders>
              <w:right w:val="single" w:sz="8" w:color="auto"/>
            </w:tcBorders>
          </w:tcPr>
          <w:p>
            <w:pPr>
              <w:jc w:val="center"/>
              <w:spacing w:after="0" w:line="230" w:lineRule="exact"/>
              <w:rPr>
                <w:sz w:val="20"/>
                <w:szCs w:val="20"/>
                <w:color w:val="auto"/>
              </w:rPr>
            </w:pPr>
            <w:r>
              <w:rPr>
                <w:rFonts w:ascii="PMingLiU" w:cs="PMingLiU" w:eastAsia="PMingLiU" w:hAnsi="PMingLiU"/>
                <w:sz w:val="20"/>
                <w:szCs w:val="20"/>
                <w:color w:val="auto"/>
              </w:rPr>
              <w:t>[***]</w:t>
            </w:r>
          </w:p>
        </w:tc>
      </w:tr>
      <w:tr>
        <w:trPr>
          <w:trHeight w:val="60"/>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1760" w:type="dxa"/>
            <w:vAlign w:val="bottom"/>
            <w:tcBorders>
              <w:bottom w:val="single" w:sz="8" w:color="auto"/>
              <w:right w:val="single" w:sz="8" w:color="auto"/>
            </w:tcBorders>
          </w:tcPr>
          <w:p>
            <w:pPr>
              <w:spacing w:after="0"/>
              <w:rPr>
                <w:sz w:val="5"/>
                <w:szCs w:val="5"/>
                <w:color w:val="auto"/>
              </w:rPr>
            </w:pPr>
          </w:p>
        </w:tc>
      </w:tr>
    </w:tbl>
    <w:p>
      <w:pPr>
        <w:spacing w:after="0" w:line="286" w:lineRule="exact"/>
        <w:rPr>
          <w:sz w:val="20"/>
          <w:szCs w:val="20"/>
          <w:color w:val="auto"/>
        </w:rPr>
      </w:pPr>
    </w:p>
    <w:p>
      <w:pPr>
        <w:ind w:right="80"/>
        <w:spacing w:after="0" w:line="198" w:lineRule="auto"/>
        <w:rPr>
          <w:sz w:val="20"/>
          <w:szCs w:val="20"/>
          <w:color w:val="auto"/>
        </w:rPr>
      </w:pPr>
      <w:r>
        <w:rPr>
          <w:rFonts w:ascii="PMingLiU" w:cs="PMingLiU" w:eastAsia="PMingLiU" w:hAnsi="PMingLiU"/>
          <w:sz w:val="20"/>
          <w:szCs w:val="20"/>
          <w:color w:val="auto"/>
        </w:rPr>
        <w:t>At such me as KKC’s obligaon to pay royales under this Secon 6.04 has expired with respect to a Licensed Product, the license granted to KKC under Secon 2.01 shall automacally, and without further acon on the part of Ardelyx or KKC, become non-exclusive, fully- paid, irrevocable and perpetual with respect to such Licensed Product and the Net Sales of such Licensed Product shall be excluded from royalty calculaons under this Secon 6.04 (including for purposes of applying thresholds and ceilings) and shall be excluded from the sales milestones set forth in Secon 6.03.</w:t>
      </w:r>
    </w:p>
    <w:p>
      <w:pPr>
        <w:spacing w:after="0" w:line="172" w:lineRule="exact"/>
        <w:rPr>
          <w:sz w:val="20"/>
          <w:szCs w:val="20"/>
          <w:color w:val="auto"/>
        </w:rPr>
      </w:pPr>
    </w:p>
    <w:p>
      <w:pPr>
        <w:ind w:right="60" w:firstLine="494"/>
        <w:spacing w:after="0" w:line="192" w:lineRule="auto"/>
        <w:tabs>
          <w:tab w:leader="none" w:pos="1290" w:val="left"/>
        </w:tabs>
        <w:numPr>
          <w:ilvl w:val="0"/>
          <w:numId w:val="13"/>
        </w:numPr>
        <w:rPr>
          <w:rFonts w:ascii="PMingLiU" w:cs="PMingLiU" w:eastAsia="PMingLiU" w:hAnsi="PMingLiU"/>
          <w:sz w:val="20"/>
          <w:szCs w:val="20"/>
          <w:color w:val="auto"/>
        </w:rPr>
      </w:pPr>
      <w:r>
        <w:rPr>
          <w:rFonts w:ascii="PMingLiU" w:cs="PMingLiU" w:eastAsia="PMingLiU" w:hAnsi="PMingLiU"/>
          <w:sz w:val="20"/>
          <w:szCs w:val="20"/>
          <w:color w:val="auto"/>
        </w:rPr>
        <w:t>If, during the Term, (i) KKC obtains a license to Exploit any Third Party Patent in the Territory that (i) [***] required for KKC to Develop, Manufacture and Commercialize the Lead Licensed Compound or the Lead Licensed Product (as Manufactured and formulated by Ardelyx prior to the transfer of the responsibility to KKC for the Manufacture of Lead Licensed Product and with regard to the Lead Licensed Compound prior to the exercise of the Manufacturing Opon, if such exercise occurred) in accordance with the terms of this Agreement [***], and (ii) which [***] would, in the absence of such license, be infringed by the Development, Manufacture or Commercializaon of the Licensed Compound or the Licensed Product (as Manufactured and formulated by Ardelyx prior to the transfer of the responsibility to KKC for the Manufacture of the Lead Licensed Product and with regard to the Lead Licensed Compound prior to the exercise of the Manufacturing Opon, if such exercise occurred) in the Territory [***], (iii) KKC does not have any other [***] available to avoid such infringement, and (iv) KKC is required to pay to such Third Party a royalty, milestone payments or other monetary compensaon in consideraon for the grant of such license (“</w:t>
      </w:r>
      <w:r>
        <w:rPr>
          <w:rFonts w:ascii="PMingLiU" w:cs="PMingLiU" w:eastAsia="PMingLiU" w:hAnsi="PMingLiU"/>
          <w:sz w:val="20"/>
          <w:szCs w:val="20"/>
          <w:b w:val="1"/>
          <w:bCs w:val="1"/>
          <w:color w:val="auto"/>
        </w:rPr>
        <w:t>Third Party Compensaon</w:t>
      </w:r>
      <w:r>
        <w:rPr>
          <w:rFonts w:ascii="PMingLiU" w:cs="PMingLiU" w:eastAsia="PMingLiU" w:hAnsi="PMingLiU"/>
          <w:sz w:val="20"/>
          <w:szCs w:val="20"/>
          <w:color w:val="auto"/>
        </w:rPr>
        <w:t>"), then for the period during which KKC owes royales to Ardelyx hereunder, the amounts that would otherwise have been payable as royales to Ardelyx under this Agreement shall be reduced by [***] Third Party Compensaon payable by or on behalf of KKC to such Third Party; provided, however, that in no event shall the amount of the royales payable by KKC to Ardelyx be reduced by more than [***] percent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PMingLiU" w:cs="PMingLiU" w:eastAsia="PMingLiU" w:hAnsi="PMingLiU"/>
          <w:sz w:val="20"/>
          <w:szCs w:val="20"/>
          <w:color w:val="auto"/>
        </w:rPr>
        <w:t>4</w:t>
      </w:r>
    </w:p>
    <w:p>
      <w:pPr>
        <w:spacing w:after="0" w:line="200" w:lineRule="exact"/>
        <w:rPr>
          <w:sz w:val="20"/>
          <w:szCs w:val="20"/>
          <w:color w:val="auto"/>
        </w:rPr>
      </w:pPr>
    </w:p>
    <w:p>
      <w:pPr>
        <w:spacing w:after="0" w:line="337" w:lineRule="exact"/>
        <w:rPr>
          <w:sz w:val="20"/>
          <w:szCs w:val="20"/>
          <w:color w:val="auto"/>
        </w:rPr>
      </w:pPr>
    </w:p>
    <w:p>
      <w:pPr>
        <w:ind w:right="160" w:firstLine="8"/>
        <w:spacing w:after="0" w:line="239" w:lineRule="auto"/>
        <w:tabs>
          <w:tab w:leader="none" w:pos="410" w:val="left"/>
        </w:tabs>
        <w:numPr>
          <w:ilvl w:val="0"/>
          <w:numId w:val="14"/>
        </w:numPr>
        <w:rPr>
          <w:rFonts w:ascii="PMingLiU" w:cs="PMingLiU" w:eastAsia="PMingLiU" w:hAnsi="PMingLiU"/>
          <w:sz w:val="18"/>
          <w:szCs w:val="18"/>
          <w:color w:val="auto"/>
        </w:rPr>
      </w:pPr>
      <w:r>
        <w:rPr>
          <w:rFonts w:ascii="PMingLiU" w:cs="PMingLiU" w:eastAsia="PMingLiU" w:hAnsi="PMingLiU"/>
          <w:sz w:val="18"/>
          <w:szCs w:val="18"/>
          <w:color w:val="auto"/>
        </w:rPr>
        <w:t>= Certain confidenal informaon contained in this document, marked by [***], has been omied because it is both (i) not material and (ii) is the type that the registrant treats as private or confidenal.</w:t>
      </w:r>
    </w:p>
    <w:p>
      <w:pPr>
        <w:sectPr>
          <w:pgSz w:w="11900" w:h="16838" w:orient="portrait"/>
          <w:cols w:equalWidth="0" w:num="1">
            <w:col w:w="11240"/>
          </w:cols>
          <w:pgMar w:left="320" w:top="110" w:right="339" w:bottom="1440" w:gutter="0" w:footer="0" w:header="0"/>
        </w:sectPr>
      </w:pPr>
    </w:p>
    <w:bookmarkStart w:id="7" w:name="page8"/>
    <w:bookmarkEnd w:id="7"/>
    <w:p>
      <w:pPr>
        <w:jc w:val="right"/>
        <w:spacing w:after="0"/>
        <w:rPr>
          <w:sz w:val="20"/>
          <w:szCs w:val="20"/>
          <w:color w:val="auto"/>
        </w:rPr>
      </w:pPr>
      <w:r>
        <w:rPr>
          <w:rFonts w:ascii="PMingLiU" w:cs="PMingLiU" w:eastAsia="PMingLiU" w:hAnsi="PMingLiU"/>
          <w:sz w:val="20"/>
          <w:szCs w:val="20"/>
          <w:i w:val="1"/>
          <w:iCs w:val="1"/>
          <w:color w:val="auto"/>
        </w:rPr>
        <w:t>Execuon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PMingLiU" w:cs="PMingLiU" w:eastAsia="PMingLiU" w:hAnsi="PMingLiU"/>
          <w:sz w:val="20"/>
          <w:szCs w:val="20"/>
          <w:b w:val="1"/>
          <w:bCs w:val="1"/>
          <w:color w:val="auto"/>
        </w:rPr>
        <w:t>Secon 11.04 Consequences of Ardelyx Triggered Terminaon (or Right to Terminate) .</w:t>
      </w:r>
    </w:p>
    <w:p>
      <w:pPr>
        <w:spacing w:after="0" w:line="158" w:lineRule="exact"/>
        <w:rPr>
          <w:sz w:val="20"/>
          <w:szCs w:val="20"/>
          <w:color w:val="auto"/>
        </w:rPr>
      </w:pPr>
    </w:p>
    <w:p>
      <w:pPr>
        <w:spacing w:after="0"/>
        <w:rPr>
          <w:sz w:val="20"/>
          <w:szCs w:val="20"/>
          <w:color w:val="auto"/>
        </w:rPr>
      </w:pPr>
      <w:r>
        <w:rPr>
          <w:rFonts w:ascii="PMingLiU" w:cs="PMingLiU" w:eastAsia="PMingLiU" w:hAnsi="PMingLiU"/>
          <w:sz w:val="20"/>
          <w:szCs w:val="20"/>
          <w:color w:val="auto"/>
        </w:rPr>
        <w:t>If KKC is entled to terminate this Agreement pursuant to Secon 11.02 (a) as a result of a material breach by Ardelyx or Secon 11.02</w:t>
      </w:r>
    </w:p>
    <w:p>
      <w:pPr>
        <w:ind w:right="160" w:firstLine="8"/>
        <w:spacing w:after="0" w:line="192" w:lineRule="auto"/>
        <w:tabs>
          <w:tab w:leader="none" w:pos="269" w:val="left"/>
        </w:tabs>
        <w:numPr>
          <w:ilvl w:val="0"/>
          <w:numId w:val="15"/>
        </w:numPr>
        <w:rPr>
          <w:rFonts w:ascii="PMingLiU" w:cs="PMingLiU" w:eastAsia="PMingLiU" w:hAnsi="PMingLiU"/>
          <w:sz w:val="20"/>
          <w:szCs w:val="20"/>
          <w:color w:val="auto"/>
        </w:rPr>
      </w:pPr>
      <w:r>
        <w:rPr>
          <w:rFonts w:ascii="PMingLiU" w:cs="PMingLiU" w:eastAsia="PMingLiU" w:hAnsi="PMingLiU"/>
          <w:sz w:val="20"/>
          <w:szCs w:val="20"/>
          <w:color w:val="auto"/>
        </w:rPr>
        <w:t>for an insolvency or other transacon described therein a ecng Ardelyx, KKC may elect to terminate this Agreement subject to the provisions set forth in Secon 11.04 (a), or to connue the Agreement subject to the provisions set forth in Secon 11.04 (b).</w:t>
      </w:r>
    </w:p>
    <w:p>
      <w:pPr>
        <w:spacing w:after="0" w:line="199" w:lineRule="exact"/>
        <w:rPr>
          <w:rFonts w:ascii="PMingLiU" w:cs="PMingLiU" w:eastAsia="PMingLiU" w:hAnsi="PMingLiU"/>
          <w:sz w:val="20"/>
          <w:szCs w:val="20"/>
          <w:color w:val="auto"/>
        </w:rPr>
      </w:pPr>
    </w:p>
    <w:p>
      <w:pPr>
        <w:ind w:left="660" w:right="200" w:hanging="328"/>
        <w:spacing w:after="0" w:line="241" w:lineRule="auto"/>
        <w:tabs>
          <w:tab w:leader="none" w:pos="664" w:val="left"/>
        </w:tabs>
        <w:numPr>
          <w:ilvl w:val="1"/>
          <w:numId w:val="15"/>
        </w:numPr>
        <w:rPr>
          <w:rFonts w:ascii="PMingLiU" w:cs="PMingLiU" w:eastAsia="PMingLiU" w:hAnsi="PMingLiU"/>
          <w:sz w:val="20"/>
          <w:szCs w:val="20"/>
          <w:color w:val="auto"/>
        </w:rPr>
      </w:pPr>
      <w:r>
        <w:rPr>
          <w:rFonts w:ascii="PMingLiU" w:cs="PMingLiU" w:eastAsia="PMingLiU" w:hAnsi="PMingLiU"/>
          <w:sz w:val="20"/>
          <w:szCs w:val="20"/>
          <w:color w:val="auto"/>
        </w:rPr>
        <w:t>If KKC terminates the Agreement under Secon 11.02 (a) or under Secon 11.02 (e), Secon 11.03 shall apply as if such terminaon were an KKC Triggered Terminaon, except that (i) [***] and (ii) in consideraon of the [***] and any other rights granted under the above provisions in Secon 11.03, if this Agreement is terminated pursuant to Secon 11.02 (a) by KKC aer the First Commercial Sale of the Licensed Product in the Territory, Ardelyx shall [***]; provided however that the [***]. The foregoing shall be [***]in connecon with its terminaon pursuant to Secon 11.02(a).</w:t>
      </w:r>
    </w:p>
    <w:p>
      <w:pPr>
        <w:spacing w:after="0" w:line="5" w:lineRule="exact"/>
        <w:rPr>
          <w:rFonts w:ascii="PMingLiU" w:cs="PMingLiU" w:eastAsia="PMingLiU" w:hAnsi="PMingLiU"/>
          <w:sz w:val="20"/>
          <w:szCs w:val="20"/>
          <w:color w:val="auto"/>
        </w:rPr>
      </w:pPr>
    </w:p>
    <w:p>
      <w:pPr>
        <w:ind w:left="1940" w:hanging="312"/>
        <w:spacing w:after="0"/>
        <w:tabs>
          <w:tab w:leader="none" w:pos="1940" w:val="left"/>
        </w:tabs>
        <w:numPr>
          <w:ilvl w:val="2"/>
          <w:numId w:val="15"/>
        </w:numPr>
        <w:rPr>
          <w:rFonts w:ascii="PMingLiU" w:cs="PMingLiU" w:eastAsia="PMingLiU" w:hAnsi="PMingLiU"/>
          <w:sz w:val="20"/>
          <w:szCs w:val="20"/>
          <w:color w:val="auto"/>
        </w:rPr>
      </w:pPr>
      <w:r>
        <w:rPr>
          <w:rFonts w:ascii="PMingLiU" w:cs="PMingLiU" w:eastAsia="PMingLiU" w:hAnsi="PMingLiU"/>
          <w:sz w:val="20"/>
          <w:szCs w:val="20"/>
          <w:color w:val="auto"/>
        </w:rPr>
        <w:t>[***]; and</w:t>
      </w:r>
    </w:p>
    <w:p>
      <w:pPr>
        <w:spacing w:after="0" w:line="3" w:lineRule="exact"/>
        <w:rPr>
          <w:rFonts w:ascii="PMingLiU" w:cs="PMingLiU" w:eastAsia="PMingLiU" w:hAnsi="PMingLiU"/>
          <w:sz w:val="20"/>
          <w:szCs w:val="20"/>
          <w:color w:val="auto"/>
        </w:rPr>
      </w:pPr>
    </w:p>
    <w:p>
      <w:pPr>
        <w:ind w:left="2000" w:hanging="372"/>
        <w:spacing w:after="0"/>
        <w:tabs>
          <w:tab w:leader="none" w:pos="2000" w:val="left"/>
        </w:tabs>
        <w:numPr>
          <w:ilvl w:val="2"/>
          <w:numId w:val="15"/>
        </w:numPr>
        <w:rPr>
          <w:rFonts w:ascii="PMingLiU" w:cs="PMingLiU" w:eastAsia="PMingLiU" w:hAnsi="PMingLiU"/>
          <w:sz w:val="20"/>
          <w:szCs w:val="20"/>
          <w:color w:val="auto"/>
        </w:rPr>
      </w:pPr>
      <w:r>
        <w:rPr>
          <w:rFonts w:ascii="PMingLiU" w:cs="PMingLiU" w:eastAsia="PMingLiU" w:hAnsi="PMingLiU"/>
          <w:sz w:val="20"/>
          <w:szCs w:val="20"/>
          <w:color w:val="auto"/>
        </w:rPr>
        <w:t>[***]</w:t>
      </w:r>
      <w:r>
        <w:rPr>
          <w:rFonts w:ascii="PMingLiU" w:cs="PMingLiU" w:eastAsia="PMingLiU" w:hAnsi="PMingLiU"/>
          <w:sz w:val="20"/>
          <w:szCs w:val="20"/>
          <w:u w:val="single" w:color="auto"/>
          <w:color w:val="auto"/>
        </w:rPr>
        <w:t>.</w:t>
      </w:r>
    </w:p>
    <w:p>
      <w:pPr>
        <w:spacing w:after="0" w:line="251" w:lineRule="exact"/>
        <w:rPr>
          <w:rFonts w:ascii="PMingLiU" w:cs="PMingLiU" w:eastAsia="PMingLiU" w:hAnsi="PMingLiU"/>
          <w:sz w:val="20"/>
          <w:szCs w:val="20"/>
          <w:color w:val="auto"/>
        </w:rPr>
      </w:pPr>
    </w:p>
    <w:p>
      <w:pPr>
        <w:ind w:left="660" w:right="20" w:hanging="328"/>
        <w:spacing w:after="0" w:line="242" w:lineRule="auto"/>
        <w:tabs>
          <w:tab w:leader="none" w:pos="660" w:val="left"/>
        </w:tabs>
        <w:numPr>
          <w:ilvl w:val="1"/>
          <w:numId w:val="15"/>
        </w:numPr>
        <w:rPr>
          <w:rFonts w:ascii="PMingLiU" w:cs="PMingLiU" w:eastAsia="PMingLiU" w:hAnsi="PMingLiU"/>
          <w:sz w:val="20"/>
          <w:szCs w:val="20"/>
          <w:color w:val="auto"/>
        </w:rPr>
      </w:pPr>
      <w:r>
        <w:rPr>
          <w:rFonts w:ascii="PMingLiU" w:cs="PMingLiU" w:eastAsia="PMingLiU" w:hAnsi="PMingLiU"/>
          <w:sz w:val="20"/>
          <w:szCs w:val="20"/>
          <w:color w:val="auto"/>
        </w:rPr>
        <w:t>If KKC has the right to terminate this Agreement under Secon 11.02 (a) or Secon 11.02 (e), but elects to connue this Agreement, this Agreement shall connue in full force and e ect except that if KKC is entled to terminate this Agreement under Secon 11.02 (a) due to Ardelyx breach (but not if KKC’s right to terminate is based solely on Ardelyx’s insolvency pursuant to Secon 11.02 (e)), the royales that Ardelyx shall be entled to receive on Net Sales of Licensed Products by KKC, its A liates, or its Sublicensees as set forth in Secon 6.04 shall each be reduced to [***]percent ([***]) in Royalty Period 1 and [***] percent ([***]) in Royalty Period 2, provided that when a Generic Product is launched in the Territory, the royalty rate shall be further reduced to [***] percent ([***]) in Royalty Period 1 and [***] percent ([***]) in Royalty Period 2, subject to the reducon of the Third Party Compensaon as set out in Secon 6.04 (e).</w:t>
      </w:r>
    </w:p>
    <w:p>
      <w:pPr>
        <w:spacing w:after="0" w:line="200" w:lineRule="exact"/>
        <w:rPr>
          <w:rFonts w:ascii="PMingLiU" w:cs="PMingLiU" w:eastAsia="PMingLiU" w:hAnsi="PMingLiU"/>
          <w:sz w:val="20"/>
          <w:szCs w:val="20"/>
          <w:color w:val="auto"/>
        </w:rPr>
      </w:pPr>
    </w:p>
    <w:p>
      <w:pPr>
        <w:spacing w:after="0" w:line="295" w:lineRule="exact"/>
        <w:rPr>
          <w:rFonts w:ascii="PMingLiU" w:cs="PMingLiU" w:eastAsia="PMingLiU" w:hAnsi="PMingLiU"/>
          <w:sz w:val="20"/>
          <w:szCs w:val="20"/>
          <w:color w:val="auto"/>
        </w:rPr>
      </w:pPr>
    </w:p>
    <w:p>
      <w:pPr>
        <w:ind w:left="660" w:hanging="328"/>
        <w:spacing w:after="0" w:line="242" w:lineRule="auto"/>
        <w:tabs>
          <w:tab w:leader="none" w:pos="652" w:val="left"/>
        </w:tabs>
        <w:numPr>
          <w:ilvl w:val="1"/>
          <w:numId w:val="15"/>
        </w:numPr>
        <w:rPr>
          <w:rFonts w:ascii="PMingLiU" w:cs="PMingLiU" w:eastAsia="PMingLiU" w:hAnsi="PMingLiU"/>
          <w:sz w:val="20"/>
          <w:szCs w:val="20"/>
          <w:color w:val="auto"/>
        </w:rPr>
      </w:pPr>
      <w:r>
        <w:rPr>
          <w:rFonts w:ascii="PMingLiU" w:cs="PMingLiU" w:eastAsia="PMingLiU" w:hAnsi="PMingLiU"/>
          <w:sz w:val="20"/>
          <w:szCs w:val="20"/>
          <w:color w:val="auto"/>
        </w:rPr>
        <w:t>Except where expressly provided for otherwise in this Agreement, terminaon of this Agreement by either Party shall not relieve the Pares of any liability, including without limitaon any obligaon to make payments hereunder, which accrued hereunder prior to the e ecve date of such terminaon, nor preclude any Party from pursuing all rights and remedies it may have hereunder or at law or in equity with respect to any breach of this Agreement, nor prejudice any Party’s right to obtain performance of any obligaon. In the event of such terminaon, this Secon 11.04 (c) shall survive in addion to others specified in this Agreement to survive in such event.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PMingLiU" w:cs="PMingLiU" w:eastAsia="PMingLiU" w:hAnsi="PMingLiU"/>
          <w:sz w:val="20"/>
          <w:szCs w:val="20"/>
          <w:color w:val="auto"/>
        </w:rPr>
        <w:t>5</w:t>
      </w:r>
    </w:p>
    <w:p>
      <w:pPr>
        <w:spacing w:after="0" w:line="200" w:lineRule="exact"/>
        <w:rPr>
          <w:sz w:val="20"/>
          <w:szCs w:val="20"/>
          <w:color w:val="auto"/>
        </w:rPr>
      </w:pPr>
    </w:p>
    <w:p>
      <w:pPr>
        <w:spacing w:after="0" w:line="351" w:lineRule="exact"/>
        <w:rPr>
          <w:sz w:val="20"/>
          <w:szCs w:val="20"/>
          <w:color w:val="auto"/>
        </w:rPr>
      </w:pPr>
    </w:p>
    <w:p>
      <w:pPr>
        <w:ind w:right="160" w:firstLine="8"/>
        <w:spacing w:after="0" w:line="239" w:lineRule="auto"/>
        <w:tabs>
          <w:tab w:leader="none" w:pos="410" w:val="left"/>
        </w:tabs>
        <w:numPr>
          <w:ilvl w:val="0"/>
          <w:numId w:val="16"/>
        </w:numPr>
        <w:rPr>
          <w:rFonts w:ascii="PMingLiU" w:cs="PMingLiU" w:eastAsia="PMingLiU" w:hAnsi="PMingLiU"/>
          <w:sz w:val="18"/>
          <w:szCs w:val="18"/>
          <w:color w:val="auto"/>
        </w:rPr>
      </w:pPr>
      <w:r>
        <w:rPr>
          <w:rFonts w:ascii="PMingLiU" w:cs="PMingLiU" w:eastAsia="PMingLiU" w:hAnsi="PMingLiU"/>
          <w:sz w:val="18"/>
          <w:szCs w:val="18"/>
          <w:color w:val="auto"/>
        </w:rPr>
        <w:t>= Certain confidenal informaon contained in this document, marked by [***], has been omied because it is both (i) not material and (ii) is the type that the registrant treats as private or confidenal.</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PMingLiU">
    <w:panose1 w:val="02020500000000000000"/>
    <w:charset w:val="00"/>
    <w:family w:val="roman"/>
    <w:pitch w:val="variable"/>
    <w:sig w:usb0="A00002FF" w:usb1="28CFFCFA" w:usb2="00000016" w:usb3="00000000" w:csb0="00100001" w:csb1="0000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2"/>
      <w:numFmt w:val="decimal"/>
      <w:start w:val="104"/>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abstractNum>
  <w:abstractNum w:abstractNumId="4">
    <w:nsid w:val="216231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5">
    <w:nsid w:val="1F16E9E8"/>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lowerLetter"/>
      <w:start w:val="1"/>
    </w:lvl>
  </w:abstractNum>
  <w:abstractNum w:abstractNumId="8">
    <w:nsid w:val="140E0F76"/>
    <w:multiLevelType w:val="hybridMultilevel"/>
    <w:lvl w:ilvl="0">
      <w:lvlJc w:val="left"/>
      <w:lvlText w:val="(%1)"/>
      <w:numFmt w:val="lowerLetter"/>
      <w:start w:val="2"/>
    </w:lvl>
    <w:lvl w:ilvl="1">
      <w:lvlJc w:val="left"/>
      <w:lvlText w:val="(%2)"/>
      <w:numFmt w:val="lowerLetter"/>
      <w:start w:val="9"/>
    </w:lvl>
  </w:abstractNum>
  <w:abstractNum w:abstractNumId="9">
    <w:nsid w:val="3352255A"/>
    <w:multiLevelType w:val="hybridMultilevel"/>
    <w:lvl w:ilvl="0">
      <w:lvlJc w:val="left"/>
      <w:lvlText w:val="(%1)"/>
      <w:numFmt w:val="lowerRoman"/>
      <w:start w:val="2"/>
    </w:lvl>
  </w:abstractNum>
  <w:abstractNum w:abstractNumId="10">
    <w:nsid w:val="109CF92E"/>
    <w:multiLevelType w:val="hybridMultilevel"/>
    <w:lvl w:ilvl="0">
      <w:lvlJc w:val="left"/>
      <w:lvlText w:val="(%1)"/>
      <w:numFmt w:val="lowerLetter"/>
      <w:start w:val="4"/>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5"/>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2022-04-11T15:07:51Z</dcterms:created>
  <dcterms:modified xsi:type="dcterms:W3CDTF">2022-04-11T15:07:51Z</dcterms:modified>
</cp:coreProperties>
</file>