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603250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620395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746125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99060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November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3412490</wp:posOffset>
            </wp:positionH>
            <wp:positionV relativeFrom="paragraph">
              <wp:posOffset>184785</wp:posOffset>
            </wp:positionV>
            <wp:extent cx="342900" cy="342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ARDELYX,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151"/>
        </w:trPr>
        <w:tc>
          <w:tcPr>
            <w:tcW w:w="3120" w:type="dxa"/>
            <w:vAlign w:val="bottom"/>
          </w:tcPr>
          <w:p>
            <w:pPr>
              <w:jc w:val="center"/>
              <w:ind w:left="588"/>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50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001-36485</w:t>
            </w:r>
          </w:p>
        </w:tc>
        <w:tc>
          <w:tcPr>
            <w:tcW w:w="3100" w:type="dxa"/>
            <w:vAlign w:val="bottom"/>
          </w:tcPr>
          <w:p>
            <w:pPr>
              <w:jc w:val="center"/>
              <w:ind w:right="628"/>
              <w:spacing w:after="0"/>
              <w:rPr>
                <w:sz w:val="20"/>
                <w:szCs w:val="20"/>
                <w:color w:val="auto"/>
              </w:rPr>
            </w:pPr>
            <w:r>
              <w:rPr>
                <w:rFonts w:ascii="Times New Roman" w:cs="Times New Roman" w:eastAsia="Times New Roman" w:hAnsi="Times New Roman"/>
                <w:sz w:val="12"/>
                <w:szCs w:val="12"/>
                <w:b w:val="1"/>
                <w:bCs w:val="1"/>
                <w:color w:val="auto"/>
                <w:w w:val="99"/>
              </w:rPr>
              <w:t>26-1303944</w:t>
            </w:r>
          </w:p>
        </w:tc>
      </w:tr>
      <w:tr>
        <w:trPr>
          <w:trHeight w:val="99"/>
        </w:trPr>
        <w:tc>
          <w:tcPr>
            <w:tcW w:w="3120" w:type="dxa"/>
            <w:vAlign w:val="bottom"/>
          </w:tcPr>
          <w:p>
            <w:pPr>
              <w:jc w:val="center"/>
              <w:ind w:left="588"/>
              <w:spacing w:after="0" w:line="99" w:lineRule="exact"/>
              <w:rPr>
                <w:sz w:val="20"/>
                <w:szCs w:val="20"/>
                <w:color w:val="auto"/>
              </w:rPr>
            </w:pPr>
            <w:r>
              <w:rPr>
                <w:rFonts w:ascii="Times New Roman" w:cs="Times New Roman" w:eastAsia="Times New Roman" w:hAnsi="Times New Roman"/>
                <w:sz w:val="10"/>
                <w:szCs w:val="10"/>
                <w:b w:val="1"/>
                <w:bCs w:val="1"/>
                <w:color w:val="auto"/>
                <w:w w:val="94"/>
              </w:rPr>
              <w:t>(State or other jurisdiction</w:t>
            </w:r>
          </w:p>
        </w:tc>
        <w:tc>
          <w:tcPr>
            <w:tcW w:w="50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6"/>
              </w:rPr>
              <w:t>(Commission</w:t>
            </w:r>
          </w:p>
        </w:tc>
        <w:tc>
          <w:tcPr>
            <w:tcW w:w="3100" w:type="dxa"/>
            <w:vAlign w:val="bottom"/>
          </w:tcPr>
          <w:p>
            <w:pPr>
              <w:jc w:val="center"/>
              <w:ind w:right="628"/>
              <w:spacing w:after="0" w:line="99" w:lineRule="exact"/>
              <w:rPr>
                <w:sz w:val="20"/>
                <w:szCs w:val="20"/>
                <w:color w:val="auto"/>
              </w:rPr>
            </w:pPr>
            <w:r>
              <w:rPr>
                <w:rFonts w:ascii="Times New Roman" w:cs="Times New Roman" w:eastAsia="Times New Roman" w:hAnsi="Times New Roman"/>
                <w:sz w:val="10"/>
                <w:szCs w:val="10"/>
                <w:b w:val="1"/>
                <w:bCs w:val="1"/>
                <w:color w:val="auto"/>
                <w:w w:val="95"/>
              </w:rPr>
              <w:t>(IRS Employer</w:t>
            </w:r>
          </w:p>
        </w:tc>
      </w:tr>
      <w:tr>
        <w:trPr>
          <w:trHeight w:val="125"/>
        </w:trPr>
        <w:tc>
          <w:tcPr>
            <w:tcW w:w="3120" w:type="dxa"/>
            <w:vAlign w:val="bottom"/>
          </w:tcPr>
          <w:p>
            <w:pPr>
              <w:jc w:val="center"/>
              <w:ind w:left="608"/>
              <w:spacing w:after="0"/>
              <w:rPr>
                <w:sz w:val="20"/>
                <w:szCs w:val="20"/>
                <w:color w:val="auto"/>
              </w:rPr>
            </w:pPr>
            <w:r>
              <w:rPr>
                <w:rFonts w:ascii="Times New Roman" w:cs="Times New Roman" w:eastAsia="Times New Roman" w:hAnsi="Times New Roman"/>
                <w:sz w:val="10"/>
                <w:szCs w:val="10"/>
                <w:b w:val="1"/>
                <w:bCs w:val="1"/>
                <w:color w:val="auto"/>
                <w:w w:val="95"/>
              </w:rPr>
              <w:t>of incorporation)</w:t>
            </w:r>
          </w:p>
        </w:tc>
        <w:tc>
          <w:tcPr>
            <w:tcW w:w="50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File Number)</w:t>
            </w:r>
          </w:p>
        </w:tc>
        <w:tc>
          <w:tcPr>
            <w:tcW w:w="3100" w:type="dxa"/>
            <w:vAlign w:val="bottom"/>
          </w:tcPr>
          <w:p>
            <w:pPr>
              <w:jc w:val="center"/>
              <w:ind w:right="608"/>
              <w:spacing w:after="0"/>
              <w:rPr>
                <w:sz w:val="20"/>
                <w:szCs w:val="20"/>
                <w:color w:val="auto"/>
              </w:rPr>
            </w:pPr>
            <w:r>
              <w:rPr>
                <w:rFonts w:ascii="Times New Roman" w:cs="Times New Roman" w:eastAsia="Times New Roman" w:hAnsi="Times New Roman"/>
                <w:sz w:val="10"/>
                <w:szCs w:val="10"/>
                <w:b w:val="1"/>
                <w:bCs w:val="1"/>
                <w:color w:val="auto"/>
                <w:w w:val="96"/>
              </w:rPr>
              <w:t>Identification Number)</w:t>
            </w:r>
          </w:p>
        </w:tc>
      </w:tr>
      <w:tr>
        <w:trPr>
          <w:trHeight w:val="271"/>
        </w:trPr>
        <w:tc>
          <w:tcPr>
            <w:tcW w:w="3120" w:type="dxa"/>
            <w:vAlign w:val="bottom"/>
          </w:tcPr>
          <w:p>
            <w:pPr>
              <w:spacing w:after="0"/>
              <w:rPr>
                <w:sz w:val="23"/>
                <w:szCs w:val="23"/>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400 FIFTH AVE., SUITE 210, WALTHAM, MASSACHUSETTS 02451</w:t>
            </w:r>
          </w:p>
        </w:tc>
        <w:tc>
          <w:tcPr>
            <w:tcW w:w="3100" w:type="dxa"/>
            <w:vAlign w:val="bottom"/>
          </w:tcPr>
          <w:p>
            <w:pPr>
              <w:spacing w:after="0"/>
              <w:rPr>
                <w:sz w:val="23"/>
                <w:szCs w:val="23"/>
                <w:color w:val="auto"/>
              </w:rPr>
            </w:pPr>
          </w:p>
        </w:tc>
      </w:tr>
      <w:tr>
        <w:trPr>
          <w:trHeight w:val="125"/>
        </w:trPr>
        <w:tc>
          <w:tcPr>
            <w:tcW w:w="3120" w:type="dxa"/>
            <w:vAlign w:val="bottom"/>
          </w:tcPr>
          <w:p>
            <w:pPr>
              <w:spacing w:after="0"/>
              <w:rPr>
                <w:sz w:val="10"/>
                <w:szCs w:val="10"/>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 including Zip Code)</w:t>
            </w:r>
          </w:p>
        </w:tc>
        <w:tc>
          <w:tcPr>
            <w:tcW w:w="3100" w:type="dxa"/>
            <w:vAlign w:val="bottom"/>
          </w:tcPr>
          <w:p>
            <w:pPr>
              <w:spacing w:after="0"/>
              <w:rPr>
                <w:sz w:val="10"/>
                <w:szCs w:val="10"/>
                <w:color w:val="auto"/>
              </w:rPr>
            </w:pPr>
          </w:p>
        </w:tc>
      </w:tr>
      <w:tr>
        <w:trPr>
          <w:trHeight w:val="251"/>
        </w:trPr>
        <w:tc>
          <w:tcPr>
            <w:tcW w:w="3120" w:type="dxa"/>
            <w:vAlign w:val="bottom"/>
          </w:tcPr>
          <w:p>
            <w:pPr>
              <w:spacing w:after="0"/>
              <w:rPr>
                <w:sz w:val="21"/>
                <w:szCs w:val="21"/>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(617) 675-2739</w:t>
            </w:r>
          </w:p>
        </w:tc>
        <w:tc>
          <w:tcPr>
            <w:tcW w:w="3100" w:type="dxa"/>
            <w:vAlign w:val="bottom"/>
          </w:tcPr>
          <w:p>
            <w:pPr>
              <w:spacing w:after="0"/>
              <w:rPr>
                <w:sz w:val="21"/>
                <w:szCs w:val="21"/>
                <w:color w:val="auto"/>
              </w:rPr>
            </w:pPr>
          </w:p>
        </w:tc>
      </w:tr>
      <w:tr>
        <w:trPr>
          <w:trHeight w:val="126"/>
        </w:trPr>
        <w:tc>
          <w:tcPr>
            <w:tcW w:w="3120" w:type="dxa"/>
            <w:vAlign w:val="bottom"/>
            <w:tcBorders>
              <w:bottom w:val="single" w:sz="8" w:color="auto"/>
            </w:tcBorders>
          </w:tcPr>
          <w:p>
            <w:pPr>
              <w:spacing w:after="0"/>
              <w:rPr>
                <w:sz w:val="10"/>
                <w:szCs w:val="10"/>
                <w:color w:val="auto"/>
              </w:rPr>
            </w:pPr>
          </w:p>
        </w:tc>
        <w:tc>
          <w:tcPr>
            <w:tcW w:w="508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tcPr>
          <w:p>
            <w:pPr>
              <w:spacing w:after="0"/>
              <w:rPr>
                <w:sz w:val="10"/>
                <w:szCs w:val="10"/>
                <w:color w:val="auto"/>
              </w:rPr>
            </w:pPr>
          </w:p>
        </w:tc>
      </w:tr>
    </w:tbl>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w:t>
      </w:r>
    </w:p>
    <w:p>
      <w:pPr>
        <w:spacing w:after="0" w:line="126"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11"/>
          <w:szCs w:val="11"/>
          <w:color w:val="auto"/>
          <w:highlight w:val="black"/>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29" w:lineRule="exact"/>
        <w:rPr>
          <w:rFonts w:ascii="MS PGothic" w:cs="MS PGothic" w:eastAsia="MS PGothic" w:hAnsi="MS PGothic"/>
          <w:sz w:val="11"/>
          <w:szCs w:val="11"/>
          <w:color w:val="auto"/>
          <w:highlight w:val="black"/>
        </w:rPr>
      </w:pPr>
    </w:p>
    <w:p>
      <w:pPr>
        <w:ind w:left="400" w:hanging="396"/>
        <w:spacing w:after="0"/>
        <w:tabs>
          <w:tab w:leader="none" w:pos="400" w:val="left"/>
        </w:tabs>
        <w:numPr>
          <w:ilvl w:val="0"/>
          <w:numId w:val="1"/>
        </w:numPr>
        <w:rPr>
          <w:rFonts w:ascii="MS PGothic" w:cs="MS PGothic" w:eastAsia="MS PGothic" w:hAnsi="MS PGothic"/>
          <w:sz w:val="11"/>
          <w:szCs w:val="11"/>
          <w:color w:val="auto"/>
          <w:highlight w:val="black"/>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17" w:lineRule="exact"/>
        <w:rPr>
          <w:rFonts w:ascii="MS PGothic" w:cs="MS PGothic" w:eastAsia="MS PGothic" w:hAnsi="MS PGothic"/>
          <w:sz w:val="11"/>
          <w:szCs w:val="11"/>
          <w:color w:val="auto"/>
          <w:highlight w:val="black"/>
        </w:rPr>
      </w:pPr>
    </w:p>
    <w:p>
      <w:pPr>
        <w:ind w:left="400" w:hanging="396"/>
        <w:spacing w:after="0"/>
        <w:tabs>
          <w:tab w:leader="none" w:pos="400" w:val="left"/>
        </w:tabs>
        <w:numPr>
          <w:ilvl w:val="0"/>
          <w:numId w:val="1"/>
        </w:numPr>
        <w:rPr>
          <w:rFonts w:ascii="MS PGothic" w:cs="MS PGothic" w:eastAsia="MS PGothic" w:hAnsi="MS PGothic"/>
          <w:sz w:val="11"/>
          <w:szCs w:val="11"/>
          <w:color w:val="auto"/>
          <w:highlight w:val="black"/>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17" w:lineRule="exact"/>
        <w:rPr>
          <w:rFonts w:ascii="MS PGothic" w:cs="MS PGothic" w:eastAsia="MS PGothic" w:hAnsi="MS PGothic"/>
          <w:sz w:val="11"/>
          <w:szCs w:val="11"/>
          <w:color w:val="auto"/>
          <w:highlight w:val="black"/>
        </w:rPr>
      </w:pPr>
    </w:p>
    <w:p>
      <w:pPr>
        <w:ind w:left="400" w:hanging="396"/>
        <w:spacing w:after="0"/>
        <w:tabs>
          <w:tab w:leader="none" w:pos="400" w:val="left"/>
        </w:tabs>
        <w:numPr>
          <w:ilvl w:val="0"/>
          <w:numId w:val="1"/>
        </w:numPr>
        <w:rPr>
          <w:rFonts w:ascii="MS PGothic" w:cs="MS PGothic" w:eastAsia="MS PGothic" w:hAnsi="MS PGothic"/>
          <w:sz w:val="11"/>
          <w:szCs w:val="11"/>
          <w:color w:val="auto"/>
          <w:highlight w:val="black"/>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0"/>
        </w:trPr>
        <w:tc>
          <w:tcPr>
            <w:tcW w:w="4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60" w:type="dxa"/>
            <w:vAlign w:val="bottom"/>
          </w:tcPr>
          <w:p>
            <w:pPr>
              <w:spacing w:after="0"/>
              <w:rPr>
                <w:sz w:val="12"/>
                <w:szCs w:val="12"/>
                <w:color w:val="auto"/>
              </w:rPr>
            </w:pPr>
          </w:p>
        </w:tc>
      </w:tr>
      <w:tr>
        <w:trPr>
          <w:trHeight w:val="227"/>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Title of each class</w:t>
            </w:r>
          </w:p>
        </w:tc>
        <w:tc>
          <w:tcPr>
            <w:tcW w:w="33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3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133"/>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Common Stock, par value $0.0001 per share</w:t>
            </w:r>
          </w:p>
        </w:tc>
        <w:tc>
          <w:tcPr>
            <w:tcW w:w="140" w:type="dxa"/>
            <w:vAlign w:val="bottom"/>
          </w:tcPr>
          <w:p>
            <w:pPr>
              <w:spacing w:after="0"/>
              <w:rPr>
                <w:sz w:val="11"/>
                <w:szCs w:val="11"/>
                <w:color w:val="auto"/>
              </w:rPr>
            </w:pPr>
          </w:p>
        </w:tc>
        <w:tc>
          <w:tcPr>
            <w:tcW w:w="3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ARDX</w:t>
            </w:r>
          </w:p>
        </w:tc>
        <w:tc>
          <w:tcPr>
            <w:tcW w:w="120" w:type="dxa"/>
            <w:vAlign w:val="bottom"/>
          </w:tcPr>
          <w:p>
            <w:pPr>
              <w:spacing w:after="0"/>
              <w:rPr>
                <w:sz w:val="11"/>
                <w:szCs w:val="11"/>
                <w:color w:val="auto"/>
              </w:rPr>
            </w:pPr>
          </w:p>
        </w:tc>
        <w:tc>
          <w:tcPr>
            <w:tcW w:w="3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The Nasdaq Global Market</w:t>
            </w:r>
          </w:p>
        </w:tc>
      </w:tr>
    </w:tbl>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highlight w:val="black"/>
        </w:rPr>
        <w:t>☐</w:t>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1"/>
          <w:szCs w:val="11"/>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610235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171450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188595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91" w:right="299" w:bottom="1440" w:gutter="0" w:footer="0" w:header="0"/>
        </w:sectPr>
      </w:pPr>
    </w:p>
    <w:bookmarkStart w:id="1" w:name="page2"/>
    <w:bookmarkEnd w:id="1"/>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118"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On November 3, 2026, Ardelyx, Inc. (the “Company”) announced its financial results for the quarter ended September 30, 2026. The full text of the press release issued in connection with the announcement is furnished as Exhibit 99.1 to this Current Report on Form 8-K.</w:t>
      </w:r>
    </w:p>
    <w:p>
      <w:pPr>
        <w:spacing w:after="0" w:line="75"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The information furnished under this Item 2.02, including Exhibit 99.1 hereto, shall not be considered “filed” under the Securities Exchange Act of 1934, as amended (the “Exchange Act”), nor shall it be incorporated by reference into any future filing under the Securities Act of 1933, as amended (the “Securities Act”), or under the Exchange Act, unless the Company expressly sets forth in such future filing that such information is to be considered “filed” or incorporated by reference therein.</w:t>
      </w:r>
    </w:p>
    <w:p>
      <w:pPr>
        <w:spacing w:after="0" w:line="7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72"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On November 3, 2026, the Company will host a conference call to discuss its financial results for the quarter ended September 30, 2026. A copy of the earnings presentation that will be used during this conference call is furnished as Exhibit 99.2 to this Current Report on Form 8-K and is incorporated herein by reference.</w:t>
      </w:r>
    </w:p>
    <w:p>
      <w:pPr>
        <w:spacing w:after="0" w:line="75"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The information furnished under this Item 7.01, including Exhibit 99.2 hereto, shall not be considered “filed” under the Exchange Act nor shall it be incorporated by reference into any future filing under the Securities Act, or under the Exchange Act, unless the Company expressly sets forth in such future filing that such information is to be considered “filed” or incorporated by reference therein.</w:t>
      </w:r>
    </w:p>
    <w:p>
      <w:pPr>
        <w:spacing w:after="0" w:line="7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Exhibits.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9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0"/>
                <w:szCs w:val="10"/>
                <w:color w:val="auto"/>
              </w:rPr>
              <w:t>Exhibit No.</w:t>
            </w:r>
          </w:p>
        </w:tc>
        <w:tc>
          <w:tcPr>
            <w:tcW w:w="220" w:type="dxa"/>
            <w:vAlign w:val="bottom"/>
          </w:tcPr>
          <w:p>
            <w:pPr>
              <w:spacing w:after="0"/>
              <w:rPr>
                <w:sz w:val="11"/>
                <w:szCs w:val="11"/>
                <w:color w:val="auto"/>
              </w:rPr>
            </w:pPr>
          </w:p>
        </w:tc>
        <w:tc>
          <w:tcPr>
            <w:tcW w:w="100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0"/>
                <w:szCs w:val="10"/>
                <w:color w:val="auto"/>
              </w:rPr>
              <w:t>Description</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99.1</w:t>
            </w:r>
          </w:p>
        </w:tc>
        <w:tc>
          <w:tcPr>
            <w:tcW w:w="220" w:type="dxa"/>
            <w:vAlign w:val="bottom"/>
          </w:tcPr>
          <w:p>
            <w:pPr>
              <w:spacing w:after="0"/>
              <w:rPr>
                <w:sz w:val="11"/>
                <w:szCs w:val="11"/>
                <w:color w:val="auto"/>
              </w:rPr>
            </w:pPr>
          </w:p>
        </w:tc>
        <w:tc>
          <w:tcPr>
            <w:tcW w:w="10100" w:type="dxa"/>
            <w:vAlign w:val="bottom"/>
            <w:gridSpan w:val="4"/>
          </w:tcPr>
          <w:p>
            <w:pPr>
              <w:ind w:left="20"/>
              <w:spacing w:after="0" w:line="133" w:lineRule="exact"/>
              <w:rPr>
                <w:sz w:val="20"/>
                <w:szCs w:val="20"/>
                <w:color w:val="auto"/>
              </w:rPr>
            </w:pPr>
            <w:r>
              <w:rPr>
                <w:rFonts w:ascii="Times New Roman" w:cs="Times New Roman" w:eastAsia="Times New Roman" w:hAnsi="Times New Roman"/>
                <w:sz w:val="12"/>
                <w:szCs w:val="12"/>
                <w:color w:val="0000FF"/>
              </w:rPr>
              <w:t>Press Release of Ardelyx, Inc.</w:t>
            </w: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99.2</w:t>
            </w:r>
          </w:p>
        </w:tc>
        <w:tc>
          <w:tcPr>
            <w:tcW w:w="2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2"/>
                <w:szCs w:val="12"/>
                <w:color w:val="0000FF"/>
                <w:w w:val="98"/>
              </w:rPr>
              <w:t>Earnings Presentation of Ardelyx, Inc.</w:t>
            </w:r>
          </w:p>
        </w:tc>
        <w:tc>
          <w:tcPr>
            <w:tcW w:w="82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98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220" w:type="dxa"/>
            <w:vAlign w:val="bottom"/>
          </w:tcPr>
          <w:p>
            <w:pPr>
              <w:spacing w:after="0"/>
              <w:rPr>
                <w:sz w:val="16"/>
                <w:szCs w:val="16"/>
                <w:color w:val="auto"/>
              </w:rPr>
            </w:pPr>
          </w:p>
        </w:tc>
        <w:tc>
          <w:tcPr>
            <w:tcW w:w="1010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801"/>
        </w:trPr>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the registrant has duly caused this report to be signed on its behalf by the undersigned hereunto duly authorized.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640" w:type="dxa"/>
            <w:vAlign w:val="bottom"/>
          </w:tcPr>
          <w:p>
            <w:pPr>
              <w:spacing w:after="0"/>
              <w:rPr>
                <w:sz w:val="20"/>
                <w:szCs w:val="20"/>
                <w:color w:val="auto"/>
              </w:rPr>
            </w:pPr>
            <w:r>
              <w:rPr>
                <w:rFonts w:ascii="Times New Roman" w:cs="Times New Roman" w:eastAsia="Times New Roman" w:hAnsi="Times New Roman"/>
                <w:sz w:val="12"/>
                <w:szCs w:val="12"/>
                <w:color w:val="auto"/>
              </w:rPr>
              <w:t>Date: November 3, 2026</w:t>
            </w:r>
          </w:p>
        </w:tc>
        <w:tc>
          <w:tcPr>
            <w:tcW w:w="7660" w:type="dxa"/>
            <w:vAlign w:val="bottom"/>
            <w:gridSpan w:val="2"/>
          </w:tcPr>
          <w:p>
            <w:pPr>
              <w:ind w:left="2440"/>
              <w:spacing w:after="0"/>
              <w:rPr>
                <w:sz w:val="20"/>
                <w:szCs w:val="20"/>
                <w:color w:val="auto"/>
              </w:rPr>
            </w:pPr>
            <w:r>
              <w:rPr>
                <w:rFonts w:ascii="Times New Roman" w:cs="Times New Roman" w:eastAsia="Times New Roman" w:hAnsi="Times New Roman"/>
                <w:sz w:val="12"/>
                <w:szCs w:val="12"/>
                <w:b w:val="1"/>
                <w:bCs w:val="1"/>
                <w:color w:val="auto"/>
              </w:rPr>
              <w:t>ARDELYX, INC.</w:t>
            </w:r>
          </w:p>
        </w:tc>
      </w:tr>
      <w:tr>
        <w:trPr>
          <w:trHeight w:val="297"/>
        </w:trPr>
        <w:tc>
          <w:tcPr>
            <w:tcW w:w="3640" w:type="dxa"/>
            <w:vAlign w:val="bottom"/>
          </w:tcPr>
          <w:p>
            <w:pPr>
              <w:spacing w:after="0"/>
              <w:rPr>
                <w:sz w:val="24"/>
                <w:szCs w:val="24"/>
                <w:color w:val="auto"/>
              </w:rPr>
            </w:pPr>
          </w:p>
        </w:tc>
        <w:tc>
          <w:tcPr>
            <w:tcW w:w="3080" w:type="dxa"/>
            <w:vAlign w:val="bottom"/>
          </w:tcPr>
          <w:p>
            <w:pPr>
              <w:ind w:left="2440"/>
              <w:spacing w:after="0"/>
              <w:rPr>
                <w:sz w:val="20"/>
                <w:szCs w:val="20"/>
                <w:color w:val="auto"/>
              </w:rPr>
            </w:pPr>
            <w:r>
              <w:rPr>
                <w:rFonts w:ascii="Times New Roman" w:cs="Times New Roman" w:eastAsia="Times New Roman" w:hAnsi="Times New Roman"/>
                <w:sz w:val="12"/>
                <w:szCs w:val="12"/>
                <w:color w:val="auto"/>
              </w:rPr>
              <w:t>By:</w:t>
            </w: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Susan Hohenleitner</w:t>
            </w:r>
          </w:p>
        </w:tc>
      </w:tr>
      <w:tr>
        <w:trPr>
          <w:trHeight w:val="140"/>
        </w:trPr>
        <w:tc>
          <w:tcPr>
            <w:tcW w:w="36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Susan Hohenleitner</w:t>
            </w:r>
          </w:p>
        </w:tc>
      </w:tr>
      <w:tr>
        <w:trPr>
          <w:trHeight w:val="155"/>
        </w:trPr>
        <w:tc>
          <w:tcPr>
            <w:tcW w:w="36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r>
    </w:tbl>
    <w:p>
      <w:pPr>
        <w:sectPr>
          <w:pgSz w:w="11900" w:h="16838" w:orient="portrait"/>
          <w:cols w:equalWidth="0" w:num="1">
            <w:col w:w="11300"/>
          </w:cols>
          <w:pgMar w:left="300" w:top="809"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3202940</wp:posOffset>
            </wp:positionH>
            <wp:positionV relativeFrom="page">
              <wp:posOffset>88900</wp:posOffset>
            </wp:positionV>
            <wp:extent cx="1148715" cy="262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62890"/>
                    </a:xfrm>
                    <a:prstGeom prst="rect">
                      <a:avLst/>
                    </a:prstGeom>
                    <a:noFill/>
                  </pic:spPr>
                </pic:pic>
              </a:graphicData>
            </a:graphic>
          </wp:anchor>
        </w:drawing>
        <w:t>Exhibit 99.1</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Ardelyx Reports Third Quarter 2026 Financial Results and Provides Business Update</w:t>
      </w:r>
    </w:p>
    <w:p>
      <w:pPr>
        <w:spacing w:after="0" w:line="13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i w:val="1"/>
          <w:iCs w:val="1"/>
          <w:color w:val="auto"/>
        </w:rPr>
        <w:t>Q3 2026 total product revenue of $125.5 million, reflecting 19% growth year-over-year</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i w:val="1"/>
          <w:iCs w:val="1"/>
          <w:color w:val="auto"/>
        </w:rPr>
        <w:t>IBSRELA Q3 2026 revenue growth of 23% year-over-year to $96.3 million</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i w:val="1"/>
          <w:iCs w:val="1"/>
          <w:color w:val="auto"/>
        </w:rPr>
        <w:t>Strong financial position with $285.3 million in cash, cash equivalents and investments as of September 30, 2026</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i w:val="1"/>
          <w:iCs w:val="1"/>
          <w:color w:val="auto"/>
        </w:rPr>
        <w:t>Enrollment completed ahead of schedule in Phase 3 Clinical Trial in CIC</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i w:val="1"/>
          <w:iCs w:val="1"/>
          <w:color w:val="auto"/>
        </w:rPr>
        <w:t>Conference call scheduled for 4:30 PM Eastern Time</w:t>
      </w:r>
    </w:p>
    <w:p>
      <w:pPr>
        <w:spacing w:after="0" w:line="148" w:lineRule="exact"/>
        <w:rPr>
          <w:sz w:val="20"/>
          <w:szCs w:val="20"/>
          <w:color w:val="auto"/>
        </w:rPr>
      </w:pPr>
    </w:p>
    <w:p>
      <w:pPr>
        <w:jc w:val="both"/>
        <w:ind w:left="8" w:right="14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WALTHAM, Mass., November 3, 2026 </w:t>
      </w:r>
      <w:r>
        <w:rPr>
          <w:rFonts w:ascii="Times New Roman" w:cs="Times New Roman" w:eastAsia="Times New Roman" w:hAnsi="Times New Roman"/>
          <w:sz w:val="12"/>
          <w:szCs w:val="12"/>
          <w:color w:val="auto"/>
        </w:rPr>
        <w:t>– Ardelyx Inc. (Nasdaq: ARDX), (“Ardelyx” or the “Company”) a commercial-stage biopharmaceutical company focused on the development and commercialization of innovative medicines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that meet significant unmet medical needs, today reported financial results for the third quarter ended September 30, 2026, and provided a business update.</w:t>
      </w:r>
    </w:p>
    <w:p>
      <w:pPr>
        <w:spacing w:after="0" w:line="125" w:lineRule="exact"/>
        <w:rPr>
          <w:sz w:val="20"/>
          <w:szCs w:val="20"/>
          <w:color w:val="auto"/>
        </w:rPr>
      </w:pPr>
    </w:p>
    <w:p>
      <w:pPr>
        <w:jc w:val="both"/>
        <w:ind w:left="8" w:right="140"/>
        <w:spacing w:after="0" w:line="265" w:lineRule="auto"/>
        <w:rPr>
          <w:sz w:val="20"/>
          <w:szCs w:val="20"/>
          <w:color w:val="auto"/>
        </w:rPr>
      </w:pPr>
      <w:r>
        <w:rPr>
          <w:rFonts w:ascii="Times New Roman" w:cs="Times New Roman" w:eastAsia="Times New Roman" w:hAnsi="Times New Roman"/>
          <w:sz w:val="12"/>
          <w:szCs w:val="12"/>
          <w:color w:val="auto"/>
        </w:rPr>
        <w:t>“Our third quarter results reflect the strength of the foundation we’ve built,” said Mike Raab, President and Chief Executive Officer of Ardelyx. “IBSRELA year-over-year growth of 23% is the engine driving total product revenue of over $125 million for the quarter. With our robust tenapanor intellectual property portfolio, and our fully enrolled Phase 3 ACCEL trial for CIC, the value of IBSRELA continues to strengthen. Finally, with over $285 million in cash and investments, and a disciplined capital allocation strategy, we are well positioned to create and deliver significant long-term value.”</w:t>
      </w:r>
    </w:p>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Product Revenue</w:t>
      </w:r>
    </w:p>
    <w:p>
      <w:pPr>
        <w:spacing w:after="0" w:line="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Revenue for IBSRELA</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(tenapanor) during the third quarter of 2026 was $96.3 million, reflecting year-over-year growth of 23%. The growth was driven by increases in total writers and total prescriptions.</w:t>
      </w:r>
    </w:p>
    <w:p>
      <w:pPr>
        <w:spacing w:after="0" w:line="12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Revenue for XPHOZAH</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(tenapanor) during the third quarter of 2026 was $29.2 million, reflecting year-over-year growth of 7%.</w:t>
      </w:r>
    </w:p>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2026 Full-Year Guidance and Outlook</w:t>
      </w:r>
    </w:p>
    <w:p>
      <w:pPr>
        <w:spacing w:after="0" w:line="21" w:lineRule="exact"/>
        <w:rPr>
          <w:sz w:val="20"/>
          <w:szCs w:val="20"/>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Full-year 2026 revenue guidance for IBSRELA reiterated to be between $350 and $370 million.</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Full-year 2026 revenue guidance for XPHOZAH reiterated to be between $110 and $120 million.</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Full-year 2026 operating expense guidance reiterated to be below $500 million.</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IBSRELA long-term guidance of achieving $1 billion in annual revenue remains.</w:t>
      </w:r>
    </w:p>
    <w:p>
      <w:pPr>
        <w:spacing w:after="0" w:line="15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Pipeline Updates</w:t>
      </w:r>
    </w:p>
    <w:p>
      <w:pPr>
        <w:spacing w:after="0" w:line="21" w:lineRule="exact"/>
        <w:rPr>
          <w:sz w:val="20"/>
          <w:szCs w:val="20"/>
          <w:color w:val="auto"/>
        </w:rPr>
      </w:pPr>
    </w:p>
    <w:p>
      <w:pPr>
        <w:ind w:left="208" w:right="360" w:hanging="208"/>
        <w:spacing w:after="0" w:line="260" w:lineRule="auto"/>
        <w:tabs>
          <w:tab w:leader="none" w:pos="205"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completed enrollment ahead of schedule in its Phase 3 clinical trial, ACCEL, evaluating tenapanor for the treatment of chronic idiopathic constipation (CIC) in adults. The Company is on track to announce topline data in the second half of 2027.</w:t>
      </w:r>
    </w:p>
    <w:p>
      <w:pPr>
        <w:spacing w:after="0" w:line="1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Corporate Updates</w:t>
      </w:r>
    </w:p>
    <w:p>
      <w:pPr>
        <w:spacing w:after="0" w:line="21" w:lineRule="exact"/>
        <w:rPr>
          <w:sz w:val="20"/>
          <w:szCs w:val="20"/>
          <w:color w:val="auto"/>
        </w:rPr>
      </w:pPr>
    </w:p>
    <w:p>
      <w:pPr>
        <w:ind w:left="208" w:right="340" w:hanging="208"/>
        <w:spacing w:after="0" w:line="250" w:lineRule="auto"/>
        <w:tabs>
          <w:tab w:leader="none" w:pos="205"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United States Patent and Trademark Office notified the Company that on November 10, 2026, they will issue U.S. Patent No. 12,788,750 titled, “Oral Formulation of a Therapeutic Compound”, with an expiration date of December 6, 2041. This patent will cover the Company’s commercial formulations of both IBSRELA and XPHOZAH.</w:t>
      </w:r>
    </w:p>
    <w:p>
      <w:pPr>
        <w:ind w:left="208" w:hanging="208"/>
        <w:spacing w:after="0"/>
        <w:tabs>
          <w:tab w:leader="none" w:pos="20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October at the American College of Gastroenterology annual scientific meeting, the Company presented real world data showing that gastrointestinal-related healthcare resource utilization dropped after adults with IBS-C started</w:t>
      </w:r>
    </w:p>
    <w:p>
      <w:pPr>
        <w:spacing w:after="0" w:line="6" w:lineRule="exact"/>
        <w:rPr>
          <w:rFonts w:ascii="Times New Roman" w:cs="Times New Roman" w:eastAsia="Times New Roman" w:hAnsi="Times New Roman"/>
          <w:sz w:val="12"/>
          <w:szCs w:val="12"/>
          <w:color w:val="auto"/>
        </w:rPr>
      </w:pPr>
    </w:p>
    <w:p>
      <w:pPr>
        <w:ind w:left="20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IBSRELA.</w:t>
      </w:r>
    </w:p>
    <w:p>
      <w:pPr>
        <w:spacing w:after="0" w:line="6" w:lineRule="exact"/>
        <w:rPr>
          <w:rFonts w:ascii="Times New Roman" w:cs="Times New Roman" w:eastAsia="Times New Roman" w:hAnsi="Times New Roman"/>
          <w:sz w:val="12"/>
          <w:szCs w:val="12"/>
          <w:color w:val="auto"/>
        </w:rPr>
      </w:pPr>
    </w:p>
    <w:p>
      <w:pPr>
        <w:ind w:left="208" w:right="380" w:hanging="208"/>
        <w:spacing w:after="0" w:line="260" w:lineRule="auto"/>
        <w:tabs>
          <w:tab w:leader="none" w:pos="205"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Also in October, at the American Society of Nephrology Kidney meeting, the Company presented real-world data showing reductions in serum phosphate following XPHOZAH initiation in adults on dialysis with or without phosphate binders.</w:t>
      </w:r>
    </w:p>
    <w:p>
      <w:pPr>
        <w:spacing w:after="0" w:line="1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Third Quarter 2026 Financial Results</w:t>
      </w:r>
    </w:p>
    <w:p>
      <w:pPr>
        <w:spacing w:after="0" w:line="21" w:lineRule="exact"/>
        <w:rPr>
          <w:sz w:val="20"/>
          <w:szCs w:val="20"/>
          <w:color w:val="auto"/>
        </w:rPr>
      </w:pPr>
    </w:p>
    <w:p>
      <w:pPr>
        <w:ind w:left="208" w:right="160" w:hanging="208"/>
        <w:spacing w:after="0" w:line="250" w:lineRule="auto"/>
        <w:tabs>
          <w:tab w:leader="none" w:pos="205"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Cash Position: </w:t>
      </w:r>
      <w:r>
        <w:rPr>
          <w:rFonts w:ascii="Times New Roman" w:cs="Times New Roman" w:eastAsia="Times New Roman" w:hAnsi="Times New Roman"/>
          <w:sz w:val="12"/>
          <w:szCs w:val="12"/>
          <w:color w:val="auto"/>
        </w:rPr>
        <w:t>As of September 30, 2026, the Company had total cash, cash equivalents and short-term investments of $285.3 million, compared to total cash, cash equivalents and short-term investments of $264.7 million as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December 31, 2025.</w:t>
      </w:r>
    </w:p>
    <w:p>
      <w:pPr>
        <w:ind w:left="208" w:hanging="208"/>
        <w:spacing w:after="0"/>
        <w:tabs>
          <w:tab w:leader="none" w:pos="20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Revenues: </w:t>
      </w:r>
      <w:r>
        <w:rPr>
          <w:rFonts w:ascii="Times New Roman" w:cs="Times New Roman" w:eastAsia="Times New Roman" w:hAnsi="Times New Roman"/>
          <w:sz w:val="12"/>
          <w:szCs w:val="12"/>
          <w:color w:val="auto"/>
        </w:rPr>
        <w:t>Total product revenue for the quarter ended September 30, 2026 was $125.5 million, compared to $105.5 million for the quarter ended September 30, 2025, reflecting 19% growth, driven by increased demand.</w:t>
      </w:r>
    </w:p>
    <w:p>
      <w:pPr>
        <w:sectPr>
          <w:pgSz w:w="11900" w:h="16838" w:orient="portrait"/>
          <w:cols w:equalWidth="0" w:num="1">
            <w:col w:w="11308"/>
          </w:cols>
          <w:pgMar w:left="292" w:top="881" w:right="299" w:bottom="1440" w:gutter="0" w:footer="0" w:header="0"/>
        </w:sectPr>
      </w:pPr>
    </w:p>
    <w:bookmarkStart w:id="4" w:name="page5"/>
    <w:bookmarkEnd w:id="4"/>
    <w:p>
      <w:pPr>
        <w:ind w:left="208" w:right="260" w:hanging="208"/>
        <w:spacing w:after="0" w:line="263" w:lineRule="auto"/>
        <w:tabs>
          <w:tab w:leader="none" w:pos="205"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3202940</wp:posOffset>
            </wp:positionH>
            <wp:positionV relativeFrom="page">
              <wp:posOffset>163195</wp:posOffset>
            </wp:positionV>
            <wp:extent cx="1148715" cy="262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62890"/>
                    </a:xfrm>
                    <a:prstGeom prst="rect">
                      <a:avLst/>
                    </a:prstGeom>
                    <a:noFill/>
                  </pic:spPr>
                </pic:pic>
              </a:graphicData>
            </a:graphic>
          </wp:anchor>
        </w:drawing>
        <w:t xml:space="preserve">R&amp;D Expenses: </w:t>
      </w:r>
      <w:r>
        <w:rPr>
          <w:rFonts w:ascii="Times New Roman" w:cs="Times New Roman" w:eastAsia="Times New Roman" w:hAnsi="Times New Roman"/>
          <w:sz w:val="12"/>
          <w:szCs w:val="12"/>
          <w:color w:val="auto"/>
        </w:rPr>
        <w:t>Research and development expenses were $25.2 million for the quarter ended September 30, 2026, compared to $18.1 million for the quarter ended September 30, 2025. The increase was primarily related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investments in the ACCEL Phase 3 trial for CIC.</w:t>
      </w:r>
    </w:p>
    <w:p>
      <w:pPr>
        <w:ind w:left="208" w:right="300" w:hanging="208"/>
        <w:spacing w:after="0" w:line="250" w:lineRule="auto"/>
        <w:tabs>
          <w:tab w:leader="none" w:pos="205"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SG&amp;A Expenses: </w:t>
      </w:r>
      <w:r>
        <w:rPr>
          <w:rFonts w:ascii="Times New Roman" w:cs="Times New Roman" w:eastAsia="Times New Roman" w:hAnsi="Times New Roman"/>
          <w:sz w:val="12"/>
          <w:szCs w:val="12"/>
          <w:color w:val="auto"/>
        </w:rPr>
        <w:t>Selling, general and administrative expenses were $93.9 million for the quarter ended September 30, 2026, compared to $83.6 million for the quarter ended September 30, 2025. The increase was related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deliberate investments to address the access barriers and drive future adoption of IBSRELA.</w:t>
      </w:r>
    </w:p>
    <w:p>
      <w:pPr>
        <w:ind w:left="208" w:right="180" w:hanging="208"/>
        <w:spacing w:after="0" w:line="260" w:lineRule="auto"/>
        <w:tabs>
          <w:tab w:leader="none" w:pos="205"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Net Loss</w:t>
      </w:r>
      <w:r>
        <w:rPr>
          <w:rFonts w:ascii="Times New Roman" w:cs="Times New Roman" w:eastAsia="Times New Roman" w:hAnsi="Times New Roman"/>
          <w:sz w:val="12"/>
          <w:szCs w:val="12"/>
          <w:color w:val="auto"/>
        </w:rPr>
        <w:t>: Net loss for the quarter ended September 30, 2026 was $0.7 million, or $(0.00) per share, compared to net loss of $1.0 million, or $(0.00) per share, for the quarter ended September 30, 2025. The net loss for the third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quarter of 2026 included share-based compensation expense of $15.1 million.</w:t>
      </w:r>
    </w:p>
    <w:p>
      <w:pPr>
        <w:spacing w:after="0" w:line="1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Conference Call Details</w:t>
      </w:r>
    </w:p>
    <w:p>
      <w:pPr>
        <w:spacing w:after="0" w:line="21" w:lineRule="exact"/>
        <w:rPr>
          <w:sz w:val="20"/>
          <w:szCs w:val="20"/>
          <w:color w:val="auto"/>
        </w:rPr>
      </w:pPr>
    </w:p>
    <w:p>
      <w:pPr>
        <w:ind w:left="8" w:right="20"/>
        <w:spacing w:after="0" w:line="260" w:lineRule="auto"/>
        <w:rPr>
          <w:sz w:val="20"/>
          <w:szCs w:val="20"/>
          <w:color w:val="auto"/>
        </w:rPr>
      </w:pPr>
      <w:r>
        <w:rPr>
          <w:rFonts w:ascii="Times New Roman" w:cs="Times New Roman" w:eastAsia="Times New Roman" w:hAnsi="Times New Roman"/>
          <w:sz w:val="12"/>
          <w:szCs w:val="12"/>
          <w:color w:val="auto"/>
        </w:rPr>
        <w:t xml:space="preserve">The company will host a conference call today, November 3, 2026, at 4:30 PM ET to discuss today’s announcement. To participate in the conference call, please dial (877) 346-6112 (domestic) or +1 (848) 280-6350 (international) and ask to be joined into the Ardelyx call. A webcast of the call can also be accessed by visiting the Investor page of the company’s website, </w:t>
      </w:r>
      <w:r>
        <w:rPr>
          <w:rFonts w:ascii="Times New Roman" w:cs="Times New Roman" w:eastAsia="Times New Roman" w:hAnsi="Times New Roman"/>
          <w:sz w:val="12"/>
          <w:szCs w:val="12"/>
          <w:u w:val="single" w:color="auto"/>
          <w:color w:val="0000FF"/>
        </w:rPr>
        <w:t>https://ardelyx.com/</w:t>
      </w:r>
      <w:r>
        <w:rPr>
          <w:rFonts w:ascii="Times New Roman" w:cs="Times New Roman" w:eastAsia="Times New Roman" w:hAnsi="Times New Roman"/>
          <w:sz w:val="12"/>
          <w:szCs w:val="12"/>
          <w:color w:val="auto"/>
        </w:rPr>
        <w:t>, and will be available on the website following the call.</w:t>
      </w:r>
    </w:p>
    <w:p>
      <w:pPr>
        <w:spacing w:after="0" w:line="1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IMPORTANT SAFETY INFORMATION (IBSRELA)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183755" cy="365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3755" cy="365760"/>
                    </a:xfrm>
                    <a:prstGeom prst="rect">
                      <a:avLst/>
                    </a:prstGeom>
                    <a:noFill/>
                  </pic:spPr>
                </pic:pic>
              </a:graphicData>
            </a:graphic>
          </wp:anchor>
        </w:drawing>
      </w:r>
    </w:p>
    <w:p>
      <w:pPr>
        <w:spacing w:after="0" w:line="139" w:lineRule="exact"/>
        <w:rPr>
          <w:sz w:val="20"/>
          <w:szCs w:val="20"/>
          <w:color w:val="auto"/>
        </w:rPr>
      </w:pPr>
    </w:p>
    <w:p>
      <w:pPr>
        <w:ind w:left="28"/>
        <w:spacing w:after="0"/>
        <w:rPr>
          <w:sz w:val="20"/>
          <w:szCs w:val="20"/>
          <w:color w:val="auto"/>
        </w:rPr>
      </w:pPr>
      <w:r>
        <w:rPr>
          <w:rFonts w:ascii="Times New Roman" w:cs="Times New Roman" w:eastAsia="Times New Roman" w:hAnsi="Times New Roman"/>
          <w:sz w:val="12"/>
          <w:szCs w:val="12"/>
          <w:b w:val="1"/>
          <w:bCs w:val="1"/>
          <w:color w:val="auto"/>
        </w:rPr>
        <w:t>WARNING: RISK OF SERIOUS DEHYDRATION IN PEDIATRIC PATIENTS</w:t>
      </w:r>
    </w:p>
    <w:p>
      <w:pPr>
        <w:spacing w:after="0" w:line="46" w:lineRule="exact"/>
        <w:rPr>
          <w:sz w:val="20"/>
          <w:szCs w:val="20"/>
          <w:color w:val="auto"/>
        </w:rPr>
      </w:pPr>
    </w:p>
    <w:p>
      <w:pPr>
        <w:ind w:left="28" w:right="60"/>
        <w:spacing w:after="0" w:line="358" w:lineRule="auto"/>
        <w:rPr>
          <w:sz w:val="20"/>
          <w:szCs w:val="20"/>
          <w:color w:val="auto"/>
        </w:rPr>
      </w:pPr>
      <w:r>
        <w:rPr>
          <w:rFonts w:ascii="Times New Roman" w:cs="Times New Roman" w:eastAsia="Times New Roman" w:hAnsi="Times New Roman"/>
          <w:sz w:val="12"/>
          <w:szCs w:val="12"/>
          <w:color w:val="auto"/>
        </w:rPr>
        <w:t>IBSRELA is contraindicated in patients less than 6 years of age; in nonclinical studies in young juvenile rats administration of tenapanor caused deaths presumed to be due to dehydration. Avoid use of IBSRELA in patients 6 years to less than 12 years of age. The safety and effectiveness of IBSRELA have not been established in patients less than 18 years of age.</w:t>
      </w:r>
    </w:p>
    <w:p>
      <w:pPr>
        <w:spacing w:after="0" w:line="14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CONTRAINDICATIONS</w:t>
      </w:r>
    </w:p>
    <w:p>
      <w:pPr>
        <w:spacing w:after="0" w:line="21" w:lineRule="exact"/>
        <w:rPr>
          <w:sz w:val="20"/>
          <w:szCs w:val="20"/>
          <w:color w:val="auto"/>
        </w:rPr>
      </w:pPr>
    </w:p>
    <w:p>
      <w:pPr>
        <w:ind w:left="208" w:hanging="208"/>
        <w:spacing w:after="0"/>
        <w:tabs>
          <w:tab w:leader="none" w:pos="20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IBSRELA is contraindicated in patients less than 6 years of age due to the risk of serious dehydration.</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IBSRELA is contraindicated in patients with known or suspected mechanical gastrointestinal obstruction.</w:t>
      </w:r>
    </w:p>
    <w:p>
      <w:pPr>
        <w:spacing w:after="0" w:line="1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WARNINGS AND PRECAUTIONS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Risk of Serious Dehydration in Pediatric Patients</w:t>
      </w:r>
    </w:p>
    <w:p>
      <w:pPr>
        <w:spacing w:after="0" w:line="6" w:lineRule="exact"/>
        <w:rPr>
          <w:sz w:val="20"/>
          <w:szCs w:val="20"/>
          <w:color w:val="auto"/>
        </w:rPr>
      </w:pPr>
    </w:p>
    <w:p>
      <w:pPr>
        <w:ind w:left="428" w:hanging="212"/>
        <w:spacing w:after="0" w:line="250" w:lineRule="auto"/>
        <w:tabs>
          <w:tab w:leader="none" w:pos="425"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IBSRELA is contraindicated in patients below 6 years of age. The safety and effectiveness of IBSRELA in patients less than 18 years of age have not been established. In young juvenile rats (less than 1 week old; approximate human age equivalent of less than 2 years of age), decreased body weight and deaths occurred, presumed to be due to dehydration, following oral administration of tenapanor. There are no data available in older juvenile rats (human age equivalent 2 years to less than 12 years).</w:t>
      </w:r>
    </w:p>
    <w:p>
      <w:pPr>
        <w:ind w:left="428" w:right="40" w:hanging="212"/>
        <w:spacing w:after="0" w:line="260" w:lineRule="auto"/>
        <w:tabs>
          <w:tab w:leader="none" w:pos="425"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Avoid the use of IBSRELA in patients 6 years to less than 12 years of age. Although there are no data in older juvenile rats, given the deaths in younger rats and the lack of clinical safety and efficacy data in pediatric patients, avoid the use of IBSRELA in patients 6 years to less than 12 years of age.</w:t>
      </w:r>
    </w:p>
    <w:p>
      <w:pPr>
        <w:spacing w:after="0" w:line="1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Diarrhea</w:t>
      </w:r>
    </w:p>
    <w:p>
      <w:pPr>
        <w:spacing w:after="0" w:line="21" w:lineRule="exact"/>
        <w:rPr>
          <w:sz w:val="20"/>
          <w:szCs w:val="20"/>
          <w:color w:val="auto"/>
        </w:rPr>
      </w:pPr>
    </w:p>
    <w:p>
      <w:pPr>
        <w:ind w:left="8" w:right="80"/>
        <w:spacing w:after="0" w:line="260" w:lineRule="auto"/>
        <w:rPr>
          <w:sz w:val="20"/>
          <w:szCs w:val="20"/>
          <w:color w:val="auto"/>
        </w:rPr>
      </w:pPr>
      <w:r>
        <w:rPr>
          <w:rFonts w:ascii="Times New Roman" w:cs="Times New Roman" w:eastAsia="Times New Roman" w:hAnsi="Times New Roman"/>
          <w:sz w:val="12"/>
          <w:szCs w:val="12"/>
          <w:color w:val="auto"/>
        </w:rPr>
        <w:t>Diarrhea was the most common adverse reaction in two randomized, double-blind, placebo-controlled trials of IBS-C. Severe diarrhea was reported in 2.5% of IBSRELA-treated patients. If severe diarrhea occurs, suspend dosing and rehydrate patient.</w:t>
      </w:r>
    </w:p>
    <w:p>
      <w:pPr>
        <w:spacing w:after="0" w:line="9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MOST COMMON ADVERSE REACTIONS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most common adverse reactions in IBSRELA-treated patients (incidence ≥2% and greater than placebo) were: diarrhea (16% vs 4% placebo), abdominal distension (3% vs &lt;1%), flatulence (3% vs 1%) and dizziness (2% vs &lt;1%).</w:t>
      </w:r>
    </w:p>
    <w:p>
      <w:pPr>
        <w:spacing w:after="0" w:line="1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INDICATION</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IBSRELA (tenapanor) is indicated for the treatment of Irritable Bowel Syndrome with Constipation (IBS-C) in adults.</w:t>
      </w:r>
    </w:p>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Please see full </w:t>
      </w:r>
      <w:r>
        <w:rPr>
          <w:rFonts w:ascii="Times New Roman" w:cs="Times New Roman" w:eastAsia="Times New Roman" w:hAnsi="Times New Roman"/>
          <w:sz w:val="12"/>
          <w:szCs w:val="12"/>
          <w:b w:val="1"/>
          <w:bCs w:val="1"/>
          <w:u w:val="single" w:color="auto"/>
          <w:color w:val="0000FF"/>
        </w:rPr>
        <w:t>Prescribing Information</w:t>
      </w:r>
      <w:r>
        <w:rPr>
          <w:rFonts w:ascii="Times New Roman" w:cs="Times New Roman" w:eastAsia="Times New Roman" w:hAnsi="Times New Roman"/>
          <w:sz w:val="12"/>
          <w:szCs w:val="12"/>
          <w:b w:val="1"/>
          <w:bCs w:val="1"/>
          <w:color w:val="auto"/>
          <w:highlight w:val="white"/>
        </w:rPr>
        <w:t>, including Boxed Warning, for additional risk information.</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IMPORTANT SAFETY INFORMATION (XPHOZAH)</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CONTRAINDICATIONS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XPHOZAH is contraindicated in:</w:t>
      </w:r>
    </w:p>
    <w:p>
      <w:pPr>
        <w:spacing w:after="0" w:line="6" w:lineRule="exact"/>
        <w:rPr>
          <w:sz w:val="20"/>
          <w:szCs w:val="20"/>
          <w:color w:val="auto"/>
        </w:rPr>
      </w:pPr>
    </w:p>
    <w:p>
      <w:pPr>
        <w:ind w:left="428" w:hanging="212"/>
        <w:spacing w:after="0"/>
        <w:tabs>
          <w:tab w:leader="none" w:pos="42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Pediatric patients under 6 years of age</w:t>
      </w:r>
    </w:p>
    <w:p>
      <w:pPr>
        <w:spacing w:after="0" w:line="6"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Patients with known or suspected mechanical gastrointestinal obstruction</w:t>
      </w:r>
    </w:p>
    <w:p>
      <w:pPr>
        <w:sectPr>
          <w:pgSz w:w="11900" w:h="16838" w:orient="portrait"/>
          <w:cols w:equalWidth="0" w:num="1">
            <w:col w:w="11248"/>
          </w:cols>
          <w:pgMar w:left="292" w:top="99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3202940</wp:posOffset>
            </wp:positionH>
            <wp:positionV relativeFrom="page">
              <wp:posOffset>163195</wp:posOffset>
            </wp:positionV>
            <wp:extent cx="1148715" cy="262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62890"/>
                    </a:xfrm>
                    <a:prstGeom prst="rect">
                      <a:avLst/>
                    </a:prstGeom>
                    <a:noFill/>
                  </pic:spPr>
                </pic:pic>
              </a:graphicData>
            </a:graphic>
          </wp:anchor>
        </w:drawing>
        <w:t>WARNINGS AND PRECAUTIONS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Diarrhea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Patients may experience severe diarrhea. Treatment with XPHOZAH should be discontinued in patients who develop severe diarrhea.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MOST COMMON ADVERSE REACTIONS</w:t>
      </w:r>
    </w:p>
    <w:p>
      <w:pPr>
        <w:spacing w:after="0" w:line="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Diarrhea, which occurred in 43-53% of patients, was the only adverse reaction reported in at least 5% of XPHOZAH-treated patients with CKD on dialysis across trials. The majority of diarrhea events in the XPHOZAH-treated patients were reported to be mild-to-moderate in severity and resolved over time, or with dose reduction. Diarrhea was typically reported soon after initiation but could occur at any time during treatment with XPHOZAH. Severe diarrhea was reported in 5% of XPHOZAH-treated patients in these trials.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INDICATION</w:t>
      </w:r>
    </w:p>
    <w:p>
      <w:pPr>
        <w:spacing w:after="0" w:line="2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2"/>
          <w:szCs w:val="12"/>
          <w:color w:val="auto"/>
        </w:rPr>
        <w:t>XPHOZAH (tenapanor), 30 mg BID, is indicated to reduce serum phosphorus in adults with chronic kidney disease (CKD) on dialysis as add-on therapy in patients who have an inadequate response to phosphate binders or who are intolerant of any dose of phosphate binder therapy.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For additional safety information, please see full </w:t>
      </w:r>
      <w:r>
        <w:rPr>
          <w:rFonts w:ascii="Times New Roman" w:cs="Times New Roman" w:eastAsia="Times New Roman" w:hAnsi="Times New Roman"/>
          <w:sz w:val="12"/>
          <w:szCs w:val="12"/>
          <w:b w:val="1"/>
          <w:bCs w:val="1"/>
          <w:u w:val="single" w:color="auto"/>
          <w:color w:val="0000FF"/>
        </w:rPr>
        <w:t>Prescribing Information</w:t>
      </w:r>
      <w:r>
        <w:rPr>
          <w:rFonts w:ascii="Times New Roman" w:cs="Times New Roman" w:eastAsia="Times New Roman" w:hAnsi="Times New Roman"/>
          <w:sz w:val="12"/>
          <w:szCs w:val="12"/>
          <w:b w:val="1"/>
          <w:bCs w:val="1"/>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Ardelyx</w:t>
      </w:r>
    </w:p>
    <w:p>
      <w:pPr>
        <w:spacing w:after="0" w:line="21"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2"/>
          <w:szCs w:val="12"/>
          <w:color w:val="auto"/>
        </w:rPr>
        <w:t>Ardelyx is a commercial-stage biopharmaceutical company focused on the development and commercialization of innovative medicines that meet significant unmet medical needs. Ardelyx has two commercial products approved in the United States, IBSRELA</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(tenapanor) and XPHOZAH</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(tenapanor). The company’s pipeline includes the Phase 3 development of IBSRELA for chronic idiopathic constipation (CIC) and RDX10531, a next-generation NHE3 inhibitor with potential application across multiple therapeutic areas. Ardelyx works with partners to develop and commercialize its products outside of the United States. For more information, please visit </w:t>
      </w:r>
      <w:r>
        <w:rPr>
          <w:rFonts w:ascii="Times New Roman" w:cs="Times New Roman" w:eastAsia="Times New Roman" w:hAnsi="Times New Roman"/>
          <w:sz w:val="12"/>
          <w:szCs w:val="12"/>
          <w:u w:val="single" w:color="auto"/>
          <w:color w:val="0000FF"/>
        </w:rPr>
        <w:t>https://ardelyx.com/</w:t>
      </w:r>
      <w:r>
        <w:rPr>
          <w:rFonts w:ascii="Times New Roman" w:cs="Times New Roman" w:eastAsia="Times New Roman" w:hAnsi="Times New Roman"/>
          <w:sz w:val="12"/>
          <w:szCs w:val="12"/>
          <w:color w:val="auto"/>
        </w:rPr>
        <w:t xml:space="preserve"> and connect with us on </w:t>
      </w:r>
      <w:r>
        <w:rPr>
          <w:rFonts w:ascii="Times New Roman" w:cs="Times New Roman" w:eastAsia="Times New Roman" w:hAnsi="Times New Roman"/>
          <w:sz w:val="12"/>
          <w:szCs w:val="12"/>
          <w:u w:val="single" w:color="auto"/>
          <w:color w:val="0000FF"/>
        </w:rPr>
        <w:t>X (formerly known as Twitter)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LinkedIn</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0000FF"/>
        </w:rPr>
        <w:t>Facebook</w:t>
      </w:r>
      <w:r>
        <w:rPr>
          <w:rFonts w:ascii="Times New Roman" w:cs="Times New Roman" w:eastAsia="Times New Roman" w:hAnsi="Times New Roman"/>
          <w:sz w:val="12"/>
          <w:szCs w:val="12"/>
          <w:color w:val="auto"/>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 Looking Statements</w:t>
      </w:r>
    </w:p>
    <w:p>
      <w:pPr>
        <w:spacing w:after="0" w:line="2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2"/>
          <w:szCs w:val="12"/>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Ardelyx’s current expectations regarding: the long term potential for Ardelyx’s existing commercial products; our efforts towards profitability; opportunities for continued IBSRELA growth, including our expectation for achieving $1 billion in annual revenue; our U.S. net product sales revenue and operating expense guidance for full year 2026; our capital allocation strategy; the scope and duration of our intellectual property protection; and our expectations and timing regarding pipeline development activities, including the expected topline readout of the Phase 3 ACCEL trial. Such forward-looking statements involve known and unknown risks, uncertainties and other factors that are in some cases beyond our control, that could cause actual outcomes or results to differ materially from those expressed or implied by the forward-looking statements. Such risks and uncertainties include, among others, Ardelyx’s ability to successfully commercialize IBSRELA and XPHOZAH; coverage and reimbursement decisions by government and commercial payors, including prior authorization and step-edit requirements; market acceptance of our products and the effectiveness of our commercial initiatives; competition, including from generic products; Ardelyx’s ability to achieve its financial guidance and long-term revenue expectations and reach profitability when anticipated; the timing, progress and results of clinical trials, including the ACCEL trial; the risk that real-world analyses may not predict future results or outcomes in broader patient populations; Ardelyx’s ability to obtain, maintain and enforce its intellectual property rights; reliance on third-party manufacturers and suppliers; and uncertainties regarding U.S. and foreign regulatory processes. Forward-looking statements speak only as of the date of this press release, and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Quarterly Report on Form 10-Q filed with the Securities and Exchange Commission on November 3, 2026, and its future current and periodic reports to be filed with the Securities and Exchange Commission.</w:t>
      </w:r>
    </w:p>
    <w:p>
      <w:pPr>
        <w:sectPr>
          <w:pgSz w:w="11900" w:h="16838" w:orient="portrait"/>
          <w:cols w:equalWidth="0" w:num="1">
            <w:col w:w="11280"/>
          </w:cols>
          <w:pgMar w:left="300" w:top="998"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3202940</wp:posOffset>
            </wp:positionH>
            <wp:positionV relativeFrom="page">
              <wp:posOffset>88900</wp:posOffset>
            </wp:positionV>
            <wp:extent cx="1148715" cy="262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62890"/>
                    </a:xfrm>
                    <a:prstGeom prst="rect">
                      <a:avLst/>
                    </a:prstGeom>
                    <a:noFill/>
                  </pic:spPr>
                </pic:pic>
              </a:graphicData>
            </a:graphic>
          </wp:anchor>
        </w:drawing>
        <w:t>Investor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Lisa Caperelli</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SVP, Investor Relations &amp; Corporate Communications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000FF"/>
        </w:rPr>
        <w:t>lcaperelli@ardelyx.com</w:t>
      </w:r>
    </w:p>
    <w:p>
      <w:pPr>
        <w:sectPr>
          <w:pgSz w:w="11900" w:h="16838" w:orient="portrait"/>
          <w:cols w:equalWidth="0" w:num="1">
            <w:col w:w="10159"/>
          </w:cols>
          <w:pgMar w:left="300" w:top="881" w:right="1440"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Assets</w:t>
      </w:r>
    </w:p>
    <w:p>
      <w:pPr>
        <w:spacing w:after="0" w:line="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Short-term investments</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Accounts receivable</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Prepaid commercial manufacturing</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Inventory</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Property and equipment, net</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Right-of-use assets</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Prepaid and other assets</w:t>
      </w:r>
    </w:p>
    <w:p>
      <w:pPr>
        <w:spacing w:after="0" w:line="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color w:val="auto"/>
        </w:rPr>
        <w:t>Total assets</w:t>
      </w:r>
    </w:p>
    <w:p>
      <w:pPr>
        <w:spacing w:after="0" w:line="20" w:lineRule="exact"/>
        <w:rPr>
          <w:sz w:val="20"/>
          <w:szCs w:val="20"/>
          <w:color w:val="auto"/>
        </w:rPr>
      </w:pPr>
      <w:r>
        <w:rPr>
          <w:sz w:val="20"/>
          <w:szCs w:val="20"/>
          <w:color w:val="auto"/>
        </w:rPr>
        <w:br w:type="column"/>
      </w:r>
    </w:p>
    <w:p>
      <w:pPr>
        <w:jc w:val="center"/>
        <w:ind w:right="4960"/>
        <w:spacing w:after="0"/>
        <w:rPr>
          <w:sz w:val="20"/>
          <w:szCs w:val="20"/>
          <w:color w:val="auto"/>
        </w:rPr>
      </w:pPr>
      <w:r>
        <w:rPr>
          <w:rFonts w:ascii="Times New Roman" w:cs="Times New Roman" w:eastAsia="Times New Roman" w:hAnsi="Times New Roman"/>
          <w:sz w:val="12"/>
          <w:szCs w:val="12"/>
          <w:b w:val="1"/>
          <w:bCs w:val="1"/>
          <w:color w:val="auto"/>
        </w:rPr>
        <w:t>Ardelyx,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-557530</wp:posOffset>
            </wp:positionV>
            <wp:extent cx="1148715" cy="262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48715" cy="262890"/>
                    </a:xfrm>
                    <a:prstGeom prst="rect">
                      <a:avLst/>
                    </a:prstGeom>
                    <a:noFill/>
                  </pic:spPr>
                </pic:pic>
              </a:graphicData>
            </a:graphic>
          </wp:anchor>
        </w:drawing>
      </w:r>
    </w:p>
    <w:p>
      <w:pPr>
        <w:spacing w:after="0" w:line="1" w:lineRule="exact"/>
        <w:rPr>
          <w:sz w:val="20"/>
          <w:szCs w:val="20"/>
          <w:color w:val="auto"/>
        </w:rPr>
      </w:pPr>
    </w:p>
    <w:p>
      <w:pPr>
        <w:jc w:val="center"/>
        <w:ind w:right="4960"/>
        <w:spacing w:after="0"/>
        <w:rPr>
          <w:sz w:val="20"/>
          <w:szCs w:val="20"/>
          <w:color w:val="auto"/>
        </w:rPr>
      </w:pPr>
      <w:r>
        <w:rPr>
          <w:rFonts w:ascii="Times New Roman" w:cs="Times New Roman" w:eastAsia="Times New Roman" w:hAnsi="Times New Roman"/>
          <w:sz w:val="11"/>
          <w:szCs w:val="11"/>
          <w:b w:val="1"/>
          <w:bCs w:val="1"/>
          <w:color w:val="auto"/>
        </w:rPr>
        <w:t>Condensed Balance Sheets</w:t>
      </w:r>
    </w:p>
    <w:p>
      <w:pPr>
        <w:spacing w:after="0" w:line="18" w:lineRule="exact"/>
        <w:rPr>
          <w:sz w:val="20"/>
          <w:szCs w:val="20"/>
          <w:color w:val="auto"/>
        </w:rPr>
      </w:pPr>
    </w:p>
    <w:p>
      <w:pPr>
        <w:jc w:val="center"/>
        <w:ind w:right="4960"/>
        <w:spacing w:after="0"/>
        <w:rPr>
          <w:sz w:val="20"/>
          <w:szCs w:val="20"/>
          <w:color w:val="auto"/>
        </w:rPr>
      </w:pPr>
      <w:r>
        <w:rPr>
          <w:rFonts w:ascii="Times New Roman" w:cs="Times New Roman" w:eastAsia="Times New Roman" w:hAnsi="Times New Roman"/>
          <w:sz w:val="12"/>
          <w:szCs w:val="12"/>
          <w:color w:val="auto"/>
        </w:rPr>
        <w:t>(Unaudited)</w:t>
      </w:r>
    </w:p>
    <w:p>
      <w:pPr>
        <w:spacing w:after="0" w:line="6" w:lineRule="exact"/>
        <w:rPr>
          <w:sz w:val="20"/>
          <w:szCs w:val="20"/>
          <w:color w:val="auto"/>
        </w:rPr>
      </w:pPr>
    </w:p>
    <w:p>
      <w:pPr>
        <w:jc w:val="center"/>
        <w:ind w:right="4960"/>
        <w:spacing w:after="0"/>
        <w:rPr>
          <w:sz w:val="20"/>
          <w:szCs w:val="20"/>
          <w:color w:val="auto"/>
        </w:rPr>
      </w:pPr>
      <w:r>
        <w:rPr>
          <w:rFonts w:ascii="Times New Roman" w:cs="Times New Roman" w:eastAsia="Times New Roman" w:hAnsi="Times New Roman"/>
          <w:sz w:val="12"/>
          <w:szCs w:val="12"/>
          <w:color w:val="auto"/>
        </w:rPr>
        <w:t>(in thousands)</w:t>
      </w:r>
    </w:p>
    <w:p>
      <w:pPr>
        <w:spacing w:after="0" w:line="135" w:lineRule="exact"/>
        <w:rPr>
          <w:sz w:val="20"/>
          <w:szCs w:val="20"/>
          <w:color w:val="auto"/>
        </w:rPr>
      </w:pPr>
    </w:p>
    <w:tbl>
      <w:tblPr>
        <w:tblLayout w:type="fixed"/>
        <w:tblInd w:w="2320" w:type="dxa"/>
        <w:tblCellMar>
          <w:top w:w="0" w:type="dxa"/>
          <w:left w:w="0" w:type="dxa"/>
          <w:bottom w:w="0" w:type="dxa"/>
          <w:right w:w="0" w:type="dxa"/>
        </w:tblCellMar>
      </w:tblPr>
      <w:tr>
        <w:trPr>
          <w:trHeight w:val="159"/>
        </w:trPr>
        <w:tc>
          <w:tcPr>
            <w:tcW w:w="280" w:type="dxa"/>
            <w:vAlign w:val="bottom"/>
          </w:tcPr>
          <w:p>
            <w:pPr>
              <w:spacing w:after="0"/>
              <w:rPr>
                <w:sz w:val="13"/>
                <w:szCs w:val="13"/>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September 30, 2026</w:t>
            </w:r>
          </w:p>
        </w:tc>
        <w:tc>
          <w:tcPr>
            <w:tcW w:w="280" w:type="dxa"/>
            <w:vAlign w:val="bottom"/>
          </w:tcPr>
          <w:p>
            <w:pPr>
              <w:spacing w:after="0"/>
              <w:rPr>
                <w:sz w:val="13"/>
                <w:szCs w:val="13"/>
                <w:color w:val="auto"/>
              </w:rPr>
            </w:pPr>
          </w:p>
        </w:tc>
        <w:tc>
          <w:tcPr>
            <w:tcW w:w="168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2025</w:t>
            </w:r>
          </w:p>
        </w:tc>
      </w:tr>
      <w:tr>
        <w:trPr>
          <w:trHeight w:val="284"/>
        </w:trPr>
        <w:tc>
          <w:tcPr>
            <w:tcW w:w="28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46,317</w:t>
            </w:r>
          </w:p>
        </w:tc>
        <w:tc>
          <w:tcPr>
            <w:tcW w:w="80" w:type="dxa"/>
            <w:vAlign w:val="bottom"/>
          </w:tcPr>
          <w:p>
            <w:pPr>
              <w:spacing w:after="0"/>
              <w:rPr>
                <w:sz w:val="24"/>
                <w:szCs w:val="24"/>
                <w:color w:val="auto"/>
              </w:rPr>
            </w:pPr>
          </w:p>
        </w:tc>
        <w:tc>
          <w:tcPr>
            <w:tcW w:w="280" w:type="dxa"/>
            <w:vAlign w:val="bottom"/>
            <w:tcBorders>
              <w:top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67,999</w:t>
            </w:r>
          </w:p>
        </w:tc>
      </w:tr>
      <w:tr>
        <w:trPr>
          <w:trHeight w:val="153"/>
        </w:trPr>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239,021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196,690</w:t>
            </w:r>
          </w:p>
        </w:tc>
      </w:tr>
      <w:tr>
        <w:trPr>
          <w:trHeight w:val="153"/>
        </w:trPr>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93,441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71,848</w:t>
            </w:r>
          </w:p>
        </w:tc>
      </w:tr>
      <w:tr>
        <w:trPr>
          <w:trHeight w:val="153"/>
        </w:trPr>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17,161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14,479</w:t>
            </w:r>
          </w:p>
        </w:tc>
      </w:tr>
      <w:tr>
        <w:trPr>
          <w:trHeight w:val="153"/>
        </w:trPr>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157,559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123,107</w:t>
            </w:r>
          </w:p>
        </w:tc>
      </w:tr>
      <w:tr>
        <w:trPr>
          <w:trHeight w:val="153"/>
        </w:trPr>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2,184</w:t>
            </w:r>
          </w:p>
        </w:tc>
      </w:tr>
      <w:tr>
        <w:trPr>
          <w:trHeight w:val="153"/>
        </w:trPr>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3,692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4,795</w:t>
            </w:r>
          </w:p>
        </w:tc>
      </w:tr>
      <w:tr>
        <w:trPr>
          <w:trHeight w:val="155"/>
        </w:trPr>
        <w:tc>
          <w:tcPr>
            <w:tcW w:w="2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28,764</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20,502</w:t>
            </w:r>
          </w:p>
        </w:tc>
      </w:tr>
      <w:tr>
        <w:trPr>
          <w:trHeight w:val="142"/>
        </w:trPr>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587,525</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501,604</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-3148330</wp:posOffset>
            </wp:positionH>
            <wp:positionV relativeFrom="paragraph">
              <wp:posOffset>-999490</wp:posOffset>
            </wp:positionV>
            <wp:extent cx="7166610" cy="97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-805180</wp:posOffset>
            </wp:positionV>
            <wp:extent cx="7166610" cy="97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-610870</wp:posOffset>
            </wp:positionV>
            <wp:extent cx="7166610" cy="97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-416560</wp:posOffset>
            </wp:positionV>
            <wp:extent cx="7166610" cy="97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-222250</wp:posOffset>
            </wp:positionV>
            <wp:extent cx="7166610" cy="97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240" w:space="720"/>
            <w:col w:w="6320"/>
          </w:cols>
          <w:pgMar w:left="300" w:top="881" w:right="319" w:bottom="1440" w:gutter="0" w:footer="0" w:header="0"/>
        </w:sectPr>
      </w:pPr>
    </w:p>
    <w:tbl>
      <w:tblPr>
        <w:tblLayout w:type="fixed"/>
        <w:tblInd w:w="0" w:type="dxa"/>
        <w:tblCellMar>
          <w:top w:w="0" w:type="dxa"/>
          <w:left w:w="0" w:type="dxa"/>
          <w:bottom w:w="0" w:type="dxa"/>
          <w:right w:w="0" w:type="dxa"/>
        </w:tblCellMar>
      </w:tblPr>
      <w:tr>
        <w:trPr>
          <w:trHeight w:val="133"/>
        </w:trPr>
        <w:tc>
          <w:tcPr>
            <w:tcW w:w="7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53"/>
        </w:trPr>
        <w:tc>
          <w:tcPr>
            <w:tcW w:w="72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3"/>
        </w:trPr>
        <w:tc>
          <w:tcPr>
            <w:tcW w:w="7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Accounts payable</w:t>
            </w:r>
          </w:p>
        </w:tc>
        <w:tc>
          <w:tcPr>
            <w:tcW w:w="80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33,657</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19,235</w:t>
            </w:r>
          </w:p>
        </w:tc>
      </w:tr>
      <w:tr>
        <w:trPr>
          <w:trHeight w:val="153"/>
        </w:trPr>
        <w:tc>
          <w:tcPr>
            <w:tcW w:w="7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Accrued compensation and benefits</w:t>
            </w:r>
          </w:p>
        </w:tc>
        <w:tc>
          <w:tcPr>
            <w:tcW w:w="8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17,592</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19,108</w:t>
            </w:r>
          </w:p>
        </w:tc>
      </w:tr>
      <w:tr>
        <w:trPr>
          <w:trHeight w:val="153"/>
        </w:trPr>
        <w:tc>
          <w:tcPr>
            <w:tcW w:w="7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Current portion of operating lease liability</w:t>
            </w:r>
          </w:p>
        </w:tc>
        <w:tc>
          <w:tcPr>
            <w:tcW w:w="8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1,579</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1,479</w:t>
            </w:r>
          </w:p>
        </w:tc>
      </w:tr>
      <w:tr>
        <w:trPr>
          <w:trHeight w:val="153"/>
        </w:trPr>
        <w:tc>
          <w:tcPr>
            <w:tcW w:w="7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Deferred revenue</w:t>
            </w:r>
          </w:p>
        </w:tc>
        <w:tc>
          <w:tcPr>
            <w:tcW w:w="8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19,196</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14,905</w:t>
            </w:r>
          </w:p>
        </w:tc>
      </w:tr>
      <w:tr>
        <w:trPr>
          <w:trHeight w:val="153"/>
        </w:trPr>
        <w:tc>
          <w:tcPr>
            <w:tcW w:w="7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Accrued expenses and other liabilities</w:t>
            </w:r>
          </w:p>
        </w:tc>
        <w:tc>
          <w:tcPr>
            <w:tcW w:w="8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71,880</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51,218</w:t>
            </w:r>
          </w:p>
        </w:tc>
      </w:tr>
      <w:tr>
        <w:trPr>
          <w:trHeight w:val="153"/>
        </w:trPr>
        <w:tc>
          <w:tcPr>
            <w:tcW w:w="7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Long-term debt</w:t>
            </w:r>
          </w:p>
        </w:tc>
        <w:tc>
          <w:tcPr>
            <w:tcW w:w="8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252,360</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202,834</w:t>
            </w:r>
          </w:p>
        </w:tc>
      </w:tr>
      <w:tr>
        <w:trPr>
          <w:trHeight w:val="153"/>
        </w:trPr>
        <w:tc>
          <w:tcPr>
            <w:tcW w:w="7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Deferred royalty obligation related to the sale of future royalties</w:t>
            </w:r>
          </w:p>
        </w:tc>
        <w:tc>
          <w:tcPr>
            <w:tcW w:w="8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27,215</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25,876</w:t>
            </w:r>
          </w:p>
        </w:tc>
      </w:tr>
      <w:tr>
        <w:trPr>
          <w:trHeight w:val="153"/>
        </w:trPr>
        <w:tc>
          <w:tcPr>
            <w:tcW w:w="7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Total stockholders’ equity</w:t>
            </w:r>
          </w:p>
        </w:tc>
        <w:tc>
          <w:tcPr>
            <w:tcW w:w="8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164,046</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166,949</w:t>
            </w:r>
          </w:p>
        </w:tc>
      </w:tr>
      <w:tr>
        <w:trPr>
          <w:trHeight w:val="158"/>
        </w:trPr>
        <w:tc>
          <w:tcPr>
            <w:tcW w:w="7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800" w:type="dxa"/>
            <w:vAlign w:val="bottom"/>
            <w:tcBorders>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587,525</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501,604</w:t>
            </w:r>
          </w:p>
        </w:tc>
      </w:tr>
    </w:tbl>
    <w:p>
      <w:pPr>
        <w:sectPr>
          <w:pgSz w:w="11900" w:h="16838" w:orient="portrait"/>
          <w:cols w:equalWidth="0" w:num="1">
            <w:col w:w="11280"/>
          </w:cols>
          <w:pgMar w:left="300" w:top="881" w:right="319" w:bottom="1440" w:gutter="0" w:footer="0" w:header="0"/>
          <w:type w:val="continuous"/>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3202940</wp:posOffset>
            </wp:positionH>
            <wp:positionV relativeFrom="page">
              <wp:posOffset>88900</wp:posOffset>
            </wp:positionV>
            <wp:extent cx="1148715" cy="262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62890"/>
                    </a:xfrm>
                    <a:prstGeom prst="rect">
                      <a:avLst/>
                    </a:prstGeom>
                    <a:noFill/>
                  </pic:spPr>
                </pic:pic>
              </a:graphicData>
            </a:graphic>
          </wp:anchor>
        </w:drawing>
        <w:t>Ardelyx,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Statements of Operations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(Unaudited)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(in thousands, except share and per share amounts)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20" w:type="dxa"/>
            <w:vAlign w:val="bottom"/>
            <w:gridSpan w:val="5"/>
          </w:tcPr>
          <w:p>
            <w:pPr>
              <w:ind w:left="24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340" w:type="dxa"/>
            <w:vAlign w:val="bottom"/>
          </w:tcPr>
          <w:p>
            <w:pPr>
              <w:spacing w:after="0"/>
              <w:rPr>
                <w:sz w:val="13"/>
                <w:szCs w:val="13"/>
                <w:color w:val="auto"/>
              </w:rPr>
            </w:pPr>
          </w:p>
        </w:tc>
        <w:tc>
          <w:tcPr>
            <w:tcW w:w="2640" w:type="dxa"/>
            <w:vAlign w:val="bottom"/>
            <w:gridSpan w:val="4"/>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52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33"/>
        </w:trPr>
        <w:tc>
          <w:tcPr>
            <w:tcW w:w="52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Revenues</w:t>
            </w: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53"/>
        </w:trPr>
        <w:tc>
          <w:tcPr>
            <w:tcW w:w="5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Product sales, net</w:t>
            </w: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3"/>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IBSRELA</w:t>
            </w: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96,286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78,158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252,603</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187,606</w:t>
            </w:r>
          </w:p>
        </w:tc>
      </w:tr>
      <w:tr>
        <w:trPr>
          <w:trHeight w:val="153"/>
        </w:trPr>
        <w:tc>
          <w:tcPr>
            <w:tcW w:w="5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XPHOZAH</w:t>
            </w: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29,169</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27,357</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84,354</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75,800</w:t>
            </w:r>
          </w:p>
        </w:tc>
      </w:tr>
      <w:tr>
        <w:trPr>
          <w:trHeight w:val="142"/>
        </w:trPr>
        <w:tc>
          <w:tcPr>
            <w:tcW w:w="5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Total product sales, net</w:t>
            </w: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125,455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105,515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336,957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263,406</w:t>
            </w:r>
          </w:p>
        </w:tc>
      </w:tr>
      <w:tr>
        <w:trPr>
          <w:trHeight w:val="153"/>
        </w:trPr>
        <w:tc>
          <w:tcPr>
            <w:tcW w:w="5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Product supply revenue</w:t>
            </w:r>
          </w:p>
        </w:tc>
        <w:tc>
          <w:tcPr>
            <w:tcW w:w="3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6,439</w:t>
            </w:r>
          </w:p>
        </w:tc>
      </w:tr>
      <w:tr>
        <w:trPr>
          <w:trHeight w:val="153"/>
        </w:trPr>
        <w:tc>
          <w:tcPr>
            <w:tcW w:w="5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Licensing revenue</w:t>
            </w: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5,065</w:t>
            </w:r>
          </w:p>
        </w:tc>
      </w:tr>
      <w:tr>
        <w:trPr>
          <w:trHeight w:val="153"/>
        </w:trPr>
        <w:tc>
          <w:tcPr>
            <w:tcW w:w="5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Non-cash royalty revenue related to the sale of future royalties</w:t>
            </w: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604</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4,789</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1,975</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7,195</w:t>
            </w:r>
          </w:p>
        </w:tc>
      </w:tr>
      <w:tr>
        <w:trPr>
          <w:trHeight w:val="142"/>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revenues</w:t>
            </w:r>
          </w:p>
        </w:tc>
        <w:tc>
          <w:tcPr>
            <w:tcW w:w="3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127,655</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110,329</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343,005</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282,105</w:t>
            </w:r>
          </w:p>
        </w:tc>
      </w:tr>
      <w:tr>
        <w:trPr>
          <w:trHeight w:val="133"/>
        </w:trPr>
        <w:tc>
          <w:tcPr>
            <w:tcW w:w="528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Costs and operating expenses</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53"/>
        </w:trPr>
        <w:tc>
          <w:tcPr>
            <w:tcW w:w="5280" w:type="dxa"/>
            <w:vAlign w:val="bottom"/>
            <w:shd w:val="clear" w:color="auto" w:fill="CCEEFF"/>
          </w:tcPr>
          <w:p>
            <w:pPr>
              <w:ind w:left="80"/>
              <w:spacing w:after="0" w:line="153" w:lineRule="exact"/>
              <w:rPr>
                <w:sz w:val="20"/>
                <w:szCs w:val="20"/>
                <w:color w:val="auto"/>
              </w:rPr>
            </w:pPr>
            <w:r>
              <w:rPr>
                <w:rFonts w:ascii="Times New Roman" w:cs="Times New Roman" w:eastAsia="Times New Roman" w:hAnsi="Times New Roman"/>
                <w:sz w:val="12"/>
                <w:szCs w:val="12"/>
                <w:color w:val="auto"/>
              </w:rPr>
              <w:t>Cost of sales</w:t>
            </w:r>
            <w:r>
              <w:rPr>
                <w:rFonts w:ascii="Times New Roman" w:cs="Times New Roman" w:eastAsia="Times New Roman" w:hAnsi="Times New Roman"/>
                <w:sz w:val="15"/>
                <w:szCs w:val="15"/>
                <w:color w:val="auto"/>
                <w:vertAlign w:val="superscript"/>
              </w:rPr>
              <w:t>(1)</w:t>
            </w: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4,539</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3,982</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15,109</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28,688</w:t>
            </w:r>
          </w:p>
        </w:tc>
      </w:tr>
      <w:tr>
        <w:trPr>
          <w:trHeight w:val="153"/>
        </w:trPr>
        <w:tc>
          <w:tcPr>
            <w:tcW w:w="5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Research and development</w:t>
            </w:r>
          </w:p>
        </w:tc>
        <w:tc>
          <w:tcPr>
            <w:tcW w:w="3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25,199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18,067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71,490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48,671</w:t>
            </w:r>
          </w:p>
        </w:tc>
      </w:tr>
      <w:tr>
        <w:trPr>
          <w:trHeight w:val="153"/>
        </w:trPr>
        <w:tc>
          <w:tcPr>
            <w:tcW w:w="5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3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93,894</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83,612</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297,601</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250,822</w:t>
            </w:r>
          </w:p>
        </w:tc>
      </w:tr>
      <w:tr>
        <w:trPr>
          <w:trHeight w:val="142"/>
        </w:trPr>
        <w:tc>
          <w:tcPr>
            <w:tcW w:w="5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Total costs and operating expenses</w:t>
            </w: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123,632</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105,661</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384,200</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328,181</w:t>
            </w:r>
          </w:p>
        </w:tc>
      </w:tr>
      <w:tr>
        <w:trPr>
          <w:trHeight w:val="142"/>
        </w:trPr>
        <w:tc>
          <w:tcPr>
            <w:tcW w:w="5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Income (loss) from operations</w:t>
            </w: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4,023</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4,668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(41,195)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(46,076)</w:t>
            </w:r>
          </w:p>
        </w:tc>
      </w:tr>
      <w:tr>
        <w:trPr>
          <w:trHeight w:val="153"/>
        </w:trPr>
        <w:tc>
          <w:tcPr>
            <w:tcW w:w="5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3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(5,880)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(5,796)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(16,436)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(14,343)</w:t>
            </w:r>
          </w:p>
        </w:tc>
      </w:tr>
      <w:tr>
        <w:trPr>
          <w:trHeight w:val="153"/>
        </w:trPr>
        <w:tc>
          <w:tcPr>
            <w:tcW w:w="5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Non-cash interest expense related to the sale of future royalties</w:t>
            </w: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(1,502)</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(6,478)</w:t>
            </w:r>
          </w:p>
        </w:tc>
      </w:tr>
      <w:tr>
        <w:trPr>
          <w:trHeight w:val="153"/>
        </w:trPr>
        <w:tc>
          <w:tcPr>
            <w:tcW w:w="5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Other income, net</w:t>
            </w: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2,712</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2,449</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6,862</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6,667</w:t>
            </w:r>
          </w:p>
        </w:tc>
      </w:tr>
      <w:tr>
        <w:trPr>
          <w:trHeight w:val="14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Loss before provision for income taxes</w:t>
            </w: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(54,855)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(60,230)</w:t>
            </w:r>
          </w:p>
        </w:tc>
      </w:tr>
      <w:tr>
        <w:trPr>
          <w:trHeight w:val="153"/>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Provision for income taxes</w:t>
            </w: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208</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962</w:t>
            </w:r>
          </w:p>
        </w:tc>
      </w:tr>
      <w:tr>
        <w:trPr>
          <w:trHeight w:val="158"/>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(737)</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(969)</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(55,063)</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(61,192)</w:t>
            </w:r>
          </w:p>
        </w:tc>
      </w:tr>
      <w:tr>
        <w:trPr>
          <w:trHeight w:val="169"/>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loss per share of common stock - basic and diluted</w:t>
            </w: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(0.00)</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(0.00)</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(0.22)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(0.25)</w:t>
            </w:r>
          </w:p>
        </w:tc>
      </w:tr>
      <w:tr>
        <w:trPr>
          <w:trHeight w:val="151"/>
        </w:trPr>
        <w:tc>
          <w:tcPr>
            <w:tcW w:w="528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Shares used in computing net loss per share - basic and diluted</w:t>
            </w:r>
          </w:p>
        </w:tc>
        <w:tc>
          <w:tcPr>
            <w:tcW w:w="3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250,007,187</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241,908,407</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247,991,715</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240,165,744</w:t>
            </w:r>
          </w:p>
        </w:tc>
      </w:tr>
    </w:tbl>
    <w:p>
      <w:pPr>
        <w:spacing w:after="0" w:line="34" w:lineRule="exact"/>
        <w:rPr>
          <w:sz w:val="20"/>
          <w:szCs w:val="20"/>
          <w:color w:val="auto"/>
        </w:rPr>
      </w:pPr>
    </w:p>
    <w:p>
      <w:pPr>
        <w:ind w:left="100" w:hanging="96"/>
        <w:spacing w:after="0"/>
        <w:tabs>
          <w:tab w:leader="none" w:pos="100" w:val="left"/>
        </w:tabs>
        <w:numPr>
          <w:ilvl w:val="0"/>
          <w:numId w:val="1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Prior year amounts have been reclassified to conform to the current year presentation.</w:t>
      </w:r>
    </w:p>
    <w:p>
      <w:pPr>
        <w:sectPr>
          <w:pgSz w:w="11900" w:h="16838" w:orient="portrait"/>
          <w:cols w:equalWidth="0" w:num="1">
            <w:col w:w="11300"/>
          </w:cols>
          <w:pgMar w:left="300" w:top="998" w:right="299" w:bottom="1440" w:gutter="0" w:footer="0" w:header="0"/>
        </w:sectPr>
      </w:pPr>
    </w:p>
    <w:bookmarkStart w:id="9" w:name="page10"/>
    <w:bookmarkEnd w:id="9"/>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2026-11-03T15:13:36Z</dcterms:created>
  <dcterms:modified xsi:type="dcterms:W3CDTF">2026-11-03T15:13:36Z</dcterms:modified>
</cp:coreProperties>
</file>