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Renz Justin 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ARDELYX,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1"/>
              </w:rPr>
              <w:t>400 FIFTH AVENUE, SUITE 210</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WALTHAM</w:t>
            </w:r>
          </w:p>
        </w:tc>
        <w:tc>
          <w:tcPr>
            <w:tcW w:w="138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02451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05/23/2023</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2,873</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336,733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adjusted total which includes the purchase of 3,000 shares under the Ardelyx Employee Stock Purchase Plan in February 2023.</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33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Justin</w:t>
      </w:r>
      <w:r>
        <w:rPr>
          <w:sz w:val="20"/>
          <w:szCs w:val="20"/>
          <w:color w:val="auto"/>
        </w:rPr>
        <w:tab/>
      </w:r>
      <w:r>
        <w:rPr>
          <w:rFonts w:ascii="Arial" w:cs="Arial" w:eastAsia="Arial" w:hAnsi="Arial"/>
          <w:sz w:val="15"/>
          <w:szCs w:val="15"/>
          <w:color w:val="0000FF"/>
        </w:rPr>
        <w:t>05/24/2023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29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923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2023-05-25T08:15:44Z</dcterms:created>
  <dcterms:modified xsi:type="dcterms:W3CDTF">2023-05-25T08:15:44Z</dcterms:modified>
</cp:coreProperties>
</file>