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53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53085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Rosenbaum David 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ARDELYX,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34175 ARDENWOOD BLVD,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ARDELYX,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ARDX</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09/01/2015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SVP, Drug Development</w:t>
      </w:r>
    </w:p>
    <w:p>
      <w:pPr>
        <w:spacing w:after="0" w:line="390"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60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120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3840" w:type="dxa"/>
            <w:vAlign w:val="bottom"/>
            <w:gridSpan w:val="6"/>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60" w:type="dxa"/>
            <w:vAlign w:val="bottom"/>
            <w:gridSpan w:val="7"/>
          </w:tcPr>
          <w:p>
            <w:pPr>
              <w:ind w:left="30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gridSpan w:val="2"/>
          </w:tcPr>
          <w:p>
            <w:pPr>
              <w:ind w:left="300"/>
              <w:spacing w:after="0"/>
              <w:rPr>
                <w:sz w:val="20"/>
                <w:szCs w:val="20"/>
                <w:color w:val="auto"/>
              </w:rPr>
            </w:pPr>
            <w:r>
              <w:rPr>
                <w:rFonts w:ascii="Arial" w:cs="Arial" w:eastAsia="Arial" w:hAnsi="Arial"/>
                <w:sz w:val="14"/>
                <w:szCs w:val="14"/>
                <w:color w:val="auto"/>
                <w:w w:val="96"/>
              </w:rPr>
              <w:t>Line)</w:t>
            </w: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FREMONT</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94555</w:t>
            </w: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40" w:type="dxa"/>
            <w:vAlign w:val="bottom"/>
            <w:gridSpan w:val="5"/>
            <w:vMerge w:val="restart"/>
          </w:tcPr>
          <w:p>
            <w:pPr>
              <w:ind w:left="2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40" w:type="dxa"/>
            <w:vAlign w:val="bottom"/>
            <w:gridSpan w:val="2"/>
            <w:vMerge w:val="restart"/>
          </w:tcPr>
          <w:p>
            <w:pPr>
              <w:ind w:left="24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4300" w:type="dxa"/>
            <w:vAlign w:val="bottom"/>
            <w:tcBorders>
              <w:bottom w:val="single" w:sz="8" w:color="2C2C2C"/>
            </w:tcBorders>
            <w:gridSpan w:val="8"/>
          </w:tcPr>
          <w:p>
            <w:pPr>
              <w:spacing w:after="0"/>
              <w:rPr>
                <w:sz w:val="11"/>
                <w:szCs w:val="11"/>
                <w:color w:val="auto"/>
              </w:rPr>
            </w:pPr>
          </w:p>
        </w:tc>
        <w:tc>
          <w:tcPr>
            <w:tcW w:w="1460" w:type="dxa"/>
            <w:vAlign w:val="bottom"/>
            <w:tcBorders>
              <w:bottom w:val="single" w:sz="8" w:color="2C2C2C"/>
            </w:tcBorders>
            <w:gridSpan w:val="3"/>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980" w:type="dxa"/>
            <w:vAlign w:val="bottom"/>
            <w:tcBorders>
              <w:top w:val="single" w:sz="8" w:color="2C2C2C"/>
            </w:tcBorders>
            <w:gridSpan w:val="13"/>
          </w:tcPr>
          <w:p>
            <w:pPr>
              <w:jc w:val="center"/>
              <w:ind w:left="8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80" w:type="dxa"/>
            <w:vAlign w:val="bottom"/>
            <w:gridSpan w:val="3"/>
          </w:tcPr>
          <w:p>
            <w:pPr>
              <w:ind w:left="6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80" w:type="dxa"/>
            <w:vAlign w:val="bottom"/>
            <w:gridSpan w:val="3"/>
          </w:tcPr>
          <w:p>
            <w:pPr>
              <w:ind w:left="6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680" w:type="dxa"/>
            <w:vAlign w:val="bottom"/>
            <w:gridSpan w:val="3"/>
            <w:vMerge w:val="restart"/>
          </w:tcPr>
          <w:p>
            <w:pPr>
              <w:ind w:left="780"/>
              <w:spacing w:after="0"/>
              <w:rPr>
                <w:sz w:val="20"/>
                <w:szCs w:val="20"/>
                <w:color w:val="auto"/>
              </w:rPr>
            </w:pPr>
            <w:r>
              <w:rPr>
                <w:rFonts w:ascii="Arial" w:cs="Arial" w:eastAsia="Arial" w:hAnsi="Arial"/>
                <w:sz w:val="18"/>
                <w:szCs w:val="18"/>
                <w:color w:val="0000FF"/>
                <w:w w:val="97"/>
              </w:rPr>
              <w:t>09/01/2015</w:t>
            </w: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740" w:type="dxa"/>
            <w:vAlign w:val="bottom"/>
            <w:vMerge w:val="restart"/>
          </w:tcPr>
          <w:p>
            <w:pPr>
              <w:ind w:left="160"/>
              <w:spacing w:after="0"/>
              <w:rPr>
                <w:sz w:val="20"/>
                <w:szCs w:val="20"/>
                <w:color w:val="auto"/>
              </w:rPr>
            </w:pPr>
            <w:r>
              <w:rPr>
                <w:rFonts w:ascii="Arial" w:cs="Arial" w:eastAsia="Arial" w:hAnsi="Arial"/>
                <w:sz w:val="18"/>
                <w:szCs w:val="18"/>
                <w:color w:val="0000FF"/>
                <w:w w:val="88"/>
              </w:rPr>
              <w:t>1,286</w:t>
            </w:r>
            <w:r>
              <w:rPr>
                <w:rFonts w:ascii="Arial" w:cs="Arial" w:eastAsia="Arial" w:hAnsi="Arial"/>
                <w:sz w:val="22"/>
                <w:szCs w:val="22"/>
                <w:color w:val="008000"/>
                <w:w w:val="88"/>
                <w:vertAlign w:val="superscript"/>
              </w:rPr>
              <w:t>(1)</w:t>
            </w:r>
          </w:p>
        </w:tc>
        <w:tc>
          <w:tcPr>
            <w:tcW w:w="680" w:type="dxa"/>
            <w:vAlign w:val="bottom"/>
            <w:vMerge w:val="restart"/>
          </w:tcPr>
          <w:p>
            <w:pPr>
              <w:ind w:left="300"/>
              <w:spacing w:after="0"/>
              <w:rPr>
                <w:sz w:val="20"/>
                <w:szCs w:val="20"/>
                <w:color w:val="auto"/>
              </w:rPr>
            </w:pPr>
            <w:r>
              <w:rPr>
                <w:rFonts w:ascii="Arial" w:cs="Arial" w:eastAsia="Arial" w:hAnsi="Arial"/>
                <w:sz w:val="18"/>
                <w:szCs w:val="18"/>
                <w:color w:val="0000FF"/>
              </w:rPr>
              <w:t>D</w:t>
            </w:r>
          </w:p>
        </w:tc>
        <w:tc>
          <w:tcPr>
            <w:tcW w:w="620" w:type="dxa"/>
            <w:vAlign w:val="bottom"/>
            <w:gridSpan w:val="2"/>
            <w:vMerge w:val="restart"/>
          </w:tcPr>
          <w:p>
            <w:pPr>
              <w:jc w:val="right"/>
              <w:ind w:right="14"/>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color w:val="0000FF"/>
                <w:w w:val="94"/>
              </w:rPr>
              <w:t>18.32</w:t>
            </w:r>
          </w:p>
        </w:tc>
        <w:tc>
          <w:tcPr>
            <w:tcW w:w="520" w:type="dxa"/>
            <w:vAlign w:val="bottom"/>
          </w:tcPr>
          <w:p>
            <w:pPr>
              <w:spacing w:after="0"/>
              <w:rPr>
                <w:sz w:val="22"/>
                <w:szCs w:val="22"/>
                <w:color w:val="auto"/>
              </w:rPr>
            </w:pPr>
          </w:p>
        </w:tc>
        <w:tc>
          <w:tcPr>
            <w:tcW w:w="720" w:type="dxa"/>
            <w:vAlign w:val="bottom"/>
            <w:vMerge w:val="restart"/>
          </w:tcPr>
          <w:p>
            <w:pPr>
              <w:jc w:val="center"/>
              <w:ind w:right="517"/>
              <w:spacing w:after="0"/>
              <w:rPr>
                <w:sz w:val="20"/>
                <w:szCs w:val="20"/>
                <w:color w:val="auto"/>
              </w:rPr>
            </w:pPr>
            <w:r>
              <w:rPr>
                <w:rFonts w:ascii="Arial" w:cs="Arial" w:eastAsia="Arial" w:hAnsi="Arial"/>
                <w:sz w:val="18"/>
                <w:szCs w:val="18"/>
                <w:color w:val="0000FF"/>
                <w:w w:val="99"/>
              </w:rPr>
              <w:t>0</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8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8"/>
                <w:szCs w:val="18"/>
                <w:color w:val="0000FF"/>
                <w:w w:val="92"/>
              </w:rPr>
              <w:t>Footnote</w:t>
            </w:r>
            <w:r>
              <w:rPr>
                <w:rFonts w:ascii="Arial" w:cs="Arial" w:eastAsia="Arial" w:hAnsi="Arial"/>
                <w:sz w:val="22"/>
                <w:szCs w:val="22"/>
                <w:color w:val="008000"/>
                <w:w w:val="92"/>
                <w:vertAlign w:val="superscript"/>
              </w:rPr>
              <w:t>(2)</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top w:val="single" w:sz="8" w:color="2C2C2C"/>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top w:val="single" w:sz="8" w:color="2C2C2C"/>
              <w:bottom w:val="single" w:sz="8" w:color="2C2C2C"/>
            </w:tcBorders>
          </w:tcPr>
          <w:p>
            <w:pPr>
              <w:spacing w:after="0"/>
              <w:rPr>
                <w:sz w:val="24"/>
                <w:szCs w:val="24"/>
                <w:color w:val="auto"/>
              </w:rPr>
            </w:pPr>
          </w:p>
        </w:tc>
        <w:tc>
          <w:tcPr>
            <w:tcW w:w="1020" w:type="dxa"/>
            <w:vAlign w:val="bottom"/>
            <w:tcBorders>
              <w:top w:val="single" w:sz="8" w:color="2C2C2C"/>
              <w:bottom w:val="single" w:sz="8" w:color="2C2C2C"/>
            </w:tcBorders>
          </w:tcPr>
          <w:p>
            <w:pPr>
              <w:spacing w:after="0"/>
              <w:rPr>
                <w:sz w:val="24"/>
                <w:szCs w:val="24"/>
                <w:color w:val="auto"/>
              </w:rPr>
            </w:pPr>
          </w:p>
        </w:tc>
        <w:tc>
          <w:tcPr>
            <w:tcW w:w="1680" w:type="dxa"/>
            <w:vAlign w:val="bottom"/>
            <w:tcBorders>
              <w:top w:val="single" w:sz="8" w:color="2C2C2C"/>
              <w:bottom w:val="single" w:sz="8" w:color="2C2C2C"/>
            </w:tcBorders>
            <w:gridSpan w:val="3"/>
          </w:tcPr>
          <w:p>
            <w:pPr>
              <w:ind w:left="780"/>
              <w:spacing w:after="0"/>
              <w:rPr>
                <w:sz w:val="20"/>
                <w:szCs w:val="20"/>
                <w:color w:val="auto"/>
              </w:rPr>
            </w:pPr>
            <w:r>
              <w:rPr>
                <w:rFonts w:ascii="Arial" w:cs="Arial" w:eastAsia="Arial" w:hAnsi="Arial"/>
                <w:sz w:val="18"/>
                <w:szCs w:val="18"/>
                <w:color w:val="0000FF"/>
                <w:w w:val="97"/>
              </w:rPr>
              <w:t>09/03/2015</w:t>
            </w:r>
          </w:p>
        </w:tc>
        <w:tc>
          <w:tcPr>
            <w:tcW w:w="440" w:type="dxa"/>
            <w:vAlign w:val="bottom"/>
            <w:tcBorders>
              <w:top w:val="single" w:sz="8" w:color="2C2C2C"/>
              <w:bottom w:val="single" w:sz="8" w:color="2C2C2C"/>
            </w:tcBorders>
          </w:tcPr>
          <w:p>
            <w:pPr>
              <w:spacing w:after="0"/>
              <w:rPr>
                <w:sz w:val="24"/>
                <w:szCs w:val="24"/>
                <w:color w:val="auto"/>
              </w:rPr>
            </w:pPr>
          </w:p>
        </w:tc>
        <w:tc>
          <w:tcPr>
            <w:tcW w:w="760" w:type="dxa"/>
            <w:vAlign w:val="bottom"/>
            <w:tcBorders>
              <w:top w:val="single" w:sz="8" w:color="2C2C2C"/>
              <w:bottom w:val="single" w:sz="8" w:color="2C2C2C"/>
            </w:tcBorders>
          </w:tcPr>
          <w:p>
            <w:pPr>
              <w:spacing w:after="0"/>
              <w:rPr>
                <w:sz w:val="24"/>
                <w:szCs w:val="24"/>
                <w:color w:val="auto"/>
              </w:rPr>
            </w:pPr>
          </w:p>
        </w:tc>
        <w:tc>
          <w:tcPr>
            <w:tcW w:w="800" w:type="dxa"/>
            <w:vAlign w:val="bottom"/>
            <w:tcBorders>
              <w:top w:val="single" w:sz="8" w:color="2C2C2C"/>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(3)</w:t>
            </w:r>
          </w:p>
        </w:tc>
        <w:tc>
          <w:tcPr>
            <w:tcW w:w="740" w:type="dxa"/>
            <w:vAlign w:val="bottom"/>
            <w:tcBorders>
              <w:top w:val="single" w:sz="8" w:color="2C2C2C"/>
              <w:bottom w:val="single" w:sz="8" w:color="2C2C2C"/>
            </w:tcBorders>
          </w:tcPr>
          <w:p>
            <w:pPr>
              <w:ind w:left="160"/>
              <w:spacing w:after="0"/>
              <w:rPr>
                <w:sz w:val="20"/>
                <w:szCs w:val="20"/>
                <w:color w:val="auto"/>
              </w:rPr>
            </w:pPr>
            <w:r>
              <w:rPr>
                <w:rFonts w:ascii="Arial" w:cs="Arial" w:eastAsia="Arial" w:hAnsi="Arial"/>
                <w:sz w:val="18"/>
                <w:szCs w:val="18"/>
                <w:color w:val="0000FF"/>
                <w:w w:val="88"/>
              </w:rPr>
              <w:t>1,251</w:t>
            </w:r>
            <w:r>
              <w:rPr>
                <w:rFonts w:ascii="Arial" w:cs="Arial" w:eastAsia="Arial" w:hAnsi="Arial"/>
                <w:sz w:val="22"/>
                <w:szCs w:val="22"/>
                <w:color w:val="008000"/>
                <w:w w:val="88"/>
                <w:vertAlign w:val="superscript"/>
              </w:rPr>
              <w:t>(4)</w:t>
            </w:r>
          </w:p>
        </w:tc>
        <w:tc>
          <w:tcPr>
            <w:tcW w:w="680" w:type="dxa"/>
            <w:vAlign w:val="bottom"/>
            <w:tcBorders>
              <w:top w:val="single" w:sz="8" w:color="2C2C2C"/>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620" w:type="dxa"/>
            <w:vAlign w:val="bottom"/>
            <w:tcBorders>
              <w:top w:val="single" w:sz="8" w:color="2C2C2C"/>
              <w:bottom w:val="single" w:sz="8" w:color="2C2C2C"/>
            </w:tcBorders>
            <w:gridSpan w:val="2"/>
          </w:tcPr>
          <w:p>
            <w:pPr>
              <w:jc w:val="right"/>
              <w:ind w:right="14"/>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color w:val="0000FF"/>
                <w:w w:val="94"/>
              </w:rPr>
              <w:t>19.25</w:t>
            </w:r>
          </w:p>
        </w:tc>
        <w:tc>
          <w:tcPr>
            <w:tcW w:w="1240" w:type="dxa"/>
            <w:vAlign w:val="bottom"/>
            <w:tcBorders>
              <w:top w:val="single" w:sz="8" w:color="2C2C2C"/>
              <w:bottom w:val="single" w:sz="8" w:color="2C2C2C"/>
            </w:tcBorders>
            <w:gridSpan w:val="2"/>
          </w:tcPr>
          <w:p>
            <w:pPr>
              <w:jc w:val="center"/>
              <w:spacing w:after="0"/>
              <w:rPr>
                <w:sz w:val="20"/>
                <w:szCs w:val="20"/>
                <w:color w:val="auto"/>
              </w:rPr>
            </w:pPr>
            <w:r>
              <w:rPr>
                <w:rFonts w:ascii="Arial" w:cs="Arial" w:eastAsia="Arial" w:hAnsi="Arial"/>
                <w:sz w:val="18"/>
                <w:szCs w:val="18"/>
                <w:color w:val="0000FF"/>
                <w:w w:val="90"/>
              </w:rPr>
              <w:t>25,880</w:t>
            </w:r>
          </w:p>
        </w:tc>
        <w:tc>
          <w:tcPr>
            <w:tcW w:w="940" w:type="dxa"/>
            <w:vAlign w:val="bottom"/>
            <w:tcBorders>
              <w:top w:val="single" w:sz="8" w:color="2C2C2C"/>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84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90"/>
              </w:rPr>
              <w:t>77,592</w:t>
            </w:r>
          </w:p>
        </w:tc>
        <w:tc>
          <w:tcPr>
            <w:tcW w:w="940" w:type="dxa"/>
            <w:vAlign w:val="bottom"/>
            <w:vMerge w:val="restart"/>
          </w:tcPr>
          <w:p>
            <w:pPr>
              <w:ind w:left="320"/>
              <w:spacing w:after="0"/>
              <w:rPr>
                <w:sz w:val="20"/>
                <w:szCs w:val="20"/>
                <w:color w:val="auto"/>
              </w:rPr>
            </w:pPr>
            <w:r>
              <w:rPr>
                <w:rFonts w:ascii="Arial" w:cs="Arial" w:eastAsia="Arial" w:hAnsi="Arial"/>
                <w:sz w:val="35"/>
                <w:szCs w:val="35"/>
                <w:color w:val="0000FF"/>
                <w:vertAlign w:val="subscript"/>
              </w:rPr>
              <w:t>I</w:t>
            </w:r>
            <w:r>
              <w:rPr>
                <w:rFonts w:ascii="Arial" w:cs="Arial" w:eastAsia="Arial" w:hAnsi="Arial"/>
                <w:sz w:val="11"/>
                <w:szCs w:val="11"/>
                <w:color w:val="008000"/>
              </w:rPr>
              <w:t>(5)</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8"/>
                <w:szCs w:val="18"/>
                <w:color w:val="0000FF"/>
                <w:w w:val="92"/>
              </w:rPr>
              <w:t>Footnote</w:t>
            </w:r>
            <w:r>
              <w:rPr>
                <w:rFonts w:ascii="Arial" w:cs="Arial" w:eastAsia="Arial" w:hAnsi="Arial"/>
                <w:sz w:val="22"/>
                <w:szCs w:val="22"/>
                <w:color w:val="008000"/>
                <w:w w:val="92"/>
                <w:vertAlign w:val="superscript"/>
              </w:rPr>
              <w:t>(6)</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12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2"/>
          </w:tcPr>
          <w:p>
            <w:pPr>
              <w:jc w:val="center"/>
              <w:ind w:left="8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720" w:type="dxa"/>
            <w:vAlign w:val="bottom"/>
            <w:gridSpan w:val="10"/>
          </w:tcPr>
          <w:p>
            <w:pPr>
              <w:jc w:val="center"/>
              <w:ind w:left="33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    10.</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5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3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1,286 shares acquired under the Issuer's Employee Stock Purchase Plan on August 31, 2015.</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shares are directly held by the reporting person's wife.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Transaction made pursuant to a 10b5-1 trading plan adopted by the Reporting Person on June 18, 2015.</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1,251 shares acquired under the Issuer's Employee Stock Purchase Plan on August 31, 2015.</w:t>
      </w:r>
    </w:p>
    <w:p>
      <w:pPr>
        <w:spacing w:after="0" w:line="41" w:lineRule="exact"/>
        <w:rPr>
          <w:rFonts w:ascii="Arial" w:cs="Arial" w:eastAsia="Arial" w:hAnsi="Arial"/>
          <w:sz w:val="14"/>
          <w:szCs w:val="14"/>
          <w:color w:val="008000"/>
        </w:rPr>
      </w:pPr>
    </w:p>
    <w:p>
      <w:pPr>
        <w:ind w:left="40" w:right="2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 no longer has a reportable beneficial interest in 2,777 shares of the Issuer's common stock owned by his son and 2,777 shares of the Issuer's common stock owned by each of his two daughters, which shares were included in the reporting person's prior ownership reports.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shares are directly held by David Paul Rosenbaum and Susan Edelstein Rosenbaum, Trustees of the David Paul Rosenbaum Family Trust.</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325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3251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David</w:t>
      </w:r>
      <w:r>
        <w:rPr>
          <w:sz w:val="20"/>
          <w:szCs w:val="20"/>
          <w:color w:val="auto"/>
        </w:rPr>
        <w:tab/>
      </w:r>
      <w:r>
        <w:rPr>
          <w:rFonts w:ascii="Arial" w:cs="Arial" w:eastAsia="Arial" w:hAnsi="Arial"/>
          <w:sz w:val="15"/>
          <w:szCs w:val="15"/>
          <w:color w:val="0000FF"/>
        </w:rPr>
        <w:t>09/03/2015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Rosenbaum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5264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2641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11311"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2019-12-08T21:45:31Z</dcterms:created>
  <dcterms:modified xsi:type="dcterms:W3CDTF">2019-12-08T21:45:31Z</dcterms:modified>
</cp:coreProperties>
</file>