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266065</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82"/>
              <w:spacing w:after="0"/>
              <w:rPr>
                <w:sz w:val="20"/>
                <w:szCs w:val="20"/>
                <w:color w:val="auto"/>
              </w:rPr>
            </w:pPr>
            <w:r>
              <w:rPr>
                <w:rFonts w:ascii="Arial" w:cs="Arial" w:eastAsia="Arial" w:hAnsi="Arial"/>
                <w:sz w:val="18"/>
                <w:szCs w:val="18"/>
                <w:b w:val="1"/>
                <w:bCs w:val="1"/>
                <w:color w:val="auto"/>
                <w:w w:val="91"/>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2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28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2740" w:type="dxa"/>
            <w:vAlign w:val="bottom"/>
          </w:tcPr>
          <w:p>
            <w:pPr>
              <w:jc w:val="center"/>
              <w:ind w:right="92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800" w:type="dxa"/>
            <w:vAlign w:val="bottom"/>
          </w:tcPr>
          <w:p>
            <w:pPr>
              <w:jc w:val="center"/>
              <w:ind w:left="882"/>
              <w:spacing w:after="0"/>
              <w:rPr>
                <w:sz w:val="20"/>
                <w:szCs w:val="20"/>
                <w:color w:val="auto"/>
              </w:rPr>
            </w:pPr>
            <w:r>
              <w:rPr>
                <w:rFonts w:ascii="Arial" w:cs="Arial" w:eastAsia="Arial" w:hAnsi="Arial"/>
                <w:sz w:val="14"/>
                <w:szCs w:val="14"/>
                <w:b w:val="1"/>
                <w:bCs w:val="1"/>
                <w:color w:val="auto"/>
                <w:w w:val="92"/>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76"/>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75"/>
        </w:trPr>
        <w:tc>
          <w:tcPr>
            <w:tcW w:w="28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40" w:hanging="414"/>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900" w:type="dxa"/>
            <w:vAlign w:val="bottom"/>
          </w:tcPr>
          <w:p>
            <w:pPr>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354"/>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6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6"/>
        </w:trPr>
        <w:tc>
          <w:tcPr>
            <w:tcW w:w="3900" w:type="dxa"/>
            <w:vAlign w:val="bottom"/>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4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Arial" w:cs="Arial" w:eastAsia="Arial" w:hAnsi="Arial"/>
                <w:sz w:val="16"/>
                <w:szCs w:val="16"/>
                <w:color w:val="auto"/>
              </w:rPr>
              <w:t>ARDX</w:t>
            </w:r>
          </w:p>
        </w:tc>
        <w:tc>
          <w:tcPr>
            <w:tcW w:w="160" w:type="dxa"/>
            <w:vAlign w:val="bottom"/>
          </w:tcPr>
          <w:p>
            <w:pPr>
              <w:spacing w:after="0"/>
              <w:rPr>
                <w:sz w:val="17"/>
                <w:szCs w:val="17"/>
                <w:color w:val="auto"/>
              </w:rPr>
            </w:pPr>
          </w:p>
        </w:tc>
        <w:tc>
          <w:tcPr>
            <w:tcW w:w="390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99"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4"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On August 2, 2023, Ardelyx, Inc. (the “Company”) announced its financial results for the quarter ended June 30, 2023. The full text of the press release issued in connection with the announcement is furnished as Exhibit 99.1 to this Current Report on Form 8-K.</w:t>
      </w:r>
    </w:p>
    <w:p>
      <w:pPr>
        <w:spacing w:after="0" w:line="7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2"/>
        </w:trPr>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8"/>
              </w:rPr>
              <w:t>Press release of Ardelyx, Inc.</w:t>
            </w:r>
          </w:p>
        </w:tc>
        <w:tc>
          <w:tcPr>
            <w:tcW w:w="7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20"/>
        </w:trPr>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0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2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23495</wp:posOffset>
            </wp:positionV>
            <wp:extent cx="3729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29355" cy="825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and Operations Officer</w:t>
      </w:r>
    </w:p>
    <w:p>
      <w:pPr>
        <w:sectPr>
          <w:pgSz w:w="11900" w:h="16838" w:orient="portrait"/>
          <w:cols w:equalWidth="0" w:num="1">
            <w:col w:w="11200"/>
          </w:cols>
          <w:pgMar w:left="320" w:top="114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2985770</wp:posOffset>
            </wp:positionH>
            <wp:positionV relativeFrom="page">
              <wp:posOffset>200660</wp:posOffset>
            </wp:positionV>
            <wp:extent cx="1577340"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Reports Second Quarter 2023 Financial Results and Provides 2023 IBSRELA Net Sales Revenue Guidance</w:t>
      </w:r>
    </w:p>
    <w:p>
      <w:pPr>
        <w:spacing w:after="0" w:line="256"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i w:val="1"/>
          <w:iCs w:val="1"/>
          <w:color w:val="auto"/>
        </w:rPr>
        <w:t>Continued successful launch of IBSRELA, with Q2 net sales revenue of $18.3 million; Company currently expects 2023 full year IBSRELA net sales revenue to be $72 to $77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XPHOZAH expected to launch in Q4, pending FDA approval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ends Q2 with $127.6 million in cash and investments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for 8:00 AM Eastern Time</w:t>
      </w:r>
    </w:p>
    <w:p>
      <w:pPr>
        <w:spacing w:after="0" w:line="200" w:lineRule="exact"/>
        <w:rPr>
          <w:sz w:val="20"/>
          <w:szCs w:val="20"/>
          <w:color w:val="auto"/>
        </w:rPr>
      </w:pPr>
    </w:p>
    <w:p>
      <w:pPr>
        <w:spacing w:after="0" w:line="332" w:lineRule="exact"/>
        <w:rPr>
          <w:sz w:val="20"/>
          <w:szCs w:val="20"/>
          <w:color w:val="auto"/>
        </w:rPr>
      </w:pPr>
    </w:p>
    <w:p>
      <w:pPr>
        <w:ind w:right="120"/>
        <w:spacing w:after="0" w:line="375" w:lineRule="auto"/>
        <w:rPr>
          <w:sz w:val="20"/>
          <w:szCs w:val="20"/>
          <w:color w:val="auto"/>
        </w:rPr>
      </w:pPr>
      <w:r>
        <w:rPr>
          <w:rFonts w:ascii="Arial" w:cs="Arial" w:eastAsia="Arial" w:hAnsi="Arial"/>
          <w:sz w:val="18"/>
          <w:szCs w:val="18"/>
          <w:b w:val="1"/>
          <w:bCs w:val="1"/>
          <w:color w:val="auto"/>
        </w:rPr>
        <w:t xml:space="preserve">WALTHAM, Mass., August 2, 2023 </w:t>
      </w:r>
      <w:r>
        <w:rPr>
          <w:rFonts w:ascii="Arial" w:cs="Arial" w:eastAsia="Arial" w:hAnsi="Arial"/>
          <w:sz w:val="18"/>
          <w:szCs w:val="18"/>
          <w:color w:val="auto"/>
        </w:rPr>
        <w:t>- Ardelyx, Inc. (Nasdaq: ARDX), a biopharmaceutical company founded with a mission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innovative, first-in-class medicines that meet significant unmet medical needs, today reported financial results for the second quarter ended June 30, 2023 and provided a business update.</w:t>
      </w:r>
    </w:p>
    <w:p>
      <w:pPr>
        <w:spacing w:after="0" w:line="208" w:lineRule="exact"/>
        <w:rPr>
          <w:sz w:val="20"/>
          <w:szCs w:val="20"/>
          <w:color w:val="auto"/>
        </w:rPr>
      </w:pPr>
    </w:p>
    <w:p>
      <w:pPr>
        <w:ind w:right="80"/>
        <w:spacing w:after="0" w:line="428" w:lineRule="auto"/>
        <w:rPr>
          <w:sz w:val="20"/>
          <w:szCs w:val="20"/>
          <w:color w:val="auto"/>
        </w:rPr>
      </w:pPr>
      <w:r>
        <w:rPr>
          <w:rFonts w:ascii="Arial" w:cs="Arial" w:eastAsia="Arial" w:hAnsi="Arial"/>
          <w:sz w:val="16"/>
          <w:szCs w:val="16"/>
          <w:color w:val="auto"/>
        </w:rPr>
        <w:t>“Ardelyx continued the momentum we established during a historic 2022 through the first half of 2023 and we are poised to deliver on our corporate priorities to drive IBSRELA growth and prepare for the potential approval and launch of XPHOZAH in the fourth quarter,” said Mike Raab, president and chief executive officer. “IBSRELA is carving out an important role in treating IBS-C, offering a meaningful new option for patients looking for a different approach to manage their IBS-C. With 61% quarter-over-quarter net sales revenue growth from Q1 to Q2 and usage and awareness continuing to increase, we are establishing IBSRELA as a meaningful therapeutic choice for patients and building market acceptance among the prescribing community, both of which are critical to our success. Now, with more than a year of launch metrics to work with, we are pleased, for the first time, to share that we expect IBSRELA net sales revenue to be between $72 and $77 million for the full year 2023. This guidance reflects continued, meaningful growth and we believe demonstrates the potential for this drug to generate $500 million or more of annual peak net sales revenue.”</w:t>
      </w:r>
    </w:p>
    <w:p>
      <w:pPr>
        <w:spacing w:after="0" w:line="197" w:lineRule="exact"/>
        <w:rPr>
          <w:sz w:val="20"/>
          <w:szCs w:val="20"/>
          <w:color w:val="auto"/>
        </w:rPr>
      </w:pPr>
    </w:p>
    <w:p>
      <w:pPr>
        <w:jc w:val="both"/>
        <w:ind w:right="380"/>
        <w:spacing w:after="0" w:line="373" w:lineRule="auto"/>
        <w:rPr>
          <w:sz w:val="20"/>
          <w:szCs w:val="20"/>
          <w:color w:val="auto"/>
        </w:rPr>
      </w:pPr>
      <w:r>
        <w:rPr>
          <w:rFonts w:ascii="Arial" w:cs="Arial" w:eastAsia="Arial" w:hAnsi="Arial"/>
          <w:sz w:val="18"/>
          <w:szCs w:val="18"/>
          <w:color w:val="auto"/>
        </w:rPr>
        <w:t>Raab continued, “We also have commercial launch preparations underway ahead of the goal review date for XPHOZAH of October 17. Pending FDA approval, we are looking forward to bringing this novel therapy to patients in the fourth quarter of this year, delivering on a promise to patients and the vision of Ardelyx for the second time in two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IBSRELA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Update: Growth continues with $18.3 million in net sales revenue in Q2 2023</w:t>
      </w:r>
    </w:p>
    <w:p>
      <w:pPr>
        <w:spacing w:after="0" w:line="253" w:lineRule="exact"/>
        <w:rPr>
          <w:sz w:val="20"/>
          <w:szCs w:val="20"/>
          <w:color w:val="auto"/>
        </w:rPr>
      </w:pPr>
    </w:p>
    <w:p>
      <w:pPr>
        <w:ind w:right="60"/>
        <w:spacing w:after="0" w:line="367" w:lineRule="auto"/>
        <w:rPr>
          <w:sz w:val="20"/>
          <w:szCs w:val="20"/>
          <w:color w:val="auto"/>
        </w:rPr>
      </w:pPr>
      <w:r>
        <w:rPr>
          <w:rFonts w:ascii="Arial" w:cs="Arial" w:eastAsia="Arial" w:hAnsi="Arial"/>
          <w:sz w:val="18"/>
          <w:szCs w:val="18"/>
          <w:color w:val="auto"/>
        </w:rPr>
        <w:t>Revenue for Ardelyx’s first commercialized product, IBSRELA, continued a persistent growth pattern, with the company reporting IBSRELA net sales revenue of $18.3 million, a 61% quarter-over-quarter growth compared to $11.4 million of net sales revenue reported in the first quarter of 2023. Launched in the U.S. in 2022 for the treatment of irritable bowel syndrome with constipation (IBS-C) in adults, IBSRELA has shown consistent growth across new and refill prescriptions as well as new and repeat writing healthcare providers. Spherix Global Insights, a premier market research firm that publishes independent, syndicated monthly tracking research, has included IBSRELA as one of the key gastrointestinal launches it tracks. The May 2023 LaunchDynamix report published in Q2 by Spherix reports significant increases in awareness and experience with IBSRELA, while continuing to rate the product highly, 12-months post-launch. Among the 76 gastroenterologists (GIs) surveyed in its market research in May 2023, 91% rate IBSRELA as either a substantial or moderate advance over currently available IBS-C therapies and among the surveyed GIs who reported using IBSRELA, 98% report high or moderate satisfaction.</w:t>
      </w:r>
    </w:p>
    <w:p>
      <w:pPr>
        <w:sectPr>
          <w:pgSz w:w="11900" w:h="16838" w:orient="portrait"/>
          <w:cols w:equalWidth="0" w:num="1">
            <w:col w:w="11240"/>
          </w:cols>
          <w:pgMar w:left="320" w:top="12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XPHOZAH</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(tenapanor) Update: New Drug Application (NDA) accepted; User fee goal date of Oct. 17, 2023</w:t>
      </w:r>
    </w:p>
    <w:p>
      <w:pPr>
        <w:spacing w:after="0" w:line="255" w:lineRule="exact"/>
        <w:rPr>
          <w:sz w:val="20"/>
          <w:szCs w:val="20"/>
          <w:color w:val="auto"/>
        </w:rPr>
      </w:pPr>
    </w:p>
    <w:p>
      <w:pPr>
        <w:ind w:right="300"/>
        <w:spacing w:after="0" w:line="401" w:lineRule="auto"/>
        <w:rPr>
          <w:sz w:val="20"/>
          <w:szCs w:val="20"/>
          <w:color w:val="auto"/>
        </w:rPr>
      </w:pPr>
      <w:r>
        <w:rPr>
          <w:rFonts w:ascii="Arial" w:cs="Arial" w:eastAsia="Arial" w:hAnsi="Arial"/>
          <w:sz w:val="17"/>
          <w:szCs w:val="17"/>
          <w:color w:val="auto"/>
        </w:rPr>
        <w:t>In May, Ardelyx announced that the U.S. Food and Drug Administration (FDA) had accepted the resubmitted New Drug Application (NDA) for XPHOZAH for the control of serum phosphorus in adult patients with chronic kidney disease on dialysis who have had an inadequate response or intolerance to a phosphate binder therapy. The FDA granted XPHOZAH a class 2, six-month review with a user fee goal date of October 17, 2023. The company is now preparing to launch XPHOZAH in the fourth quarter of 2023, pending FDA approval.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Developments</w:t>
      </w:r>
    </w:p>
    <w:p>
      <w:pPr>
        <w:spacing w:after="0" w:line="297" w:lineRule="exact"/>
        <w:rPr>
          <w:sz w:val="20"/>
          <w:szCs w:val="20"/>
          <w:color w:val="auto"/>
        </w:rPr>
      </w:pPr>
    </w:p>
    <w:p>
      <w:pPr>
        <w:ind w:left="340" w:right="120" w:hanging="332"/>
        <w:spacing w:after="0" w:line="3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July, the company announced that an NDA for tenapanor had been accepted for review by China’s Center for Drug Evaluation of the National Medical Products Administration for the control of serum phosphorus in adult patients with chronic kidney disease on hemodialysis. This acceptance triggers a $2 million milestone payment to Ardelyx under the terms of the license agreement between Ardelyx and its collaboration partner in China, Shanghai Fosun Pharmaceutical Industrial Development Co. Ltd. (Fosun Pharma). A potential approval of the NDA submission in China is expected by the end of 2024.</w:t>
      </w:r>
    </w:p>
    <w:p>
      <w:pPr>
        <w:spacing w:after="0" w:line="36" w:lineRule="exact"/>
        <w:rPr>
          <w:rFonts w:ascii="Arial" w:cs="Arial" w:eastAsia="Arial" w:hAnsi="Arial"/>
          <w:sz w:val="18"/>
          <w:szCs w:val="18"/>
          <w:color w:val="auto"/>
        </w:rPr>
      </w:pPr>
    </w:p>
    <w:p>
      <w:pPr>
        <w:ind w:left="340" w:hanging="332"/>
        <w:spacing w:after="0" w:line="381" w:lineRule="auto"/>
        <w:tabs>
          <w:tab w:leader="none" w:pos="340" w:val="left"/>
        </w:tabs>
        <w:numPr>
          <w:ilvl w:val="0"/>
          <w:numId w:val="2"/>
        </w:numPr>
        <w:rPr>
          <w:rFonts w:ascii="Arial" w:cs="Arial" w:eastAsia="Arial" w:hAnsi="Arial"/>
          <w:sz w:val="21"/>
          <w:szCs w:val="21"/>
          <w:color w:val="auto"/>
        </w:rPr>
      </w:pPr>
      <w:r>
        <w:rPr>
          <w:rFonts w:ascii="Arial" w:cs="Arial" w:eastAsia="Arial" w:hAnsi="Arial"/>
          <w:sz w:val="17"/>
          <w:szCs w:val="17"/>
          <w:color w:val="auto"/>
        </w:rPr>
        <w:t xml:space="preserve">The company had a significant presence at the 2023 Digestive Disease Week Conference (DDW 2023) in Chicago, Ill from May 6-9. The company presented a poster which included a post-hoc data analysis from the Phase 3 T3MPO-2 study and sponsored a Product Theater titled: </w:t>
      </w:r>
      <w:r>
        <w:rPr>
          <w:rFonts w:ascii="Arial" w:cs="Arial" w:eastAsia="Arial" w:hAnsi="Arial"/>
          <w:sz w:val="17"/>
          <w:szCs w:val="17"/>
          <w:i w:val="1"/>
          <w:iCs w:val="1"/>
          <w:color w:val="auto"/>
        </w:rPr>
        <w:t>Discover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Different Mechanism of Action to Treat Adults with IBS-C: A Case Based Discussion </w:t>
      </w:r>
      <w:r>
        <w:rPr>
          <w:rFonts w:ascii="Arial" w:cs="Arial" w:eastAsia="Arial" w:hAnsi="Arial"/>
          <w:sz w:val="17"/>
          <w:szCs w:val="17"/>
          <w:color w:val="auto"/>
        </w:rPr>
        <w:t>where Darren Brenner, M.D., Professor of Medicine and Surgery,</w:t>
      </w:r>
      <w:r>
        <w:rPr>
          <w:rFonts w:ascii="Arial" w:cs="Arial" w:eastAsia="Arial" w:hAnsi="Arial"/>
          <w:sz w:val="17"/>
          <w:szCs w:val="17"/>
          <w:i w:val="1"/>
          <w:iCs w:val="1"/>
          <w:color w:val="auto"/>
        </w:rPr>
        <w:t xml:space="preserve"> </w:t>
      </w:r>
      <w:r>
        <w:rPr>
          <w:rFonts w:ascii="Arial" w:cs="Arial" w:eastAsia="Arial" w:hAnsi="Arial"/>
          <w:sz w:val="17"/>
          <w:szCs w:val="17"/>
          <w:color w:val="auto"/>
        </w:rPr>
        <w:t>Northwestern University Feinberg School of Medicine, reviewed the multifactorial pathophysiology of IBS-C, the novel mechanism of action of IBSRELA, and efficacy and safety data of IBSRELA from the Phase 3 clinical trial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Financial Results</w:t>
      </w:r>
    </w:p>
    <w:p>
      <w:pPr>
        <w:spacing w:after="0" w:line="306" w:lineRule="exact"/>
        <w:rPr>
          <w:sz w:val="20"/>
          <w:szCs w:val="20"/>
          <w:color w:val="auto"/>
        </w:rPr>
      </w:pPr>
    </w:p>
    <w:p>
      <w:pPr>
        <w:ind w:left="340" w:right="80" w:hanging="332"/>
        <w:spacing w:after="0" w:line="363"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June 30, 2023, the company had total cash, cash equivalents and short-term investments of $127.6 million, as compared to total</w:t>
      </w:r>
      <w:r>
        <w:rPr>
          <w:rFonts w:ascii="Arial" w:cs="Arial" w:eastAsia="Arial" w:hAnsi="Arial"/>
          <w:sz w:val="18"/>
          <w:szCs w:val="18"/>
          <w:b w:val="1"/>
          <w:bCs w:val="1"/>
          <w:color w:val="auto"/>
        </w:rPr>
        <w:t xml:space="preserve"> </w:t>
      </w:r>
      <w:r>
        <w:rPr>
          <w:rFonts w:ascii="Arial" w:cs="Arial" w:eastAsia="Arial" w:hAnsi="Arial"/>
          <w:sz w:val="18"/>
          <w:szCs w:val="18"/>
          <w:color w:val="auto"/>
        </w:rPr>
        <w:t>cash, cash equivalents and short-term investments of $123.9 million as of December 31, 2022. During the quarter ended June 30, 2023, the company received gross proceeds of $11.6 million for the sale of 3.0 million shares of the company’s common stock under the company’s sales agreement with Jefferies LLC deemed to be “at-the-market offerings.”</w:t>
      </w:r>
    </w:p>
    <w:p>
      <w:pPr>
        <w:spacing w:after="0" w:line="3" w:lineRule="exact"/>
        <w:rPr>
          <w:rFonts w:ascii="Arial" w:cs="Arial" w:eastAsia="Arial" w:hAnsi="Arial"/>
          <w:sz w:val="18"/>
          <w:szCs w:val="18"/>
          <w:color w:val="auto"/>
        </w:rPr>
      </w:pPr>
    </w:p>
    <w:p>
      <w:pPr>
        <w:ind w:left="340" w:right="80" w:hanging="332"/>
        <w:spacing w:after="0" w:line="360"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Net product sales for IBSRELA were $18.3 million during the quarter ended June 30, 2023, compared to $1.6 million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2022. Total revenues for the second quarter were $22.3 million, which included $4.0 million of product supply and licensing related revenue compared to $1.0 million in product supply and licensing related revenue in the same period in 2022.</w:t>
      </w:r>
    </w:p>
    <w:p>
      <w:pPr>
        <w:ind w:left="340" w:right="140" w:hanging="332"/>
        <w:spacing w:after="0" w:line="365"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R&amp;D Expenses</w:t>
      </w:r>
      <w:r>
        <w:rPr>
          <w:rFonts w:ascii="Arial" w:cs="Arial" w:eastAsia="Arial" w:hAnsi="Arial"/>
          <w:sz w:val="18"/>
          <w:szCs w:val="18"/>
          <w:color w:val="auto"/>
        </w:rPr>
        <w:t>: Research and development expenses were $8.3 million for the quarter ended June 30, 2023, compared to $9.7 million for the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2022. R&amp;D expenses in the prior year included higher tenapanor manufacturing expenses as well as regulatory consulting expenses related to the appeal of the FDA’s July 2021 action on the NDA for XPHOZAH.</w:t>
      </w:r>
    </w:p>
    <w:p>
      <w:pPr>
        <w:ind w:left="340" w:right="340" w:hanging="332"/>
        <w:spacing w:after="0" w:line="375" w:lineRule="auto"/>
        <w:tabs>
          <w:tab w:leader="none" w:pos="259"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$27.2 million for the quarter ended June 30, 2023, an increase of $8.3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$18.9 million for the quarter ended June 30, 2022. The increase in selling, general and administrative expenses was primarily due to increased costs associated with the ongoing commercial launch of IBSRELA.</w:t>
      </w:r>
    </w:p>
    <w:p>
      <w:pPr>
        <w:sectPr>
          <w:pgSz w:w="11900" w:h="16838" w:orient="portrait"/>
          <w:cols w:equalWidth="0" w:num="1">
            <w:col w:w="11180"/>
          </w:cols>
          <w:pgMar w:left="320" w:top="1144" w:right="399" w:bottom="1440" w:gutter="0" w:footer="0" w:header="0"/>
        </w:sectPr>
      </w:pPr>
    </w:p>
    <w:bookmarkStart w:id="5" w:name="page6"/>
    <w:bookmarkEnd w:id="5"/>
    <w:p>
      <w:pPr>
        <w:ind w:left="340" w:right="260" w:hanging="332"/>
        <w:spacing w:after="0" w:line="40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for the quarter ended June 30, 2023 was $17.1 million, or $(0.08) per share, compared to net loss of $26.9 million, or $(0.19)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quarter ended June 30,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Ardelyx currently expects full-year 2023 net product revenue for IBSRELA to be between $72.0 and $77.0 million.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today, August 2, 2023, at 8:00 AM ET to discuss these results. To participate in the conference call, please dial</w:t>
      </w:r>
    </w:p>
    <w:p>
      <w:pPr>
        <w:spacing w:after="0" w:line="127" w:lineRule="exact"/>
        <w:rPr>
          <w:sz w:val="20"/>
          <w:szCs w:val="20"/>
          <w:color w:val="auto"/>
        </w:rPr>
      </w:pPr>
    </w:p>
    <w:p>
      <w:pPr>
        <w:ind w:right="460" w:firstLine="8"/>
        <w:spacing w:after="0" w:line="48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481-2838 (domestic) or (412) 317-1858 (international) and ask to be joined into the Ardelyx call. A webcast of the call can also be accessed by visiting the Investor page of the company's website, www.ardelyx.com, and will be available on the website for 30 days following the call.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4046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WARNING: RISK OF SERIOUS DEHYDRATION IN PEDIATRIC PATIENTS</w:t>
      </w:r>
    </w:p>
    <w:p>
      <w:pPr>
        <w:spacing w:after="0" w:line="364" w:lineRule="exact"/>
        <w:rPr>
          <w:sz w:val="20"/>
          <w:szCs w:val="20"/>
          <w:color w:val="auto"/>
        </w:rPr>
      </w:pPr>
    </w:p>
    <w:p>
      <w:pPr>
        <w:jc w:val="both"/>
        <w:ind w:left="40" w:right="700"/>
        <w:spacing w:after="0" w:line="381" w:lineRule="auto"/>
        <w:rPr>
          <w:sz w:val="20"/>
          <w:szCs w:val="20"/>
          <w:color w:val="auto"/>
        </w:rPr>
      </w:pPr>
      <w:r>
        <w:rPr>
          <w:rFonts w:ascii="Arial" w:cs="Arial" w:eastAsia="Arial" w:hAnsi="Arial"/>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CONTRAINDICATIONS</w:t>
      </w:r>
    </w:p>
    <w:p>
      <w:pPr>
        <w:spacing w:after="0" w:line="108"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IBSRELA is contraindicated in patients less than 6 years of age due to the risk of serious dehydration.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IBSRELA is contraindicated in patients with known or suspected mechanical gastrointestinal obstruction.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WARNINGS AND PRECAUTIONS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Serious Dehydration in Pediatric Patients</w:t>
      </w:r>
    </w:p>
    <w:p>
      <w:pPr>
        <w:spacing w:after="0" w:line="108" w:lineRule="exact"/>
        <w:rPr>
          <w:sz w:val="20"/>
          <w:szCs w:val="20"/>
          <w:color w:val="auto"/>
        </w:rPr>
      </w:pPr>
    </w:p>
    <w:p>
      <w:pPr>
        <w:jc w:val="both"/>
        <w:ind w:left="340" w:right="100" w:hanging="332"/>
        <w:spacing w:after="0" w:line="3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3" w:lineRule="exact"/>
        <w:rPr>
          <w:rFonts w:ascii="Arial" w:cs="Arial" w:eastAsia="Arial" w:hAnsi="Arial"/>
          <w:sz w:val="18"/>
          <w:szCs w:val="18"/>
          <w:color w:val="auto"/>
        </w:rPr>
      </w:pPr>
    </w:p>
    <w:p>
      <w:pPr>
        <w:ind w:left="340" w:hanging="332"/>
        <w:spacing w:after="0" w:line="37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Diarrhea</w:t>
      </w:r>
    </w:p>
    <w:p>
      <w:pPr>
        <w:spacing w:after="0" w:line="121" w:lineRule="exact"/>
        <w:rPr>
          <w:sz w:val="20"/>
          <w:szCs w:val="20"/>
          <w:color w:val="auto"/>
        </w:rPr>
      </w:pPr>
    </w:p>
    <w:p>
      <w:pPr>
        <w:ind w:right="340"/>
        <w:spacing w:after="0" w:line="387" w:lineRule="auto"/>
        <w:rPr>
          <w:sz w:val="20"/>
          <w:szCs w:val="20"/>
          <w:color w:val="auto"/>
        </w:rPr>
      </w:pPr>
      <w:r>
        <w:rPr>
          <w:rFonts w:ascii="Arial" w:cs="Arial" w:eastAsia="Arial" w:hAnsi="Arial"/>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ectPr>
          <w:pgSz w:w="11900" w:h="16838" w:orient="portrait"/>
          <w:cols w:equalWidth="0" w:num="1">
            <w:col w:w="11180"/>
          </w:cols>
          <w:pgMar w:left="320" w:top="112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MOST COMMON ADVERSE REACTIONS</w:t>
      </w:r>
    </w:p>
    <w:p>
      <w:pPr>
        <w:spacing w:after="0" w:line="108" w:lineRule="exact"/>
        <w:rPr>
          <w:sz w:val="20"/>
          <w:szCs w:val="20"/>
          <w:color w:val="auto"/>
        </w:rPr>
      </w:pPr>
    </w:p>
    <w:p>
      <w:pPr>
        <w:ind w:right="700"/>
        <w:spacing w:after="0" w:line="387" w:lineRule="auto"/>
        <w:rPr>
          <w:sz w:val="20"/>
          <w:szCs w:val="20"/>
          <w:color w:val="auto"/>
        </w:rPr>
      </w:pPr>
      <w:r>
        <w:rPr>
          <w:rFonts w:ascii="Arial" w:cs="Arial" w:eastAsia="Arial" w:hAnsi="Arial"/>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IBSRELA (tenapanor) is indicated for the treatment of Irritable Bowel Syndrome with Constipation (IBS-C) in adults.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see full Prescribing Information, including Boxed Warning, for additional risk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 Inc.</w:t>
      </w:r>
    </w:p>
    <w:p>
      <w:pPr>
        <w:spacing w:after="0" w:line="337" w:lineRule="exact"/>
        <w:rPr>
          <w:sz w:val="20"/>
          <w:szCs w:val="20"/>
          <w:color w:val="auto"/>
        </w:rPr>
      </w:pPr>
    </w:p>
    <w:p>
      <w:pPr>
        <w:ind w:right="60"/>
        <w:spacing w:after="0" w:line="367"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Ardelyx’s first approved product, IBSRELA® (tenapanor) is available in the United States and Canada. Ardelyx is developing XPHOZAH® (tenapanor), a novel product candidate for the control of serum phosphorus in adult patients with chronic kidney disease (CKD) on dialysis who have had an inadequate response or intolerance to phosphate binder therapy, which has completed three successful Phase 3 trials and an additional two Phase 4 open label trials. Ardelyx has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 For more information, please visit https://ardelyx.com/ and connect with us on Twitter, LinkedIn and Facebook.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0" w:lineRule="exact"/>
        <w:rPr>
          <w:sz w:val="20"/>
          <w:szCs w:val="20"/>
          <w:color w:val="auto"/>
        </w:rPr>
      </w:pPr>
    </w:p>
    <w:p>
      <w:pPr>
        <w:spacing w:after="0" w:line="388" w:lineRule="auto"/>
        <w:rPr>
          <w:sz w:val="20"/>
          <w:szCs w:val="20"/>
          <w:color w:val="auto"/>
        </w:rPr>
      </w:pPr>
      <w:r>
        <w:rPr>
          <w:rFonts w:ascii="Arial" w:cs="Arial" w:eastAsia="Arial" w:hAnsi="Arial"/>
          <w:sz w:val="17"/>
          <w:szCs w:val="17"/>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expectation regarding opportunities for continued IBSRELA adoption, Ardelyx’s current expectation of the user fee goal date for the NDA for XPHOZAH and any subsequent commercial launch of XPHOZAH; the projected net revenue for IBSRELA for full year 2023; the timing of the review for the NDA for tenapanor for hyperphosphatemia in China; and the potential role that tenapanor can play in offering a new treatment option for patients with hyperphosphatemia. Such forward-looking statements involve substantial risks and uncertainties that could cause Ardelyx's future results, performance or achievements to differ significantly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2, 2023, and its future current and periodic reports to be filed with the Securities and Exchange Commission.</w:t>
      </w:r>
    </w:p>
    <w:p>
      <w:pPr>
        <w:sectPr>
          <w:pgSz w:w="11900" w:h="16838" w:orient="portrait"/>
          <w:cols w:equalWidth="0" w:num="1">
            <w:col w:w="11240"/>
          </w:cols>
          <w:pgMar w:left="320" w:top="94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Investor and Media Contacts: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Caitlin Lowie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clowie@ardelyx.com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ectPr>
          <w:pgSz w:w="11900" w:h="16838" w:orient="portrait"/>
          <w:cols w:equalWidth="0" w:num="1">
            <w:col w:w="10139"/>
          </w:cols>
          <w:pgMar w:left="320" w:top="1066" w:right="1440"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t>Ardelyx,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8"/>
              </w:rPr>
              <w:t>December 31, 2022</w:t>
            </w:r>
          </w:p>
        </w:tc>
      </w:tr>
      <w:tr>
        <w:trPr>
          <w:trHeight w:val="194"/>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43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732"/>
              <w:spacing w:after="0"/>
              <w:rPr>
                <w:sz w:val="20"/>
                <w:szCs w:val="20"/>
                <w:color w:val="auto"/>
              </w:rPr>
            </w:pPr>
            <w:r>
              <w:rPr>
                <w:rFonts w:ascii="Arial" w:cs="Arial" w:eastAsia="Arial" w:hAnsi="Arial"/>
                <w:sz w:val="14"/>
                <w:szCs w:val="14"/>
                <w:b w:val="1"/>
                <w:bCs w:val="1"/>
                <w:color w:val="auto"/>
              </w:rPr>
              <w:t>(1)</w:t>
            </w:r>
          </w:p>
        </w:tc>
      </w:tr>
      <w:tr>
        <w:trPr>
          <w:trHeight w:val="23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7"/>
        </w:trPr>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30,058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96,140</w:t>
            </w:r>
          </w:p>
        </w:tc>
      </w:tr>
      <w:tr>
        <w:trPr>
          <w:trHeight w:val="23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7,733</w:t>
            </w:r>
          </w:p>
        </w:tc>
      </w:tr>
      <w:tr>
        <w:trPr>
          <w:trHeight w:val="243"/>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commercial manufacturing</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Inventory, current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non-current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25,064</w:t>
            </w:r>
          </w:p>
        </w:tc>
      </w:tr>
      <w:tr>
        <w:trPr>
          <w:trHeight w:val="237"/>
        </w:trPr>
        <w:tc>
          <w:tcPr>
            <w:tcW w:w="736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1,223</w:t>
            </w:r>
          </w:p>
        </w:tc>
      </w:tr>
      <w:tr>
        <w:trPr>
          <w:trHeight w:val="23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r>
      <w:tr>
        <w:trPr>
          <w:trHeight w:val="229"/>
        </w:trPr>
        <w:tc>
          <w:tcPr>
            <w:tcW w:w="7360" w:type="dxa"/>
            <w:vAlign w:val="bottom"/>
          </w:tcPr>
          <w:p>
            <w:pPr>
              <w:ind w:left="160"/>
              <w:spacing w:after="0"/>
              <w:rPr>
                <w:sz w:val="20"/>
                <w:szCs w:val="20"/>
                <w:color w:val="auto"/>
              </w:rPr>
            </w:pPr>
            <w:r>
              <w:rPr>
                <w:rFonts w:ascii="Arial" w:cs="Arial" w:eastAsia="Arial" w:hAnsi="Arial"/>
                <w:sz w:val="18"/>
                <w:szCs w:val="18"/>
                <w:color w:val="auto"/>
              </w:rPr>
              <w:t>Prepaid and other assets</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w:t>
            </w:r>
          </w:p>
        </w:tc>
      </w:tr>
      <w:tr>
        <w:trPr>
          <w:trHeight w:val="257"/>
        </w:trPr>
        <w:tc>
          <w:tcPr>
            <w:tcW w:w="7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0"/>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5,294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10,859</w:t>
            </w:r>
          </w:p>
        </w:tc>
      </w:tr>
      <w:tr>
        <w:trPr>
          <w:trHeight w:val="229"/>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r>
      <w:tr>
        <w:trPr>
          <w:trHeight w:val="237"/>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3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13,236</w:t>
            </w:r>
          </w:p>
        </w:tc>
      </w:tr>
      <w:tr>
        <w:trPr>
          <w:trHeight w:val="243"/>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r>
      <w:tr>
        <w:trPr>
          <w:trHeight w:val="230"/>
        </w:trPr>
        <w:tc>
          <w:tcPr>
            <w:tcW w:w="7360" w:type="dxa"/>
            <w:vAlign w:val="bottom"/>
          </w:tcPr>
          <w:p>
            <w:pPr>
              <w:ind w:left="160"/>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30"/>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royalty obligation related to the sale of future royalties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r>
      <w:tr>
        <w:trPr>
          <w:trHeight w:val="237"/>
        </w:trPr>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123,161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98,329</w:t>
            </w:r>
          </w:p>
        </w:tc>
      </w:tr>
      <w:tr>
        <w:trPr>
          <w:trHeight w:val="254"/>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(1) Derived from the audited financial statements included in the Company’s Annual Report on Form 10-K for the year ended December 31, 2022.</w:t>
      </w:r>
    </w:p>
    <w:p>
      <w:pPr>
        <w:sectPr>
          <w:pgSz w:w="11900" w:h="16838" w:orient="portrait"/>
          <w:cols w:equalWidth="0" w:num="1">
            <w:col w:w="11060"/>
          </w:cols>
          <w:pgMar w:left="320" w:top="1431" w:right="519" w:bottom="1440" w:gutter="0" w:footer="0" w:header="0"/>
        </w:sectPr>
      </w:pPr>
    </w:p>
    <w:bookmarkStart w:id="9" w:name="page10"/>
    <w:bookmarkEnd w:id="9"/>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6268720</wp:posOffset>
            </wp:positionH>
            <wp:positionV relativeFrom="page">
              <wp:posOffset>200025</wp:posOffset>
            </wp:positionV>
            <wp:extent cx="107124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3464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7"/>
              </w:rPr>
              <w:t>Three Months Ended June 30,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32"/>
        </w:trPr>
        <w:tc>
          <w:tcPr>
            <w:tcW w:w="4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20"/>
              <w:spacing w:after="0"/>
              <w:rPr>
                <w:sz w:val="20"/>
                <w:szCs w:val="20"/>
                <w:color w:val="auto"/>
              </w:rPr>
            </w:pPr>
            <w:r>
              <w:rPr>
                <w:rFonts w:ascii="Arial" w:cs="Arial" w:eastAsia="Arial" w:hAnsi="Arial"/>
                <w:sz w:val="18"/>
                <w:szCs w:val="18"/>
                <w:color w:val="auto"/>
              </w:rPr>
              <w:t>Product sales,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18,309</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29,664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supply revenue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Licensing revenue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Cost of goods sold: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cost of revenue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56,793</w:t>
            </w:r>
          </w:p>
        </w:tc>
        <w:tc>
          <w:tcPr>
            <w:tcW w:w="0" w:type="dxa"/>
            <w:vAlign w:val="bottom"/>
          </w:tcPr>
          <w:p>
            <w:pPr>
              <w:spacing w:after="0"/>
              <w:rPr>
                <w:sz w:val="1"/>
                <w:szCs w:val="1"/>
                <w:color w:val="auto"/>
              </w:rPr>
            </w:pPr>
          </w:p>
        </w:tc>
      </w:tr>
      <w:tr>
        <w:trPr>
          <w:trHeight w:val="223"/>
        </w:trPr>
        <w:tc>
          <w:tcPr>
            <w:tcW w:w="4320" w:type="dxa"/>
            <w:vAlign w:val="bottom"/>
          </w:tcPr>
          <w:p>
            <w:pPr>
              <w:ind w:left="1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(54,022)</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175"/>
        </w:trPr>
        <w:tc>
          <w:tcPr>
            <w:tcW w:w="4320" w:type="dxa"/>
            <w:vAlign w:val="bottom"/>
          </w:tcPr>
          <w:p>
            <w:pPr>
              <w:ind w:left="120"/>
              <w:spacing w:after="0" w:line="176" w:lineRule="exact"/>
              <w:rPr>
                <w:sz w:val="20"/>
                <w:szCs w:val="20"/>
                <w:color w:val="auto"/>
              </w:rPr>
            </w:pPr>
            <w:r>
              <w:rPr>
                <w:rFonts w:ascii="Arial" w:cs="Arial" w:eastAsia="Arial" w:hAnsi="Arial"/>
                <w:sz w:val="18"/>
                <w:szCs w:val="18"/>
                <w:color w:val="auto"/>
                <w:w w:val="96"/>
              </w:rPr>
              <w:t>Non-cash interest expense related to the sale of future</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2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Loss before provision for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(55,001)</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(17,121)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(26,938)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(43,894)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Net loss per share of common stock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w w:val="88"/>
              </w:rPr>
              <w:t>Shares used in computing net loss per share - basic and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214,951,127</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145,544,372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211,009,029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138,279,945</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84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2023-08-02T06:10:45Z</dcterms:created>
  <dcterms:modified xsi:type="dcterms:W3CDTF">2023-08-02T06:10:45Z</dcterms:modified>
</cp:coreProperties>
</file>