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193"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(Rule 13d-102)</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TO RULES 13d-1(b)(c), AND (d) AND AMENDMENTS THERETO FILED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PURSUANT TO RULE 13d-2(b)</w:t>
      </w: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(Amendment No. 2) *</w:t>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32"/>
          <w:szCs w:val="32"/>
          <w:color w:val="auto"/>
        </w:rPr>
        <w:t>Ardelyx,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3380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338060" cy="8890"/>
                    </a:xfrm>
                    <a:prstGeom prst="rect">
                      <a:avLst/>
                    </a:prstGeom>
                    <a:noFill/>
                  </pic:spPr>
                </pic:pic>
              </a:graphicData>
            </a:graphic>
          </wp:anchor>
        </w:drawing>
      </w:r>
    </w:p>
    <w:p>
      <w:pPr>
        <w:spacing w:after="0" w:line="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3380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039697107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3380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38060" cy="8255"/>
                    </a:xfrm>
                    <a:prstGeom prst="rect">
                      <a:avLst/>
                    </a:prstGeom>
                    <a:noFill/>
                  </pic:spPr>
                </pic:pic>
              </a:graphicData>
            </a:graphic>
          </wp:anchor>
        </w:drawing>
      </w:r>
    </w:p>
    <w:p>
      <w:pPr>
        <w:spacing w:after="0" w:line="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00" w:hanging="244"/>
        <w:spacing w:after="0"/>
        <w:tabs>
          <w:tab w:leader="none" w:pos="9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00" w:hanging="244"/>
        <w:spacing w:after="0"/>
        <w:tabs>
          <w:tab w:leader="none" w:pos="9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(Page 1 of 11 Pages Pages)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4"/>
          <w:szCs w:val="24"/>
          <w:color w:val="auto"/>
        </w:rPr>
      </w:pPr>
    </w:p>
    <w:p>
      <w:pPr>
        <w:ind w:right="20" w:firstLine="8"/>
        <w:spacing w:after="0" w:line="260" w:lineRule="auto"/>
        <w:tabs>
          <w:tab w:leader="none" w:pos="1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5"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3380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20"/>
          </w:cols>
          <w:pgMar w:left="160" w:top="388" w:right="219" w:bottom="1440" w:gutter="0" w:footer="0" w:header="0"/>
        </w:sectPr>
      </w:pPr>
    </w:p>
    <w:bookmarkStart w:id="1" w:name="page2"/>
    <w:bookmarkEnd w:id="1"/>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2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338060" cy="56489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8060" cy="5648960"/>
                    </a:xfrm>
                    <a:prstGeom prst="rect">
                      <a:avLst/>
                    </a:prstGeom>
                    <a:noFill/>
                  </pic:spPr>
                </pic:pic>
              </a:graphicData>
            </a:graphic>
          </wp:anchor>
        </w:drawing>
      </w:r>
    </w:p>
    <w:p>
      <w:pPr>
        <w:spacing w:after="0" w:line="313" w:lineRule="exact"/>
        <w:rPr>
          <w:sz w:val="20"/>
          <w:szCs w:val="20"/>
          <w:color w:val="auto"/>
        </w:rPr>
      </w:pPr>
    </w:p>
    <w:p>
      <w:pPr>
        <w:ind w:left="2380" w:hanging="1245"/>
        <w:spacing w:after="0"/>
        <w:tabs>
          <w:tab w:leader="none" w:pos="2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80" w:right="370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Mgmt,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5.</w:t>
            </w: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340" w:type="dxa"/>
            <w:vAlign w:val="bottom"/>
            <w:tcBorders>
              <w:bottom w:val="single" w:sz="8" w:color="auto"/>
              <w:right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300" w:type="dxa"/>
            <w:vAlign w:val="bottom"/>
            <w:vMerge w:val="continue"/>
          </w:tcPr>
          <w:p>
            <w:pPr>
              <w:spacing w:after="0"/>
              <w:rPr>
                <w:sz w:val="13"/>
                <w:szCs w:val="13"/>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6.</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340" w:type="dxa"/>
            <w:vAlign w:val="bottom"/>
            <w:tcBorders>
              <w:right w:val="single" w:sz="8" w:color="auto"/>
            </w:tcBorders>
            <w:vMerge w:val="continue"/>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2,962,922 (1)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340" w:type="dxa"/>
            <w:vAlign w:val="bottom"/>
            <w:tcBorders>
              <w:right w:val="single" w:sz="8" w:color="auto"/>
            </w:tcBorders>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7.</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40" w:type="dxa"/>
            <w:vAlign w:val="bottom"/>
            <w:tcBorders>
              <w:right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340" w:type="dxa"/>
            <w:vAlign w:val="bottom"/>
            <w:tcBorders>
              <w:right w:val="single" w:sz="8" w:color="auto"/>
            </w:tcBorders>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8.</w:t>
            </w: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2,962,922 (1)</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2,962,922 (1)</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4.77%</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hanging="1290"/>
        <w:spacing w:after="0"/>
        <w:tabs>
          <w:tab w:leader="none" w:pos="2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320" w:firstLine="8"/>
        <w:spacing w:after="0" w:line="260" w:lineRule="auto"/>
        <w:tabs>
          <w:tab w:leader="none" w:pos="2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Special Situations Fund, L.P., of which Deerfield Mgmt, L.P. is the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3380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2" w:name="page3"/>
    <w:bookmarkEnd w:id="2"/>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3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338060" cy="56489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338060" cy="5648960"/>
                    </a:xfrm>
                    <a:prstGeom prst="rect">
                      <a:avLst/>
                    </a:prstGeom>
                    <a:noFill/>
                  </pic:spPr>
                </pic:pic>
              </a:graphicData>
            </a:graphic>
          </wp:anchor>
        </w:drawing>
      </w:r>
    </w:p>
    <w:p>
      <w:pPr>
        <w:spacing w:after="0" w:line="313" w:lineRule="exact"/>
        <w:rPr>
          <w:sz w:val="20"/>
          <w:szCs w:val="20"/>
          <w:color w:val="auto"/>
        </w:rPr>
      </w:pPr>
    </w:p>
    <w:p>
      <w:pPr>
        <w:ind w:left="2380" w:hanging="1245"/>
        <w:spacing w:after="0"/>
        <w:tabs>
          <w:tab w:leader="none" w:pos="2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80" w:right="370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Management Company,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5.</w:t>
            </w: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340" w:type="dxa"/>
            <w:vAlign w:val="bottom"/>
            <w:tcBorders>
              <w:bottom w:val="single" w:sz="8" w:color="auto"/>
              <w:right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300" w:type="dxa"/>
            <w:vAlign w:val="bottom"/>
            <w:vMerge w:val="continue"/>
          </w:tcPr>
          <w:p>
            <w:pPr>
              <w:spacing w:after="0"/>
              <w:rPr>
                <w:sz w:val="13"/>
                <w:szCs w:val="13"/>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6.</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340" w:type="dxa"/>
            <w:vAlign w:val="bottom"/>
            <w:tcBorders>
              <w:right w:val="single" w:sz="8" w:color="auto"/>
            </w:tcBorders>
            <w:vMerge w:val="continue"/>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2,962,922 (2)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340" w:type="dxa"/>
            <w:vAlign w:val="bottom"/>
            <w:tcBorders>
              <w:right w:val="single" w:sz="8" w:color="auto"/>
            </w:tcBorders>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7.</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40" w:type="dxa"/>
            <w:vAlign w:val="bottom"/>
            <w:tcBorders>
              <w:right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340" w:type="dxa"/>
            <w:vAlign w:val="bottom"/>
            <w:tcBorders>
              <w:right w:val="single" w:sz="8" w:color="auto"/>
            </w:tcBorders>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8.</w:t>
            </w: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2,962,922 (2)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2,962,922 (2)</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4.77%</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hanging="1290"/>
        <w:spacing w:after="0"/>
        <w:tabs>
          <w:tab w:leader="none" w:pos="2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ind w:right="620" w:firstLine="8"/>
        <w:spacing w:after="0" w:line="260" w:lineRule="auto"/>
        <w:tabs>
          <w:tab w:leader="none" w:pos="2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Comprised of shares of common stock held by Deerfield Partners, L.P. and Deerfield Special Situations Fund, L.P., of which Deerfield Management Company, L.P. is the investment advisor.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3380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3" w:name="page4"/>
    <w:bookmarkEnd w:id="3"/>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4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338060" cy="56489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38060" cy="5648960"/>
                    </a:xfrm>
                    <a:prstGeom prst="rect">
                      <a:avLst/>
                    </a:prstGeom>
                    <a:noFill/>
                  </pic:spPr>
                </pic:pic>
              </a:graphicData>
            </a:graphic>
          </wp:anchor>
        </w:drawing>
      </w:r>
    </w:p>
    <w:p>
      <w:pPr>
        <w:spacing w:after="0" w:line="313" w:lineRule="exact"/>
        <w:rPr>
          <w:sz w:val="20"/>
          <w:szCs w:val="20"/>
          <w:color w:val="auto"/>
        </w:rPr>
      </w:pPr>
    </w:p>
    <w:p>
      <w:pPr>
        <w:ind w:left="2380" w:hanging="1245"/>
        <w:spacing w:after="0"/>
        <w:tabs>
          <w:tab w:leader="none" w:pos="2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80" w:right="370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Special Situations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5.</w:t>
            </w: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340" w:type="dxa"/>
            <w:vAlign w:val="bottom"/>
            <w:tcBorders>
              <w:bottom w:val="single" w:sz="8" w:color="auto"/>
              <w:right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300" w:type="dxa"/>
            <w:vAlign w:val="bottom"/>
            <w:vMerge w:val="continue"/>
          </w:tcPr>
          <w:p>
            <w:pPr>
              <w:spacing w:after="0"/>
              <w:rPr>
                <w:sz w:val="13"/>
                <w:szCs w:val="13"/>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6.</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340" w:type="dxa"/>
            <w:vAlign w:val="bottom"/>
            <w:tcBorders>
              <w:right w:val="single" w:sz="8" w:color="auto"/>
            </w:tcBorders>
            <w:vMerge w:val="continue"/>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307,082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340" w:type="dxa"/>
            <w:vAlign w:val="bottom"/>
            <w:tcBorders>
              <w:right w:val="single" w:sz="8" w:color="auto"/>
            </w:tcBorders>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7.</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40" w:type="dxa"/>
            <w:vAlign w:val="bottom"/>
            <w:tcBorders>
              <w:right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340" w:type="dxa"/>
            <w:vAlign w:val="bottom"/>
            <w:tcBorders>
              <w:right w:val="single" w:sz="8" w:color="auto"/>
            </w:tcBorders>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8.</w:t>
            </w: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307,082</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307,082</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0.49%</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right="6580" w:hanging="1290"/>
        <w:spacing w:after="0" w:line="527" w:lineRule="auto"/>
        <w:tabs>
          <w:tab w:leader="none" w:pos="23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3380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4" w:name="page5"/>
    <w:bookmarkEnd w:id="4"/>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5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338060" cy="56489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338060" cy="5648960"/>
                    </a:xfrm>
                    <a:prstGeom prst="rect">
                      <a:avLst/>
                    </a:prstGeom>
                    <a:noFill/>
                  </pic:spPr>
                </pic:pic>
              </a:graphicData>
            </a:graphic>
          </wp:anchor>
        </w:drawing>
      </w:r>
    </w:p>
    <w:p>
      <w:pPr>
        <w:spacing w:after="0" w:line="313" w:lineRule="exact"/>
        <w:rPr>
          <w:sz w:val="20"/>
          <w:szCs w:val="20"/>
          <w:color w:val="auto"/>
        </w:rPr>
      </w:pPr>
    </w:p>
    <w:p>
      <w:pPr>
        <w:ind w:left="2380" w:hanging="1245"/>
        <w:spacing w:after="0"/>
        <w:tabs>
          <w:tab w:leader="none" w:pos="2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80" w:right="370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Partners,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Delaware</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5.</w:t>
            </w: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340" w:type="dxa"/>
            <w:vAlign w:val="bottom"/>
            <w:tcBorders>
              <w:bottom w:val="single" w:sz="8" w:color="auto"/>
              <w:right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300" w:type="dxa"/>
            <w:vAlign w:val="bottom"/>
            <w:vMerge w:val="continue"/>
          </w:tcPr>
          <w:p>
            <w:pPr>
              <w:spacing w:after="0"/>
              <w:rPr>
                <w:sz w:val="13"/>
                <w:szCs w:val="13"/>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6.</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340" w:type="dxa"/>
            <w:vAlign w:val="bottom"/>
            <w:tcBorders>
              <w:right w:val="single" w:sz="8" w:color="auto"/>
            </w:tcBorders>
            <w:vMerge w:val="continue"/>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2,655,840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340" w:type="dxa"/>
            <w:vAlign w:val="bottom"/>
            <w:tcBorders>
              <w:right w:val="single" w:sz="8" w:color="auto"/>
            </w:tcBorders>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7.</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40" w:type="dxa"/>
            <w:vAlign w:val="bottom"/>
            <w:tcBorders>
              <w:right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340" w:type="dxa"/>
            <w:vAlign w:val="bottom"/>
            <w:tcBorders>
              <w:right w:val="single" w:sz="8" w:color="auto"/>
            </w:tcBorders>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8.</w:t>
            </w: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2,655,840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2,655,840</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4.27%</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right="6580" w:hanging="1290"/>
        <w:spacing w:after="0" w:line="527" w:lineRule="auto"/>
        <w:tabs>
          <w:tab w:leader="none" w:pos="2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3380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5" w:name="page6"/>
    <w:bookmarkEnd w:id="5"/>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6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338060" cy="56489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38060" cy="5648960"/>
                    </a:xfrm>
                    <a:prstGeom prst="rect">
                      <a:avLst/>
                    </a:prstGeom>
                    <a:noFill/>
                  </pic:spPr>
                </pic:pic>
              </a:graphicData>
            </a:graphic>
          </wp:anchor>
        </w:drawing>
      </w:r>
    </w:p>
    <w:p>
      <w:pPr>
        <w:spacing w:after="0" w:line="313" w:lineRule="exact"/>
        <w:rPr>
          <w:sz w:val="20"/>
          <w:szCs w:val="20"/>
          <w:color w:val="auto"/>
        </w:rPr>
      </w:pPr>
    </w:p>
    <w:p>
      <w:pPr>
        <w:ind w:left="2380" w:hanging="1245"/>
        <w:spacing w:after="0"/>
        <w:tabs>
          <w:tab w:leader="none" w:pos="2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80" w:right="370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Deerfield International Master Fund, L.P.</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British Virgin Islands</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5.</w:t>
            </w: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340" w:type="dxa"/>
            <w:vAlign w:val="bottom"/>
            <w:tcBorders>
              <w:bottom w:val="single" w:sz="8" w:color="auto"/>
              <w:right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300" w:type="dxa"/>
            <w:vAlign w:val="bottom"/>
            <w:vMerge w:val="continue"/>
          </w:tcPr>
          <w:p>
            <w:pPr>
              <w:spacing w:after="0"/>
              <w:rPr>
                <w:sz w:val="13"/>
                <w:szCs w:val="13"/>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6.</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340" w:type="dxa"/>
            <w:vAlign w:val="bottom"/>
            <w:tcBorders>
              <w:right w:val="single" w:sz="8" w:color="auto"/>
            </w:tcBorders>
            <w:vMerge w:val="continue"/>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340" w:type="dxa"/>
            <w:vAlign w:val="bottom"/>
            <w:tcBorders>
              <w:right w:val="single" w:sz="8" w:color="auto"/>
            </w:tcBorders>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7.</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40" w:type="dxa"/>
            <w:vAlign w:val="bottom"/>
            <w:tcBorders>
              <w:right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340" w:type="dxa"/>
            <w:vAlign w:val="bottom"/>
            <w:tcBorders>
              <w:right w:val="single" w:sz="8" w:color="auto"/>
            </w:tcBorders>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8.</w:t>
            </w: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0</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0.00%</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right="6580" w:hanging="1290"/>
        <w:spacing w:after="0" w:line="527" w:lineRule="auto"/>
        <w:tabs>
          <w:tab w:leader="none" w:pos="2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3380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6" w:name="page7"/>
    <w:bookmarkEnd w:id="6"/>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7 of 11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338060" cy="56489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38060" cy="5648960"/>
                    </a:xfrm>
                    <a:prstGeom prst="rect">
                      <a:avLst/>
                    </a:prstGeom>
                    <a:noFill/>
                  </pic:spPr>
                </pic:pic>
              </a:graphicData>
            </a:graphic>
          </wp:anchor>
        </w:drawing>
      </w:r>
    </w:p>
    <w:p>
      <w:pPr>
        <w:spacing w:after="0" w:line="313" w:lineRule="exact"/>
        <w:rPr>
          <w:sz w:val="20"/>
          <w:szCs w:val="20"/>
          <w:color w:val="auto"/>
        </w:rPr>
      </w:pPr>
    </w:p>
    <w:p>
      <w:pPr>
        <w:ind w:left="2380" w:hanging="1245"/>
        <w:spacing w:after="0"/>
        <w:tabs>
          <w:tab w:leader="none" w:pos="2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23" w:lineRule="exact"/>
        <w:rPr>
          <w:rFonts w:ascii="Arial" w:cs="Arial" w:eastAsia="Arial" w:hAnsi="Arial"/>
          <w:sz w:val="18"/>
          <w:szCs w:val="18"/>
          <w:color w:val="auto"/>
        </w:rPr>
      </w:pPr>
    </w:p>
    <w:p>
      <w:pPr>
        <w:ind w:left="2380" w:right="3700"/>
        <w:spacing w:after="0" w:line="387" w:lineRule="auto"/>
        <w:rPr>
          <w:rFonts w:ascii="Arial" w:cs="Arial" w:eastAsia="Arial" w:hAnsi="Arial"/>
          <w:sz w:val="18"/>
          <w:szCs w:val="18"/>
          <w:color w:val="auto"/>
        </w:rPr>
      </w:pPr>
      <w:r>
        <w:rPr>
          <w:rFonts w:ascii="Arial" w:cs="Arial" w:eastAsia="Arial" w:hAnsi="Arial"/>
          <w:sz w:val="18"/>
          <w:szCs w:val="18"/>
          <w:color w:val="auto"/>
        </w:rPr>
        <w:t>I.R.S. IDENTIFICATION NO. OF ABOVE PERSONS (ENTITIES ONLY) James E. Flynn</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23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1360" w:type="dxa"/>
            <w:vAlign w:val="bottom"/>
          </w:tcPr>
          <w:p>
            <w:pPr>
              <w:ind w:left="6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23"/>
        </w:trPr>
        <w:tc>
          <w:tcPr>
            <w:tcW w:w="230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tcPr>
          <w:p>
            <w:pPr>
              <w:spacing w:after="0"/>
              <w:rPr>
                <w:sz w:val="19"/>
                <w:szCs w:val="19"/>
                <w:color w:val="auto"/>
              </w:rPr>
            </w:pPr>
          </w:p>
        </w:tc>
        <w:tc>
          <w:tcPr>
            <w:tcW w:w="54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2340" w:type="dxa"/>
            <w:vAlign w:val="bottom"/>
          </w:tcPr>
          <w:p>
            <w:pPr>
              <w:ind w:left="40"/>
              <w:spacing w:after="0"/>
              <w:rPr>
                <w:sz w:val="20"/>
                <w:szCs w:val="20"/>
                <w:color w:val="auto"/>
              </w:rPr>
            </w:pPr>
            <w:r>
              <w:rPr>
                <w:rFonts w:ascii="Arial" w:cs="Arial" w:eastAsia="Arial" w:hAnsi="Arial"/>
                <w:sz w:val="18"/>
                <w:szCs w:val="18"/>
                <w:color w:val="auto"/>
              </w:rPr>
              <w:t>SEC USE ONLY</w:t>
            </w:r>
          </w:p>
        </w:tc>
        <w:tc>
          <w:tcPr>
            <w:tcW w:w="54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0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gridSpan w:val="2"/>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CITIZENSHIP OR PLACE OF ORGANIZATION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5.</w:t>
            </w:r>
          </w:p>
        </w:tc>
        <w:tc>
          <w:tcPr>
            <w:tcW w:w="548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30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340" w:type="dxa"/>
            <w:vAlign w:val="bottom"/>
            <w:tcBorders>
              <w:bottom w:val="single" w:sz="8" w:color="auto"/>
              <w:right w:val="single" w:sz="8" w:color="auto"/>
            </w:tcBorders>
          </w:tcPr>
          <w:p>
            <w:pPr>
              <w:spacing w:after="0"/>
              <w:rPr>
                <w:sz w:val="3"/>
                <w:szCs w:val="3"/>
                <w:color w:val="auto"/>
              </w:rPr>
            </w:pPr>
          </w:p>
        </w:tc>
        <w:tc>
          <w:tcPr>
            <w:tcW w:w="54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300" w:type="dxa"/>
            <w:vAlign w:val="bottom"/>
            <w:vMerge w:val="continue"/>
          </w:tcPr>
          <w:p>
            <w:pPr>
              <w:spacing w:after="0"/>
              <w:rPr>
                <w:sz w:val="13"/>
                <w:szCs w:val="13"/>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6.</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rPr>
              <w:t>BENEFICIALLY</w:t>
            </w:r>
          </w:p>
        </w:tc>
        <w:tc>
          <w:tcPr>
            <w:tcW w:w="2340" w:type="dxa"/>
            <w:vAlign w:val="bottom"/>
            <w:tcBorders>
              <w:right w:val="single" w:sz="8" w:color="auto"/>
            </w:tcBorders>
            <w:vMerge w:val="continue"/>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2300" w:type="dxa"/>
            <w:vAlign w:val="bottom"/>
            <w:vMerge w:val="continue"/>
          </w:tcPr>
          <w:p>
            <w:pPr>
              <w:spacing w:after="0"/>
              <w:rPr>
                <w:sz w:val="11"/>
                <w:szCs w:val="11"/>
                <w:color w:val="auto"/>
              </w:rPr>
            </w:pPr>
          </w:p>
        </w:tc>
        <w:tc>
          <w:tcPr>
            <w:tcW w:w="2340" w:type="dxa"/>
            <w:vAlign w:val="bottom"/>
            <w:tcBorders>
              <w:right w:val="single" w:sz="8" w:color="auto"/>
            </w:tcBorders>
          </w:tcPr>
          <w:p>
            <w:pPr>
              <w:spacing w:after="0"/>
              <w:rPr>
                <w:sz w:val="11"/>
                <w:szCs w:val="11"/>
                <w:color w:val="auto"/>
              </w:rPr>
            </w:pPr>
          </w:p>
        </w:tc>
        <w:tc>
          <w:tcPr>
            <w:tcW w:w="548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2,962,922 (3)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5"/>
              </w:rPr>
              <w:t>EACH</w:t>
            </w:r>
          </w:p>
        </w:tc>
        <w:tc>
          <w:tcPr>
            <w:tcW w:w="2340" w:type="dxa"/>
            <w:vAlign w:val="bottom"/>
            <w:tcBorders>
              <w:right w:val="single" w:sz="8" w:color="auto"/>
            </w:tcBorders>
          </w:tcPr>
          <w:p>
            <w:pPr>
              <w:spacing w:after="0"/>
              <w:rPr>
                <w:sz w:val="7"/>
                <w:szCs w:val="7"/>
                <w:color w:val="auto"/>
              </w:rPr>
            </w:pPr>
          </w:p>
        </w:tc>
        <w:tc>
          <w:tcPr>
            <w:tcW w:w="5480" w:type="dxa"/>
            <w:vAlign w:val="bottom"/>
            <w:vMerge w:val="continue"/>
          </w:tcPr>
          <w:p>
            <w:pPr>
              <w:spacing w:after="0"/>
              <w:rPr>
                <w:sz w:val="7"/>
                <w:szCs w:val="7"/>
                <w:color w:val="auto"/>
              </w:rPr>
            </w:pP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2300" w:type="dxa"/>
            <w:vAlign w:val="bottom"/>
            <w:vMerge w:val="continue"/>
          </w:tcPr>
          <w:p>
            <w:pPr>
              <w:spacing w:after="0"/>
              <w:rPr>
                <w:sz w:val="7"/>
                <w:szCs w:val="7"/>
                <w:color w:val="auto"/>
              </w:rPr>
            </w:pPr>
          </w:p>
        </w:tc>
        <w:tc>
          <w:tcPr>
            <w:tcW w:w="2340" w:type="dxa"/>
            <w:vAlign w:val="bottom"/>
            <w:tcBorders>
              <w:right w:val="single" w:sz="8" w:color="auto"/>
            </w:tcBorders>
            <w:vMerge w:val="restart"/>
          </w:tcPr>
          <w:p>
            <w:pPr>
              <w:ind w:left="1100"/>
              <w:spacing w:after="0"/>
              <w:rPr>
                <w:sz w:val="20"/>
                <w:szCs w:val="20"/>
                <w:color w:val="auto"/>
              </w:rPr>
            </w:pPr>
            <w:r>
              <w:rPr>
                <w:rFonts w:ascii="Arial" w:cs="Arial" w:eastAsia="Arial" w:hAnsi="Arial"/>
                <w:sz w:val="18"/>
                <w:szCs w:val="18"/>
                <w:color w:val="auto"/>
              </w:rPr>
              <w:t>7.</w:t>
            </w: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13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340" w:type="dxa"/>
            <w:vAlign w:val="bottom"/>
            <w:tcBorders>
              <w:right w:val="single" w:sz="8" w:color="auto"/>
            </w:tcBorders>
            <w:vMerge w:val="continue"/>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300" w:type="dxa"/>
            <w:vAlign w:val="bottom"/>
            <w:vMerge w:val="continue"/>
          </w:tcPr>
          <w:p>
            <w:pPr>
              <w:spacing w:after="0"/>
              <w:rPr>
                <w:sz w:val="5"/>
                <w:szCs w:val="5"/>
                <w:color w:val="auto"/>
              </w:rPr>
            </w:pPr>
          </w:p>
        </w:tc>
        <w:tc>
          <w:tcPr>
            <w:tcW w:w="2340" w:type="dxa"/>
            <w:vAlign w:val="bottom"/>
            <w:tcBorders>
              <w:right w:val="single" w:sz="8" w:color="auto"/>
            </w:tcBorders>
          </w:tcPr>
          <w:p>
            <w:pPr>
              <w:spacing w:after="0"/>
              <w:rPr>
                <w:sz w:val="5"/>
                <w:szCs w:val="5"/>
                <w:color w:val="auto"/>
              </w:rPr>
            </w:pPr>
          </w:p>
        </w:tc>
        <w:tc>
          <w:tcPr>
            <w:tcW w:w="54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300" w:type="dxa"/>
            <w:vAlign w:val="bottom"/>
          </w:tcPr>
          <w:p>
            <w:pPr>
              <w:jc w:val="center"/>
              <w:spacing w:after="0"/>
              <w:rPr>
                <w:sz w:val="20"/>
                <w:szCs w:val="20"/>
                <w:color w:val="auto"/>
              </w:rPr>
            </w:pPr>
            <w:r>
              <w:rPr>
                <w:rFonts w:ascii="Arial" w:cs="Arial" w:eastAsia="Arial" w:hAnsi="Arial"/>
                <w:sz w:val="18"/>
                <w:szCs w:val="18"/>
                <w:color w:val="auto"/>
                <w:w w:val="89"/>
              </w:rPr>
              <w:t>PERSON</w:t>
            </w:r>
          </w:p>
        </w:tc>
        <w:tc>
          <w:tcPr>
            <w:tcW w:w="2340" w:type="dxa"/>
            <w:vAlign w:val="bottom"/>
            <w:tcBorders>
              <w:right w:val="single" w:sz="8" w:color="auto"/>
            </w:tcBorders>
          </w:tcPr>
          <w:p>
            <w:pPr>
              <w:spacing w:after="0"/>
              <w:rPr>
                <w:sz w:val="18"/>
                <w:szCs w:val="18"/>
                <w:color w:val="auto"/>
              </w:rPr>
            </w:pPr>
          </w:p>
        </w:tc>
        <w:tc>
          <w:tcPr>
            <w:tcW w:w="5480" w:type="dxa"/>
            <w:vAlign w:val="bottom"/>
            <w:vMerge w:val="restart"/>
          </w:tcPr>
          <w:p>
            <w:pPr>
              <w:ind w:left="20"/>
              <w:spacing w:after="0"/>
              <w:rPr>
                <w:sz w:val="20"/>
                <w:szCs w:val="20"/>
                <w:color w:val="auto"/>
              </w:rPr>
            </w:pPr>
            <w:r>
              <w:rPr>
                <w:rFonts w:ascii="Arial" w:cs="Arial" w:eastAsia="Arial" w:hAnsi="Arial"/>
                <w:sz w:val="18"/>
                <w:szCs w:val="18"/>
                <w:color w:val="auto"/>
              </w:rPr>
              <w:t>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300" w:type="dxa"/>
            <w:vAlign w:val="bottom"/>
            <w:vMerge w:val="restart"/>
          </w:tcPr>
          <w:p>
            <w:pPr>
              <w:jc w:val="center"/>
              <w:spacing w:after="0" w:line="157" w:lineRule="exact"/>
              <w:rPr>
                <w:sz w:val="20"/>
                <w:szCs w:val="20"/>
                <w:color w:val="auto"/>
              </w:rPr>
            </w:pPr>
            <w:r>
              <w:rPr>
                <w:rFonts w:ascii="Arial" w:cs="Arial" w:eastAsia="Arial" w:hAnsi="Arial"/>
                <w:sz w:val="18"/>
                <w:szCs w:val="18"/>
                <w:color w:val="auto"/>
              </w:rPr>
              <w:t>WITH</w:t>
            </w:r>
          </w:p>
        </w:tc>
        <w:tc>
          <w:tcPr>
            <w:tcW w:w="2340" w:type="dxa"/>
            <w:vAlign w:val="bottom"/>
            <w:tcBorders>
              <w:right w:val="single" w:sz="8" w:color="auto"/>
            </w:tcBorders>
          </w:tcPr>
          <w:p>
            <w:pPr>
              <w:spacing w:after="0"/>
              <w:rPr>
                <w:sz w:val="12"/>
                <w:szCs w:val="12"/>
                <w:color w:val="auto"/>
              </w:rPr>
            </w:pPr>
          </w:p>
        </w:tc>
        <w:tc>
          <w:tcPr>
            <w:tcW w:w="5480" w:type="dxa"/>
            <w:vAlign w:val="bottom"/>
            <w:vMerge w:val="continue"/>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00" w:type="dxa"/>
            <w:vAlign w:val="bottom"/>
            <w:vMerge w:val="continue"/>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spacing w:after="0"/>
              <w:rPr>
                <w:sz w:val="20"/>
                <w:szCs w:val="20"/>
                <w:color w:val="auto"/>
              </w:rPr>
            </w:pPr>
          </w:p>
        </w:tc>
        <w:tc>
          <w:tcPr>
            <w:tcW w:w="2340" w:type="dxa"/>
            <w:vAlign w:val="bottom"/>
            <w:tcBorders>
              <w:right w:val="single" w:sz="8" w:color="auto"/>
            </w:tcBorders>
          </w:tcPr>
          <w:p>
            <w:pPr>
              <w:ind w:left="1100"/>
              <w:spacing w:after="0"/>
              <w:rPr>
                <w:sz w:val="20"/>
                <w:szCs w:val="20"/>
                <w:color w:val="auto"/>
              </w:rPr>
            </w:pPr>
            <w:r>
              <w:rPr>
                <w:rFonts w:ascii="Arial" w:cs="Arial" w:eastAsia="Arial" w:hAnsi="Arial"/>
                <w:sz w:val="18"/>
                <w:szCs w:val="18"/>
                <w:color w:val="auto"/>
              </w:rPr>
              <w:t>8.</w:t>
            </w:r>
          </w:p>
        </w:tc>
        <w:tc>
          <w:tcPr>
            <w:tcW w:w="548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Borders>
              <w:right w:val="single" w:sz="8" w:color="auto"/>
            </w:tcBorders>
          </w:tcPr>
          <w:p>
            <w:pPr>
              <w:spacing w:after="0"/>
              <w:rPr>
                <w:sz w:val="24"/>
                <w:szCs w:val="24"/>
                <w:color w:val="auto"/>
              </w:rPr>
            </w:pPr>
          </w:p>
        </w:tc>
        <w:tc>
          <w:tcPr>
            <w:tcW w:w="5480" w:type="dxa"/>
            <w:vAlign w:val="bottom"/>
          </w:tcPr>
          <w:p>
            <w:pPr>
              <w:ind w:left="20"/>
              <w:spacing w:after="0"/>
              <w:rPr>
                <w:sz w:val="20"/>
                <w:szCs w:val="20"/>
                <w:color w:val="auto"/>
              </w:rPr>
            </w:pPr>
            <w:r>
              <w:rPr>
                <w:rFonts w:ascii="Arial" w:cs="Arial" w:eastAsia="Arial" w:hAnsi="Arial"/>
                <w:sz w:val="18"/>
                <w:szCs w:val="18"/>
                <w:color w:val="auto"/>
              </w:rPr>
              <w:t>2,962,922 (3)</w:t>
            </w: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right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92"/>
              </w:rPr>
              <w:t>9.</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2,962,922 (3)</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54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6"/>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10.</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36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19"/>
        </w:trPr>
        <w:tc>
          <w:tcPr>
            <w:tcW w:w="23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0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7820" w:type="dxa"/>
            <w:vAlign w:val="bottom"/>
            <w:gridSpan w:val="2"/>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tcPr>
          <w:p>
            <w:pPr>
              <w:spacing w:after="0"/>
              <w:rPr>
                <w:sz w:val="24"/>
                <w:szCs w:val="24"/>
                <w:color w:val="auto"/>
              </w:rPr>
            </w:pPr>
          </w:p>
        </w:tc>
        <w:tc>
          <w:tcPr>
            <w:tcW w:w="2340" w:type="dxa"/>
            <w:vAlign w:val="bottom"/>
          </w:tcPr>
          <w:p>
            <w:pPr>
              <w:ind w:left="40"/>
              <w:spacing w:after="0"/>
              <w:rPr>
                <w:sz w:val="20"/>
                <w:szCs w:val="20"/>
                <w:color w:val="auto"/>
              </w:rPr>
            </w:pPr>
            <w:r>
              <w:rPr>
                <w:rFonts w:ascii="Arial" w:cs="Arial" w:eastAsia="Arial" w:hAnsi="Arial"/>
                <w:sz w:val="18"/>
                <w:szCs w:val="18"/>
                <w:color w:val="auto"/>
              </w:rPr>
              <w:t>4.77%</w:t>
            </w:r>
          </w:p>
        </w:tc>
        <w:tc>
          <w:tcPr>
            <w:tcW w:w="54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2380" w:hanging="1290"/>
        <w:spacing w:after="0"/>
        <w:tabs>
          <w:tab w:leader="none" w:pos="23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IN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 Comprised of shares of common stock held by Deerfield Partners, L.P. and Deerfield Special Situations Fund,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3380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CUSIP No.</w:t>
            </w:r>
          </w:p>
        </w:tc>
        <w:tc>
          <w:tcPr>
            <w:tcW w:w="4520" w:type="dxa"/>
            <w:vAlign w:val="bottom"/>
          </w:tcPr>
          <w:p>
            <w:pPr>
              <w:ind w:left="280"/>
              <w:spacing w:after="0"/>
              <w:rPr>
                <w:sz w:val="20"/>
                <w:szCs w:val="20"/>
                <w:color w:val="auto"/>
              </w:rPr>
            </w:pPr>
            <w:r>
              <w:rPr>
                <w:rFonts w:ascii="Arial" w:cs="Arial" w:eastAsia="Arial" w:hAnsi="Arial"/>
                <w:sz w:val="18"/>
                <w:szCs w:val="18"/>
                <w:color w:val="auto"/>
              </w:rPr>
              <w:t>039697107</w:t>
            </w:r>
          </w:p>
        </w:tc>
        <w:tc>
          <w:tcPr>
            <w:tcW w:w="4080" w:type="dxa"/>
            <w:vAlign w:val="bottom"/>
          </w:tcPr>
          <w:p>
            <w:pPr>
              <w:ind w:left="160"/>
              <w:spacing w:after="0"/>
              <w:rPr>
                <w:sz w:val="20"/>
                <w:szCs w:val="20"/>
                <w:color w:val="auto"/>
              </w:rPr>
            </w:pPr>
            <w:r>
              <w:rPr>
                <w:rFonts w:ascii="Arial" w:cs="Arial" w:eastAsia="Arial" w:hAnsi="Arial"/>
                <w:sz w:val="18"/>
                <w:szCs w:val="18"/>
                <w:color w:val="auto"/>
              </w:rPr>
              <w:t>13G</w:t>
            </w:r>
          </w:p>
        </w:tc>
        <w:tc>
          <w:tcPr>
            <w:tcW w:w="2020" w:type="dxa"/>
            <w:vAlign w:val="bottom"/>
          </w:tcPr>
          <w:p>
            <w:pPr>
              <w:ind w:left="660"/>
              <w:spacing w:after="0"/>
              <w:rPr>
                <w:sz w:val="20"/>
                <w:szCs w:val="20"/>
                <w:color w:val="auto"/>
              </w:rPr>
            </w:pPr>
            <w:r>
              <w:rPr>
                <w:rFonts w:ascii="Arial" w:cs="Arial" w:eastAsia="Arial" w:hAnsi="Arial"/>
                <w:sz w:val="18"/>
                <w:szCs w:val="18"/>
                <w:color w:val="auto"/>
                <w:w w:val="84"/>
              </w:rPr>
              <w:t>Page 8 of 11 Pages</w:t>
            </w: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4520" w:type="dxa"/>
            <w:vAlign w:val="bottom"/>
          </w:tcPr>
          <w:p>
            <w:pPr>
              <w:spacing w:after="0"/>
              <w:rPr>
                <w:sz w:val="20"/>
                <w:szCs w:val="20"/>
                <w:color w:val="auto"/>
              </w:rPr>
            </w:pPr>
            <w:r>
              <w:rPr>
                <w:rFonts w:ascii="Arial" w:cs="Arial" w:eastAsia="Arial" w:hAnsi="Arial"/>
                <w:sz w:val="18"/>
                <w:szCs w:val="18"/>
                <w:color w:val="auto"/>
              </w:rPr>
              <w:t>Name of Issuer:</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Ardelyx, Inc.</w:t>
            </w:r>
          </w:p>
        </w:tc>
        <w:tc>
          <w:tcPr>
            <w:tcW w:w="4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4520" w:type="dxa"/>
            <w:vAlign w:val="bottom"/>
          </w:tcPr>
          <w:p>
            <w:pPr>
              <w:spacing w:after="0"/>
              <w:rPr>
                <w:sz w:val="20"/>
                <w:szCs w:val="20"/>
                <w:color w:val="auto"/>
              </w:rPr>
            </w:pPr>
            <w:r>
              <w:rPr>
                <w:rFonts w:ascii="Arial" w:cs="Arial" w:eastAsia="Arial" w:hAnsi="Arial"/>
                <w:sz w:val="18"/>
                <w:szCs w:val="18"/>
                <w:color w:val="auto"/>
              </w:rPr>
              <w:t>Address of Issuer's Principal Executive Offices:</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34175 Ardenwood Boulevard, Suite 200</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37"/>
        </w:trPr>
        <w:tc>
          <w:tcPr>
            <w:tcW w:w="9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Fremont, CA 94555</w:t>
            </w:r>
          </w:p>
        </w:tc>
        <w:tc>
          <w:tcPr>
            <w:tcW w:w="40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2(a).</w:t>
            </w:r>
          </w:p>
        </w:tc>
        <w:tc>
          <w:tcPr>
            <w:tcW w:w="4520" w:type="dxa"/>
            <w:vAlign w:val="bottom"/>
          </w:tcPr>
          <w:p>
            <w:pPr>
              <w:spacing w:after="0"/>
              <w:rPr>
                <w:sz w:val="20"/>
                <w:szCs w:val="20"/>
                <w:color w:val="auto"/>
              </w:rPr>
            </w:pPr>
            <w:r>
              <w:rPr>
                <w:rFonts w:ascii="Arial" w:cs="Arial" w:eastAsia="Arial" w:hAnsi="Arial"/>
                <w:sz w:val="18"/>
                <w:szCs w:val="18"/>
                <w:color w:val="auto"/>
              </w:rPr>
              <w:t>Name of Person Filing:</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10620" w:type="dxa"/>
            <w:vAlign w:val="bottom"/>
            <w:gridSpan w:val="3"/>
          </w:tcPr>
          <w:p>
            <w:pPr>
              <w:spacing w:after="0"/>
              <w:rPr>
                <w:sz w:val="20"/>
                <w:szCs w:val="20"/>
                <w:color w:val="auto"/>
              </w:rPr>
            </w:pPr>
            <w:r>
              <w:rPr>
                <w:rFonts w:ascii="Arial" w:cs="Arial" w:eastAsia="Arial" w:hAnsi="Arial"/>
                <w:sz w:val="18"/>
                <w:szCs w:val="18"/>
                <w:color w:val="auto"/>
                <w:w w:val="91"/>
              </w:rPr>
              <w:t>James E. Flynn, Deerfield Mgmt, L.P., Deerfield Management Company, L.P., Deerfield Special Situations Fund, L.P., Deerfield Partners, L.P. and</w:t>
            </w:r>
          </w:p>
        </w:tc>
      </w:tr>
      <w:tr>
        <w:trPr>
          <w:trHeight w:val="237"/>
        </w:trPr>
        <w:tc>
          <w:tcPr>
            <w:tcW w:w="940" w:type="dxa"/>
            <w:vAlign w:val="bottom"/>
          </w:tcPr>
          <w:p>
            <w:pPr>
              <w:spacing w:after="0"/>
              <w:rPr>
                <w:sz w:val="20"/>
                <w:szCs w:val="20"/>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Deerfield International Master Fund, L.P.</w:t>
            </w:r>
          </w:p>
        </w:tc>
        <w:tc>
          <w:tcPr>
            <w:tcW w:w="408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2(b).</w:t>
            </w:r>
          </w:p>
        </w:tc>
        <w:tc>
          <w:tcPr>
            <w:tcW w:w="4520" w:type="dxa"/>
            <w:vAlign w:val="bottom"/>
          </w:tcPr>
          <w:p>
            <w:pPr>
              <w:spacing w:after="0"/>
              <w:rPr>
                <w:sz w:val="20"/>
                <w:szCs w:val="20"/>
                <w:color w:val="auto"/>
              </w:rPr>
            </w:pPr>
            <w:r>
              <w:rPr>
                <w:rFonts w:ascii="Arial" w:cs="Arial" w:eastAsia="Arial" w:hAnsi="Arial"/>
                <w:sz w:val="18"/>
                <w:szCs w:val="18"/>
                <w:color w:val="auto"/>
                <w:w w:val="94"/>
              </w:rPr>
              <w:t>Address of Principal Business Office, or if None, Residence:</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10620" w:type="dxa"/>
            <w:vAlign w:val="bottom"/>
            <w:gridSpan w:val="3"/>
          </w:tcPr>
          <w:p>
            <w:pPr>
              <w:spacing w:after="0"/>
              <w:rPr>
                <w:sz w:val="20"/>
                <w:szCs w:val="20"/>
                <w:color w:val="auto"/>
              </w:rPr>
            </w:pPr>
            <w:r>
              <w:rPr>
                <w:rFonts w:ascii="Arial" w:cs="Arial" w:eastAsia="Arial" w:hAnsi="Arial"/>
                <w:sz w:val="18"/>
                <w:szCs w:val="18"/>
                <w:color w:val="auto"/>
                <w:w w:val="90"/>
              </w:rPr>
              <w:t>James E. Flynn, Deerfield Mgmt, L.P., Deerfield Management Company, L.P., Deerfield Special Situations Fund, L.P., Deerfield Partners, L.P., and</w:t>
            </w:r>
          </w:p>
        </w:tc>
      </w:tr>
      <w:tr>
        <w:trPr>
          <w:trHeight w:val="237"/>
        </w:trPr>
        <w:tc>
          <w:tcPr>
            <w:tcW w:w="940" w:type="dxa"/>
            <w:vAlign w:val="bottom"/>
          </w:tcPr>
          <w:p>
            <w:pPr>
              <w:spacing w:after="0"/>
              <w:rPr>
                <w:sz w:val="20"/>
                <w:szCs w:val="20"/>
                <w:color w:val="auto"/>
              </w:rPr>
            </w:pPr>
          </w:p>
        </w:tc>
        <w:tc>
          <w:tcPr>
            <w:tcW w:w="8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Deerfield International Master Fund, L.P., 780 Third Avenue, 37th Floor, New York, NY 10017</w:t>
            </w:r>
          </w:p>
        </w:tc>
        <w:tc>
          <w:tcPr>
            <w:tcW w:w="2020" w:type="dxa"/>
            <w:vAlign w:val="bottom"/>
            <w:tcBorders>
              <w:bottom w:val="single" w:sz="8" w:color="auto"/>
            </w:tcBorders>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2(c).</w:t>
            </w:r>
          </w:p>
        </w:tc>
        <w:tc>
          <w:tcPr>
            <w:tcW w:w="4520" w:type="dxa"/>
            <w:vAlign w:val="bottom"/>
          </w:tcPr>
          <w:p>
            <w:pPr>
              <w:spacing w:after="0"/>
              <w:rPr>
                <w:sz w:val="20"/>
                <w:szCs w:val="20"/>
                <w:color w:val="auto"/>
              </w:rPr>
            </w:pPr>
            <w:r>
              <w:rPr>
                <w:rFonts w:ascii="Arial" w:cs="Arial" w:eastAsia="Arial" w:hAnsi="Arial"/>
                <w:sz w:val="18"/>
                <w:szCs w:val="18"/>
                <w:color w:val="auto"/>
              </w:rPr>
              <w:t>Citizenship:</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18"/>
        </w:trPr>
        <w:tc>
          <w:tcPr>
            <w:tcW w:w="940" w:type="dxa"/>
            <w:vAlign w:val="bottom"/>
          </w:tcPr>
          <w:p>
            <w:pPr>
              <w:spacing w:after="0"/>
              <w:rPr>
                <w:sz w:val="24"/>
                <w:szCs w:val="24"/>
                <w:color w:val="auto"/>
              </w:rPr>
            </w:pPr>
          </w:p>
        </w:tc>
        <w:tc>
          <w:tcPr>
            <w:tcW w:w="10620" w:type="dxa"/>
            <w:vAlign w:val="bottom"/>
            <w:gridSpan w:val="3"/>
          </w:tcPr>
          <w:p>
            <w:pPr>
              <w:spacing w:after="0"/>
              <w:rPr>
                <w:sz w:val="20"/>
                <w:szCs w:val="20"/>
                <w:color w:val="auto"/>
              </w:rPr>
            </w:pPr>
            <w:r>
              <w:rPr>
                <w:rFonts w:ascii="Arial" w:cs="Arial" w:eastAsia="Arial" w:hAnsi="Arial"/>
                <w:sz w:val="18"/>
                <w:szCs w:val="18"/>
                <w:color w:val="auto"/>
                <w:w w:val="94"/>
              </w:rPr>
              <w:t>Deerfield Mgmt, L.P., Deerfield Management Company, L.P., Deerfield Special Situations Fund, L.P., and Deerfield Partners, L.P. - Delaware</w:t>
            </w:r>
          </w:p>
        </w:tc>
      </w:tr>
      <w:tr>
        <w:trPr>
          <w:trHeight w:val="230"/>
        </w:trPr>
        <w:tc>
          <w:tcPr>
            <w:tcW w:w="94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limited partnerships;</w:t>
            </w:r>
          </w:p>
        </w:tc>
        <w:tc>
          <w:tcPr>
            <w:tcW w:w="408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8600" w:type="dxa"/>
            <w:vAlign w:val="bottom"/>
            <w:gridSpan w:val="2"/>
          </w:tcPr>
          <w:p>
            <w:pPr>
              <w:spacing w:after="0"/>
              <w:rPr>
                <w:sz w:val="20"/>
                <w:szCs w:val="20"/>
                <w:color w:val="auto"/>
              </w:rPr>
            </w:pPr>
            <w:r>
              <w:rPr>
                <w:rFonts w:ascii="Arial" w:cs="Arial" w:eastAsia="Arial" w:hAnsi="Arial"/>
                <w:sz w:val="18"/>
                <w:szCs w:val="18"/>
                <w:color w:val="auto"/>
              </w:rPr>
              <w:t>Deerfield International Master Fund, L.P. - British Virgin Islands limited partnership;</w:t>
            </w: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United States citizen</w:t>
            </w:r>
          </w:p>
        </w:tc>
        <w:tc>
          <w:tcPr>
            <w:tcW w:w="4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2(d).</w:t>
            </w:r>
          </w:p>
        </w:tc>
        <w:tc>
          <w:tcPr>
            <w:tcW w:w="4520" w:type="dxa"/>
            <w:vAlign w:val="bottom"/>
          </w:tcPr>
          <w:p>
            <w:pPr>
              <w:spacing w:after="0"/>
              <w:rPr>
                <w:sz w:val="20"/>
                <w:szCs w:val="20"/>
                <w:color w:val="auto"/>
              </w:rPr>
            </w:pPr>
            <w:r>
              <w:rPr>
                <w:rFonts w:ascii="Arial" w:cs="Arial" w:eastAsia="Arial" w:hAnsi="Arial"/>
                <w:sz w:val="18"/>
                <w:szCs w:val="18"/>
                <w:color w:val="auto"/>
              </w:rPr>
              <w:t>Title of Class of Securities:</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w:t>
            </w:r>
          </w:p>
        </w:tc>
        <w:tc>
          <w:tcPr>
            <w:tcW w:w="4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2(e).</w:t>
            </w:r>
          </w:p>
        </w:tc>
        <w:tc>
          <w:tcPr>
            <w:tcW w:w="4520" w:type="dxa"/>
            <w:vAlign w:val="bottom"/>
          </w:tcPr>
          <w:p>
            <w:pPr>
              <w:spacing w:after="0"/>
              <w:rPr>
                <w:sz w:val="20"/>
                <w:szCs w:val="20"/>
                <w:color w:val="auto"/>
              </w:rPr>
            </w:pPr>
            <w:r>
              <w:rPr>
                <w:rFonts w:ascii="Arial" w:cs="Arial" w:eastAsia="Arial" w:hAnsi="Arial"/>
                <w:sz w:val="18"/>
                <w:szCs w:val="18"/>
                <w:color w:val="auto"/>
              </w:rPr>
              <w:t>CUSIP Number:</w:t>
            </w:r>
          </w:p>
        </w:tc>
        <w:tc>
          <w:tcPr>
            <w:tcW w:w="408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439"/>
        </w:trPr>
        <w:tc>
          <w:tcPr>
            <w:tcW w:w="940" w:type="dxa"/>
            <w:vAlign w:val="bottom"/>
          </w:tcPr>
          <w:p>
            <w:pPr>
              <w:spacing w:after="0"/>
              <w:rPr>
                <w:sz w:val="24"/>
                <w:szCs w:val="24"/>
                <w:color w:val="auto"/>
              </w:rPr>
            </w:pP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039697107</w:t>
            </w:r>
          </w:p>
        </w:tc>
        <w:tc>
          <w:tcPr>
            <w:tcW w:w="408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8600" w:type="dxa"/>
            <w:vAlign w:val="bottom"/>
            <w:gridSpan w:val="2"/>
          </w:tcPr>
          <w:p>
            <w:pPr>
              <w:spacing w:after="0"/>
              <w:rPr>
                <w:sz w:val="20"/>
                <w:szCs w:val="20"/>
                <w:color w:val="auto"/>
              </w:rPr>
            </w:pPr>
            <w:r>
              <w:rPr>
                <w:rFonts w:ascii="Arial" w:cs="Arial" w:eastAsia="Arial" w:hAnsi="Arial"/>
                <w:sz w:val="18"/>
                <w:szCs w:val="18"/>
                <w:color w:val="auto"/>
                <w:w w:val="98"/>
              </w:rPr>
              <w:t>If This Statement is Filed Pursuant to Rule 13d-1(b), or 13d-2(b) or (c), Check Whether the Person Filing is a:</w:t>
            </w:r>
          </w:p>
        </w:tc>
        <w:tc>
          <w:tcPr>
            <w:tcW w:w="2020" w:type="dxa"/>
            <w:vAlign w:val="bottom"/>
          </w:tcPr>
          <w:p>
            <w:pPr>
              <w:spacing w:after="0"/>
              <w:rPr>
                <w:sz w:val="24"/>
                <w:szCs w:val="24"/>
                <w:color w:val="auto"/>
              </w:rPr>
            </w:pPr>
          </w:p>
        </w:tc>
      </w:tr>
    </w:tbl>
    <w:p>
      <w:pPr>
        <w:spacing w:after="0" w:line="169" w:lineRule="exact"/>
        <w:rPr>
          <w:sz w:val="20"/>
          <w:szCs w:val="20"/>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Exchange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1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3380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8" w:name="page9"/>
    <w:bookmarkEnd w:id="8"/>
    <w:p>
      <w:pPr>
        <w:spacing w:after="0"/>
        <w:tabs>
          <w:tab w:leader="none" w:pos="1200" w:val="left"/>
          <w:tab w:leader="none" w:pos="5600" w:val="left"/>
          <w:tab w:leader="none" w:pos="1018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9 of 11 Pages</w:t>
      </w:r>
    </w:p>
    <w:p>
      <w:pPr>
        <w:spacing w:after="0" w:line="200" w:lineRule="exact"/>
        <w:rPr>
          <w:sz w:val="20"/>
          <w:szCs w:val="20"/>
          <w:color w:val="auto"/>
        </w:rPr>
      </w:pPr>
    </w:p>
    <w:p>
      <w:pPr>
        <w:spacing w:after="0" w:line="235" w:lineRule="exact"/>
        <w:rPr>
          <w:sz w:val="20"/>
          <w:szCs w:val="20"/>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w:t>
      </w:r>
    </w:p>
    <w:p>
      <w:pPr>
        <w:spacing w:after="0" w:line="225" w:lineRule="exact"/>
        <w:rPr>
          <w:rFonts w:ascii="Arial" w:cs="Arial" w:eastAsia="Arial" w:hAnsi="Arial"/>
          <w:sz w:val="18"/>
          <w:szCs w:val="18"/>
          <w:color w:val="auto"/>
        </w:rPr>
      </w:pPr>
    </w:p>
    <w:p>
      <w:pPr>
        <w:ind w:left="1080" w:hanging="676"/>
        <w:spacing w:after="0" w:line="196" w:lineRule="exact"/>
        <w:tabs>
          <w:tab w:leader="none" w:pos="1080" w:val="left"/>
        </w:tabs>
        <w:numPr>
          <w:ilvl w:val="0"/>
          <w:numId w:val="20"/>
        </w:numPr>
        <w:rPr>
          <w:rFonts w:ascii="Arial" w:cs="Arial" w:eastAsia="Arial" w:hAnsi="Arial"/>
          <w:sz w:val="17"/>
          <w:szCs w:val="17"/>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A church plan that is excluded from the definition of an investment company under Section 3(c)(14) of the Investment Company Act;</w:t>
      </w:r>
    </w:p>
    <w:p>
      <w:pPr>
        <w:spacing w:after="0" w:line="236" w:lineRule="exact"/>
        <w:rPr>
          <w:rFonts w:ascii="Arial" w:cs="Arial" w:eastAsia="Arial" w:hAnsi="Arial"/>
          <w:sz w:val="17"/>
          <w:szCs w:val="17"/>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13d-1(b)(1)(ii)(J);</w:t>
      </w:r>
    </w:p>
    <w:p>
      <w:pPr>
        <w:spacing w:after="0" w:line="225" w:lineRule="exact"/>
        <w:rPr>
          <w:rFonts w:ascii="Arial" w:cs="Arial" w:eastAsia="Arial" w:hAnsi="Arial"/>
          <w:sz w:val="18"/>
          <w:szCs w:val="18"/>
          <w:color w:val="auto"/>
        </w:rPr>
      </w:pPr>
    </w:p>
    <w:p>
      <w:pPr>
        <w:ind w:left="1080" w:hanging="676"/>
        <w:spacing w:after="0" w:line="207" w:lineRule="exact"/>
        <w:tabs>
          <w:tab w:leader="none" w:pos="1080" w:val="left"/>
        </w:tabs>
        <w:numPr>
          <w:ilvl w:val="0"/>
          <w:numId w:val="2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filing as a non-U.S. institution in accordance with Rule 13d-1(b)(1)(ii)(J), please specify the type of institution: _________________</w:t>
      </w:r>
    </w:p>
    <w:p>
      <w:pPr>
        <w:spacing w:after="0" w:line="225"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color w:val="auto"/>
        </w:rPr>
        <w:t>Ownership.</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25" w:lineRule="exact"/>
        <w:rPr>
          <w:sz w:val="20"/>
          <w:szCs w:val="20"/>
          <w:color w:val="auto"/>
        </w:rPr>
      </w:pPr>
    </w:p>
    <w:p>
      <w:pPr>
        <w:ind w:left="940" w:hanging="536"/>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25"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Deerfield Mgmt, L.P. - 2,962,922 shares</w:t>
      </w:r>
    </w:p>
    <w:p>
      <w:pPr>
        <w:spacing w:after="0" w:line="23" w:lineRule="exact"/>
        <w:rPr>
          <w:rFonts w:ascii="Arial" w:cs="Arial" w:eastAsia="Arial" w:hAnsi="Arial"/>
          <w:sz w:val="18"/>
          <w:szCs w:val="18"/>
          <w:color w:val="auto"/>
        </w:rPr>
      </w:pPr>
    </w:p>
    <w:p>
      <w:pPr>
        <w:ind w:left="940" w:right="648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- 2,962,922 shares Deerfield Special Situations Fund, L.P. - 307,082 shares Deerfield Partners, L.P. – 2,655,840 shares</w:t>
      </w:r>
    </w:p>
    <w:p>
      <w:pPr>
        <w:spacing w:after="0" w:line="1" w:lineRule="exact"/>
        <w:rPr>
          <w:rFonts w:ascii="Arial" w:cs="Arial" w:eastAsia="Arial" w:hAnsi="Arial"/>
          <w:sz w:val="18"/>
          <w:szCs w:val="18"/>
          <w:color w:val="auto"/>
        </w:rPr>
      </w:pPr>
    </w:p>
    <w:p>
      <w:pPr>
        <w:ind w:left="940" w:right="6920"/>
        <w:spacing w:after="0" w:line="260" w:lineRule="auto"/>
        <w:rPr>
          <w:rFonts w:ascii="Arial" w:cs="Arial" w:eastAsia="Arial" w:hAnsi="Arial"/>
          <w:sz w:val="18"/>
          <w:szCs w:val="18"/>
          <w:color w:val="auto"/>
        </w:rPr>
      </w:pPr>
      <w:r>
        <w:rPr>
          <w:rFonts w:ascii="Arial" w:cs="Arial" w:eastAsia="Arial" w:hAnsi="Arial"/>
          <w:sz w:val="18"/>
          <w:szCs w:val="18"/>
          <w:color w:val="auto"/>
        </w:rPr>
        <w:t>Deerfield International Master Fund, L.P. - 0 shares James E. Flynn – 2,962,922 shares</w:t>
      </w:r>
    </w:p>
    <w:p>
      <w:pPr>
        <w:spacing w:after="0" w:line="212" w:lineRule="exact"/>
        <w:rPr>
          <w:rFonts w:ascii="Arial" w:cs="Arial" w:eastAsia="Arial" w:hAnsi="Arial"/>
          <w:sz w:val="18"/>
          <w:szCs w:val="18"/>
          <w:color w:val="auto"/>
        </w:rPr>
      </w:pPr>
    </w:p>
    <w:p>
      <w:pPr>
        <w:ind w:left="940" w:hanging="536"/>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Deerfield Mgmt, L.P. – 4.77%</w:t>
      </w:r>
    </w:p>
    <w:p>
      <w:pPr>
        <w:spacing w:after="0" w:line="23" w:lineRule="exact"/>
        <w:rPr>
          <w:rFonts w:ascii="Arial" w:cs="Arial" w:eastAsia="Arial" w:hAnsi="Arial"/>
          <w:sz w:val="18"/>
          <w:szCs w:val="18"/>
          <w:color w:val="auto"/>
        </w:rPr>
      </w:pPr>
    </w:p>
    <w:p>
      <w:pPr>
        <w:jc w:val="both"/>
        <w:ind w:left="940" w:right="7200"/>
        <w:spacing w:after="0" w:line="281" w:lineRule="auto"/>
        <w:rPr>
          <w:rFonts w:ascii="Arial" w:cs="Arial" w:eastAsia="Arial" w:hAnsi="Arial"/>
          <w:sz w:val="18"/>
          <w:szCs w:val="18"/>
          <w:color w:val="auto"/>
        </w:rPr>
      </w:pPr>
      <w:r>
        <w:rPr>
          <w:rFonts w:ascii="Arial" w:cs="Arial" w:eastAsia="Arial" w:hAnsi="Arial"/>
          <w:sz w:val="16"/>
          <w:szCs w:val="16"/>
          <w:color w:val="auto"/>
        </w:rPr>
        <w:t>Deerfield Management Company, L.P. – 4.77% Deerfield Special Situations Fund, L.P. - 0.49% Deerfield Partners, L.P. – 4.27%</w:t>
      </w:r>
    </w:p>
    <w:p>
      <w:pPr>
        <w:spacing w:after="0" w:line="1" w:lineRule="exact"/>
        <w:rPr>
          <w:rFonts w:ascii="Arial" w:cs="Arial" w:eastAsia="Arial" w:hAnsi="Arial"/>
          <w:sz w:val="18"/>
          <w:szCs w:val="18"/>
          <w:color w:val="auto"/>
        </w:rPr>
      </w:pPr>
    </w:p>
    <w:p>
      <w:pPr>
        <w:ind w:left="940" w:right="7000"/>
        <w:spacing w:after="0" w:line="260" w:lineRule="auto"/>
        <w:rPr>
          <w:rFonts w:ascii="Arial" w:cs="Arial" w:eastAsia="Arial" w:hAnsi="Arial"/>
          <w:sz w:val="18"/>
          <w:szCs w:val="18"/>
          <w:color w:val="auto"/>
        </w:rPr>
      </w:pPr>
      <w:r>
        <w:rPr>
          <w:rFonts w:ascii="Arial" w:cs="Arial" w:eastAsia="Arial" w:hAnsi="Arial"/>
          <w:sz w:val="18"/>
          <w:szCs w:val="18"/>
          <w:color w:val="auto"/>
        </w:rPr>
        <w:t>Deerfield International Master Fund, L.P. – 0.00% James E. Flynn – 4.77%</w:t>
      </w:r>
    </w:p>
    <w:p>
      <w:pPr>
        <w:spacing w:after="0" w:line="212" w:lineRule="exact"/>
        <w:rPr>
          <w:rFonts w:ascii="Arial" w:cs="Arial" w:eastAsia="Arial" w:hAnsi="Arial"/>
          <w:sz w:val="18"/>
          <w:szCs w:val="18"/>
          <w:color w:val="auto"/>
        </w:rPr>
      </w:pPr>
    </w:p>
    <w:p>
      <w:pPr>
        <w:ind w:left="940" w:hanging="536"/>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-276225</wp:posOffset>
            </wp:positionV>
            <wp:extent cx="67462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746240" cy="17145"/>
                    </a:xfrm>
                    <a:prstGeom prst="rect">
                      <a:avLst/>
                    </a:prstGeom>
                    <a:noFill/>
                  </pic:spPr>
                </pic:pic>
              </a:graphicData>
            </a:graphic>
          </wp:anchor>
        </w:drawing>
        <w:drawing>
          <wp:anchor simplePos="0" relativeHeight="251657728" behindDoc="1" locked="0" layoutInCell="0" allowOverlap="1">
            <wp:simplePos x="0" y="0"/>
            <wp:positionH relativeFrom="column">
              <wp:posOffset>596265</wp:posOffset>
            </wp:positionH>
            <wp:positionV relativeFrom="paragraph">
              <wp:posOffset>-1527810</wp:posOffset>
            </wp:positionV>
            <wp:extent cx="67462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5" w:lineRule="exact"/>
        <w:rPr>
          <w:sz w:val="20"/>
          <w:szCs w:val="20"/>
          <w:color w:val="auto"/>
        </w:rPr>
      </w:pPr>
    </w:p>
    <w:tbl>
      <w:tblPr>
        <w:tblLayout w:type="fixed"/>
        <w:tblInd w:w="940" w:type="dxa"/>
        <w:tblCellMar>
          <w:top w:w="0" w:type="dxa"/>
          <w:left w:w="0" w:type="dxa"/>
          <w:bottom w:w="0" w:type="dxa"/>
          <w:right w:w="0" w:type="dxa"/>
        </w:tblCellMar>
      </w:tblPr>
      <w:tr>
        <w:trPr>
          <w:trHeight w:val="237"/>
        </w:trPr>
        <w:tc>
          <w:tcPr>
            <w:tcW w:w="400" w:type="dxa"/>
            <w:vAlign w:val="bottom"/>
          </w:tcPr>
          <w:p>
            <w:pPr>
              <w:spacing w:after="0"/>
              <w:rPr>
                <w:sz w:val="20"/>
                <w:szCs w:val="20"/>
                <w:color w:val="auto"/>
              </w:rPr>
            </w:pPr>
            <w:r>
              <w:rPr>
                <w:rFonts w:ascii="Arial" w:cs="Arial" w:eastAsia="Arial" w:hAnsi="Arial"/>
                <w:sz w:val="18"/>
                <w:szCs w:val="18"/>
                <w:color w:val="auto"/>
              </w:rPr>
              <w:t>(i)</w:t>
            </w:r>
          </w:p>
        </w:tc>
        <w:tc>
          <w:tcPr>
            <w:tcW w:w="53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All Reporting Persons - 0</w:t>
            </w:r>
          </w:p>
        </w:tc>
      </w:tr>
      <w:tr>
        <w:trPr>
          <w:trHeight w:val="418"/>
        </w:trPr>
        <w:tc>
          <w:tcPr>
            <w:tcW w:w="400" w:type="dxa"/>
            <w:vAlign w:val="bottom"/>
          </w:tcPr>
          <w:p>
            <w:pPr>
              <w:spacing w:after="0"/>
              <w:rPr>
                <w:sz w:val="20"/>
                <w:szCs w:val="20"/>
                <w:color w:val="auto"/>
              </w:rPr>
            </w:pPr>
            <w:r>
              <w:rPr>
                <w:rFonts w:ascii="Arial" w:cs="Arial" w:eastAsia="Arial" w:hAnsi="Arial"/>
                <w:sz w:val="18"/>
                <w:szCs w:val="18"/>
                <w:color w:val="auto"/>
              </w:rPr>
              <w:t>(ii)</w:t>
            </w:r>
          </w:p>
        </w:tc>
        <w:tc>
          <w:tcPr>
            <w:tcW w:w="53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w:t>
            </w:r>
          </w:p>
        </w:tc>
        <w:tc>
          <w:tcPr>
            <w:tcW w:w="4840" w:type="dxa"/>
            <w:vAlign w:val="bottom"/>
          </w:tcPr>
          <w:p>
            <w:pPr>
              <w:spacing w:after="0"/>
              <w:rPr>
                <w:sz w:val="20"/>
                <w:szCs w:val="20"/>
                <w:color w:val="auto"/>
              </w:rPr>
            </w:pPr>
            <w:r>
              <w:rPr>
                <w:rFonts w:ascii="Arial" w:cs="Arial" w:eastAsia="Arial" w:hAnsi="Arial"/>
                <w:sz w:val="18"/>
                <w:szCs w:val="18"/>
                <w:color w:val="auto"/>
              </w:rPr>
              <w:t>Deerfield Mgmt, L.P. - 2,962,922</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Management Company, L.P. - 2,962,922</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Special Situations Fund, L.P. - 307,082 shares</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Partners, L.P. – 2,655,840</w:t>
            </w:r>
          </w:p>
        </w:tc>
      </w:tr>
      <w:tr>
        <w:trPr>
          <w:trHeight w:val="216"/>
        </w:trPr>
        <w:tc>
          <w:tcPr>
            <w:tcW w:w="40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Deerfield International Master Fund, L.P. - 0</w:t>
            </w:r>
          </w:p>
        </w:tc>
      </w:tr>
      <w:tr>
        <w:trPr>
          <w:trHeight w:val="237"/>
        </w:trPr>
        <w:tc>
          <w:tcPr>
            <w:tcW w:w="40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James E. Flynn – 2,962,922</w:t>
            </w:r>
          </w:p>
        </w:tc>
      </w:tr>
    </w:tbl>
    <w:p>
      <w:pPr>
        <w:spacing w:after="0" w:line="200" w:lineRule="exact"/>
        <w:rPr>
          <w:sz w:val="20"/>
          <w:szCs w:val="20"/>
          <w:color w:val="auto"/>
        </w:rPr>
      </w:pPr>
    </w:p>
    <w:p>
      <w:pPr>
        <w:sectPr>
          <w:pgSz w:w="11900" w:h="16838" w:orient="portrait"/>
          <w:cols w:equalWidth="0" w:num="1">
            <w:col w:w="11560"/>
          </w:cols>
          <w:pgMar w:left="160" w:top="45" w:right="179" w:bottom="1440" w:gutter="0" w:footer="0" w:header="0"/>
        </w:sectPr>
      </w:pPr>
    </w:p>
    <w:p>
      <w:pPr>
        <w:spacing w:after="0" w:line="2" w:lineRule="exact"/>
        <w:rPr>
          <w:sz w:val="20"/>
          <w:szCs w:val="20"/>
          <w:color w:val="auto"/>
        </w:rPr>
      </w:pPr>
    </w:p>
    <w:p>
      <w:pPr>
        <w:ind w:left="1520" w:hanging="581"/>
        <w:spacing w:after="0"/>
        <w:tabs>
          <w:tab w:leader="none" w:pos="15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Sole power to dispose or to direct the disposition of:</w:t>
      </w:r>
    </w:p>
    <w:p>
      <w:pPr>
        <w:spacing w:after="0" w:line="263" w:lineRule="exact"/>
        <w:rPr>
          <w:rFonts w:ascii="Arial" w:cs="Arial" w:eastAsia="Arial" w:hAnsi="Arial"/>
          <w:sz w:val="17"/>
          <w:szCs w:val="17"/>
          <w:color w:val="auto"/>
        </w:rPr>
      </w:pPr>
    </w:p>
    <w:p>
      <w:pPr>
        <w:ind w:left="1520" w:hanging="581"/>
        <w:spacing w:after="0"/>
        <w:tabs>
          <w:tab w:leader="none" w:pos="15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Shared power to dispose or to direct the disposition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All Reporting Persons - 0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30772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 - 2,962,922</w:t>
      </w:r>
    </w:p>
    <w:p>
      <w:pPr>
        <w:spacing w:after="0" w:line="23" w:lineRule="exact"/>
        <w:rPr>
          <w:sz w:val="20"/>
          <w:szCs w:val="20"/>
          <w:color w:val="auto"/>
        </w:rPr>
      </w:pPr>
    </w:p>
    <w:p>
      <w:pPr>
        <w:ind w:right="800"/>
        <w:spacing w:after="0" w:line="250" w:lineRule="auto"/>
        <w:rPr>
          <w:sz w:val="20"/>
          <w:szCs w:val="20"/>
          <w:color w:val="auto"/>
        </w:rPr>
      </w:pPr>
      <w:r>
        <w:rPr>
          <w:rFonts w:ascii="Arial" w:cs="Arial" w:eastAsia="Arial" w:hAnsi="Arial"/>
          <w:sz w:val="18"/>
          <w:szCs w:val="18"/>
          <w:color w:val="auto"/>
        </w:rPr>
        <w:t>Deerfield Management Company, L.P. - 2,962,922 Deerfield Special Situations Fund, L.P. - 307,082 shares Deerfield Partners, L.P. – 2,655,840</w:t>
      </w:r>
    </w:p>
    <w:p>
      <w:pPr>
        <w:spacing w:after="0" w:line="1" w:lineRule="exact"/>
        <w:rPr>
          <w:sz w:val="20"/>
          <w:szCs w:val="20"/>
          <w:color w:val="auto"/>
        </w:rPr>
      </w:pPr>
    </w:p>
    <w:p>
      <w:pPr>
        <w:ind w:right="1620"/>
        <w:spacing w:after="0" w:line="260" w:lineRule="auto"/>
        <w:rPr>
          <w:sz w:val="20"/>
          <w:szCs w:val="20"/>
          <w:color w:val="auto"/>
        </w:rPr>
      </w:pPr>
      <w:r>
        <w:rPr>
          <w:rFonts w:ascii="Arial" w:cs="Arial" w:eastAsia="Arial" w:hAnsi="Arial"/>
          <w:sz w:val="18"/>
          <w:szCs w:val="18"/>
          <w:color w:val="auto"/>
        </w:rPr>
        <w:t>Deerfield International Master Fund, L.P. - 0 James E. Flynn – 2,962,922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-9525</wp:posOffset>
            </wp:positionV>
            <wp:extent cx="30772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077210"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0" w:space="720"/>
            <w:col w:w="4840"/>
          </w:cols>
          <w:pgMar w:left="160" w:top="45" w:right="179" w:bottom="1440" w:gutter="0" w:footer="0" w:header="0"/>
          <w:type w:val="continuous"/>
        </w:sectPr>
      </w:pP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**See footnotes on cover pages which are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3380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type w:val="continuous"/>
        </w:sectPr>
      </w:pPr>
    </w:p>
    <w:bookmarkStart w:id="9" w:name="page10"/>
    <w:bookmarkEnd w:id="9"/>
    <w:p>
      <w:pPr>
        <w:spacing w:after="0"/>
        <w:tabs>
          <w:tab w:leader="none" w:pos="1200" w:val="left"/>
          <w:tab w:leader="none" w:pos="5600" w:val="left"/>
          <w:tab w:leader="none" w:pos="101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10 of 11 Pages</w:t>
      </w:r>
    </w:p>
    <w:p>
      <w:pPr>
        <w:spacing w:after="0" w:line="25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25" w:lineRule="exact"/>
        <w:rPr>
          <w:sz w:val="20"/>
          <w:szCs w:val="20"/>
          <w:color w:val="auto"/>
        </w:rPr>
      </w:pPr>
    </w:p>
    <w:p>
      <w:pPr>
        <w:ind w:right="520" w:firstLine="324"/>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262255</wp:posOffset>
            </wp:positionV>
            <wp:extent cx="674624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25"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ind w:left="940" w:right="320" w:hanging="930"/>
        <w:spacing w:after="0" w:line="277" w:lineRule="auto"/>
        <w:tabs>
          <w:tab w:leader="none" w:pos="92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17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25" w:lineRule="exact"/>
        <w:rPr>
          <w:sz w:val="20"/>
          <w:szCs w:val="20"/>
          <w:color w:val="auto"/>
        </w:rPr>
      </w:pPr>
    </w:p>
    <w:p>
      <w:pPr>
        <w:jc w:val="both"/>
        <w:ind w:right="500" w:firstLine="324"/>
        <w:spacing w:after="0" w:line="263" w:lineRule="auto"/>
        <w:rPr>
          <w:sz w:val="20"/>
          <w:szCs w:val="20"/>
          <w:color w:val="auto"/>
        </w:rPr>
      </w:pPr>
      <w:r>
        <w:rPr>
          <w:rFonts w:ascii="Arial" w:cs="Arial" w:eastAsia="Arial" w:hAnsi="Arial"/>
          <w:sz w:val="18"/>
          <w:szCs w:val="18"/>
          <w:color w:val="auto"/>
        </w:rPr>
        <w:t>If a group has filed this schedule pursuant to ss.240.13d-1(b)(1)(ii)(J), so indicate under Item 3(j) and attach an exhibit stating the identity and Item 3 classification of each member of the group. If a group has filed this schedule pursuant to ss.240.13d-1(c) or ss.240.13d-1(d), attach an exhibit stating the identity of each member of the group.</w:t>
      </w:r>
    </w:p>
    <w:p>
      <w:pPr>
        <w:spacing w:after="0" w:line="184"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See 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8"/>
          <w:szCs w:val="18"/>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wp:posOffset>
            </wp:positionH>
            <wp:positionV relativeFrom="paragraph">
              <wp:posOffset>14605</wp:posOffset>
            </wp:positionV>
            <wp:extent cx="674624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6240" cy="17145"/>
                    </a:xfrm>
                    <a:prstGeom prst="rect">
                      <a:avLst/>
                    </a:prstGeom>
                    <a:noFill/>
                  </pic:spPr>
                </pic:pic>
              </a:graphicData>
            </a:graphic>
          </wp:anchor>
        </w:drawing>
      </w:r>
    </w:p>
    <w:p>
      <w:pPr>
        <w:spacing w:after="0" w:line="232"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3380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10" w:name="page11"/>
    <w:bookmarkEnd w:id="10"/>
    <w:p>
      <w:pPr>
        <w:spacing w:after="0"/>
        <w:tabs>
          <w:tab w:leader="none" w:pos="1200" w:val="left"/>
          <w:tab w:leader="none" w:pos="5600" w:val="left"/>
          <w:tab w:leader="none" w:pos="1010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8"/>
          <w:szCs w:val="18"/>
          <w:color w:val="auto"/>
        </w:rPr>
        <w:t>039697107</w:t>
      </w:r>
      <w:r>
        <w:rPr>
          <w:sz w:val="20"/>
          <w:szCs w:val="20"/>
          <w:color w:val="auto"/>
        </w:rPr>
        <w:tab/>
      </w:r>
      <w:r>
        <w:rPr>
          <w:rFonts w:ascii="Arial" w:cs="Arial" w:eastAsia="Arial" w:hAnsi="Arial"/>
          <w:sz w:val="18"/>
          <w:szCs w:val="18"/>
          <w:color w:val="auto"/>
        </w:rPr>
        <w:t>13G</w:t>
      </w:r>
      <w:r>
        <w:rPr>
          <w:sz w:val="20"/>
          <w:szCs w:val="20"/>
          <w:color w:val="auto"/>
        </w:rPr>
        <w:tab/>
      </w:r>
      <w:r>
        <w:rPr>
          <w:rFonts w:ascii="Arial" w:cs="Arial" w:eastAsia="Arial" w:hAnsi="Arial"/>
          <w:sz w:val="15"/>
          <w:szCs w:val="15"/>
          <w:color w:val="auto"/>
        </w:rPr>
        <w:t>Page 11 of 11 Pages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3380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60"/>
          </w:cols>
          <w:pgMar w:left="160" w:top="45" w:right="1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A. Joint Filing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Item 8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Power of Attorney (1).</w:t>
      </w:r>
    </w:p>
    <w:p>
      <w:pPr>
        <w:spacing w:after="0" w:line="225" w:lineRule="exact"/>
        <w:rPr>
          <w:sz w:val="20"/>
          <w:szCs w:val="20"/>
          <w:color w:val="auto"/>
        </w:rPr>
      </w:pPr>
    </w:p>
    <w:p>
      <w:pPr>
        <w:ind w:firstLine="8"/>
        <w:spacing w:after="0" w:line="259"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Power of Attorney previously filed as Exhibit 24 to a Form 3 with regard to Proteon Therapeutics, Inc. filed with the Securities and Exchange Commission on August 4, 2017 by Deerfield Special Situations Fund, L.P., Deerfield Partners, L.P., Deerfield International Master Fund, L.P., Deerfield Private Design Fund III, L.P., Deerfield Private Design Fund IV, L.P., Deerfield Mgmt, L.P., Deerfield Mgmt III, L.P., Deerfield Mgmt IV, L.P., Deerfield Management Company, L.P., and James E. Flynn.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3380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540"/>
          </w:cols>
          <w:pgMar w:left="160" w:top="261" w:right="199" w:bottom="1440" w:gutter="0" w:footer="0" w:header="0"/>
        </w:sectPr>
      </w:pPr>
    </w:p>
    <w:bookmarkStart w:id="12" w:name="page13"/>
    <w:bookmarkEnd w:id="12"/>
    <w:p>
      <w:pPr>
        <w:jc w:val="center"/>
        <w:ind w:right="-559"/>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undersigned agree that this Schedule 13G, and all amendments thereto, relating to the Common Stock of Ardelyx, Inc. shall be filed on behalf of the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DEERFIELD MGMT,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MANAGEMENT COMPANY,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Flynn Management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SPECIAL SITUATIONS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PARTNERS,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DEERFIELD INTERNATIONAL MASTER FUND,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By: Deerfield Mgmt, L.P., General Partner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 J.E. Flynn Capital, LLC,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Jonathan Isler</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Jonathan Isler, Attorney-In-Fact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JAMES E. FLYNN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Jonathan Isler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Jonathan Isler,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3380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38060" cy="17145"/>
                    </a:xfrm>
                    <a:prstGeom prst="rect">
                      <a:avLst/>
                    </a:prstGeom>
                    <a:noFill/>
                  </pic:spPr>
                </pic:pic>
              </a:graphicData>
            </a:graphic>
          </wp:anchor>
        </w:drawing>
      </w:r>
    </w:p>
    <w:p>
      <w:pPr>
        <w:sectPr>
          <w:pgSz w:w="11900" w:h="16838" w:orient="portrait"/>
          <w:cols w:equalWidth="0" w:num="1">
            <w:col w:w="11000"/>
          </w:cols>
          <w:pgMar w:left="160" w:top="261" w:right="739" w:bottom="1440" w:gutter="0" w:footer="0" w:header="0"/>
        </w:sectPr>
      </w:pPr>
    </w:p>
    <w:bookmarkStart w:id="13" w:name="page14"/>
    <w:bookmarkEnd w:id="13"/>
    <w:p>
      <w:pPr>
        <w:jc w:val="center"/>
        <w:ind w:right="-539"/>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Due to the relationships between them, the reporting persons hereunder may be deemed to constitute a “group” with one another for purposes of Section 13(d)(3) of the Securities Exchange Act of 1934.</w:t>
      </w:r>
    </w:p>
    <w:sectPr>
      <w:pgSz w:w="11900" w:h="16838" w:orient="portrait"/>
      <w:cols w:equalWidth="0" w:num="1">
        <w:col w:w="11040"/>
      </w:cols>
      <w:pgMar w:left="160" w:top="261" w:right="6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2"/>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2"/>
    </w:lvl>
  </w:abstractNum>
  <w:abstractNum w:abstractNumId="9">
    <w:nsid w:val="4E6AFB66"/>
    <w:multiLevelType w:val="hybridMultilevel"/>
    <w:lvl w:ilvl="0">
      <w:lvlJc w:val="left"/>
      <w:lvlText w:val="(%1)"/>
      <w:numFmt w:val="decimal"/>
      <w:start w:val="2"/>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12"/>
    </w:lvl>
  </w:abstractNum>
  <w:abstractNum w:abstractNumId="12">
    <w:nsid w:val="431BD7B7"/>
    <w:multiLevelType w:val="hybridMultilevel"/>
    <w:lvl w:ilvl="0">
      <w:lvlJc w:val="left"/>
      <w:lvlText w:val="%1."/>
      <w:numFmt w:val="decimal"/>
      <w:start w:val="1"/>
    </w:lvl>
  </w:abstractNum>
  <w:abstractNum w:abstractNumId="13">
    <w:nsid w:val="3F2DBA31"/>
    <w:multiLevelType w:val="hybridMultilevel"/>
    <w:lvl w:ilvl="0">
      <w:lvlJc w:val="left"/>
      <w:lvlText w:val="%1."/>
      <w:numFmt w:val="decimal"/>
      <w:start w:val="12"/>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12"/>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2"/>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8"/>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Roman"/>
      <w:start w:val="3"/>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2019-11-24T04:29:35Z</dcterms:created>
  <dcterms:modified xsi:type="dcterms:W3CDTF">2019-11-24T04:29:35Z</dcterms:modified>
</cp:coreProperties>
</file>