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As filed with the Securities and Exchange Commission on March 6,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142875</wp:posOffset>
            </wp:positionV>
            <wp:extent cx="1080135" cy="1062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135" cy="1062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tbl>
      <w:tblPr>
        <w:tblLayout w:type="fixed"/>
        <w:tblInd w:w="1160" w:type="dxa"/>
        <w:tblCellMar>
          <w:top w:w="0" w:type="dxa"/>
          <w:left w:w="0" w:type="dxa"/>
          <w:bottom w:w="0" w:type="dxa"/>
          <w:right w:w="0" w:type="dxa"/>
        </w:tblCellMar>
      </w:tblPr>
      <w:tr>
        <w:trPr>
          <w:trHeight w:val="391"/>
        </w:trPr>
        <w:tc>
          <w:tcPr>
            <w:tcW w:w="3420" w:type="dxa"/>
            <w:vAlign w:val="bottom"/>
          </w:tcPr>
          <w:p>
            <w:pPr>
              <w:spacing w:after="0"/>
              <w:rPr>
                <w:sz w:val="24"/>
                <w:szCs w:val="24"/>
                <w:color w:val="auto"/>
              </w:rPr>
            </w:pPr>
          </w:p>
        </w:tc>
        <w:tc>
          <w:tcPr>
            <w:tcW w:w="5320" w:type="dxa"/>
            <w:vAlign w:val="bottom"/>
          </w:tcPr>
          <w:p>
            <w:pPr>
              <w:ind w:left="100"/>
              <w:spacing w:after="0"/>
              <w:rPr>
                <w:sz w:val="20"/>
                <w:szCs w:val="20"/>
                <w:color w:val="auto"/>
              </w:rPr>
            </w:pPr>
            <w:r>
              <w:rPr>
                <w:rFonts w:ascii="Arial" w:cs="Arial" w:eastAsia="Arial" w:hAnsi="Arial"/>
                <w:sz w:val="32"/>
                <w:szCs w:val="32"/>
                <w:b w:val="1"/>
                <w:bCs w:val="1"/>
                <w:color w:val="auto"/>
              </w:rPr>
              <w:t>Ardelyx, Inc.</w:t>
            </w:r>
          </w:p>
        </w:tc>
      </w:tr>
      <w:tr>
        <w:trPr>
          <w:trHeight w:val="230"/>
        </w:trPr>
        <w:tc>
          <w:tcPr>
            <w:tcW w:w="8740" w:type="dxa"/>
            <w:vAlign w:val="bottom"/>
            <w:gridSpan w:val="2"/>
          </w:tcPr>
          <w:p>
            <w:pPr>
              <w:ind w:left="2600"/>
              <w:spacing w:after="0"/>
              <w:rPr>
                <w:sz w:val="20"/>
                <w:szCs w:val="20"/>
                <w:color w:val="auto"/>
              </w:rPr>
            </w:pPr>
            <w:r>
              <w:rPr>
                <w:rFonts w:ascii="Arial" w:cs="Arial" w:eastAsia="Arial" w:hAnsi="Arial"/>
                <w:sz w:val="18"/>
                <w:szCs w:val="18"/>
                <w:color w:val="auto"/>
              </w:rPr>
              <w:t>(Exact name of registrant as specified in its charter)</w:t>
            </w:r>
          </w:p>
        </w:tc>
      </w:tr>
      <w:tr>
        <w:trPr>
          <w:trHeight w:val="432"/>
        </w:trPr>
        <w:tc>
          <w:tcPr>
            <w:tcW w:w="34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320" w:type="dxa"/>
            <w:vAlign w:val="bottom"/>
          </w:tcPr>
          <w:p>
            <w:pPr>
              <w:jc w:val="right"/>
              <w:ind w:right="936"/>
              <w:spacing w:after="0"/>
              <w:rPr>
                <w:sz w:val="20"/>
                <w:szCs w:val="20"/>
                <w:color w:val="auto"/>
              </w:rPr>
            </w:pPr>
            <w:r>
              <w:rPr>
                <w:rFonts w:ascii="Arial" w:cs="Arial" w:eastAsia="Arial" w:hAnsi="Arial"/>
                <w:sz w:val="18"/>
                <w:szCs w:val="18"/>
                <w:b w:val="1"/>
                <w:bCs w:val="1"/>
                <w:color w:val="auto"/>
              </w:rPr>
              <w:t>26-1303944</w:t>
            </w:r>
          </w:p>
        </w:tc>
      </w:tr>
      <w:tr>
        <w:trPr>
          <w:trHeight w:val="418"/>
        </w:trPr>
        <w:tc>
          <w:tcPr>
            <w:tcW w:w="342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 of incorporation or</w:t>
            </w:r>
          </w:p>
        </w:tc>
        <w:tc>
          <w:tcPr>
            <w:tcW w:w="5320" w:type="dxa"/>
            <w:vAlign w:val="bottom"/>
          </w:tcPr>
          <w:p>
            <w:pPr>
              <w:jc w:val="center"/>
              <w:ind w:left="2276"/>
              <w:spacing w:after="0"/>
              <w:rPr>
                <w:sz w:val="20"/>
                <w:szCs w:val="20"/>
                <w:color w:val="auto"/>
              </w:rPr>
            </w:pPr>
            <w:r>
              <w:rPr>
                <w:rFonts w:ascii="Arial" w:cs="Arial" w:eastAsia="Arial" w:hAnsi="Arial"/>
                <w:sz w:val="18"/>
                <w:szCs w:val="18"/>
                <w:color w:val="auto"/>
                <w:w w:val="93"/>
              </w:rPr>
              <w:t>(I.R.S. Employer Identification Number)</w:t>
            </w:r>
          </w:p>
        </w:tc>
      </w:tr>
      <w:tr>
        <w:trPr>
          <w:trHeight w:val="230"/>
        </w:trPr>
        <w:tc>
          <w:tcPr>
            <w:tcW w:w="3420" w:type="dxa"/>
            <w:vAlign w:val="bottom"/>
          </w:tcPr>
          <w:p>
            <w:pPr>
              <w:jc w:val="center"/>
              <w:ind w:right="10"/>
              <w:spacing w:after="0"/>
              <w:rPr>
                <w:sz w:val="20"/>
                <w:szCs w:val="20"/>
                <w:color w:val="auto"/>
              </w:rPr>
            </w:pPr>
            <w:r>
              <w:rPr>
                <w:rFonts w:ascii="Arial" w:cs="Arial" w:eastAsia="Arial" w:hAnsi="Arial"/>
                <w:sz w:val="18"/>
                <w:szCs w:val="18"/>
                <w:color w:val="auto"/>
                <w:w w:val="92"/>
              </w:rPr>
              <w:t>organization)</w:t>
            </w:r>
          </w:p>
        </w:tc>
        <w:tc>
          <w:tcPr>
            <w:tcW w:w="5320" w:type="dxa"/>
            <w:vAlign w:val="bottom"/>
          </w:tcPr>
          <w:p>
            <w:pPr>
              <w:spacing w:after="0"/>
              <w:rPr>
                <w:sz w:val="20"/>
                <w:szCs w:val="20"/>
                <w:color w:val="auto"/>
              </w:rPr>
            </w:pPr>
          </w:p>
        </w:tc>
      </w:tr>
      <w:tr>
        <w:trPr>
          <w:trHeight w:val="414"/>
        </w:trPr>
        <w:tc>
          <w:tcPr>
            <w:tcW w:w="3420" w:type="dxa"/>
            <w:vAlign w:val="bottom"/>
          </w:tcPr>
          <w:p>
            <w:pPr>
              <w:jc w:val="center"/>
              <w:ind w:right="30"/>
              <w:spacing w:after="0"/>
              <w:rPr>
                <w:sz w:val="20"/>
                <w:szCs w:val="20"/>
                <w:color w:val="auto"/>
              </w:rPr>
            </w:pPr>
            <w:r>
              <w:rPr>
                <w:rFonts w:ascii="Arial" w:cs="Arial" w:eastAsia="Arial" w:hAnsi="Arial"/>
                <w:sz w:val="18"/>
                <w:szCs w:val="18"/>
                <w:b w:val="1"/>
                <w:bCs w:val="1"/>
                <w:color w:val="231F20"/>
                <w:w w:val="90"/>
              </w:rPr>
              <w:t>400 Fifth Ave., Suite 210</w:t>
            </w:r>
          </w:p>
        </w:tc>
        <w:tc>
          <w:tcPr>
            <w:tcW w:w="5320" w:type="dxa"/>
            <w:vAlign w:val="bottom"/>
          </w:tcPr>
          <w:p>
            <w:pPr>
              <w:spacing w:after="0"/>
              <w:rPr>
                <w:sz w:val="24"/>
                <w:szCs w:val="24"/>
                <w:color w:val="auto"/>
              </w:rPr>
            </w:pPr>
          </w:p>
        </w:tc>
      </w:tr>
      <w:tr>
        <w:trPr>
          <w:trHeight w:val="220"/>
        </w:trPr>
        <w:tc>
          <w:tcPr>
            <w:tcW w:w="3420" w:type="dxa"/>
            <w:vAlign w:val="bottom"/>
          </w:tcPr>
          <w:p>
            <w:pPr>
              <w:jc w:val="center"/>
              <w:ind w:right="10"/>
              <w:spacing w:after="0"/>
              <w:rPr>
                <w:sz w:val="20"/>
                <w:szCs w:val="20"/>
                <w:color w:val="auto"/>
              </w:rPr>
            </w:pPr>
            <w:r>
              <w:rPr>
                <w:rFonts w:ascii="Arial" w:cs="Arial" w:eastAsia="Arial" w:hAnsi="Arial"/>
                <w:sz w:val="18"/>
                <w:szCs w:val="18"/>
                <w:b w:val="1"/>
                <w:bCs w:val="1"/>
                <w:color w:val="231F20"/>
                <w:w w:val="89"/>
              </w:rPr>
              <w:t>Waltham, Massachusetts</w:t>
            </w:r>
          </w:p>
        </w:tc>
        <w:tc>
          <w:tcPr>
            <w:tcW w:w="5320" w:type="dxa"/>
            <w:vAlign w:val="bottom"/>
          </w:tcPr>
          <w:p>
            <w:pPr>
              <w:jc w:val="right"/>
              <w:ind w:right="1136"/>
              <w:spacing w:after="0"/>
              <w:rPr>
                <w:sz w:val="20"/>
                <w:szCs w:val="20"/>
                <w:color w:val="auto"/>
              </w:rPr>
            </w:pPr>
            <w:r>
              <w:rPr>
                <w:rFonts w:ascii="Arial" w:cs="Arial" w:eastAsia="Arial" w:hAnsi="Arial"/>
                <w:sz w:val="18"/>
                <w:szCs w:val="18"/>
                <w:b w:val="1"/>
                <w:bCs w:val="1"/>
                <w:color w:val="231F20"/>
              </w:rPr>
              <w:t>02451</w:t>
            </w:r>
          </w:p>
        </w:tc>
      </w:tr>
      <w:tr>
        <w:trPr>
          <w:trHeight w:val="230"/>
        </w:trPr>
        <w:tc>
          <w:tcPr>
            <w:tcW w:w="342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5320" w:type="dxa"/>
            <w:vAlign w:val="bottom"/>
          </w:tcPr>
          <w:p>
            <w:pPr>
              <w:jc w:val="center"/>
              <w:ind w:left="2276"/>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2014 Equity Incentive Award Plan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2014 Employee Stock Purchase Plan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2016 Employee Commencement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Elizabeth Grammer</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Chief Legal and Administrative Officer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Ardelyx, Inc.</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400 Fifth Avenue, Suite 210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Waltham, MA 02451</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(510) 745-1700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Mark V. Roeder, Esq.</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John C Williams, Esq.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140 Scott Drive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328-4600</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3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83"/>
        </w:trPr>
        <w:tc>
          <w:tcPr>
            <w:tcW w:w="3120" w:type="dxa"/>
            <w:vAlign w:val="bottom"/>
          </w:tcPr>
          <w:p>
            <w:pPr>
              <w:spacing w:after="0" w:line="183" w:lineRule="exact"/>
              <w:rPr>
                <w:sz w:val="20"/>
                <w:szCs w:val="20"/>
                <w:color w:val="auto"/>
              </w:rPr>
            </w:pPr>
            <w:r>
              <w:rPr>
                <w:rFonts w:ascii="Arial" w:cs="Arial" w:eastAsia="Arial" w:hAnsi="Arial"/>
                <w:sz w:val="18"/>
                <w:szCs w:val="18"/>
                <w:color w:val="auto"/>
              </w:rPr>
              <w:t>Non-accelerated filer</w:t>
            </w:r>
          </w:p>
        </w:tc>
        <w:tc>
          <w:tcPr>
            <w:tcW w:w="1820" w:type="dxa"/>
            <w:vAlign w:val="bottom"/>
          </w:tcPr>
          <w:p>
            <w:pPr>
              <w:ind w:left="1500"/>
              <w:spacing w:after="0" w:line="183" w:lineRule="exact"/>
              <w:rPr>
                <w:sz w:val="20"/>
                <w:szCs w:val="20"/>
                <w:color w:val="auto"/>
              </w:rPr>
            </w:pPr>
            <w:r>
              <w:rPr>
                <w:rFonts w:ascii="Arial" w:cs="Arial" w:eastAsia="Arial" w:hAnsi="Arial"/>
                <w:sz w:val="18"/>
                <w:szCs w:val="18"/>
                <w:color w:val="auto"/>
              </w:rPr>
              <w:t>x</w:t>
            </w:r>
          </w:p>
        </w:tc>
        <w:tc>
          <w:tcPr>
            <w:tcW w:w="4100" w:type="dxa"/>
            <w:vAlign w:val="bottom"/>
          </w:tcPr>
          <w:p>
            <w:pPr>
              <w:ind w:left="140"/>
              <w:spacing w:after="0" w:line="183" w:lineRule="exact"/>
              <w:rPr>
                <w:sz w:val="20"/>
                <w:szCs w:val="20"/>
                <w:color w:val="auto"/>
              </w:rPr>
            </w:pPr>
            <w:r>
              <w:rPr>
                <w:rFonts w:ascii="Arial" w:cs="Arial" w:eastAsia="Arial" w:hAnsi="Arial"/>
                <w:sz w:val="18"/>
                <w:szCs w:val="18"/>
                <w:color w:val="auto"/>
              </w:rPr>
              <w:t>Smaller reporting company</w:t>
            </w:r>
          </w:p>
        </w:tc>
        <w:tc>
          <w:tcPr>
            <w:tcW w:w="2140" w:type="dxa"/>
            <w:vAlign w:val="bottom"/>
          </w:tcPr>
          <w:p>
            <w:pPr>
              <w:ind w:left="1980"/>
              <w:spacing w:after="0" w:line="183" w:lineRule="exact"/>
              <w:rPr>
                <w:sz w:val="20"/>
                <w:szCs w:val="20"/>
                <w:color w:val="auto"/>
              </w:rPr>
            </w:pPr>
            <w:r>
              <w:rPr>
                <w:rFonts w:ascii="Arial" w:cs="Arial" w:eastAsia="Arial" w:hAnsi="Arial"/>
                <w:sz w:val="18"/>
                <w:szCs w:val="18"/>
                <w:color w:val="auto"/>
              </w:rPr>
              <w:t>x</w:t>
            </w:r>
          </w:p>
        </w:tc>
      </w:tr>
      <w:tr>
        <w:trPr>
          <w:trHeight w:val="283"/>
        </w:trPr>
        <w:tc>
          <w:tcPr>
            <w:tcW w:w="3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Emerging growth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This registration statement will become effective upon filing in accordance with Rule 462 under the Securities Act. Proposed sale to take place as soon after the effective date of the registration statement as awards under the plans are exercised and/or vest.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843"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REGISTRATION OF ADDITIONAL SECURITIES</w:t>
      </w:r>
    </w:p>
    <w:p>
      <w:pPr>
        <w:spacing w:after="0" w:line="229" w:lineRule="exact"/>
        <w:rPr>
          <w:sz w:val="20"/>
          <w:szCs w:val="20"/>
          <w:color w:val="auto"/>
        </w:rPr>
      </w:pPr>
    </w:p>
    <w:p>
      <w:pPr>
        <w:jc w:val="both"/>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By a registration statement on Form S-8 filed with the Securities and Exchange Commission (the “SEC”) on </w:t>
      </w:r>
      <w:hyperlink r:id="rId14">
        <w:r>
          <w:rPr>
            <w:rFonts w:ascii="Arial" w:cs="Arial" w:eastAsia="Arial" w:hAnsi="Arial"/>
            <w:sz w:val="16"/>
            <w:szCs w:val="16"/>
            <w:u w:val="single" w:color="auto"/>
            <w:color w:val="0000EE"/>
          </w:rPr>
          <w:t>July 14, 2014</w:t>
        </w:r>
      </w:hyperlink>
      <w:r>
        <w:rPr>
          <w:rFonts w:ascii="Arial" w:cs="Arial" w:eastAsia="Arial" w:hAnsi="Arial"/>
          <w:sz w:val="16"/>
          <w:szCs w:val="16"/>
          <w:color w:val="auto"/>
        </w:rPr>
        <w:t>, File No. 333-197408 (the “Original Registration Statement”), Ardelyx, Inc. (the “Registrant”) registered 1,646,134 shares of common stock, par value $0.0001 per share (the “Common Stock”) issuable under the Ardelyx, Inc. 2014 Equity Incentive Award Plan (the “2014 Plan”) and 202,762 shares of Common Stock issuable under the Ardelyx, Inc. 2014 Employee Stock Purchase Plan (the “ESPP”). The Original Registration Statement also registered 880,497 shares of Common Stock issuable under the Ardelyx, Inc. 2008 Stock Incentive Plan, as amended (the “2008 Plan”), which shares become available for issuance under the 2014 Plan to the extent awards under the 2008 Plan are forfeited or lapse unexercised and are not issued under the 2008 Plan.</w:t>
      </w:r>
    </w:p>
    <w:p>
      <w:pPr>
        <w:spacing w:after="0" w:line="164"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By a registration statement on Form S-8 filed with the SEC on </w:t>
      </w:r>
      <w:hyperlink r:id="rId15">
        <w:r>
          <w:rPr>
            <w:rFonts w:ascii="Arial" w:cs="Arial" w:eastAsia="Arial" w:hAnsi="Arial"/>
            <w:sz w:val="18"/>
            <w:szCs w:val="18"/>
            <w:u w:val="single" w:color="auto"/>
            <w:color w:val="0000EE"/>
          </w:rPr>
          <w:t>November 10, 2016</w:t>
        </w:r>
      </w:hyperlink>
      <w:r>
        <w:rPr>
          <w:rFonts w:ascii="Arial" w:cs="Arial" w:eastAsia="Arial" w:hAnsi="Arial"/>
          <w:sz w:val="18"/>
          <w:szCs w:val="18"/>
          <w:color w:val="auto"/>
        </w:rPr>
        <w:t>, File No. 333-214538 (the “2016 Original Registration Statement”), the Registrant registered 1,000,000 shares of Common Stock issuable under the Ardelyx, Inc. 2016 Employment Commencement Incentive Plan (the “2016 Plan”).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By the registration statements on Form S-8 listed in the table below filed with the SEC, the Registrant registered the following additional shares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Common Stock issuable under the 2014 Plan, the ESPP and the 2016 Plan: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Borders>
              <w:bottom w:val="single" w:sz="8" w:color="auto"/>
            </w:tcBorders>
            <w:gridSpan w:val="5"/>
          </w:tcPr>
          <w:p>
            <w:pPr>
              <w:jc w:val="center"/>
              <w:ind w:left="990"/>
              <w:spacing w:after="0"/>
              <w:rPr>
                <w:sz w:val="20"/>
                <w:szCs w:val="20"/>
                <w:color w:val="auto"/>
              </w:rPr>
            </w:pPr>
            <w:r>
              <w:rPr>
                <w:rFonts w:ascii="Arial" w:cs="Arial" w:eastAsia="Arial" w:hAnsi="Arial"/>
                <w:sz w:val="18"/>
                <w:szCs w:val="18"/>
                <w:b w:val="1"/>
                <w:bCs w:val="1"/>
                <w:color w:val="auto"/>
                <w:w w:val="89"/>
              </w:rPr>
              <w:t>Additional Shares Registered</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440" w:type="dxa"/>
            <w:vAlign w:val="bottom"/>
            <w:gridSpan w:val="5"/>
          </w:tcPr>
          <w:p>
            <w:pPr>
              <w:spacing w:after="0"/>
              <w:rPr>
                <w:sz w:val="20"/>
                <w:szCs w:val="20"/>
                <w:color w:val="auto"/>
              </w:rPr>
            </w:pPr>
            <w:r>
              <w:rPr>
                <w:rFonts w:ascii="Arial" w:cs="Arial" w:eastAsia="Arial" w:hAnsi="Arial"/>
                <w:sz w:val="18"/>
                <w:szCs w:val="18"/>
                <w:b w:val="1"/>
                <w:bCs w:val="1"/>
                <w:color w:val="auto"/>
              </w:rPr>
              <w:t>Filing Date</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SEC File Number</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Description</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2014 Plan</w:t>
            </w:r>
          </w:p>
        </w:tc>
        <w:tc>
          <w:tcPr>
            <w:tcW w:w="18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1"/>
              </w:rPr>
              <w:t>ESPP</w:t>
            </w: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2016 Plan</w:t>
            </w:r>
          </w:p>
        </w:tc>
        <w:tc>
          <w:tcPr>
            <w:tcW w:w="100" w:type="dxa"/>
            <w:vAlign w:val="bottom"/>
          </w:tcPr>
          <w:p>
            <w:pPr>
              <w:spacing w:after="0"/>
              <w:rPr>
                <w:sz w:val="19"/>
                <w:szCs w:val="19"/>
                <w:color w:val="auto"/>
              </w:rPr>
            </w:pPr>
          </w:p>
        </w:tc>
      </w:tr>
      <w:tr>
        <w:trPr>
          <w:trHeight w:val="169"/>
        </w:trPr>
        <w:tc>
          <w:tcPr>
            <w:tcW w:w="1340" w:type="dxa"/>
            <w:vAlign w:val="bottom"/>
            <w:tcBorders>
              <w:top w:val="single" w:sz="8" w:color="auto"/>
            </w:tcBorders>
            <w:gridSpan w:val="4"/>
            <w:shd w:val="clear" w:color="auto" w:fill="CCEEFF"/>
          </w:tcPr>
          <w:p>
            <w:pPr>
              <w:spacing w:after="0" w:line="156" w:lineRule="exact"/>
              <w:rPr>
                <w:rFonts w:ascii="Arial" w:cs="Arial" w:eastAsia="Arial" w:hAnsi="Arial"/>
                <w:sz w:val="18"/>
                <w:szCs w:val="18"/>
                <w:color w:val="0000EE"/>
              </w:rPr>
            </w:pPr>
            <w:hyperlink r:id="rId16">
              <w:r>
                <w:rPr>
                  <w:rFonts w:ascii="Arial" w:cs="Arial" w:eastAsia="Arial" w:hAnsi="Arial"/>
                  <w:sz w:val="18"/>
                  <w:szCs w:val="18"/>
                  <w:color w:val="0000EE"/>
                </w:rPr>
                <w:t>March 11, 2015</w:t>
              </w:r>
            </w:hyperlink>
          </w:p>
        </w:tc>
        <w:tc>
          <w:tcPr>
            <w:tcW w:w="100" w:type="dxa"/>
            <w:vAlign w:val="bottom"/>
            <w:tcBorders>
              <w:top w:val="single" w:sz="8" w:color="CCEEFF"/>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333-202663</w:t>
            </w:r>
          </w:p>
        </w:tc>
        <w:tc>
          <w:tcPr>
            <w:tcW w:w="120" w:type="dxa"/>
            <w:vAlign w:val="bottom"/>
            <w:tcBorders>
              <w:top w:val="single" w:sz="8" w:color="CCEEFF"/>
            </w:tcBorders>
            <w:shd w:val="clear" w:color="auto" w:fill="CCEEFF"/>
          </w:tcPr>
          <w:p>
            <w:pPr>
              <w:spacing w:after="0"/>
              <w:rPr>
                <w:sz w:val="14"/>
                <w:szCs w:val="14"/>
                <w:color w:val="auto"/>
              </w:rPr>
            </w:pPr>
          </w:p>
        </w:tc>
        <w:tc>
          <w:tcPr>
            <w:tcW w:w="31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1"/>
              </w:rPr>
              <w:t>“2015 Registration Statement”</w:t>
            </w:r>
          </w:p>
        </w:tc>
        <w:tc>
          <w:tcPr>
            <w:tcW w:w="12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743,569</w:t>
            </w:r>
          </w:p>
        </w:tc>
        <w:tc>
          <w:tcPr>
            <w:tcW w:w="2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185,892</w:t>
            </w: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4"/>
                <w:szCs w:val="14"/>
                <w:color w:val="auto"/>
              </w:rPr>
            </w:pPr>
          </w:p>
        </w:tc>
      </w:tr>
      <w:tr>
        <w:trPr>
          <w:trHeight w:val="34"/>
        </w:trPr>
        <w:tc>
          <w:tcPr>
            <w:tcW w:w="10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76"/>
        </w:trPr>
        <w:tc>
          <w:tcPr>
            <w:tcW w:w="1440" w:type="dxa"/>
            <w:vAlign w:val="bottom"/>
            <w:gridSpan w:val="5"/>
          </w:tcPr>
          <w:p>
            <w:pPr>
              <w:spacing w:after="0" w:line="156" w:lineRule="exact"/>
              <w:rPr>
                <w:rFonts w:ascii="Arial" w:cs="Arial" w:eastAsia="Arial" w:hAnsi="Arial"/>
                <w:sz w:val="18"/>
                <w:szCs w:val="18"/>
                <w:color w:val="0000EE"/>
              </w:rPr>
            </w:pPr>
            <w:hyperlink r:id="rId17">
              <w:r>
                <w:rPr>
                  <w:rFonts w:ascii="Arial" w:cs="Arial" w:eastAsia="Arial" w:hAnsi="Arial"/>
                  <w:sz w:val="18"/>
                  <w:szCs w:val="18"/>
                  <w:color w:val="0000EE"/>
                </w:rPr>
                <w:t>March 10, 2016</w:t>
              </w:r>
            </w:hyperlink>
          </w:p>
        </w:tc>
        <w:tc>
          <w:tcPr>
            <w:tcW w:w="1900" w:type="dxa"/>
            <w:vAlign w:val="bottom"/>
          </w:tcPr>
          <w:p>
            <w:pPr>
              <w:jc w:val="center"/>
              <w:spacing w:after="0" w:line="156" w:lineRule="exact"/>
              <w:rPr>
                <w:sz w:val="20"/>
                <w:szCs w:val="20"/>
                <w:color w:val="auto"/>
              </w:rPr>
            </w:pPr>
            <w:r>
              <w:rPr>
                <w:rFonts w:ascii="Arial" w:cs="Arial" w:eastAsia="Arial" w:hAnsi="Arial"/>
                <w:sz w:val="18"/>
                <w:szCs w:val="18"/>
                <w:color w:val="auto"/>
                <w:w w:val="89"/>
              </w:rPr>
              <w:t>333-210079</w:t>
            </w:r>
          </w:p>
        </w:tc>
        <w:tc>
          <w:tcPr>
            <w:tcW w:w="120" w:type="dxa"/>
            <w:vAlign w:val="bottom"/>
          </w:tcPr>
          <w:p>
            <w:pPr>
              <w:spacing w:after="0"/>
              <w:rPr>
                <w:sz w:val="15"/>
                <w:szCs w:val="15"/>
                <w:color w:val="auto"/>
              </w:rPr>
            </w:pPr>
          </w:p>
        </w:tc>
        <w:tc>
          <w:tcPr>
            <w:tcW w:w="3240" w:type="dxa"/>
            <w:vAlign w:val="bottom"/>
            <w:gridSpan w:val="2"/>
          </w:tcPr>
          <w:p>
            <w:pPr>
              <w:jc w:val="center"/>
              <w:ind w:right="120"/>
              <w:spacing w:after="0" w:line="156" w:lineRule="exact"/>
              <w:rPr>
                <w:sz w:val="20"/>
                <w:szCs w:val="20"/>
                <w:color w:val="auto"/>
              </w:rPr>
            </w:pPr>
            <w:r>
              <w:rPr>
                <w:rFonts w:ascii="Arial" w:cs="Arial" w:eastAsia="Arial" w:hAnsi="Arial"/>
                <w:sz w:val="18"/>
                <w:szCs w:val="18"/>
                <w:color w:val="auto"/>
                <w:w w:val="91"/>
              </w:rPr>
              <w:t>“2016 Registration Statement”</w:t>
            </w:r>
          </w:p>
        </w:tc>
        <w:tc>
          <w:tcPr>
            <w:tcW w:w="154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1,038,595</w:t>
            </w:r>
          </w:p>
        </w:tc>
        <w:tc>
          <w:tcPr>
            <w:tcW w:w="156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w:t>
            </w:r>
          </w:p>
        </w:tc>
      </w:tr>
      <w:tr>
        <w:trPr>
          <w:trHeight w:val="34"/>
        </w:trPr>
        <w:tc>
          <w:tcPr>
            <w:tcW w:w="10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1340" w:type="dxa"/>
            <w:vAlign w:val="bottom"/>
            <w:tcBorders>
              <w:bottom w:val="single" w:sz="8" w:color="0000EE"/>
            </w:tcBorders>
            <w:gridSpan w:val="4"/>
            <w:shd w:val="clear" w:color="auto" w:fill="CCEEFF"/>
          </w:tcPr>
          <w:p>
            <w:pPr>
              <w:spacing w:after="0" w:line="156" w:lineRule="exact"/>
              <w:rPr>
                <w:rFonts w:ascii="Arial" w:cs="Arial" w:eastAsia="Arial" w:hAnsi="Arial"/>
                <w:sz w:val="18"/>
                <w:szCs w:val="18"/>
                <w:color w:val="0000EE"/>
                <w:w w:val="89"/>
              </w:rPr>
            </w:pPr>
            <w:hyperlink r:id="rId18">
              <w:r>
                <w:rPr>
                  <w:rFonts w:ascii="Arial" w:cs="Arial" w:eastAsia="Arial" w:hAnsi="Arial"/>
                  <w:sz w:val="18"/>
                  <w:szCs w:val="18"/>
                  <w:color w:val="0000EE"/>
                  <w:w w:val="89"/>
                </w:rPr>
                <w:t>February 21, 2017</w:t>
              </w:r>
            </w:hyperlink>
          </w:p>
        </w:tc>
        <w:tc>
          <w:tcPr>
            <w:tcW w:w="1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333-216154</w:t>
            </w:r>
          </w:p>
        </w:tc>
        <w:tc>
          <w:tcPr>
            <w:tcW w:w="12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gridSpan w:val="2"/>
            <w:shd w:val="clear" w:color="auto" w:fill="CCEEFF"/>
          </w:tcPr>
          <w:p>
            <w:pPr>
              <w:jc w:val="center"/>
              <w:ind w:right="120"/>
              <w:spacing w:after="0" w:line="156" w:lineRule="exact"/>
              <w:rPr>
                <w:sz w:val="20"/>
                <w:szCs w:val="20"/>
                <w:color w:val="auto"/>
              </w:rPr>
            </w:pPr>
            <w:r>
              <w:rPr>
                <w:rFonts w:ascii="Arial" w:cs="Arial" w:eastAsia="Arial" w:hAnsi="Arial"/>
                <w:sz w:val="18"/>
                <w:szCs w:val="18"/>
                <w:color w:val="auto"/>
                <w:w w:val="91"/>
              </w:rPr>
              <w:t>“2017 Registration Statement”</w:t>
            </w:r>
          </w:p>
        </w:tc>
        <w:tc>
          <w:tcPr>
            <w:tcW w:w="1540" w:type="dxa"/>
            <w:vAlign w:val="bottom"/>
            <w:tcBorders>
              <w:bottom w:val="single" w:sz="8" w:color="CCEEFF"/>
            </w:tcBorders>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1,892,376</w:t>
            </w:r>
          </w:p>
        </w:tc>
        <w:tc>
          <w:tcPr>
            <w:tcW w:w="1560" w:type="dxa"/>
            <w:vAlign w:val="bottom"/>
            <w:tcBorders>
              <w:bottom w:val="single" w:sz="8" w:color="CCEEFF"/>
            </w:tcBorders>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w:t>
            </w:r>
          </w:p>
        </w:tc>
      </w:tr>
      <w:tr>
        <w:trPr>
          <w:trHeight w:val="176"/>
        </w:trPr>
        <w:tc>
          <w:tcPr>
            <w:tcW w:w="1440" w:type="dxa"/>
            <w:vAlign w:val="bottom"/>
            <w:gridSpan w:val="5"/>
          </w:tcPr>
          <w:p>
            <w:pPr>
              <w:spacing w:after="0" w:line="156" w:lineRule="exact"/>
              <w:rPr>
                <w:rFonts w:ascii="Arial" w:cs="Arial" w:eastAsia="Arial" w:hAnsi="Arial"/>
                <w:sz w:val="18"/>
                <w:szCs w:val="18"/>
                <w:color w:val="0000EE"/>
              </w:rPr>
            </w:pPr>
            <w:hyperlink r:id="rId19">
              <w:r>
                <w:rPr>
                  <w:rFonts w:ascii="Arial" w:cs="Arial" w:eastAsia="Arial" w:hAnsi="Arial"/>
                  <w:sz w:val="18"/>
                  <w:szCs w:val="18"/>
                  <w:color w:val="0000EE"/>
                </w:rPr>
                <w:t>March 16, 2018</w:t>
              </w:r>
            </w:hyperlink>
          </w:p>
        </w:tc>
        <w:tc>
          <w:tcPr>
            <w:tcW w:w="1900" w:type="dxa"/>
            <w:vAlign w:val="bottom"/>
          </w:tcPr>
          <w:p>
            <w:pPr>
              <w:jc w:val="center"/>
              <w:spacing w:after="0" w:line="156" w:lineRule="exact"/>
              <w:rPr>
                <w:sz w:val="20"/>
                <w:szCs w:val="20"/>
                <w:color w:val="auto"/>
              </w:rPr>
            </w:pPr>
            <w:r>
              <w:rPr>
                <w:rFonts w:ascii="Arial" w:cs="Arial" w:eastAsia="Arial" w:hAnsi="Arial"/>
                <w:sz w:val="18"/>
                <w:szCs w:val="18"/>
                <w:color w:val="auto"/>
                <w:w w:val="89"/>
              </w:rPr>
              <w:t>333-223694</w:t>
            </w:r>
          </w:p>
        </w:tc>
        <w:tc>
          <w:tcPr>
            <w:tcW w:w="120" w:type="dxa"/>
            <w:vAlign w:val="bottom"/>
          </w:tcPr>
          <w:p>
            <w:pPr>
              <w:spacing w:after="0"/>
              <w:rPr>
                <w:sz w:val="15"/>
                <w:szCs w:val="15"/>
                <w:color w:val="auto"/>
              </w:rPr>
            </w:pPr>
          </w:p>
        </w:tc>
        <w:tc>
          <w:tcPr>
            <w:tcW w:w="3240" w:type="dxa"/>
            <w:vAlign w:val="bottom"/>
            <w:gridSpan w:val="2"/>
          </w:tcPr>
          <w:p>
            <w:pPr>
              <w:jc w:val="center"/>
              <w:ind w:right="120"/>
              <w:spacing w:after="0" w:line="156" w:lineRule="exact"/>
              <w:rPr>
                <w:sz w:val="20"/>
                <w:szCs w:val="20"/>
                <w:color w:val="auto"/>
              </w:rPr>
            </w:pPr>
            <w:r>
              <w:rPr>
                <w:rFonts w:ascii="Arial" w:cs="Arial" w:eastAsia="Arial" w:hAnsi="Arial"/>
                <w:sz w:val="18"/>
                <w:szCs w:val="18"/>
                <w:color w:val="auto"/>
                <w:w w:val="91"/>
              </w:rPr>
              <w:t>“2018 Registration Statement”</w:t>
            </w:r>
          </w:p>
        </w:tc>
        <w:tc>
          <w:tcPr>
            <w:tcW w:w="154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1,901,339</w:t>
            </w:r>
          </w:p>
        </w:tc>
        <w:tc>
          <w:tcPr>
            <w:tcW w:w="156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w:t>
            </w:r>
          </w:p>
        </w:tc>
      </w:tr>
      <w:tr>
        <w:trPr>
          <w:trHeight w:val="34"/>
        </w:trPr>
        <w:tc>
          <w:tcPr>
            <w:tcW w:w="10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1440" w:type="dxa"/>
            <w:vAlign w:val="bottom"/>
            <w:gridSpan w:val="5"/>
            <w:shd w:val="clear" w:color="auto" w:fill="CCEEFF"/>
          </w:tcPr>
          <w:p>
            <w:pPr>
              <w:spacing w:after="0" w:line="156" w:lineRule="exact"/>
              <w:rPr>
                <w:rFonts w:ascii="Arial" w:cs="Arial" w:eastAsia="Arial" w:hAnsi="Arial"/>
                <w:sz w:val="18"/>
                <w:szCs w:val="18"/>
                <w:color w:val="0000EE"/>
              </w:rPr>
            </w:pPr>
            <w:hyperlink r:id="rId20">
              <w:r>
                <w:rPr>
                  <w:rFonts w:ascii="Arial" w:cs="Arial" w:eastAsia="Arial" w:hAnsi="Arial"/>
                  <w:sz w:val="18"/>
                  <w:szCs w:val="18"/>
                  <w:color w:val="0000EE"/>
                </w:rPr>
                <w:t>March 8, 2019</w:t>
              </w:r>
            </w:hyperlink>
          </w:p>
        </w:tc>
        <w:tc>
          <w:tcPr>
            <w:tcW w:w="1900" w:type="dxa"/>
            <w:vAlign w:val="bottom"/>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333-230156</w:t>
            </w:r>
          </w:p>
        </w:tc>
        <w:tc>
          <w:tcPr>
            <w:tcW w:w="1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jc w:val="center"/>
              <w:ind w:right="120"/>
              <w:spacing w:after="0" w:line="156" w:lineRule="exact"/>
              <w:rPr>
                <w:sz w:val="20"/>
                <w:szCs w:val="20"/>
                <w:color w:val="auto"/>
              </w:rPr>
            </w:pPr>
            <w:r>
              <w:rPr>
                <w:rFonts w:ascii="Arial" w:cs="Arial" w:eastAsia="Arial" w:hAnsi="Arial"/>
                <w:sz w:val="18"/>
                <w:szCs w:val="18"/>
                <w:color w:val="auto"/>
                <w:w w:val="91"/>
              </w:rPr>
              <w:t>“2019 Registration Statement”</w:t>
            </w:r>
          </w:p>
        </w:tc>
        <w:tc>
          <w:tcPr>
            <w:tcW w:w="15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2,490,417</w:t>
            </w:r>
          </w:p>
        </w:tc>
        <w:tc>
          <w:tcPr>
            <w:tcW w:w="15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622,604</w:t>
            </w: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w:t>
            </w:r>
          </w:p>
        </w:tc>
      </w:tr>
      <w:tr>
        <w:trPr>
          <w:trHeight w:val="34"/>
        </w:trPr>
        <w:tc>
          <w:tcPr>
            <w:tcW w:w="10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75"/>
        </w:trPr>
        <w:tc>
          <w:tcPr>
            <w:tcW w:w="1440" w:type="dxa"/>
            <w:vAlign w:val="bottom"/>
            <w:gridSpan w:val="5"/>
          </w:tcPr>
          <w:p>
            <w:pPr>
              <w:spacing w:after="0" w:line="156" w:lineRule="exact"/>
              <w:rPr>
                <w:rFonts w:ascii="Arial" w:cs="Arial" w:eastAsia="Arial" w:hAnsi="Arial"/>
                <w:sz w:val="18"/>
                <w:szCs w:val="18"/>
                <w:color w:val="0000EE"/>
              </w:rPr>
            </w:pPr>
            <w:hyperlink r:id="rId21">
              <w:r>
                <w:rPr>
                  <w:rFonts w:ascii="Arial" w:cs="Arial" w:eastAsia="Arial" w:hAnsi="Arial"/>
                  <w:sz w:val="18"/>
                  <w:szCs w:val="18"/>
                  <w:color w:val="0000EE"/>
                </w:rPr>
                <w:t>March 10, 2020</w:t>
              </w:r>
            </w:hyperlink>
          </w:p>
        </w:tc>
        <w:tc>
          <w:tcPr>
            <w:tcW w:w="1900" w:type="dxa"/>
            <w:vAlign w:val="bottom"/>
          </w:tcPr>
          <w:p>
            <w:pPr>
              <w:jc w:val="center"/>
              <w:spacing w:after="0" w:line="156" w:lineRule="exact"/>
              <w:rPr>
                <w:sz w:val="20"/>
                <w:szCs w:val="20"/>
                <w:color w:val="auto"/>
              </w:rPr>
            </w:pPr>
            <w:r>
              <w:rPr>
                <w:rFonts w:ascii="Arial" w:cs="Arial" w:eastAsia="Arial" w:hAnsi="Arial"/>
                <w:sz w:val="18"/>
                <w:szCs w:val="18"/>
                <w:color w:val="auto"/>
                <w:w w:val="89"/>
              </w:rPr>
              <w:t>333-237057</w:t>
            </w:r>
          </w:p>
        </w:tc>
        <w:tc>
          <w:tcPr>
            <w:tcW w:w="120" w:type="dxa"/>
            <w:vAlign w:val="bottom"/>
          </w:tcPr>
          <w:p>
            <w:pPr>
              <w:spacing w:after="0"/>
              <w:rPr>
                <w:sz w:val="15"/>
                <w:szCs w:val="15"/>
                <w:color w:val="auto"/>
              </w:rPr>
            </w:pPr>
          </w:p>
        </w:tc>
        <w:tc>
          <w:tcPr>
            <w:tcW w:w="3240" w:type="dxa"/>
            <w:vAlign w:val="bottom"/>
            <w:gridSpan w:val="2"/>
          </w:tcPr>
          <w:p>
            <w:pPr>
              <w:jc w:val="center"/>
              <w:ind w:right="120"/>
              <w:spacing w:after="0" w:line="156" w:lineRule="exact"/>
              <w:rPr>
                <w:sz w:val="20"/>
                <w:szCs w:val="20"/>
                <w:color w:val="auto"/>
              </w:rPr>
            </w:pPr>
            <w:r>
              <w:rPr>
                <w:rFonts w:ascii="Arial" w:cs="Arial" w:eastAsia="Arial" w:hAnsi="Arial"/>
                <w:sz w:val="18"/>
                <w:szCs w:val="18"/>
                <w:color w:val="auto"/>
                <w:w w:val="91"/>
              </w:rPr>
              <w:t>“2020 Registration Statement”</w:t>
            </w:r>
          </w:p>
        </w:tc>
        <w:tc>
          <w:tcPr>
            <w:tcW w:w="154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3,552,709</w:t>
            </w:r>
          </w:p>
        </w:tc>
        <w:tc>
          <w:tcPr>
            <w:tcW w:w="156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w:t>
            </w:r>
          </w:p>
        </w:tc>
      </w:tr>
      <w:tr>
        <w:trPr>
          <w:trHeight w:val="34"/>
        </w:trPr>
        <w:tc>
          <w:tcPr>
            <w:tcW w:w="10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1160" w:type="dxa"/>
            <w:vAlign w:val="bottom"/>
            <w:tcBorders>
              <w:bottom w:val="single" w:sz="8" w:color="0000EE"/>
            </w:tcBorders>
            <w:gridSpan w:val="3"/>
            <w:shd w:val="clear" w:color="auto" w:fill="CCEEFF"/>
          </w:tcPr>
          <w:p>
            <w:pPr>
              <w:spacing w:after="0" w:line="15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March 12, 2021</w:t>
              </w:r>
            </w:hyperlink>
          </w:p>
        </w:tc>
        <w:tc>
          <w:tcPr>
            <w:tcW w:w="280" w:type="dxa"/>
            <w:vAlign w:val="bottom"/>
            <w:tcBorders>
              <w:bottom w:val="single" w:sz="8" w:color="CCEEFF"/>
            </w:tcBorders>
            <w:gridSpan w:val="2"/>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333-254187</w:t>
            </w:r>
          </w:p>
        </w:tc>
        <w:tc>
          <w:tcPr>
            <w:tcW w:w="12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gridSpan w:val="2"/>
            <w:shd w:val="clear" w:color="auto" w:fill="CCEEFF"/>
          </w:tcPr>
          <w:p>
            <w:pPr>
              <w:jc w:val="center"/>
              <w:ind w:right="120"/>
              <w:spacing w:after="0" w:line="156" w:lineRule="exact"/>
              <w:rPr>
                <w:sz w:val="20"/>
                <w:szCs w:val="20"/>
                <w:color w:val="auto"/>
              </w:rPr>
            </w:pPr>
            <w:r>
              <w:rPr>
                <w:rFonts w:ascii="Arial" w:cs="Arial" w:eastAsia="Arial" w:hAnsi="Arial"/>
                <w:sz w:val="18"/>
                <w:szCs w:val="18"/>
                <w:color w:val="auto"/>
                <w:w w:val="91"/>
              </w:rPr>
              <w:t>“2021 Registration Statement”</w:t>
            </w:r>
          </w:p>
        </w:tc>
        <w:tc>
          <w:tcPr>
            <w:tcW w:w="1540" w:type="dxa"/>
            <w:vAlign w:val="bottom"/>
            <w:tcBorders>
              <w:bottom w:val="single" w:sz="8" w:color="CCEEFF"/>
            </w:tcBorders>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3,743,999</w:t>
            </w:r>
          </w:p>
        </w:tc>
        <w:tc>
          <w:tcPr>
            <w:tcW w:w="1560" w:type="dxa"/>
            <w:vAlign w:val="bottom"/>
            <w:tcBorders>
              <w:bottom w:val="single" w:sz="8" w:color="CCEEFF"/>
            </w:tcBorders>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935,999</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457,767</w:t>
            </w:r>
          </w:p>
        </w:tc>
      </w:tr>
      <w:tr>
        <w:trPr>
          <w:trHeight w:val="175"/>
        </w:trPr>
        <w:tc>
          <w:tcPr>
            <w:tcW w:w="1440" w:type="dxa"/>
            <w:vAlign w:val="bottom"/>
            <w:gridSpan w:val="5"/>
          </w:tcPr>
          <w:p>
            <w:pPr>
              <w:spacing w:after="0" w:line="156" w:lineRule="exact"/>
              <w:rPr>
                <w:rFonts w:ascii="Arial" w:cs="Arial" w:eastAsia="Arial" w:hAnsi="Arial"/>
                <w:sz w:val="18"/>
                <w:szCs w:val="18"/>
                <w:color w:val="0000EE"/>
              </w:rPr>
            </w:pPr>
            <w:hyperlink r:id="rId23">
              <w:r>
                <w:rPr>
                  <w:rFonts w:ascii="Arial" w:cs="Arial" w:eastAsia="Arial" w:hAnsi="Arial"/>
                  <w:sz w:val="18"/>
                  <w:szCs w:val="18"/>
                  <w:color w:val="0000EE"/>
                </w:rPr>
                <w:t>March 1, 2022</w:t>
              </w:r>
            </w:hyperlink>
          </w:p>
        </w:tc>
        <w:tc>
          <w:tcPr>
            <w:tcW w:w="1900" w:type="dxa"/>
            <w:vAlign w:val="bottom"/>
          </w:tcPr>
          <w:p>
            <w:pPr>
              <w:jc w:val="center"/>
              <w:spacing w:after="0" w:line="156" w:lineRule="exact"/>
              <w:rPr>
                <w:sz w:val="20"/>
                <w:szCs w:val="20"/>
                <w:color w:val="auto"/>
              </w:rPr>
            </w:pPr>
            <w:r>
              <w:rPr>
                <w:rFonts w:ascii="Arial" w:cs="Arial" w:eastAsia="Arial" w:hAnsi="Arial"/>
                <w:sz w:val="18"/>
                <w:szCs w:val="18"/>
                <w:color w:val="auto"/>
                <w:w w:val="89"/>
              </w:rPr>
              <w:t>333-263145</w:t>
            </w:r>
          </w:p>
        </w:tc>
        <w:tc>
          <w:tcPr>
            <w:tcW w:w="120" w:type="dxa"/>
            <w:vAlign w:val="bottom"/>
          </w:tcPr>
          <w:p>
            <w:pPr>
              <w:spacing w:after="0"/>
              <w:rPr>
                <w:sz w:val="15"/>
                <w:szCs w:val="15"/>
                <w:color w:val="auto"/>
              </w:rPr>
            </w:pPr>
          </w:p>
        </w:tc>
        <w:tc>
          <w:tcPr>
            <w:tcW w:w="3240" w:type="dxa"/>
            <w:vAlign w:val="bottom"/>
            <w:gridSpan w:val="2"/>
          </w:tcPr>
          <w:p>
            <w:pPr>
              <w:jc w:val="center"/>
              <w:ind w:right="120"/>
              <w:spacing w:after="0" w:line="156" w:lineRule="exact"/>
              <w:rPr>
                <w:sz w:val="20"/>
                <w:szCs w:val="20"/>
                <w:color w:val="auto"/>
              </w:rPr>
            </w:pPr>
            <w:r>
              <w:rPr>
                <w:rFonts w:ascii="Arial" w:cs="Arial" w:eastAsia="Arial" w:hAnsi="Arial"/>
                <w:sz w:val="18"/>
                <w:szCs w:val="18"/>
                <w:color w:val="auto"/>
                <w:w w:val="91"/>
              </w:rPr>
              <w:t>“2022 Registration Statement”</w:t>
            </w:r>
          </w:p>
        </w:tc>
        <w:tc>
          <w:tcPr>
            <w:tcW w:w="154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5,207,301</w:t>
            </w:r>
          </w:p>
        </w:tc>
        <w:tc>
          <w:tcPr>
            <w:tcW w:w="1560" w:type="dxa"/>
            <w:vAlign w:val="bottom"/>
            <w:gridSpan w:val="2"/>
          </w:tcPr>
          <w:p>
            <w:pPr>
              <w:jc w:val="right"/>
              <w:ind w:right="220"/>
              <w:spacing w:after="0" w:line="15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8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2,000,000</w:t>
            </w:r>
          </w:p>
        </w:tc>
      </w:tr>
      <w:tr>
        <w:trPr>
          <w:trHeight w:val="20"/>
        </w:trPr>
        <w:tc>
          <w:tcPr>
            <w:tcW w:w="10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Registrant is hereby registering an additional 7,943,000 shares of Common Stock issuable under the 2014 Plan, and an additional 992,875 shares of Common Stock issuable under the ESPP which shares are now available for grant due to automatic annual increase provisions in the 2014 Plan and the ESPP. The Registrant is also hereby registering an additional 3,000,000 shares of Common Stock issuable under the 2016 Plan, which shares are now available for grant following the action of the Board of Directors on December 5, 2022.</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Instruction E of Form S-8, the contents of the Original Registration Statement, the 2015 Registration Statement, the 2016 Registration Statement, the 2016 Original Registration Statement, the 2017 Registration Statement, the 2018 Registration Statement the 2019 Registration Statement, the 2020 Registration Statement, the 2021 Registration Statement and the 2022 Registration Statement are incorporated by reference in this registration statement on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in Part I of Form S-8 is not being filed with or included in this Form S-8 (by incorporation by reference or otherwise) in accordance with the rules and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9"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In this registration statement, Ardelyx, Inc. is sometimes referred to as “Registrant,” “we,” “us” or “our.”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Incorporation of Documents by Reference</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 allows the Registrant to “incorporate by reference” the information it files with them, which means that the Registrant can disclose important information to you by referring to those documents. The information incorporated by reference is considered to be part of this registration statement, and later information filed with the SEC will update and supersede this information. The Registrant hereby incorporates by reference into this registration statement the following documents previously filed with the SEC:</w:t>
      </w:r>
    </w:p>
    <w:p>
      <w:pPr>
        <w:spacing w:after="0" w:line="187" w:lineRule="exact"/>
        <w:rPr>
          <w:sz w:val="20"/>
          <w:szCs w:val="20"/>
          <w:color w:val="auto"/>
        </w:rPr>
      </w:pPr>
    </w:p>
    <w:p>
      <w:pPr>
        <w:ind w:left="480" w:right="40" w:hanging="424"/>
        <w:spacing w:after="0" w:line="277" w:lineRule="auto"/>
        <w:tabs>
          <w:tab w:leader="none" w:pos="480" w:val="left"/>
        </w:tabs>
        <w:numPr>
          <w:ilvl w:val="0"/>
          <w:numId w:val="1"/>
        </w:numPr>
        <w:rPr>
          <w:rFonts w:ascii="Arial" w:cs="Arial" w:eastAsia="Arial" w:hAnsi="Arial"/>
          <w:sz w:val="18"/>
          <w:szCs w:val="18"/>
          <w:color w:val="0000EE"/>
        </w:rPr>
      </w:pPr>
      <w:hyperlink r:id="rId26">
        <w:r>
          <w:rPr>
            <w:rFonts w:ascii="Arial" w:cs="Arial" w:eastAsia="Arial" w:hAnsi="Arial"/>
            <w:sz w:val="18"/>
            <w:szCs w:val="18"/>
            <w:u w:val="single" w:color="auto"/>
            <w:color w:val="0000EE"/>
          </w:rPr>
          <w:t>The Registrant’s Annual Report on Form 10-K for the fiscal year ended December 31, 2022, as filed with the SEC on March 2, 2023 (File No. 001-</w:t>
        </w:r>
      </w:hyperlink>
      <w:hyperlink r:id="rId26">
        <w:r>
          <w:rPr>
            <w:rFonts w:ascii="Arial" w:cs="Arial" w:eastAsia="Arial" w:hAnsi="Arial"/>
            <w:sz w:val="18"/>
            <w:szCs w:val="18"/>
            <w:u w:val="single" w:color="auto"/>
            <w:color w:val="0000EE"/>
          </w:rPr>
          <w:t>36485)</w:t>
        </w:r>
        <w:r>
          <w:rPr>
            <w:rFonts w:ascii="Arial" w:cs="Arial" w:eastAsia="Arial" w:hAnsi="Arial"/>
            <w:sz w:val="18"/>
            <w:szCs w:val="18"/>
            <w:color w:val="000000"/>
            <w:highlight w:val="white"/>
          </w:rPr>
          <w:t>;</w:t>
        </w:r>
        <w:r>
          <w:rPr>
            <w:rFonts w:ascii="Arial" w:cs="Arial" w:eastAsia="Arial" w:hAnsi="Arial"/>
            <w:sz w:val="18"/>
            <w:szCs w:val="18"/>
            <w:color w:val="0000EE"/>
          </w:rPr>
          <w:t xml:space="preserve"> </w:t>
        </w:r>
        <w:r>
          <w:rPr>
            <w:rFonts w:ascii="Arial" w:cs="Arial" w:eastAsia="Arial" w:hAnsi="Arial"/>
            <w:sz w:val="18"/>
            <w:szCs w:val="18"/>
            <w:color w:val="000000"/>
          </w:rPr>
          <w:t>and</w:t>
        </w:r>
      </w:hyperlink>
    </w:p>
    <w:p>
      <w:pPr>
        <w:spacing w:after="0" w:line="170" w:lineRule="exact"/>
        <w:rPr>
          <w:rFonts w:ascii="Arial" w:cs="Arial" w:eastAsia="Arial" w:hAnsi="Arial"/>
          <w:sz w:val="18"/>
          <w:szCs w:val="18"/>
          <w:color w:val="0000EE"/>
        </w:rPr>
      </w:pPr>
    </w:p>
    <w:p>
      <w:pPr>
        <w:jc w:val="both"/>
        <w:ind w:left="480" w:right="60" w:hanging="424"/>
        <w:spacing w:after="0" w:line="257" w:lineRule="auto"/>
        <w:tabs>
          <w:tab w:leader="none" w:pos="480"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The description of the Registrant’s Common Stock contained in the Registrant’s registration statement on </w:t>
      </w:r>
      <w:hyperlink r:id="rId27">
        <w:r>
          <w:rPr>
            <w:rFonts w:ascii="Arial" w:cs="Arial" w:eastAsia="Arial" w:hAnsi="Arial"/>
            <w:sz w:val="18"/>
            <w:szCs w:val="18"/>
            <w:u w:val="single" w:color="auto"/>
            <w:color w:val="0000EE"/>
          </w:rPr>
          <w:t>Form 8-A (File No. 001-36485)</w:t>
        </w:r>
      </w:hyperlink>
      <w:r>
        <w:rPr>
          <w:rFonts w:ascii="Arial" w:cs="Arial" w:eastAsia="Arial" w:hAnsi="Arial"/>
          <w:sz w:val="18"/>
          <w:szCs w:val="18"/>
          <w:color w:val="auto"/>
        </w:rPr>
        <w:t xml:space="preserve">, filed by the Registrant with the SEC under Section 12 of the Securities Exchange Act of 1934, as amended (the “Exchange Act”), on June 9, 2014, as </w:t>
      </w:r>
      <w:hyperlink r:id="rId28">
        <w:r>
          <w:rPr>
            <w:rFonts w:ascii="Arial" w:cs="Arial" w:eastAsia="Arial" w:hAnsi="Arial"/>
            <w:sz w:val="18"/>
            <w:szCs w:val="18"/>
            <w:color w:val="auto"/>
          </w:rPr>
          <w:t xml:space="preserve">amended by the description of the Registrant’s Common Stock contained in </w:t>
        </w:r>
        <w:r>
          <w:rPr>
            <w:rFonts w:ascii="Arial" w:cs="Arial" w:eastAsia="Arial" w:hAnsi="Arial"/>
            <w:sz w:val="18"/>
            <w:szCs w:val="18"/>
            <w:u w:val="single" w:color="auto"/>
            <w:color w:val="0000EE"/>
          </w:rPr>
          <w:t>Exhibit 4.4 to the Registrant’s Annual Report on Form 10-K for the</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fiscal year ended December 31, 2020</w:t>
        </w:r>
        <w:r>
          <w:rPr>
            <w:rFonts w:ascii="Arial" w:cs="Arial" w:eastAsia="Arial" w:hAnsi="Arial"/>
            <w:sz w:val="18"/>
            <w:szCs w:val="18"/>
            <w:color w:val="000000"/>
          </w:rPr>
          <w:t>, filed on March 8, 2021, including any amendments or reports filed for the purpose of updating such</w:t>
        </w:r>
      </w:hyperlink>
      <w:r>
        <w:rPr>
          <w:rFonts w:ascii="Arial" w:cs="Arial" w:eastAsia="Arial" w:hAnsi="Arial"/>
          <w:sz w:val="18"/>
          <w:szCs w:val="18"/>
          <w:color w:val="0000EE"/>
        </w:rPr>
        <w:t xml:space="preserve"> </w:t>
      </w:r>
      <w:r>
        <w:rPr>
          <w:rFonts w:ascii="Arial" w:cs="Arial" w:eastAsia="Arial" w:hAnsi="Arial"/>
          <w:sz w:val="18"/>
          <w:szCs w:val="18"/>
          <w:color w:val="000000"/>
        </w:rPr>
        <w:t>description.</w:t>
      </w:r>
    </w:p>
    <w:p>
      <w:pPr>
        <w:spacing w:after="0" w:line="188" w:lineRule="exact"/>
        <w:rPr>
          <w:rFonts w:ascii="Arial" w:cs="Arial" w:eastAsia="Arial" w:hAnsi="Arial"/>
          <w:sz w:val="18"/>
          <w:szCs w:val="18"/>
          <w:color w:val="auto"/>
        </w:rPr>
      </w:pPr>
    </w:p>
    <w:p>
      <w:pPr>
        <w:jc w:val="both"/>
        <w:spacing w:after="0" w:line="289" w:lineRule="auto"/>
        <w:rPr>
          <w:sz w:val="20"/>
          <w:szCs w:val="20"/>
          <w:color w:val="auto"/>
        </w:rPr>
      </w:pPr>
      <w:r>
        <w:rPr>
          <w:rFonts w:ascii="Arial" w:cs="Arial" w:eastAsia="Arial" w:hAnsi="Arial"/>
          <w:sz w:val="16"/>
          <w:szCs w:val="16"/>
          <w:color w:val="auto"/>
        </w:rPr>
        <w:t>All documents that the Registrant subsequently files pursuant to Sections 13(a), 13(c), 14 and 15(d) of the Exchange Act prior to the filing of a post-effective amendment to the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 except as to any portion of any future annual or quarterly report to stockholders, or document or current report furnished under any current or future items of Form 8-K (including current Items 2.02 and 7.01, and exhibits furnished on such form that relate to such items), in each case, that is not deemed filed under such provisions.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66" w:lineRule="exact"/>
        <w:rPr>
          <w:rFonts w:ascii="Arial" w:cs="Arial" w:eastAsia="Arial" w:hAnsi="Arial"/>
          <w:sz w:val="18"/>
          <w:szCs w:val="18"/>
          <w:color w:val="auto"/>
        </w:rPr>
      </w:pPr>
    </w:p>
    <w:p>
      <w:pPr>
        <w:jc w:val="both"/>
        <w:ind w:right="20"/>
        <w:spacing w:after="0" w:line="277" w:lineRule="auto"/>
        <w:rPr>
          <w:sz w:val="20"/>
          <w:szCs w:val="20"/>
          <w:color w:val="auto"/>
        </w:rPr>
      </w:pPr>
      <w:r>
        <w:rPr>
          <w:rFonts w:ascii="Arial" w:cs="Arial" w:eastAsia="Arial" w:hAnsi="Arial"/>
          <w:sz w:val="18"/>
          <w:szCs w:val="18"/>
          <w:color w:val="auto"/>
        </w:rPr>
        <w:t>Under no circumstances will any information filed under current Items 2.02 or 7.01 of Form 8-K, and exhibits furnished on such form that relate to such items, be deemed incorporated herein by reference unless such Form 8-K expressly provides to the contrary.</w:t>
      </w:r>
    </w:p>
    <w:p>
      <w:pPr>
        <w:spacing w:after="0" w:line="16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Description of Securities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Interests of Named Experts and Counsel</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Indemnification of Directors and Officers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spacing w:after="0" w:line="257" w:lineRule="auto"/>
        <w:rPr>
          <w:sz w:val="20"/>
          <w:szCs w:val="20"/>
          <w:color w:val="auto"/>
        </w:rPr>
      </w:pPr>
      <w:r>
        <w:rPr>
          <w:rFonts w:ascii="Arial" w:cs="Arial" w:eastAsia="Arial" w:hAnsi="Arial"/>
          <w:sz w:val="18"/>
          <w:szCs w:val="18"/>
          <w:color w:val="auto"/>
        </w:rPr>
        <w:t>As permitted by Section 102 of the Delaware General Corporation Law, we have adopted provisions in our amended and restated certificate of incorporation and bylaws that limit or eliminate the personal liability of our directors for a breach of their fiduciary duties of care as directors.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permitted by Section 145 of the Delaware General Corporation Law, our amended and restated bylaws provide that:</w:t>
      </w:r>
    </w:p>
    <w:p>
      <w:pPr>
        <w:spacing w:after="0" w:line="225"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Delaware General Corporation Law, subject to limited exceptions;</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amended and restated certificate of incorporation and our amended and restated bylaws provide for the indemnification provisions described above and elsewhere herein. We have also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 of 1933, as amended (the “Securities 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Exemption from Registration Claimed</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360" w:type="dxa"/>
            <w:vAlign w:val="bottom"/>
            <w:gridSpan w:val="28"/>
          </w:tcPr>
          <w:p>
            <w:pPr>
              <w:spacing w:after="0"/>
              <w:rPr>
                <w:sz w:val="20"/>
                <w:szCs w:val="20"/>
                <w:color w:val="auto"/>
              </w:rPr>
            </w:pPr>
            <w:r>
              <w:rPr>
                <w:rFonts w:ascii="Arial" w:cs="Arial" w:eastAsia="Arial" w:hAnsi="Arial"/>
                <w:sz w:val="18"/>
                <w:szCs w:val="18"/>
                <w:b w:val="1"/>
                <w:bCs w:val="1"/>
                <w:color w:val="auto"/>
              </w:rPr>
              <w:t>Item 8. Exhibits.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gridSpan w:val="7"/>
            <w:vMerge w:val="restart"/>
          </w:tcPr>
          <w:p>
            <w:pPr>
              <w:ind w:left="40"/>
              <w:spacing w:after="0"/>
              <w:rPr>
                <w:sz w:val="20"/>
                <w:szCs w:val="20"/>
                <w:color w:val="auto"/>
              </w:rPr>
            </w:pPr>
            <w:r>
              <w:rPr>
                <w:rFonts w:ascii="Arial" w:cs="Arial" w:eastAsia="Arial" w:hAnsi="Arial"/>
                <w:sz w:val="18"/>
                <w:szCs w:val="18"/>
                <w:b w:val="1"/>
                <w:bCs w:val="1"/>
                <w:color w:val="auto"/>
                <w:w w:val="91"/>
              </w:rPr>
              <w:t>Incorporated by Reference</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40" w:type="dxa"/>
            <w:vAlign w:val="bottom"/>
          </w:tcPr>
          <w:p>
            <w:pPr>
              <w:spacing w:after="0"/>
              <w:rPr>
                <w:sz w:val="24"/>
                <w:szCs w:val="24"/>
                <w:color w:val="auto"/>
              </w:rPr>
            </w:pPr>
          </w:p>
        </w:tc>
        <w:tc>
          <w:tcPr>
            <w:tcW w:w="900" w:type="dxa"/>
            <w:vAlign w:val="bottom"/>
            <w:gridSpan w:val="6"/>
            <w:vMerge w:val="restart"/>
          </w:tcPr>
          <w:p>
            <w:pPr>
              <w:jc w:val="center"/>
              <w:ind w:right="280"/>
              <w:spacing w:after="0"/>
              <w:rPr>
                <w:sz w:val="20"/>
                <w:szCs w:val="20"/>
                <w:color w:val="auto"/>
              </w:rPr>
            </w:pPr>
            <w:r>
              <w:rPr>
                <w:rFonts w:ascii="Arial" w:cs="Arial" w:eastAsia="Arial" w:hAnsi="Arial"/>
                <w:sz w:val="18"/>
                <w:szCs w:val="18"/>
                <w:b w:val="1"/>
                <w:bCs w:val="1"/>
                <w:color w:val="auto"/>
                <w:w w:val="96"/>
              </w:rPr>
              <w:t>Exhibit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900" w:type="dxa"/>
            <w:vAlign w:val="bottom"/>
            <w:gridSpan w:val="6"/>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5"/>
          </w:tcPr>
          <w:p>
            <w:pPr>
              <w:jc w:val="center"/>
              <w:ind w:right="100"/>
              <w:spacing w:after="0" w:line="191" w:lineRule="exact"/>
              <w:rPr>
                <w:sz w:val="20"/>
                <w:szCs w:val="20"/>
                <w:color w:val="auto"/>
              </w:rPr>
            </w:pPr>
            <w:r>
              <w:rPr>
                <w:rFonts w:ascii="Arial" w:cs="Arial" w:eastAsia="Arial" w:hAnsi="Arial"/>
                <w:sz w:val="18"/>
                <w:szCs w:val="18"/>
                <w:b w:val="1"/>
                <w:bCs w:val="1"/>
                <w:color w:val="auto"/>
                <w:w w:val="96"/>
              </w:rPr>
              <w:t>Exhibit</w:t>
            </w:r>
          </w:p>
        </w:tc>
        <w:tc>
          <w:tcPr>
            <w:tcW w:w="1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4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60" w:type="dxa"/>
            <w:vAlign w:val="bottom"/>
            <w:gridSpan w:val="15"/>
          </w:tcPr>
          <w:p>
            <w:pPr>
              <w:ind w:left="560"/>
              <w:spacing w:after="0"/>
              <w:rPr>
                <w:sz w:val="20"/>
                <w:szCs w:val="20"/>
                <w:color w:val="auto"/>
              </w:rPr>
            </w:pPr>
            <w:r>
              <w:rPr>
                <w:rFonts w:ascii="Arial" w:cs="Arial" w:eastAsia="Arial" w:hAnsi="Arial"/>
                <w:sz w:val="18"/>
                <w:szCs w:val="18"/>
                <w:b w:val="1"/>
                <w:bCs w:val="1"/>
                <w:color w:val="auto"/>
              </w:rPr>
              <w:t>Exhibit Description</w:t>
            </w:r>
          </w:p>
        </w:tc>
        <w:tc>
          <w:tcPr>
            <w:tcW w:w="100" w:type="dxa"/>
            <w:vAlign w:val="bottom"/>
          </w:tcPr>
          <w:p>
            <w:pPr>
              <w:spacing w:after="0"/>
              <w:rPr>
                <w:sz w:val="20"/>
                <w:szCs w:val="20"/>
                <w:color w:val="auto"/>
              </w:rPr>
            </w:pPr>
          </w:p>
        </w:tc>
        <w:tc>
          <w:tcPr>
            <w:tcW w:w="7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7"/>
              </w:rPr>
              <w:t>Form</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2"/>
              </w:rPr>
              <w:t>Date</w:t>
            </w:r>
          </w:p>
        </w:tc>
        <w:tc>
          <w:tcPr>
            <w:tcW w:w="94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360" w:type="dxa"/>
            <w:vAlign w:val="bottom"/>
            <w:tcBorders>
              <w:top w:val="single" w:sz="8" w:color="auto"/>
            </w:tcBorders>
            <w:gridSpan w:val="2"/>
          </w:tcPr>
          <w:p>
            <w:pPr>
              <w:ind w:left="140"/>
              <w:spacing w:after="0" w:line="169" w:lineRule="exact"/>
              <w:rPr>
                <w:rFonts w:ascii="Arial" w:cs="Arial" w:eastAsia="Arial" w:hAnsi="Arial"/>
                <w:sz w:val="18"/>
                <w:szCs w:val="18"/>
                <w:color w:val="0000EE"/>
                <w:w w:val="79"/>
              </w:rPr>
            </w:pPr>
            <w:hyperlink r:id="rId31">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120" w:type="dxa"/>
            <w:vAlign w:val="bottom"/>
            <w:tcBorders>
              <w:top w:val="single" w:sz="8" w:color="auto"/>
            </w:tcBorders>
            <w:gridSpan w:val="19"/>
          </w:tcPr>
          <w:p>
            <w:pPr>
              <w:spacing w:after="0" w:line="169" w:lineRule="exact"/>
              <w:rPr>
                <w:rFonts w:ascii="Arial" w:cs="Arial" w:eastAsia="Arial" w:hAnsi="Arial"/>
                <w:sz w:val="18"/>
                <w:szCs w:val="18"/>
                <w:color w:val="0000EE"/>
              </w:rPr>
            </w:pPr>
            <w:hyperlink r:id="rId31">
              <w:r>
                <w:rPr>
                  <w:rFonts w:ascii="Arial" w:cs="Arial" w:eastAsia="Arial" w:hAnsi="Arial"/>
                  <w:sz w:val="18"/>
                  <w:szCs w:val="18"/>
                  <w:color w:val="0000EE"/>
                </w:rPr>
                <w:t>Amended and Restated Certificate of Incorporation.</w:t>
              </w:r>
            </w:hyperlink>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4"/>
          </w:tcPr>
          <w:p>
            <w:pPr>
              <w:jc w:val="center"/>
              <w:ind w:right="120"/>
              <w:spacing w:after="0" w:line="169" w:lineRule="exact"/>
              <w:rPr>
                <w:rFonts w:ascii="Arial" w:cs="Arial" w:eastAsia="Arial" w:hAnsi="Arial"/>
                <w:sz w:val="18"/>
                <w:szCs w:val="18"/>
                <w:color w:val="0000EE"/>
                <w:w w:val="99"/>
              </w:rPr>
            </w:pPr>
            <w:hyperlink r:id="rId31">
              <w:r>
                <w:rPr>
                  <w:rFonts w:ascii="Arial" w:cs="Arial" w:eastAsia="Arial" w:hAnsi="Arial"/>
                  <w:sz w:val="18"/>
                  <w:szCs w:val="18"/>
                  <w:color w:val="0000EE"/>
                  <w:w w:val="99"/>
                </w:rPr>
                <w:t>8-K</w:t>
              </w:r>
            </w:hyperlink>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jc w:val="center"/>
              <w:ind w:right="440"/>
              <w:spacing w:after="0" w:line="169" w:lineRule="exact"/>
              <w:rPr>
                <w:rFonts w:ascii="Arial" w:cs="Arial" w:eastAsia="Arial" w:hAnsi="Arial"/>
                <w:sz w:val="18"/>
                <w:szCs w:val="18"/>
                <w:color w:val="0000EE"/>
                <w:w w:val="84"/>
              </w:rPr>
            </w:pPr>
            <w:hyperlink r:id="rId31">
              <w:r>
                <w:rPr>
                  <w:rFonts w:ascii="Arial" w:cs="Arial" w:eastAsia="Arial" w:hAnsi="Arial"/>
                  <w:sz w:val="18"/>
                  <w:szCs w:val="18"/>
                  <w:color w:val="0000EE"/>
                  <w:w w:val="84"/>
                </w:rPr>
                <w:t>June 24, 2014</w:t>
              </w:r>
            </w:hyperlink>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3"/>
          </w:tcPr>
          <w:p>
            <w:pPr>
              <w:jc w:val="center"/>
              <w:ind w:left="150"/>
              <w:spacing w:after="0" w:line="169" w:lineRule="exact"/>
              <w:rPr>
                <w:rFonts w:ascii="Arial" w:cs="Arial" w:eastAsia="Arial" w:hAnsi="Arial"/>
                <w:sz w:val="18"/>
                <w:szCs w:val="18"/>
                <w:color w:val="0000EE"/>
                <w:w w:val="87"/>
              </w:rPr>
            </w:pPr>
            <w:hyperlink r:id="rId3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r:id="rId32">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Amended and Restated Bylaws.</w:t>
              </w:r>
            </w:hyperlink>
          </w:p>
        </w:tc>
        <w:tc>
          <w:tcPr>
            <w:tcW w:w="100" w:type="dxa"/>
            <w:vAlign w:val="bottom"/>
          </w:tcPr>
          <w:p>
            <w:pPr>
              <w:spacing w:after="0"/>
              <w:rPr>
                <w:sz w:val="17"/>
                <w:szCs w:val="17"/>
                <w:color w:val="auto"/>
              </w:rPr>
            </w:pPr>
          </w:p>
        </w:tc>
        <w:tc>
          <w:tcPr>
            <w:tcW w:w="700" w:type="dxa"/>
            <w:vAlign w:val="bottom"/>
            <w:gridSpan w:val="5"/>
          </w:tcPr>
          <w:p>
            <w:pPr>
              <w:jc w:val="center"/>
              <w:ind w:right="260"/>
              <w:spacing w:after="0" w:line="196" w:lineRule="exact"/>
              <w:rPr>
                <w:rFonts w:ascii="Arial" w:cs="Arial" w:eastAsia="Arial" w:hAnsi="Arial"/>
                <w:sz w:val="18"/>
                <w:szCs w:val="18"/>
                <w:color w:val="0000EE"/>
                <w:w w:val="99"/>
              </w:rPr>
            </w:pPr>
            <w:hyperlink r:id="rId32">
              <w:r>
                <w:rPr>
                  <w:rFonts w:ascii="Arial" w:cs="Arial" w:eastAsia="Arial" w:hAnsi="Arial"/>
                  <w:sz w:val="18"/>
                  <w:szCs w:val="18"/>
                  <w:color w:val="0000EE"/>
                  <w:w w:val="99"/>
                </w:rPr>
                <w:t>8-K</w:t>
              </w:r>
            </w:hyperlink>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5"/>
          </w:tcPr>
          <w:p>
            <w:pPr>
              <w:jc w:val="center"/>
              <w:ind w:right="680"/>
              <w:spacing w:after="0" w:line="196" w:lineRule="exact"/>
              <w:rPr>
                <w:rFonts w:ascii="Arial" w:cs="Arial" w:eastAsia="Arial" w:hAnsi="Arial"/>
                <w:sz w:val="18"/>
                <w:szCs w:val="18"/>
                <w:color w:val="0000EE"/>
                <w:w w:val="84"/>
              </w:rPr>
            </w:pPr>
            <w:hyperlink r:id="rId32">
              <w:r>
                <w:rPr>
                  <w:rFonts w:ascii="Arial" w:cs="Arial" w:eastAsia="Arial" w:hAnsi="Arial"/>
                  <w:sz w:val="18"/>
                  <w:szCs w:val="18"/>
                  <w:color w:val="0000EE"/>
                  <w:w w:val="84"/>
                </w:rPr>
                <w:t>June 24, 2014</w:t>
              </w:r>
            </w:hyperlink>
          </w:p>
        </w:tc>
        <w:tc>
          <w:tcPr>
            <w:tcW w:w="460" w:type="dxa"/>
            <w:vAlign w:val="bottom"/>
            <w:gridSpan w:val="3"/>
          </w:tcPr>
          <w:p>
            <w:pPr>
              <w:jc w:val="center"/>
              <w:ind w:left="150"/>
              <w:spacing w:after="0" w:line="196" w:lineRule="exact"/>
              <w:rPr>
                <w:rFonts w:ascii="Arial" w:cs="Arial" w:eastAsia="Arial" w:hAnsi="Arial"/>
                <w:sz w:val="18"/>
                <w:szCs w:val="18"/>
                <w:color w:val="0000EE"/>
                <w:w w:val="87"/>
              </w:rPr>
            </w:pPr>
            <w:hyperlink r:id="rId3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r:id="rId33">
              <w:r>
                <w:rPr>
                  <w:rFonts w:ascii="Arial" w:cs="Arial" w:eastAsia="Arial" w:hAnsi="Arial"/>
                  <w:sz w:val="18"/>
                  <w:szCs w:val="18"/>
                  <w:color w:val="0000EE"/>
                  <w:w w:val="79"/>
                </w:rPr>
                <w:t>4.</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Form of Common Stock Certificate.</w:t>
              </w:r>
            </w:hyperlink>
          </w:p>
        </w:tc>
        <w:tc>
          <w:tcPr>
            <w:tcW w:w="800" w:type="dxa"/>
            <w:vAlign w:val="bottom"/>
            <w:gridSpan w:val="6"/>
          </w:tcPr>
          <w:p>
            <w:pPr>
              <w:jc w:val="center"/>
              <w:ind w:right="160"/>
              <w:spacing w:after="0" w:line="196" w:lineRule="exact"/>
              <w:rPr>
                <w:rFonts w:ascii="Arial" w:cs="Arial" w:eastAsia="Arial" w:hAnsi="Arial"/>
                <w:sz w:val="18"/>
                <w:szCs w:val="18"/>
                <w:color w:val="0000EE"/>
                <w:w w:val="97"/>
              </w:rPr>
            </w:pPr>
            <w:hyperlink r:id="rId33">
              <w:r>
                <w:rPr>
                  <w:rFonts w:ascii="Arial" w:cs="Arial" w:eastAsia="Arial" w:hAnsi="Arial"/>
                  <w:sz w:val="18"/>
                  <w:szCs w:val="18"/>
                  <w:color w:val="0000EE"/>
                  <w:w w:val="97"/>
                </w:rPr>
                <w:t>S-1/A</w:t>
              </w:r>
            </w:hyperlink>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5"/>
          </w:tcPr>
          <w:p>
            <w:pPr>
              <w:jc w:val="center"/>
              <w:ind w:right="680"/>
              <w:spacing w:after="0" w:line="196" w:lineRule="exact"/>
              <w:rPr>
                <w:rFonts w:ascii="Arial" w:cs="Arial" w:eastAsia="Arial" w:hAnsi="Arial"/>
                <w:sz w:val="18"/>
                <w:szCs w:val="18"/>
                <w:color w:val="0000EE"/>
                <w:w w:val="84"/>
              </w:rPr>
            </w:pPr>
            <w:hyperlink r:id="rId33">
              <w:r>
                <w:rPr>
                  <w:rFonts w:ascii="Arial" w:cs="Arial" w:eastAsia="Arial" w:hAnsi="Arial"/>
                  <w:sz w:val="18"/>
                  <w:szCs w:val="18"/>
                  <w:color w:val="0000EE"/>
                  <w:w w:val="84"/>
                </w:rPr>
                <w:t>June 18, 2014</w:t>
              </w:r>
            </w:hyperlink>
          </w:p>
        </w:tc>
        <w:tc>
          <w:tcPr>
            <w:tcW w:w="460" w:type="dxa"/>
            <w:vAlign w:val="bottom"/>
            <w:gridSpan w:val="3"/>
          </w:tcPr>
          <w:p>
            <w:pPr>
              <w:jc w:val="center"/>
              <w:ind w:left="150"/>
              <w:spacing w:after="0" w:line="196" w:lineRule="exact"/>
              <w:rPr>
                <w:rFonts w:ascii="Arial" w:cs="Arial" w:eastAsia="Arial" w:hAnsi="Arial"/>
                <w:sz w:val="18"/>
                <w:szCs w:val="18"/>
                <w:color w:val="0000EE"/>
                <w:w w:val="87"/>
              </w:rPr>
            </w:pPr>
            <w:hyperlink r:id="rId3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sz w:val="20"/>
                <w:szCs w:val="20"/>
                <w:color w:val="auto"/>
              </w:rPr>
            </w:pPr>
            <w:r>
              <w:rPr>
                <w:rFonts w:ascii="Arial" w:cs="Arial" w:eastAsia="Arial" w:hAnsi="Arial"/>
                <w:sz w:val="18"/>
                <w:szCs w:val="18"/>
                <w:color w:val="0000EE"/>
                <w:w w:val="79"/>
              </w:rPr>
              <w:t>5.</w:t>
            </w:r>
            <w:r>
              <w:rPr>
                <w:rFonts w:ascii="Arial" w:cs="Arial" w:eastAsia="Arial" w:hAnsi="Arial"/>
                <w:sz w:val="18"/>
                <w:szCs w:val="18"/>
                <w:u w:val="single" w:color="auto"/>
                <w:color w:val="0000EE"/>
                <w:w w:val="79"/>
              </w:rPr>
              <w:t>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sz w:val="20"/>
                <w:szCs w:val="20"/>
                <w:color w:val="auto"/>
              </w:rPr>
            </w:pPr>
            <w:r>
              <w:rPr>
                <w:rFonts w:ascii="Arial" w:cs="Arial" w:eastAsia="Arial" w:hAnsi="Arial"/>
                <w:sz w:val="18"/>
                <w:szCs w:val="18"/>
                <w:color w:val="0000EE"/>
              </w:rPr>
              <w:t>Opinion of Latham &amp; Watkins LLP.</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gridSpan w:val="2"/>
          </w:tcPr>
          <w:p>
            <w:pPr>
              <w:jc w:val="center"/>
              <w:ind w:right="440"/>
              <w:spacing w:after="0" w:line="196" w:lineRule="exact"/>
              <w:rPr>
                <w:sz w:val="20"/>
                <w:szCs w:val="20"/>
                <w:color w:val="auto"/>
              </w:rPr>
            </w:pPr>
            <w:r>
              <w:rPr>
                <w:rFonts w:ascii="Arial" w:cs="Arial" w:eastAsia="Arial" w:hAnsi="Arial"/>
                <w:sz w:val="18"/>
                <w:szCs w:val="18"/>
                <w:color w:val="0000EE"/>
                <w:w w:val="99"/>
              </w:rPr>
              <w:t>X</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gridSpan w:val="3"/>
          </w:tcPr>
          <w:p>
            <w:pPr>
              <w:ind w:left="140"/>
              <w:spacing w:after="0" w:line="196" w:lineRule="exact"/>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sz w:val="20"/>
                <w:szCs w:val="20"/>
                <w:color w:val="auto"/>
              </w:rPr>
            </w:pPr>
            <w:r>
              <w:rPr>
                <w:rFonts w:ascii="Arial" w:cs="Arial" w:eastAsia="Arial" w:hAnsi="Arial"/>
                <w:sz w:val="18"/>
                <w:szCs w:val="18"/>
                <w:color w:val="0000EE"/>
              </w:rPr>
              <w:t>Consent of Independent Registered Public Accounting Firm.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gridSpan w:val="2"/>
          </w:tcPr>
          <w:p>
            <w:pPr>
              <w:jc w:val="center"/>
              <w:ind w:right="440"/>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gridSpan w:val="3"/>
          </w:tcPr>
          <w:p>
            <w:pPr>
              <w:ind w:left="140"/>
              <w:spacing w:after="0" w:line="196" w:lineRule="exact"/>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sz w:val="20"/>
                <w:szCs w:val="20"/>
                <w:color w:val="auto"/>
              </w:rPr>
            </w:pPr>
            <w:r>
              <w:rPr>
                <w:rFonts w:ascii="Arial" w:cs="Arial" w:eastAsia="Arial" w:hAnsi="Arial"/>
                <w:sz w:val="18"/>
                <w:szCs w:val="18"/>
                <w:color w:val="0000EE"/>
              </w:rPr>
              <w:t>Consent of Latham &amp; Watkins LLP (included in Exhibit 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gridSpan w:val="2"/>
          </w:tcPr>
          <w:p>
            <w:pPr>
              <w:jc w:val="center"/>
              <w:ind w:right="440"/>
              <w:spacing w:after="0" w:line="196" w:lineRule="exact"/>
              <w:rPr>
                <w:sz w:val="20"/>
                <w:szCs w:val="20"/>
                <w:color w:val="auto"/>
              </w:rPr>
            </w:pPr>
            <w:r>
              <w:rPr>
                <w:rFonts w:ascii="Arial" w:cs="Arial" w:eastAsia="Arial" w:hAnsi="Arial"/>
                <w:sz w:val="18"/>
                <w:szCs w:val="18"/>
                <w:color w:val="0000EE"/>
                <w:w w:val="99"/>
              </w:rPr>
              <w:t>X</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gridSpan w:val="3"/>
          </w:tcPr>
          <w:p>
            <w:pPr>
              <w:ind w:left="140"/>
              <w:spacing w:after="0" w:line="196" w:lineRule="exact"/>
              <w:rPr>
                <w:sz w:val="20"/>
                <w:szCs w:val="20"/>
                <w:color w:val="auto"/>
              </w:rPr>
            </w:pPr>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sz w:val="20"/>
                <w:szCs w:val="20"/>
                <w:color w:val="auto"/>
              </w:rPr>
            </w:pPr>
            <w:r>
              <w:rPr>
                <w:rFonts w:ascii="Arial" w:cs="Arial" w:eastAsia="Arial" w:hAnsi="Arial"/>
                <w:sz w:val="18"/>
                <w:szCs w:val="18"/>
                <w:color w:val="0000EE"/>
              </w:rPr>
              <w:t>Power of Attorney (included on signature page hereto).</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gridSpan w:val="2"/>
          </w:tcPr>
          <w:p>
            <w:pPr>
              <w:jc w:val="center"/>
              <w:ind w:right="440"/>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5"/>
          </w:tcPr>
          <w:p>
            <w:pPr>
              <w:ind w:left="140"/>
              <w:spacing w:after="0" w:line="196" w:lineRule="exact"/>
              <w:rPr>
                <w:rFonts w:ascii="Arial" w:cs="Arial" w:eastAsia="Arial" w:hAnsi="Arial"/>
                <w:sz w:val="18"/>
                <w:szCs w:val="18"/>
                <w:color w:val="0000EE"/>
                <w:w w:val="84"/>
              </w:rPr>
            </w:pPr>
            <w:hyperlink r:id="rId34">
              <w:r>
                <w:rPr>
                  <w:rFonts w:ascii="Arial" w:cs="Arial" w:eastAsia="Arial" w:hAnsi="Arial"/>
                  <w:sz w:val="18"/>
                  <w:szCs w:val="18"/>
                  <w:color w:val="0000EE"/>
                  <w:w w:val="84"/>
                </w:rPr>
                <w:t>99.</w:t>
              </w:r>
              <w:r>
                <w:rPr>
                  <w:rFonts w:ascii="Arial" w:cs="Arial" w:eastAsia="Arial" w:hAnsi="Arial"/>
                  <w:sz w:val="18"/>
                  <w:szCs w:val="18"/>
                  <w:u w:val="single" w:color="auto"/>
                  <w:color w:val="0000EE"/>
                  <w:w w:val="84"/>
                </w:rPr>
                <w:t>1(#)</w:t>
              </w:r>
            </w:hyperlink>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Ardelyx, Inc. 2014 Equity Incentive Award Plan.</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4"/>
          </w:tcPr>
          <w:p>
            <w:pPr>
              <w:jc w:val="center"/>
              <w:ind w:right="360"/>
              <w:spacing w:after="0" w:line="196" w:lineRule="exact"/>
              <w:rPr>
                <w:rFonts w:ascii="Arial" w:cs="Arial" w:eastAsia="Arial" w:hAnsi="Arial"/>
                <w:sz w:val="18"/>
                <w:szCs w:val="18"/>
                <w:color w:val="0000EE"/>
                <w:w w:val="85"/>
              </w:rPr>
            </w:pPr>
            <w:hyperlink r:id="rId34">
              <w:r>
                <w:rPr>
                  <w:rFonts w:ascii="Arial" w:cs="Arial" w:eastAsia="Arial" w:hAnsi="Arial"/>
                  <w:sz w:val="18"/>
                  <w:szCs w:val="18"/>
                  <w:color w:val="0000EE"/>
                  <w:w w:val="85"/>
                </w:rPr>
                <w:t>S-8</w:t>
              </w:r>
            </w:hyperlink>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5"/>
          </w:tcPr>
          <w:p>
            <w:pPr>
              <w:jc w:val="center"/>
              <w:ind w:right="700"/>
              <w:spacing w:after="0" w:line="196" w:lineRule="exact"/>
              <w:rPr>
                <w:rFonts w:ascii="Arial" w:cs="Arial" w:eastAsia="Arial" w:hAnsi="Arial"/>
                <w:sz w:val="18"/>
                <w:szCs w:val="18"/>
                <w:color w:val="0000EE"/>
                <w:w w:val="87"/>
              </w:rPr>
            </w:pPr>
            <w:hyperlink r:id="rId34">
              <w:r>
                <w:rPr>
                  <w:rFonts w:ascii="Arial" w:cs="Arial" w:eastAsia="Arial" w:hAnsi="Arial"/>
                  <w:sz w:val="18"/>
                  <w:szCs w:val="18"/>
                  <w:color w:val="0000EE"/>
                  <w:w w:val="87"/>
                </w:rPr>
                <w:t>July 14, 2014</w:t>
              </w:r>
            </w:hyperlink>
          </w:p>
        </w:tc>
        <w:tc>
          <w:tcPr>
            <w:tcW w:w="600" w:type="dxa"/>
            <w:vAlign w:val="bottom"/>
            <w:gridSpan w:val="4"/>
          </w:tcPr>
          <w:p>
            <w:pPr>
              <w:jc w:val="center"/>
              <w:spacing w:after="0" w:line="196" w:lineRule="exact"/>
              <w:rPr>
                <w:rFonts w:ascii="Arial" w:cs="Arial" w:eastAsia="Arial" w:hAnsi="Arial"/>
                <w:sz w:val="18"/>
                <w:szCs w:val="18"/>
                <w:color w:val="0000EE"/>
                <w:w w:val="91"/>
              </w:rPr>
            </w:pPr>
            <w:hyperlink r:id="rId34">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3</w:t>
              </w:r>
            </w:hyperlink>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5"/>
          </w:tcPr>
          <w:p>
            <w:pPr>
              <w:ind w:left="140"/>
              <w:spacing w:after="0" w:line="196" w:lineRule="exact"/>
              <w:rPr>
                <w:rFonts w:ascii="Arial" w:cs="Arial" w:eastAsia="Arial" w:hAnsi="Arial"/>
                <w:sz w:val="18"/>
                <w:szCs w:val="18"/>
                <w:color w:val="0000EE"/>
                <w:w w:val="84"/>
              </w:rPr>
            </w:pPr>
            <w:hyperlink r:id="rId35">
              <w:r>
                <w:rPr>
                  <w:rFonts w:ascii="Arial" w:cs="Arial" w:eastAsia="Arial" w:hAnsi="Arial"/>
                  <w:sz w:val="18"/>
                  <w:szCs w:val="18"/>
                  <w:color w:val="0000EE"/>
                  <w:w w:val="84"/>
                </w:rPr>
                <w:t>99.</w:t>
              </w:r>
              <w:r>
                <w:rPr>
                  <w:rFonts w:ascii="Arial" w:cs="Arial" w:eastAsia="Arial" w:hAnsi="Arial"/>
                  <w:sz w:val="18"/>
                  <w:szCs w:val="18"/>
                  <w:u w:val="single" w:color="auto"/>
                  <w:color w:val="0000EE"/>
                  <w:w w:val="84"/>
                </w:rPr>
                <w:t>2(#)</w:t>
              </w:r>
            </w:hyperlink>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Ardelyx, Inc. 2014 Employee Stock Purchase Plan.</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4"/>
          </w:tcPr>
          <w:p>
            <w:pPr>
              <w:jc w:val="center"/>
              <w:ind w:right="360"/>
              <w:spacing w:after="0" w:line="196" w:lineRule="exact"/>
              <w:rPr>
                <w:rFonts w:ascii="Arial" w:cs="Arial" w:eastAsia="Arial" w:hAnsi="Arial"/>
                <w:sz w:val="18"/>
                <w:szCs w:val="18"/>
                <w:color w:val="0000EE"/>
                <w:w w:val="85"/>
              </w:rPr>
            </w:pPr>
            <w:hyperlink r:id="rId35">
              <w:r>
                <w:rPr>
                  <w:rFonts w:ascii="Arial" w:cs="Arial" w:eastAsia="Arial" w:hAnsi="Arial"/>
                  <w:sz w:val="18"/>
                  <w:szCs w:val="18"/>
                  <w:color w:val="0000EE"/>
                  <w:w w:val="85"/>
                </w:rPr>
                <w:t>S-8</w:t>
              </w:r>
            </w:hyperlink>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5"/>
          </w:tcPr>
          <w:p>
            <w:pPr>
              <w:jc w:val="center"/>
              <w:ind w:right="700"/>
              <w:spacing w:after="0" w:line="196" w:lineRule="exact"/>
              <w:rPr>
                <w:rFonts w:ascii="Arial" w:cs="Arial" w:eastAsia="Arial" w:hAnsi="Arial"/>
                <w:sz w:val="18"/>
                <w:szCs w:val="18"/>
                <w:color w:val="0000EE"/>
                <w:w w:val="87"/>
              </w:rPr>
            </w:pPr>
            <w:hyperlink r:id="rId35">
              <w:r>
                <w:rPr>
                  <w:rFonts w:ascii="Arial" w:cs="Arial" w:eastAsia="Arial" w:hAnsi="Arial"/>
                  <w:sz w:val="18"/>
                  <w:szCs w:val="18"/>
                  <w:color w:val="0000EE"/>
                  <w:w w:val="87"/>
                </w:rPr>
                <w:t>July 14, 2014</w:t>
              </w:r>
            </w:hyperlink>
          </w:p>
        </w:tc>
        <w:tc>
          <w:tcPr>
            <w:tcW w:w="600" w:type="dxa"/>
            <w:vAlign w:val="bottom"/>
            <w:gridSpan w:val="4"/>
          </w:tcPr>
          <w:p>
            <w:pPr>
              <w:jc w:val="cente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6</w:t>
              </w:r>
            </w:hyperlink>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5"/>
          </w:tcPr>
          <w:p>
            <w:pPr>
              <w:ind w:left="140"/>
              <w:spacing w:after="0" w:line="196" w:lineRule="exact"/>
              <w:rPr>
                <w:sz w:val="20"/>
                <w:szCs w:val="20"/>
                <w:color w:val="auto"/>
              </w:rPr>
            </w:pPr>
            <w:r>
              <w:rPr>
                <w:rFonts w:ascii="Arial" w:cs="Arial" w:eastAsia="Arial" w:hAnsi="Arial"/>
                <w:sz w:val="18"/>
                <w:szCs w:val="18"/>
                <w:color w:val="0000EE"/>
                <w:w w:val="84"/>
              </w:rPr>
              <w:t>99.</w:t>
            </w:r>
            <w:r>
              <w:rPr>
                <w:rFonts w:ascii="Arial" w:cs="Arial" w:eastAsia="Arial" w:hAnsi="Arial"/>
                <w:sz w:val="18"/>
                <w:szCs w:val="18"/>
                <w:u w:val="single" w:color="auto"/>
                <w:color w:val="0000EE"/>
                <w:w w:val="84"/>
              </w:rPr>
              <w:t>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sz w:val="20"/>
                <w:szCs w:val="20"/>
                <w:color w:val="auto"/>
              </w:rPr>
            </w:pPr>
            <w:r>
              <w:rPr>
                <w:rFonts w:ascii="Arial" w:cs="Arial" w:eastAsia="Arial" w:hAnsi="Arial"/>
                <w:sz w:val="18"/>
                <w:szCs w:val="18"/>
                <w:color w:val="0000EE"/>
                <w:w w:val="98"/>
              </w:rPr>
              <w:t>Ardelyx, Inc. 2016 Employment Commencement Incentive Plan, as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4"/>
              </w:rPr>
              <w:t>amended.</w:t>
            </w:r>
          </w:p>
        </w:tc>
        <w:tc>
          <w:tcPr>
            <w:tcW w:w="4180" w:type="dxa"/>
            <w:vAlign w:val="bottom"/>
            <w:tcBorders>
              <w:top w:val="single" w:sz="8" w:color="0000EE"/>
            </w:tcBorders>
            <w:gridSpan w:val="13"/>
          </w:tcPr>
          <w:p>
            <w:pPr>
              <w:spacing w:after="0"/>
              <w:rPr>
                <w:sz w:val="17"/>
                <w:szCs w:val="17"/>
                <w:color w:val="auto"/>
              </w:rPr>
            </w:pPr>
          </w:p>
        </w:tc>
        <w:tc>
          <w:tcPr>
            <w:tcW w:w="4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gridSpan w:val="2"/>
          </w:tcPr>
          <w:p>
            <w:pPr>
              <w:jc w:val="center"/>
              <w:ind w:right="440"/>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660" w:type="dxa"/>
            <w:vAlign w:val="bottom"/>
            <w:gridSpan w:val="5"/>
          </w:tcPr>
          <w:p>
            <w:pPr>
              <w:ind w:left="140"/>
              <w:spacing w:after="0" w:line="196" w:lineRule="exact"/>
              <w:rPr>
                <w:rFonts w:ascii="Arial" w:cs="Arial" w:eastAsia="Arial" w:hAnsi="Arial"/>
                <w:sz w:val="18"/>
                <w:szCs w:val="18"/>
                <w:color w:val="0000EE"/>
                <w:w w:val="84"/>
              </w:rPr>
            </w:pPr>
            <w:hyperlink r:id="rId36">
              <w:r>
                <w:rPr>
                  <w:rFonts w:ascii="Arial" w:cs="Arial" w:eastAsia="Arial" w:hAnsi="Arial"/>
                  <w:sz w:val="18"/>
                  <w:szCs w:val="18"/>
                  <w:color w:val="0000EE"/>
                  <w:w w:val="84"/>
                </w:rPr>
                <w:t>99.</w:t>
              </w:r>
              <w:r>
                <w:rPr>
                  <w:rFonts w:ascii="Arial" w:cs="Arial" w:eastAsia="Arial" w:hAnsi="Arial"/>
                  <w:sz w:val="18"/>
                  <w:szCs w:val="18"/>
                  <w:u w:val="single" w:color="auto"/>
                  <w:color w:val="0000EE"/>
                  <w:w w:val="84"/>
                </w:rPr>
                <w:t>4(#)</w:t>
              </w:r>
            </w:hyperlink>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Form of Stock Option Grant Notice and Stock Option Agreement</w:t>
              </w:r>
            </w:hyperlink>
          </w:p>
        </w:tc>
        <w:tc>
          <w:tcPr>
            <w:tcW w:w="800" w:type="dxa"/>
            <w:vAlign w:val="bottom"/>
            <w:gridSpan w:val="6"/>
          </w:tcPr>
          <w:p>
            <w:pPr>
              <w:jc w:val="center"/>
              <w:ind w:right="160"/>
              <w:spacing w:after="0" w:line="196" w:lineRule="exact"/>
              <w:rPr>
                <w:rFonts w:ascii="Arial" w:cs="Arial" w:eastAsia="Arial" w:hAnsi="Arial"/>
                <w:sz w:val="18"/>
                <w:szCs w:val="18"/>
                <w:color w:val="0000EE"/>
                <w:w w:val="97"/>
              </w:rPr>
            </w:pPr>
            <w:hyperlink r:id="rId36">
              <w:r>
                <w:rPr>
                  <w:rFonts w:ascii="Arial" w:cs="Arial" w:eastAsia="Arial" w:hAnsi="Arial"/>
                  <w:sz w:val="18"/>
                  <w:szCs w:val="18"/>
                  <w:color w:val="0000EE"/>
                  <w:w w:val="97"/>
                </w:rPr>
                <w:t>S-1/A</w:t>
              </w:r>
            </w:hyperlink>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5"/>
          </w:tcPr>
          <w:p>
            <w:pPr>
              <w:jc w:val="center"/>
              <w:ind w:right="740"/>
              <w:spacing w:after="0" w:line="196" w:lineRule="exact"/>
              <w:rPr>
                <w:rFonts w:ascii="Arial" w:cs="Arial" w:eastAsia="Arial" w:hAnsi="Arial"/>
                <w:sz w:val="18"/>
                <w:szCs w:val="18"/>
                <w:color w:val="0000EE"/>
                <w:w w:val="86"/>
              </w:rPr>
            </w:pPr>
            <w:hyperlink r:id="rId36">
              <w:r>
                <w:rPr>
                  <w:rFonts w:ascii="Arial" w:cs="Arial" w:eastAsia="Arial" w:hAnsi="Arial"/>
                  <w:sz w:val="18"/>
                  <w:szCs w:val="18"/>
                  <w:color w:val="0000EE"/>
                  <w:w w:val="86"/>
                </w:rPr>
                <w:t>June 9, 2014</w:t>
              </w:r>
            </w:hyperlink>
          </w:p>
        </w:tc>
        <w:tc>
          <w:tcPr>
            <w:tcW w:w="80" w:type="dxa"/>
            <w:vAlign w:val="bottom"/>
          </w:tcPr>
          <w:p>
            <w:pPr>
              <w:spacing w:after="0"/>
              <w:rPr>
                <w:sz w:val="17"/>
                <w:szCs w:val="17"/>
                <w:color w:val="auto"/>
              </w:rPr>
            </w:pPr>
          </w:p>
        </w:tc>
        <w:tc>
          <w:tcPr>
            <w:tcW w:w="860" w:type="dxa"/>
            <w:vAlign w:val="bottom"/>
            <w:gridSpan w:val="5"/>
          </w:tcPr>
          <w:p>
            <w:pPr>
              <w:jc w:val="center"/>
              <w:ind w:right="340"/>
              <w:spacing w:after="0" w:line="196" w:lineRule="exact"/>
              <w:rPr>
                <w:rFonts w:ascii="Arial" w:cs="Arial" w:eastAsia="Arial" w:hAnsi="Arial"/>
                <w:sz w:val="18"/>
                <w:szCs w:val="18"/>
                <w:color w:val="0000EE"/>
                <w:w w:val="91"/>
              </w:rPr>
            </w:pPr>
            <w:hyperlink r:id="rId3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6(b)</w:t>
              </w:r>
            </w:hyperlink>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under the Ardelyx, Inc. 2014 Equity Incentive Award Plan.</w:t>
              </w:r>
            </w:hyperlink>
          </w:p>
        </w:tc>
        <w:tc>
          <w:tcPr>
            <w:tcW w:w="56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5"/>
          </w:tcPr>
          <w:p>
            <w:pPr>
              <w:ind w:left="140"/>
              <w:spacing w:after="0" w:line="196" w:lineRule="exact"/>
              <w:rPr>
                <w:rFonts w:ascii="Arial" w:cs="Arial" w:eastAsia="Arial" w:hAnsi="Arial"/>
                <w:sz w:val="18"/>
                <w:szCs w:val="18"/>
                <w:color w:val="0000EE"/>
                <w:w w:val="84"/>
              </w:rPr>
            </w:pPr>
            <w:hyperlink r:id="rId37">
              <w:r>
                <w:rPr>
                  <w:rFonts w:ascii="Arial" w:cs="Arial" w:eastAsia="Arial" w:hAnsi="Arial"/>
                  <w:sz w:val="18"/>
                  <w:szCs w:val="18"/>
                  <w:color w:val="0000EE"/>
                  <w:w w:val="84"/>
                </w:rPr>
                <w:t>99.</w:t>
              </w:r>
              <w:r>
                <w:rPr>
                  <w:rFonts w:ascii="Arial" w:cs="Arial" w:eastAsia="Arial" w:hAnsi="Arial"/>
                  <w:sz w:val="18"/>
                  <w:szCs w:val="18"/>
                  <w:u w:val="single" w:color="auto"/>
                  <w:color w:val="0000EE"/>
                  <w:w w:val="84"/>
                </w:rPr>
                <w:t>5(#)</w:t>
              </w:r>
            </w:hyperlink>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rFonts w:ascii="Arial" w:cs="Arial" w:eastAsia="Arial" w:hAnsi="Arial"/>
                <w:sz w:val="18"/>
                <w:szCs w:val="18"/>
                <w:color w:val="0000EE"/>
                <w:w w:val="94"/>
              </w:rPr>
            </w:pPr>
            <w:hyperlink r:id="rId37">
              <w:r>
                <w:rPr>
                  <w:rFonts w:ascii="Arial" w:cs="Arial" w:eastAsia="Arial" w:hAnsi="Arial"/>
                  <w:sz w:val="18"/>
                  <w:szCs w:val="18"/>
                  <w:color w:val="0000EE"/>
                  <w:w w:val="94"/>
                </w:rPr>
                <w:t>Form of Restricted Stock Award Agreement and Restricted Stock Unit</w:t>
              </w:r>
            </w:hyperlink>
          </w:p>
        </w:tc>
        <w:tc>
          <w:tcPr>
            <w:tcW w:w="800" w:type="dxa"/>
            <w:vAlign w:val="bottom"/>
            <w:gridSpan w:val="6"/>
          </w:tcPr>
          <w:p>
            <w:pPr>
              <w:jc w:val="center"/>
              <w:ind w:right="160"/>
              <w:spacing w:after="0" w:line="196" w:lineRule="exact"/>
              <w:rPr>
                <w:rFonts w:ascii="Arial" w:cs="Arial" w:eastAsia="Arial" w:hAnsi="Arial"/>
                <w:sz w:val="18"/>
                <w:szCs w:val="18"/>
                <w:color w:val="0000EE"/>
                <w:w w:val="97"/>
              </w:rPr>
            </w:pPr>
            <w:hyperlink r:id="rId37">
              <w:r>
                <w:rPr>
                  <w:rFonts w:ascii="Arial" w:cs="Arial" w:eastAsia="Arial" w:hAnsi="Arial"/>
                  <w:sz w:val="18"/>
                  <w:szCs w:val="18"/>
                  <w:color w:val="0000EE"/>
                  <w:w w:val="97"/>
                </w:rPr>
                <w:t>S-1/A</w:t>
              </w:r>
            </w:hyperlink>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5"/>
          </w:tcPr>
          <w:p>
            <w:pPr>
              <w:jc w:val="center"/>
              <w:ind w:right="740"/>
              <w:spacing w:after="0" w:line="196" w:lineRule="exact"/>
              <w:rPr>
                <w:rFonts w:ascii="Arial" w:cs="Arial" w:eastAsia="Arial" w:hAnsi="Arial"/>
                <w:sz w:val="18"/>
                <w:szCs w:val="18"/>
                <w:color w:val="0000EE"/>
                <w:w w:val="86"/>
              </w:rPr>
            </w:pPr>
            <w:hyperlink r:id="rId37">
              <w:r>
                <w:rPr>
                  <w:rFonts w:ascii="Arial" w:cs="Arial" w:eastAsia="Arial" w:hAnsi="Arial"/>
                  <w:sz w:val="18"/>
                  <w:szCs w:val="18"/>
                  <w:color w:val="0000EE"/>
                  <w:w w:val="86"/>
                </w:rPr>
                <w:t>June 9, 2014</w:t>
              </w:r>
            </w:hyperlink>
          </w:p>
        </w:tc>
        <w:tc>
          <w:tcPr>
            <w:tcW w:w="80" w:type="dxa"/>
            <w:vAlign w:val="bottom"/>
          </w:tcPr>
          <w:p>
            <w:pPr>
              <w:spacing w:after="0"/>
              <w:rPr>
                <w:sz w:val="17"/>
                <w:szCs w:val="17"/>
                <w:color w:val="auto"/>
              </w:rPr>
            </w:pPr>
          </w:p>
        </w:tc>
        <w:tc>
          <w:tcPr>
            <w:tcW w:w="860" w:type="dxa"/>
            <w:vAlign w:val="bottom"/>
            <w:gridSpan w:val="5"/>
          </w:tcPr>
          <w:p>
            <w:pPr>
              <w:jc w:val="center"/>
              <w:ind w:right="340"/>
              <w:spacing w:after="0" w:line="196" w:lineRule="exact"/>
              <w:rPr>
                <w:rFonts w:ascii="Arial" w:cs="Arial" w:eastAsia="Arial" w:hAnsi="Arial"/>
                <w:sz w:val="18"/>
                <w:szCs w:val="18"/>
                <w:color w:val="0000EE"/>
                <w:w w:val="92"/>
              </w:rPr>
            </w:pPr>
            <w:hyperlink r:id="rId37">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6(c)</w:t>
              </w:r>
            </w:hyperlink>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80" w:type="dxa"/>
            <w:vAlign w:val="bottom"/>
            <w:tcBorders>
              <w:top w:val="single" w:sz="8" w:color="0000EE"/>
            </w:tcBorders>
            <w:gridSpan w:val="18"/>
          </w:tcPr>
          <w:p>
            <w:pPr>
              <w:spacing w:after="0" w:line="196" w:lineRule="exact"/>
              <w:rPr>
                <w:rFonts w:ascii="Arial" w:cs="Arial" w:eastAsia="Arial" w:hAnsi="Arial"/>
                <w:sz w:val="18"/>
                <w:szCs w:val="18"/>
                <w:color w:val="0000EE"/>
                <w:w w:val="99"/>
              </w:rPr>
            </w:pPr>
            <w:hyperlink r:id="rId37">
              <w:r>
                <w:rPr>
                  <w:rFonts w:ascii="Arial" w:cs="Arial" w:eastAsia="Arial" w:hAnsi="Arial"/>
                  <w:sz w:val="18"/>
                  <w:szCs w:val="18"/>
                  <w:color w:val="0000EE"/>
                  <w:w w:val="99"/>
                </w:rPr>
                <w:t>Award Agreement under the Ardelyx, Inc. 2014 Equity Incentive</w:t>
              </w:r>
            </w:hyperlink>
          </w:p>
        </w:tc>
        <w:tc>
          <w:tcPr>
            <w:tcW w:w="2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Award Plan.</w:t>
              </w:r>
            </w:hyperlink>
          </w:p>
        </w:tc>
        <w:tc>
          <w:tcPr>
            <w:tcW w:w="60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5"/>
          </w:tcPr>
          <w:p>
            <w:pPr>
              <w:ind w:left="140"/>
              <w:spacing w:after="0" w:line="196" w:lineRule="exact"/>
              <w:rPr>
                <w:rFonts w:ascii="Arial" w:cs="Arial" w:eastAsia="Arial" w:hAnsi="Arial"/>
                <w:sz w:val="18"/>
                <w:szCs w:val="18"/>
                <w:color w:val="0000EE"/>
                <w:w w:val="84"/>
              </w:rPr>
            </w:pPr>
            <w:hyperlink r:id="rId38">
              <w:r>
                <w:rPr>
                  <w:rFonts w:ascii="Arial" w:cs="Arial" w:eastAsia="Arial" w:hAnsi="Arial"/>
                  <w:sz w:val="18"/>
                  <w:szCs w:val="18"/>
                  <w:color w:val="0000EE"/>
                  <w:w w:val="84"/>
                </w:rPr>
                <w:t>99.</w:t>
              </w:r>
              <w:r>
                <w:rPr>
                  <w:rFonts w:ascii="Arial" w:cs="Arial" w:eastAsia="Arial" w:hAnsi="Arial"/>
                  <w:sz w:val="18"/>
                  <w:szCs w:val="18"/>
                  <w:u w:val="single" w:color="auto"/>
                  <w:color w:val="0000EE"/>
                  <w:w w:val="84"/>
                </w:rPr>
                <w:t>6(#)</w:t>
              </w:r>
            </w:hyperlink>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Form of Stock Option Grant Notice and Stock Option Agreement</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4"/>
          </w:tcPr>
          <w:p>
            <w:pPr>
              <w:jc w:val="center"/>
              <w:ind w:right="360"/>
              <w:spacing w:after="0" w:line="196" w:lineRule="exact"/>
              <w:rPr>
                <w:rFonts w:ascii="Arial" w:cs="Arial" w:eastAsia="Arial" w:hAnsi="Arial"/>
                <w:sz w:val="18"/>
                <w:szCs w:val="18"/>
                <w:color w:val="0000EE"/>
                <w:w w:val="85"/>
              </w:rPr>
            </w:pPr>
            <w:hyperlink r:id="rId38">
              <w:r>
                <w:rPr>
                  <w:rFonts w:ascii="Arial" w:cs="Arial" w:eastAsia="Arial" w:hAnsi="Arial"/>
                  <w:sz w:val="18"/>
                  <w:szCs w:val="18"/>
                  <w:color w:val="0000EE"/>
                  <w:w w:val="85"/>
                </w:rPr>
                <w:t>S-8</w:t>
              </w:r>
            </w:hyperlink>
          </w:p>
        </w:tc>
        <w:tc>
          <w:tcPr>
            <w:tcW w:w="2140" w:type="dxa"/>
            <w:vAlign w:val="bottom"/>
            <w:gridSpan w:val="7"/>
          </w:tcPr>
          <w:p>
            <w:pPr>
              <w:jc w:val="center"/>
              <w:ind w:right="240"/>
              <w:spacing w:after="0" w:line="196" w:lineRule="exact"/>
              <w:rPr>
                <w:rFonts w:ascii="Arial" w:cs="Arial" w:eastAsia="Arial" w:hAnsi="Arial"/>
                <w:sz w:val="18"/>
                <w:szCs w:val="18"/>
                <w:color w:val="0000EE"/>
                <w:w w:val="89"/>
              </w:rPr>
            </w:pPr>
            <w:hyperlink r:id="rId38">
              <w:r>
                <w:rPr>
                  <w:rFonts w:ascii="Arial" w:cs="Arial" w:eastAsia="Arial" w:hAnsi="Arial"/>
                  <w:sz w:val="18"/>
                  <w:szCs w:val="18"/>
                  <w:color w:val="0000EE"/>
                  <w:w w:val="89"/>
                </w:rPr>
                <w:t>November 10, 2016</w:t>
              </w:r>
            </w:hyperlink>
          </w:p>
        </w:tc>
        <w:tc>
          <w:tcPr>
            <w:tcW w:w="600" w:type="dxa"/>
            <w:vAlign w:val="bottom"/>
            <w:gridSpan w:val="4"/>
          </w:tcPr>
          <w:p>
            <w:pPr>
              <w:jc w:val="cente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2</w:t>
              </w:r>
            </w:hyperlink>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140" w:type="dxa"/>
            <w:vAlign w:val="bottom"/>
            <w:tcBorders>
              <w:right w:val="single" w:sz="8" w:color="0000EE"/>
            </w:tcBorders>
            <w:gridSpan w:val="7"/>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under the Ardelyx, Inc. 2016 Employment Commencement Incentive</w:t>
              </w:r>
            </w:hyperlink>
          </w:p>
        </w:tc>
        <w:tc>
          <w:tcPr>
            <w:tcW w:w="2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Plan.</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5"/>
          </w:tcPr>
          <w:p>
            <w:pPr>
              <w:ind w:left="140"/>
              <w:spacing w:after="0" w:line="196" w:lineRule="exact"/>
              <w:rPr>
                <w:rFonts w:ascii="Arial" w:cs="Arial" w:eastAsia="Arial" w:hAnsi="Arial"/>
                <w:sz w:val="18"/>
                <w:szCs w:val="18"/>
                <w:color w:val="0000EE"/>
                <w:w w:val="84"/>
              </w:rPr>
            </w:pPr>
            <w:hyperlink r:id="rId39">
              <w:r>
                <w:rPr>
                  <w:rFonts w:ascii="Arial" w:cs="Arial" w:eastAsia="Arial" w:hAnsi="Arial"/>
                  <w:sz w:val="18"/>
                  <w:szCs w:val="18"/>
                  <w:color w:val="0000EE"/>
                  <w:w w:val="84"/>
                </w:rPr>
                <w:t>99.</w:t>
              </w:r>
              <w:r>
                <w:rPr>
                  <w:rFonts w:ascii="Arial" w:cs="Arial" w:eastAsia="Arial" w:hAnsi="Arial"/>
                  <w:sz w:val="18"/>
                  <w:szCs w:val="18"/>
                  <w:u w:val="single" w:color="auto"/>
                  <w:color w:val="0000EE"/>
                  <w:w w:val="84"/>
                </w:rPr>
                <w:t>7(#)</w:t>
              </w:r>
            </w:hyperlink>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rFonts w:ascii="Arial" w:cs="Arial" w:eastAsia="Arial" w:hAnsi="Arial"/>
                <w:sz w:val="18"/>
                <w:szCs w:val="18"/>
                <w:color w:val="0000EE"/>
                <w:w w:val="94"/>
              </w:rPr>
            </w:pPr>
            <w:hyperlink r:id="rId39">
              <w:r>
                <w:rPr>
                  <w:rFonts w:ascii="Arial" w:cs="Arial" w:eastAsia="Arial" w:hAnsi="Arial"/>
                  <w:sz w:val="18"/>
                  <w:szCs w:val="18"/>
                  <w:color w:val="0000EE"/>
                  <w:w w:val="94"/>
                </w:rPr>
                <w:t>Form of Restricted Stock Award Agreement and Restricted Stock Unit</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4"/>
          </w:tcPr>
          <w:p>
            <w:pPr>
              <w:jc w:val="center"/>
              <w:ind w:right="360"/>
              <w:spacing w:after="0" w:line="196" w:lineRule="exact"/>
              <w:rPr>
                <w:rFonts w:ascii="Arial" w:cs="Arial" w:eastAsia="Arial" w:hAnsi="Arial"/>
                <w:sz w:val="18"/>
                <w:szCs w:val="18"/>
                <w:color w:val="0000EE"/>
                <w:w w:val="85"/>
              </w:rPr>
            </w:pPr>
            <w:hyperlink r:id="rId39">
              <w:r>
                <w:rPr>
                  <w:rFonts w:ascii="Arial" w:cs="Arial" w:eastAsia="Arial" w:hAnsi="Arial"/>
                  <w:sz w:val="18"/>
                  <w:szCs w:val="18"/>
                  <w:color w:val="0000EE"/>
                  <w:w w:val="85"/>
                </w:rPr>
                <w:t>S-8</w:t>
              </w:r>
            </w:hyperlink>
          </w:p>
        </w:tc>
        <w:tc>
          <w:tcPr>
            <w:tcW w:w="2140" w:type="dxa"/>
            <w:vAlign w:val="bottom"/>
            <w:gridSpan w:val="7"/>
          </w:tcPr>
          <w:p>
            <w:pPr>
              <w:jc w:val="center"/>
              <w:ind w:right="240"/>
              <w:spacing w:after="0" w:line="196" w:lineRule="exact"/>
              <w:rPr>
                <w:rFonts w:ascii="Arial" w:cs="Arial" w:eastAsia="Arial" w:hAnsi="Arial"/>
                <w:sz w:val="18"/>
                <w:szCs w:val="18"/>
                <w:color w:val="0000EE"/>
                <w:w w:val="89"/>
              </w:rPr>
            </w:pPr>
            <w:hyperlink r:id="rId39">
              <w:r>
                <w:rPr>
                  <w:rFonts w:ascii="Arial" w:cs="Arial" w:eastAsia="Arial" w:hAnsi="Arial"/>
                  <w:sz w:val="18"/>
                  <w:szCs w:val="18"/>
                  <w:color w:val="0000EE"/>
                  <w:w w:val="89"/>
                </w:rPr>
                <w:t>November 10, 2016</w:t>
              </w:r>
            </w:hyperlink>
          </w:p>
        </w:tc>
        <w:tc>
          <w:tcPr>
            <w:tcW w:w="600" w:type="dxa"/>
            <w:vAlign w:val="bottom"/>
            <w:gridSpan w:val="4"/>
          </w:tcPr>
          <w:p>
            <w:pPr>
              <w:jc w:val="cente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4</w:t>
              </w:r>
            </w:hyperlink>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Award Agreement under the Ardelyx, Inc. 2016 Employment</w:t>
              </w:r>
            </w:hyperlink>
          </w:p>
        </w:tc>
        <w:tc>
          <w:tcPr>
            <w:tcW w:w="640" w:type="dxa"/>
            <w:vAlign w:val="bottom"/>
            <w:tcBorders>
              <w:top w:val="single" w:sz="8" w:color="0000EE"/>
            </w:tcBorders>
            <w:gridSpan w:val="5"/>
          </w:tcPr>
          <w:p>
            <w:pPr>
              <w:spacing w:after="0"/>
              <w:rPr>
                <w:sz w:val="17"/>
                <w:szCs w:val="17"/>
                <w:color w:val="auto"/>
              </w:rPr>
            </w:pPr>
          </w:p>
        </w:tc>
        <w:tc>
          <w:tcPr>
            <w:tcW w:w="2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80" w:type="dxa"/>
            <w:vAlign w:val="bottom"/>
            <w:gridSpan w:val="20"/>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Commencement Incentive Plan.</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gridSpan w:val="4"/>
          </w:tcPr>
          <w:p>
            <w:pPr>
              <w:ind w:left="140"/>
              <w:spacing w:after="0" w:line="196" w:lineRule="exact"/>
              <w:rPr>
                <w:sz w:val="20"/>
                <w:szCs w:val="20"/>
                <w:color w:val="auto"/>
              </w:rPr>
            </w:pPr>
            <w:r>
              <w:rPr>
                <w:rFonts w:ascii="Arial" w:cs="Arial" w:eastAsia="Arial" w:hAnsi="Arial"/>
                <w:sz w:val="18"/>
                <w:szCs w:val="18"/>
                <w:color w:val="0000EE"/>
                <w:w w:val="84"/>
              </w:rPr>
              <w:t>107.</w:t>
            </w:r>
            <w:r>
              <w:rPr>
                <w:rFonts w:ascii="Arial" w:cs="Arial" w:eastAsia="Arial" w:hAnsi="Arial"/>
                <w:sz w:val="18"/>
                <w:szCs w:val="18"/>
                <w:u w:val="single" w:color="auto"/>
                <w:color w:val="0000EE"/>
                <w:w w:val="84"/>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Filing Fee Table.</w:t>
            </w:r>
          </w:p>
        </w:tc>
        <w:tc>
          <w:tcPr>
            <w:tcW w:w="2980" w:type="dxa"/>
            <w:vAlign w:val="bottom"/>
            <w:gridSpan w:val="14"/>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gridSpan w:val="2"/>
          </w:tcPr>
          <w:p>
            <w:pPr>
              <w:jc w:val="center"/>
              <w:ind w:right="440"/>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#Indicates management contract or compensatory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Undertakings</w:t>
      </w:r>
      <w:r>
        <w:rPr>
          <w:rFonts w:ascii="Arial" w:cs="Arial" w:eastAsia="Arial" w:hAnsi="Arial"/>
          <w:sz w:val="18"/>
          <w:szCs w:val="18"/>
          <w:b w:val="1"/>
          <w:bCs w:val="1"/>
          <w:color w:val="auto"/>
        </w:rPr>
        <w:t>.</w:t>
      </w:r>
    </w:p>
    <w:p>
      <w:pPr>
        <w:spacing w:after="0" w:line="229"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660" w:firstLine="644"/>
        <w:spacing w:after="0" w:line="254" w:lineRule="auto"/>
        <w:tabs>
          <w:tab w:leader="none" w:pos="1581"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94" w:lineRule="exact"/>
        <w:rPr>
          <w:rFonts w:ascii="Arial" w:cs="Arial" w:eastAsia="Arial" w:hAnsi="Arial"/>
          <w:sz w:val="18"/>
          <w:szCs w:val="18"/>
          <w:color w:val="auto"/>
        </w:rPr>
      </w:pPr>
    </w:p>
    <w:p>
      <w:pPr>
        <w:ind w:left="1300" w:firstLine="4"/>
        <w:spacing w:after="0" w:line="277" w:lineRule="auto"/>
        <w:tabs>
          <w:tab w:leader="none" w:pos="1621"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Provided, however, that paragraphs (a)(1)(i) and (a)(1)(ii) do not apply if the registration statement is on Form S-8 and the information required to be included in a post-effective amendment by those paragraphs is contained in periodic reports filed with or furnished to the SEC by the Registrant pursuant to Section 13 or 15(d) of the Exchange Act that are incorporated by reference in the registration statement.</w:t>
      </w:r>
    </w:p>
    <w:p>
      <w:pPr>
        <w:spacing w:after="0" w:line="184" w:lineRule="exact"/>
        <w:rPr>
          <w:sz w:val="20"/>
          <w:szCs w:val="20"/>
          <w:color w:val="auto"/>
        </w:rPr>
      </w:pPr>
    </w:p>
    <w:p>
      <w:pPr>
        <w:jc w:val="both"/>
        <w:ind w:firstLine="656"/>
        <w:spacing w:after="0" w:line="263" w:lineRule="auto"/>
        <w:tabs>
          <w:tab w:leader="none" w:pos="91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firstLine="656"/>
        <w:spacing w:after="0" w:line="277" w:lineRule="auto"/>
        <w:tabs>
          <w:tab w:leader="none" w:pos="93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8"/>
        <w:spacing w:after="0" w:line="301" w:lineRule="auto"/>
        <w:tabs>
          <w:tab w:leader="none" w:pos="26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7" w:lineRule="exact"/>
        <w:rPr>
          <w:sz w:val="20"/>
          <w:szCs w:val="20"/>
          <w:color w:val="auto"/>
        </w:rPr>
      </w:pPr>
    </w:p>
    <w:p>
      <w:pPr>
        <w:jc w:val="both"/>
        <w:ind w:firstLine="8"/>
        <w:spacing w:after="0" w:line="296" w:lineRule="auto"/>
        <w:tabs>
          <w:tab w:leader="none" w:pos="256"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w:t>
      </w:r>
    </w:p>
    <w:p>
      <w:pPr>
        <w:sectPr>
          <w:pgSz w:w="11900" w:h="16838" w:orient="portrait"/>
          <w:cols w:equalWidth="0" w:num="1">
            <w:col w:w="11240"/>
          </w:cols>
          <w:pgMar w:left="320" w:top="891" w:right="339" w:bottom="0" w:gutter="0" w:footer="0" w:header="0"/>
        </w:sectPr>
      </w:pPr>
    </w:p>
    <w:bookmarkStart w:id="6" w:name="page7"/>
    <w:bookmarkEnd w:id="6"/>
    <w:p>
      <w:pPr>
        <w:spacing w:after="0" w:line="308" w:lineRule="auto"/>
        <w:rPr>
          <w:sz w:val="20"/>
          <w:szCs w:val="20"/>
          <w:color w:val="auto"/>
        </w:rPr>
      </w:pPr>
      <w:r>
        <w:rPr>
          <w:rFonts w:ascii="Arial" w:cs="Arial" w:eastAsia="Arial" w:hAnsi="Arial"/>
          <w:sz w:val="17"/>
          <w:szCs w:val="17"/>
          <w:color w:val="auto"/>
        </w:rPr>
        <w:t>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Waltham, Massachusetts, on March 6, 2023.</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ARDELYX,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Raab</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13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POWER OF ATTORNEY</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Michael Raab, Justin Renz and Elizabeth Grammer, and each of them, as attorneys-in-fact, each with the power of 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SEC,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such attorneys-in-fact and agents or any of them, or their substitute or substitutes, may lawfully do or cause to be done by virtue hereof.</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6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4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12"/>
        </w:trPr>
        <w:tc>
          <w:tcPr>
            <w:tcW w:w="4120" w:type="dxa"/>
            <w:vAlign w:val="bottom"/>
          </w:tcPr>
          <w:p>
            <w:pPr>
              <w:jc w:val="center"/>
              <w:spacing w:after="0"/>
              <w:rPr>
                <w:sz w:val="20"/>
                <w:szCs w:val="20"/>
                <w:color w:val="auto"/>
              </w:rPr>
            </w:pPr>
            <w:r>
              <w:rPr>
                <w:rFonts w:ascii="Arial" w:cs="Arial" w:eastAsia="Arial" w:hAnsi="Arial"/>
                <w:sz w:val="18"/>
                <w:szCs w:val="18"/>
                <w:color w:val="auto"/>
                <w:w w:val="90"/>
              </w:rPr>
              <w:t>/s/ Michael Raab</w:t>
            </w:r>
          </w:p>
        </w:tc>
        <w:tc>
          <w:tcPr>
            <w:tcW w:w="160" w:type="dxa"/>
            <w:vAlign w:val="bottom"/>
          </w:tcPr>
          <w:p>
            <w:pPr>
              <w:spacing w:after="0"/>
              <w:rPr>
                <w:sz w:val="24"/>
                <w:szCs w:val="24"/>
                <w:color w:val="auto"/>
              </w:rPr>
            </w:pPr>
          </w:p>
        </w:tc>
        <w:tc>
          <w:tcPr>
            <w:tcW w:w="51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President, Chief Executive Officer and</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6, 2023</w:t>
            </w:r>
          </w:p>
        </w:tc>
        <w:tc>
          <w:tcPr>
            <w:tcW w:w="0" w:type="dxa"/>
            <w:vAlign w:val="bottom"/>
          </w:tcPr>
          <w:p>
            <w:pPr>
              <w:spacing w:after="0"/>
              <w:rPr>
                <w:sz w:val="1"/>
                <w:szCs w:val="1"/>
                <w:color w:val="auto"/>
              </w:rPr>
            </w:pPr>
          </w:p>
        </w:tc>
      </w:tr>
      <w:tr>
        <w:trPr>
          <w:trHeight w:val="108"/>
        </w:trPr>
        <w:tc>
          <w:tcPr>
            <w:tcW w:w="4120" w:type="dxa"/>
            <w:vAlign w:val="bottom"/>
            <w:tcBorders>
              <w:bottom w:val="single" w:sz="8" w:color="auto"/>
            </w:tcBorders>
          </w:tcPr>
          <w:p>
            <w:pPr>
              <w:spacing w:after="0"/>
              <w:rPr>
                <w:sz w:val="9"/>
                <w:szCs w:val="9"/>
                <w:color w:val="auto"/>
              </w:rPr>
            </w:pPr>
          </w:p>
        </w:tc>
        <w:tc>
          <w:tcPr>
            <w:tcW w:w="160" w:type="dxa"/>
            <w:vAlign w:val="bottom"/>
            <w:vMerge w:val="restart"/>
          </w:tcPr>
          <w:p>
            <w:pPr>
              <w:spacing w:after="0"/>
              <w:rPr>
                <w:sz w:val="9"/>
                <w:szCs w:val="9"/>
                <w:color w:val="auto"/>
              </w:rPr>
            </w:pPr>
          </w:p>
        </w:tc>
        <w:tc>
          <w:tcPr>
            <w:tcW w:w="51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0"/>
              </w:rPr>
              <w:t>Michael Raab</w:t>
            </w:r>
          </w:p>
        </w:tc>
        <w:tc>
          <w:tcPr>
            <w:tcW w:w="160" w:type="dxa"/>
            <w:vAlign w:val="bottom"/>
            <w:vMerge w:val="continue"/>
          </w:tcPr>
          <w:p>
            <w:pPr>
              <w:spacing w:after="0"/>
              <w:rPr>
                <w:sz w:val="7"/>
                <w:szCs w:val="7"/>
                <w:color w:val="auto"/>
              </w:rPr>
            </w:pPr>
          </w:p>
        </w:tc>
        <w:tc>
          <w:tcPr>
            <w:tcW w:w="5160" w:type="dxa"/>
            <w:vAlign w:val="bottom"/>
            <w:gridSpan w:val="2"/>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51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Justin Renz</w:t>
            </w:r>
          </w:p>
        </w:tc>
        <w:tc>
          <w:tcPr>
            <w:tcW w:w="160" w:type="dxa"/>
            <w:vAlign w:val="bottom"/>
          </w:tcPr>
          <w:p>
            <w:pPr>
              <w:spacing w:after="0"/>
              <w:rPr>
                <w:sz w:val="24"/>
                <w:szCs w:val="24"/>
                <w:color w:val="auto"/>
              </w:rPr>
            </w:pPr>
          </w:p>
        </w:tc>
        <w:tc>
          <w:tcPr>
            <w:tcW w:w="51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Chief Financial and Operations Officer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6, 2023</w:t>
            </w:r>
          </w:p>
        </w:tc>
        <w:tc>
          <w:tcPr>
            <w:tcW w:w="0" w:type="dxa"/>
            <w:vAlign w:val="bottom"/>
          </w:tcPr>
          <w:p>
            <w:pPr>
              <w:spacing w:after="0"/>
              <w:rPr>
                <w:sz w:val="1"/>
                <w:szCs w:val="1"/>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89"/>
              </w:rPr>
              <w:t>Justin Renz</w:t>
            </w:r>
          </w:p>
        </w:tc>
        <w:tc>
          <w:tcPr>
            <w:tcW w:w="160" w:type="dxa"/>
            <w:vAlign w:val="bottom"/>
          </w:tcPr>
          <w:p>
            <w:pPr>
              <w:spacing w:after="0"/>
              <w:rPr>
                <w:sz w:val="19"/>
                <w:szCs w:val="19"/>
                <w:color w:val="auto"/>
              </w:rPr>
            </w:pPr>
          </w:p>
        </w:tc>
        <w:tc>
          <w:tcPr>
            <w:tcW w:w="516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Felsch</w:t>
            </w:r>
          </w:p>
        </w:tc>
        <w:tc>
          <w:tcPr>
            <w:tcW w:w="160" w:type="dxa"/>
            <w:vAlign w:val="bottom"/>
          </w:tcPr>
          <w:p>
            <w:pPr>
              <w:spacing w:after="0"/>
              <w:rPr>
                <w:sz w:val="24"/>
                <w:szCs w:val="24"/>
                <w:color w:val="auto"/>
              </w:rPr>
            </w:pPr>
          </w:p>
        </w:tc>
        <w:tc>
          <w:tcPr>
            <w:tcW w:w="516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Chief Accounting Officer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6, 2023</w:t>
            </w:r>
          </w:p>
        </w:tc>
        <w:tc>
          <w:tcPr>
            <w:tcW w:w="0" w:type="dxa"/>
            <w:vAlign w:val="bottom"/>
          </w:tcPr>
          <w:p>
            <w:pPr>
              <w:spacing w:after="0"/>
              <w:rPr>
                <w:sz w:val="1"/>
                <w:szCs w:val="1"/>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89"/>
              </w:rPr>
              <w:t>Robert Felsch</w:t>
            </w:r>
          </w:p>
        </w:tc>
        <w:tc>
          <w:tcPr>
            <w:tcW w:w="160" w:type="dxa"/>
            <w:vAlign w:val="bottom"/>
          </w:tcPr>
          <w:p>
            <w:pPr>
              <w:spacing w:after="0"/>
              <w:rPr>
                <w:sz w:val="19"/>
                <w:szCs w:val="19"/>
                <w:color w:val="auto"/>
              </w:rPr>
            </w:pPr>
          </w:p>
        </w:tc>
        <w:tc>
          <w:tcPr>
            <w:tcW w:w="51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accounting officer</w:t>
            </w:r>
            <w:r>
              <w:rPr>
                <w:rFonts w:ascii="Arial" w:cs="Arial" w:eastAsia="Arial" w:hAnsi="Arial"/>
                <w:sz w:val="18"/>
                <w:szCs w:val="18"/>
                <w:color w:val="auto"/>
                <w:w w:val="95"/>
              </w:rPr>
              <w:t>)</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Mott</w:t>
            </w:r>
          </w:p>
        </w:tc>
        <w:tc>
          <w:tcPr>
            <w:tcW w:w="160" w:type="dxa"/>
            <w:vAlign w:val="bottom"/>
          </w:tcPr>
          <w:p>
            <w:pPr>
              <w:spacing w:after="0"/>
              <w:rPr>
                <w:sz w:val="24"/>
                <w:szCs w:val="24"/>
                <w:color w:val="auto"/>
              </w:rPr>
            </w:pPr>
          </w:p>
        </w:tc>
        <w:tc>
          <w:tcPr>
            <w:tcW w:w="51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Chairman of the Board of Directors</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6, 2023</w:t>
            </w:r>
          </w:p>
        </w:tc>
        <w:tc>
          <w:tcPr>
            <w:tcW w:w="0" w:type="dxa"/>
            <w:vAlign w:val="bottom"/>
          </w:tcPr>
          <w:p>
            <w:pPr>
              <w:spacing w:after="0"/>
              <w:rPr>
                <w:sz w:val="1"/>
                <w:szCs w:val="1"/>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7"/>
              </w:rPr>
              <w:t>David Mott</w:t>
            </w:r>
          </w:p>
        </w:tc>
        <w:tc>
          <w:tcPr>
            <w:tcW w:w="1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Bazemore</w:t>
            </w:r>
          </w:p>
        </w:tc>
        <w:tc>
          <w:tcPr>
            <w:tcW w:w="160" w:type="dxa"/>
            <w:vAlign w:val="bottom"/>
          </w:tcPr>
          <w:p>
            <w:pPr>
              <w:spacing w:after="0"/>
              <w:rPr>
                <w:sz w:val="24"/>
                <w:szCs w:val="24"/>
                <w:color w:val="auto"/>
              </w:rPr>
            </w:pPr>
          </w:p>
        </w:tc>
        <w:tc>
          <w:tcPr>
            <w:tcW w:w="51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6, 2023</w:t>
            </w:r>
          </w:p>
        </w:tc>
        <w:tc>
          <w:tcPr>
            <w:tcW w:w="0" w:type="dxa"/>
            <w:vAlign w:val="bottom"/>
          </w:tcPr>
          <w:p>
            <w:pPr>
              <w:spacing w:after="0"/>
              <w:rPr>
                <w:sz w:val="1"/>
                <w:szCs w:val="1"/>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89"/>
              </w:rPr>
              <w:t>Robert Bazemore</w:t>
            </w:r>
          </w:p>
        </w:tc>
        <w:tc>
          <w:tcPr>
            <w:tcW w:w="1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William Bertrand, Jr.</w:t>
            </w:r>
          </w:p>
        </w:tc>
        <w:tc>
          <w:tcPr>
            <w:tcW w:w="160" w:type="dxa"/>
            <w:vAlign w:val="bottom"/>
          </w:tcPr>
          <w:p>
            <w:pPr>
              <w:spacing w:after="0"/>
              <w:rPr>
                <w:sz w:val="24"/>
                <w:szCs w:val="24"/>
                <w:color w:val="auto"/>
              </w:rPr>
            </w:pPr>
          </w:p>
        </w:tc>
        <w:tc>
          <w:tcPr>
            <w:tcW w:w="51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6, 2023</w:t>
            </w:r>
          </w:p>
        </w:tc>
        <w:tc>
          <w:tcPr>
            <w:tcW w:w="0" w:type="dxa"/>
            <w:vAlign w:val="bottom"/>
          </w:tcPr>
          <w:p>
            <w:pPr>
              <w:spacing w:after="0"/>
              <w:rPr>
                <w:sz w:val="1"/>
                <w:szCs w:val="1"/>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2"/>
              </w:rPr>
              <w:t>William Bertrand, Jr.</w:t>
            </w:r>
          </w:p>
        </w:tc>
        <w:tc>
          <w:tcPr>
            <w:tcW w:w="1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Muna Bhanji</w:t>
            </w:r>
          </w:p>
        </w:tc>
        <w:tc>
          <w:tcPr>
            <w:tcW w:w="160" w:type="dxa"/>
            <w:vAlign w:val="bottom"/>
          </w:tcPr>
          <w:p>
            <w:pPr>
              <w:spacing w:after="0"/>
              <w:rPr>
                <w:sz w:val="24"/>
                <w:szCs w:val="24"/>
                <w:color w:val="auto"/>
              </w:rPr>
            </w:pPr>
          </w:p>
        </w:tc>
        <w:tc>
          <w:tcPr>
            <w:tcW w:w="51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6, 2023</w:t>
            </w:r>
          </w:p>
        </w:tc>
        <w:tc>
          <w:tcPr>
            <w:tcW w:w="0" w:type="dxa"/>
            <w:vAlign w:val="bottom"/>
          </w:tcPr>
          <w:p>
            <w:pPr>
              <w:spacing w:after="0"/>
              <w:rPr>
                <w:sz w:val="1"/>
                <w:szCs w:val="1"/>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3"/>
              </w:rPr>
              <w:t>Muna Bhanji</w:t>
            </w:r>
          </w:p>
        </w:tc>
        <w:tc>
          <w:tcPr>
            <w:tcW w:w="1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Geoffrey A. Block</w:t>
            </w:r>
          </w:p>
        </w:tc>
        <w:tc>
          <w:tcPr>
            <w:tcW w:w="160" w:type="dxa"/>
            <w:vAlign w:val="bottom"/>
          </w:tcPr>
          <w:p>
            <w:pPr>
              <w:spacing w:after="0"/>
              <w:rPr>
                <w:sz w:val="24"/>
                <w:szCs w:val="24"/>
                <w:color w:val="auto"/>
              </w:rPr>
            </w:pPr>
          </w:p>
        </w:tc>
        <w:tc>
          <w:tcPr>
            <w:tcW w:w="51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6, 2023</w:t>
            </w:r>
          </w:p>
        </w:tc>
        <w:tc>
          <w:tcPr>
            <w:tcW w:w="0" w:type="dxa"/>
            <w:vAlign w:val="bottom"/>
          </w:tcPr>
          <w:p>
            <w:pPr>
              <w:spacing w:after="0"/>
              <w:rPr>
                <w:sz w:val="1"/>
                <w:szCs w:val="1"/>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5"/>
              </w:rPr>
              <w:t>Geoffrey A. Block</w:t>
            </w:r>
          </w:p>
        </w:tc>
        <w:tc>
          <w:tcPr>
            <w:tcW w:w="1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Onaiza Cadoret-Manier</w:t>
            </w:r>
          </w:p>
        </w:tc>
        <w:tc>
          <w:tcPr>
            <w:tcW w:w="160" w:type="dxa"/>
            <w:vAlign w:val="bottom"/>
          </w:tcPr>
          <w:p>
            <w:pPr>
              <w:spacing w:after="0"/>
              <w:rPr>
                <w:sz w:val="24"/>
                <w:szCs w:val="24"/>
                <w:color w:val="auto"/>
              </w:rPr>
            </w:pPr>
          </w:p>
        </w:tc>
        <w:tc>
          <w:tcPr>
            <w:tcW w:w="51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6, 2023</w:t>
            </w:r>
          </w:p>
        </w:tc>
        <w:tc>
          <w:tcPr>
            <w:tcW w:w="0" w:type="dxa"/>
            <w:vAlign w:val="bottom"/>
          </w:tcPr>
          <w:p>
            <w:pPr>
              <w:spacing w:after="0"/>
              <w:rPr>
                <w:sz w:val="1"/>
                <w:szCs w:val="1"/>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0"/>
              </w:rPr>
              <w:t>Onaiza Cadoret-Manier</w:t>
            </w:r>
          </w:p>
        </w:tc>
        <w:tc>
          <w:tcPr>
            <w:tcW w:w="1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Jan M. Lundberg</w:t>
            </w:r>
          </w:p>
        </w:tc>
        <w:tc>
          <w:tcPr>
            <w:tcW w:w="160" w:type="dxa"/>
            <w:vAlign w:val="bottom"/>
          </w:tcPr>
          <w:p>
            <w:pPr>
              <w:spacing w:after="0"/>
              <w:rPr>
                <w:sz w:val="24"/>
                <w:szCs w:val="24"/>
                <w:color w:val="auto"/>
              </w:rPr>
            </w:pPr>
          </w:p>
        </w:tc>
        <w:tc>
          <w:tcPr>
            <w:tcW w:w="51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6, 2023</w:t>
            </w:r>
          </w:p>
        </w:tc>
        <w:tc>
          <w:tcPr>
            <w:tcW w:w="0" w:type="dxa"/>
            <w:vAlign w:val="bottom"/>
          </w:tcPr>
          <w:p>
            <w:pPr>
              <w:spacing w:after="0"/>
              <w:rPr>
                <w:sz w:val="1"/>
                <w:szCs w:val="1"/>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1"/>
              </w:rPr>
              <w:t>Jan M. Lundberg, Ph.D.</w:t>
            </w:r>
          </w:p>
        </w:tc>
        <w:tc>
          <w:tcPr>
            <w:tcW w:w="1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Richard Rodgers</w:t>
            </w:r>
          </w:p>
        </w:tc>
        <w:tc>
          <w:tcPr>
            <w:tcW w:w="160" w:type="dxa"/>
            <w:vAlign w:val="bottom"/>
          </w:tcPr>
          <w:p>
            <w:pPr>
              <w:spacing w:after="0"/>
              <w:rPr>
                <w:sz w:val="24"/>
                <w:szCs w:val="24"/>
                <w:color w:val="auto"/>
              </w:rPr>
            </w:pPr>
          </w:p>
        </w:tc>
        <w:tc>
          <w:tcPr>
            <w:tcW w:w="51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March 6, 2023</w:t>
            </w:r>
          </w:p>
        </w:tc>
        <w:tc>
          <w:tcPr>
            <w:tcW w:w="0" w:type="dxa"/>
            <w:vAlign w:val="bottom"/>
          </w:tcPr>
          <w:p>
            <w:pPr>
              <w:spacing w:after="0"/>
              <w:rPr>
                <w:sz w:val="1"/>
                <w:szCs w:val="1"/>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0"/>
              </w:rPr>
              <w:t>Richard Rodgers</w:t>
            </w:r>
          </w:p>
        </w:tc>
        <w:tc>
          <w:tcPr>
            <w:tcW w:w="1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9"/>
        </w:trPr>
        <w:tc>
          <w:tcPr>
            <w:tcW w:w="4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7"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940" w:type="dxa"/>
            <w:vAlign w:val="bottom"/>
            <w:gridSpan w:val="2"/>
          </w:tcPr>
          <w:p>
            <w:pPr>
              <w:ind w:left="1100"/>
              <w:spacing w:after="0"/>
              <w:rPr>
                <w:sz w:val="20"/>
                <w:szCs w:val="20"/>
                <w:color w:val="auto"/>
              </w:rPr>
            </w:pPr>
            <w:r>
              <w:rPr>
                <w:rFonts w:ascii="Arial" w:cs="Arial" w:eastAsia="Arial" w:hAnsi="Arial"/>
                <w:sz w:val="18"/>
                <w:szCs w:val="18"/>
                <w:b w:val="1"/>
                <w:bCs w:val="1"/>
                <w:color w:val="auto"/>
                <w:w w:val="91"/>
              </w:rPr>
              <w:t>Exhibit 5.1</w:t>
            </w:r>
          </w:p>
        </w:tc>
      </w:tr>
      <w:tr>
        <w:trPr>
          <w:trHeight w:val="418"/>
        </w:trPr>
        <w:tc>
          <w:tcPr>
            <w:tcW w:w="1960" w:type="dxa"/>
            <w:vAlign w:val="bottom"/>
          </w:tcPr>
          <w:p>
            <w:pPr>
              <w:spacing w:after="0"/>
              <w:rPr>
                <w:sz w:val="24"/>
                <w:szCs w:val="24"/>
                <w:color w:val="auto"/>
              </w:rPr>
            </w:pPr>
          </w:p>
        </w:tc>
        <w:tc>
          <w:tcPr>
            <w:tcW w:w="7340" w:type="dxa"/>
            <w:vAlign w:val="bottom"/>
          </w:tcPr>
          <w:p>
            <w:pPr>
              <w:ind w:left="5920"/>
              <w:spacing w:after="0"/>
              <w:rPr>
                <w:sz w:val="20"/>
                <w:szCs w:val="20"/>
                <w:color w:val="auto"/>
              </w:rPr>
            </w:pPr>
            <w:r>
              <w:rPr>
                <w:rFonts w:ascii="Arial" w:cs="Arial" w:eastAsia="Arial" w:hAnsi="Arial"/>
                <w:sz w:val="18"/>
                <w:szCs w:val="18"/>
                <w:color w:val="auto"/>
              </w:rPr>
              <w:t>140 Scott Drive</w:t>
            </w: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1960" w:type="dxa"/>
            <w:vAlign w:val="bottom"/>
          </w:tcPr>
          <w:p>
            <w:pPr>
              <w:spacing w:after="0"/>
              <w:rPr>
                <w:sz w:val="18"/>
                <w:szCs w:val="18"/>
                <w:color w:val="auto"/>
              </w:rPr>
            </w:pPr>
          </w:p>
        </w:tc>
        <w:tc>
          <w:tcPr>
            <w:tcW w:w="9280" w:type="dxa"/>
            <w:vAlign w:val="bottom"/>
            <w:gridSpan w:val="3"/>
          </w:tcPr>
          <w:p>
            <w:pPr>
              <w:ind w:left="5920"/>
              <w:spacing w:after="0"/>
              <w:rPr>
                <w:sz w:val="20"/>
                <w:szCs w:val="20"/>
                <w:color w:val="auto"/>
              </w:rPr>
            </w:pPr>
            <w:r>
              <w:rPr>
                <w:rFonts w:ascii="Arial" w:cs="Arial" w:eastAsia="Arial" w:hAnsi="Arial"/>
                <w:sz w:val="18"/>
                <w:szCs w:val="18"/>
                <w:color w:val="auto"/>
              </w:rPr>
              <w:t>Menlo Park, California 94025</w:t>
            </w:r>
          </w:p>
        </w:tc>
      </w:tr>
      <w:tr>
        <w:trPr>
          <w:trHeight w:val="216"/>
        </w:trPr>
        <w:tc>
          <w:tcPr>
            <w:tcW w:w="1960" w:type="dxa"/>
            <w:vAlign w:val="bottom"/>
          </w:tcPr>
          <w:p>
            <w:pPr>
              <w:spacing w:after="0"/>
              <w:rPr>
                <w:sz w:val="18"/>
                <w:szCs w:val="18"/>
                <w:color w:val="auto"/>
              </w:rPr>
            </w:pPr>
          </w:p>
        </w:tc>
        <w:tc>
          <w:tcPr>
            <w:tcW w:w="9280" w:type="dxa"/>
            <w:vAlign w:val="bottom"/>
            <w:gridSpan w:val="3"/>
          </w:tcPr>
          <w:p>
            <w:pPr>
              <w:ind w:left="5920"/>
              <w:spacing w:after="0"/>
              <w:rPr>
                <w:sz w:val="20"/>
                <w:szCs w:val="20"/>
                <w:color w:val="auto"/>
              </w:rPr>
            </w:pPr>
            <w:r>
              <w:rPr>
                <w:rFonts w:ascii="Arial" w:cs="Arial" w:eastAsia="Arial" w:hAnsi="Arial"/>
                <w:sz w:val="18"/>
                <w:szCs w:val="18"/>
                <w:color w:val="auto"/>
                <w:w w:val="95"/>
              </w:rPr>
              <w:t>Tel: +1.650.328.4600 Fax: +1.650.463.2600</w:t>
            </w:r>
          </w:p>
        </w:tc>
      </w:tr>
      <w:tr>
        <w:trPr>
          <w:trHeight w:val="230"/>
        </w:trPr>
        <w:tc>
          <w:tcPr>
            <w:tcW w:w="1960" w:type="dxa"/>
            <w:vAlign w:val="bottom"/>
          </w:tcPr>
          <w:p>
            <w:pPr>
              <w:spacing w:after="0"/>
              <w:rPr>
                <w:sz w:val="20"/>
                <w:szCs w:val="20"/>
                <w:color w:val="auto"/>
              </w:rPr>
            </w:pPr>
          </w:p>
        </w:tc>
        <w:tc>
          <w:tcPr>
            <w:tcW w:w="7340" w:type="dxa"/>
            <w:vAlign w:val="bottom"/>
          </w:tcPr>
          <w:p>
            <w:pPr>
              <w:ind w:left="5920"/>
              <w:spacing w:after="0"/>
              <w:rPr>
                <w:sz w:val="20"/>
                <w:szCs w:val="20"/>
                <w:color w:val="auto"/>
              </w:rPr>
            </w:pPr>
            <w:r>
              <w:rPr>
                <w:rFonts w:ascii="Arial" w:cs="Arial" w:eastAsia="Arial" w:hAnsi="Arial"/>
                <w:sz w:val="18"/>
                <w:szCs w:val="18"/>
                <w:color w:val="auto"/>
              </w:rPr>
              <w:t>www.lw.com</w:t>
            </w: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1960" w:type="dxa"/>
            <w:vAlign w:val="bottom"/>
          </w:tcPr>
          <w:p>
            <w:pPr>
              <w:spacing w:after="0"/>
              <w:rPr>
                <w:sz w:val="24"/>
                <w:szCs w:val="24"/>
                <w:color w:val="auto"/>
              </w:rPr>
            </w:pPr>
          </w:p>
        </w:tc>
        <w:tc>
          <w:tcPr>
            <w:tcW w:w="9280" w:type="dxa"/>
            <w:vAlign w:val="bottom"/>
            <w:gridSpan w:val="3"/>
          </w:tcPr>
          <w:p>
            <w:pPr>
              <w:ind w:left="5920"/>
              <w:spacing w:after="0"/>
              <w:rPr>
                <w:sz w:val="20"/>
                <w:szCs w:val="20"/>
                <w:color w:val="auto"/>
              </w:rPr>
            </w:pPr>
            <w:r>
              <w:rPr>
                <w:rFonts w:ascii="Arial" w:cs="Arial" w:eastAsia="Arial" w:hAnsi="Arial"/>
                <w:sz w:val="18"/>
                <w:szCs w:val="18"/>
                <w:color w:val="auto"/>
              </w:rPr>
              <w:t>FIRM / AFFILIATE OFFICES</w:t>
            </w:r>
          </w:p>
        </w:tc>
      </w:tr>
      <w:tr>
        <w:trPr>
          <w:trHeight w:val="445"/>
        </w:trPr>
        <w:tc>
          <w:tcPr>
            <w:tcW w:w="1960" w:type="dxa"/>
            <w:vAlign w:val="bottom"/>
          </w:tcPr>
          <w:p>
            <w:pPr>
              <w:spacing w:after="0"/>
              <w:rPr>
                <w:sz w:val="24"/>
                <w:szCs w:val="24"/>
                <w:color w:val="auto"/>
              </w:rPr>
            </w:pPr>
          </w:p>
        </w:tc>
        <w:tc>
          <w:tcPr>
            <w:tcW w:w="7340" w:type="dxa"/>
            <w:vAlign w:val="bottom"/>
          </w:tcPr>
          <w:p>
            <w:pPr>
              <w:ind w:left="5920"/>
              <w:spacing w:after="0"/>
              <w:rPr>
                <w:sz w:val="20"/>
                <w:szCs w:val="20"/>
                <w:color w:val="auto"/>
              </w:rPr>
            </w:pPr>
            <w:r>
              <w:rPr>
                <w:rFonts w:ascii="Arial" w:cs="Arial" w:eastAsia="Arial" w:hAnsi="Arial"/>
                <w:sz w:val="18"/>
                <w:szCs w:val="18"/>
                <w:color w:val="auto"/>
              </w:rPr>
              <w:t>Austin</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Milan</w:t>
            </w:r>
          </w:p>
        </w:tc>
      </w:tr>
      <w:tr>
        <w:trPr>
          <w:trHeight w:val="216"/>
        </w:trPr>
        <w:tc>
          <w:tcPr>
            <w:tcW w:w="1960" w:type="dxa"/>
            <w:vAlign w:val="bottom"/>
          </w:tcPr>
          <w:p>
            <w:pPr>
              <w:spacing w:after="0"/>
              <w:rPr>
                <w:sz w:val="18"/>
                <w:szCs w:val="18"/>
                <w:color w:val="auto"/>
              </w:rPr>
            </w:pPr>
          </w:p>
        </w:tc>
        <w:tc>
          <w:tcPr>
            <w:tcW w:w="7340" w:type="dxa"/>
            <w:vAlign w:val="bottom"/>
          </w:tcPr>
          <w:p>
            <w:pPr>
              <w:ind w:left="5920"/>
              <w:spacing w:after="0"/>
              <w:rPr>
                <w:sz w:val="20"/>
                <w:szCs w:val="20"/>
                <w:color w:val="auto"/>
              </w:rPr>
            </w:pPr>
            <w:r>
              <w:rPr>
                <w:rFonts w:ascii="Arial" w:cs="Arial" w:eastAsia="Arial" w:hAnsi="Arial"/>
                <w:sz w:val="18"/>
                <w:szCs w:val="18"/>
                <w:color w:val="auto"/>
              </w:rPr>
              <w:t>Beijing</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Munich</w:t>
            </w:r>
          </w:p>
        </w:tc>
      </w:tr>
      <w:tr>
        <w:trPr>
          <w:trHeight w:val="216"/>
        </w:trPr>
        <w:tc>
          <w:tcPr>
            <w:tcW w:w="1960" w:type="dxa"/>
            <w:vAlign w:val="bottom"/>
          </w:tcPr>
          <w:p>
            <w:pPr>
              <w:spacing w:after="0"/>
              <w:rPr>
                <w:sz w:val="18"/>
                <w:szCs w:val="18"/>
                <w:color w:val="auto"/>
              </w:rPr>
            </w:pPr>
          </w:p>
        </w:tc>
        <w:tc>
          <w:tcPr>
            <w:tcW w:w="7340" w:type="dxa"/>
            <w:vAlign w:val="bottom"/>
          </w:tcPr>
          <w:p>
            <w:pPr>
              <w:ind w:left="5920"/>
              <w:spacing w:after="0"/>
              <w:rPr>
                <w:sz w:val="20"/>
                <w:szCs w:val="20"/>
                <w:color w:val="auto"/>
              </w:rPr>
            </w:pPr>
            <w:r>
              <w:rPr>
                <w:rFonts w:ascii="Arial" w:cs="Arial" w:eastAsia="Arial" w:hAnsi="Arial"/>
                <w:sz w:val="18"/>
                <w:szCs w:val="18"/>
                <w:color w:val="auto"/>
              </w:rPr>
              <w:t>Boston</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New York</w:t>
            </w:r>
          </w:p>
        </w:tc>
      </w:tr>
      <w:tr>
        <w:trPr>
          <w:trHeight w:val="216"/>
        </w:trPr>
        <w:tc>
          <w:tcPr>
            <w:tcW w:w="1960" w:type="dxa"/>
            <w:vAlign w:val="bottom"/>
          </w:tcPr>
          <w:p>
            <w:pPr>
              <w:spacing w:after="0"/>
              <w:rPr>
                <w:sz w:val="18"/>
                <w:szCs w:val="18"/>
                <w:color w:val="auto"/>
              </w:rPr>
            </w:pPr>
          </w:p>
        </w:tc>
        <w:tc>
          <w:tcPr>
            <w:tcW w:w="7340" w:type="dxa"/>
            <w:vAlign w:val="bottom"/>
          </w:tcPr>
          <w:p>
            <w:pPr>
              <w:ind w:left="5920"/>
              <w:spacing w:after="0"/>
              <w:rPr>
                <w:sz w:val="20"/>
                <w:szCs w:val="20"/>
                <w:color w:val="auto"/>
              </w:rPr>
            </w:pPr>
            <w:r>
              <w:rPr>
                <w:rFonts w:ascii="Arial" w:cs="Arial" w:eastAsia="Arial" w:hAnsi="Arial"/>
                <w:sz w:val="18"/>
                <w:szCs w:val="18"/>
                <w:color w:val="auto"/>
              </w:rPr>
              <w:t>Brussels</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Orange County</w:t>
            </w:r>
          </w:p>
        </w:tc>
      </w:tr>
      <w:tr>
        <w:trPr>
          <w:trHeight w:val="216"/>
        </w:trPr>
        <w:tc>
          <w:tcPr>
            <w:tcW w:w="1960" w:type="dxa"/>
            <w:vAlign w:val="bottom"/>
          </w:tcPr>
          <w:p>
            <w:pPr>
              <w:spacing w:after="0"/>
              <w:rPr>
                <w:sz w:val="18"/>
                <w:szCs w:val="18"/>
                <w:color w:val="auto"/>
              </w:rPr>
            </w:pPr>
          </w:p>
        </w:tc>
        <w:tc>
          <w:tcPr>
            <w:tcW w:w="7340" w:type="dxa"/>
            <w:vAlign w:val="bottom"/>
          </w:tcPr>
          <w:p>
            <w:pPr>
              <w:ind w:left="5920"/>
              <w:spacing w:after="0"/>
              <w:rPr>
                <w:sz w:val="20"/>
                <w:szCs w:val="20"/>
                <w:color w:val="auto"/>
              </w:rPr>
            </w:pPr>
            <w:r>
              <w:rPr>
                <w:rFonts w:ascii="Arial" w:cs="Arial" w:eastAsia="Arial" w:hAnsi="Arial"/>
                <w:sz w:val="18"/>
                <w:szCs w:val="18"/>
                <w:color w:val="auto"/>
              </w:rPr>
              <w:t>Century City</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Paris</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March 6, 2023</w:t>
            </w:r>
          </w:p>
        </w:tc>
        <w:tc>
          <w:tcPr>
            <w:tcW w:w="7340" w:type="dxa"/>
            <w:vAlign w:val="bottom"/>
          </w:tcPr>
          <w:p>
            <w:pPr>
              <w:ind w:left="5920"/>
              <w:spacing w:after="0"/>
              <w:rPr>
                <w:sz w:val="20"/>
                <w:szCs w:val="20"/>
                <w:color w:val="auto"/>
              </w:rPr>
            </w:pPr>
            <w:r>
              <w:rPr>
                <w:rFonts w:ascii="Arial" w:cs="Arial" w:eastAsia="Arial" w:hAnsi="Arial"/>
                <w:sz w:val="18"/>
                <w:szCs w:val="18"/>
                <w:color w:val="auto"/>
              </w:rPr>
              <w:t>Chicago</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Riyadh</w:t>
            </w:r>
          </w:p>
        </w:tc>
      </w:tr>
      <w:tr>
        <w:trPr>
          <w:trHeight w:val="216"/>
        </w:trPr>
        <w:tc>
          <w:tcPr>
            <w:tcW w:w="1960" w:type="dxa"/>
            <w:vAlign w:val="bottom"/>
          </w:tcPr>
          <w:p>
            <w:pPr>
              <w:spacing w:after="0"/>
              <w:rPr>
                <w:sz w:val="18"/>
                <w:szCs w:val="18"/>
                <w:color w:val="auto"/>
              </w:rPr>
            </w:pPr>
          </w:p>
        </w:tc>
        <w:tc>
          <w:tcPr>
            <w:tcW w:w="7340" w:type="dxa"/>
            <w:vAlign w:val="bottom"/>
          </w:tcPr>
          <w:p>
            <w:pPr>
              <w:ind w:left="5920"/>
              <w:spacing w:after="0"/>
              <w:rPr>
                <w:sz w:val="20"/>
                <w:szCs w:val="20"/>
                <w:color w:val="auto"/>
              </w:rPr>
            </w:pPr>
            <w:r>
              <w:rPr>
                <w:rFonts w:ascii="Arial" w:cs="Arial" w:eastAsia="Arial" w:hAnsi="Arial"/>
                <w:sz w:val="18"/>
                <w:szCs w:val="18"/>
                <w:color w:val="auto"/>
              </w:rPr>
              <w:t>Dubai</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San Diego</w:t>
            </w:r>
          </w:p>
        </w:tc>
      </w:tr>
      <w:tr>
        <w:trPr>
          <w:trHeight w:val="216"/>
        </w:trPr>
        <w:tc>
          <w:tcPr>
            <w:tcW w:w="1960" w:type="dxa"/>
            <w:vAlign w:val="bottom"/>
          </w:tcPr>
          <w:p>
            <w:pPr>
              <w:spacing w:after="0"/>
              <w:rPr>
                <w:sz w:val="18"/>
                <w:szCs w:val="18"/>
                <w:color w:val="auto"/>
              </w:rPr>
            </w:pPr>
          </w:p>
        </w:tc>
        <w:tc>
          <w:tcPr>
            <w:tcW w:w="7340" w:type="dxa"/>
            <w:vAlign w:val="bottom"/>
          </w:tcPr>
          <w:p>
            <w:pPr>
              <w:ind w:left="5920"/>
              <w:spacing w:after="0"/>
              <w:rPr>
                <w:sz w:val="20"/>
                <w:szCs w:val="20"/>
                <w:color w:val="auto"/>
              </w:rPr>
            </w:pPr>
            <w:r>
              <w:rPr>
                <w:rFonts w:ascii="Arial" w:cs="Arial" w:eastAsia="Arial" w:hAnsi="Arial"/>
                <w:sz w:val="18"/>
                <w:szCs w:val="18"/>
                <w:color w:val="auto"/>
              </w:rPr>
              <w:t>Düsseldorf</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San Francisco</w:t>
            </w:r>
          </w:p>
        </w:tc>
      </w:tr>
      <w:tr>
        <w:trPr>
          <w:trHeight w:val="216"/>
        </w:trPr>
        <w:tc>
          <w:tcPr>
            <w:tcW w:w="1960" w:type="dxa"/>
            <w:vAlign w:val="bottom"/>
          </w:tcPr>
          <w:p>
            <w:pPr>
              <w:spacing w:after="0"/>
              <w:rPr>
                <w:sz w:val="18"/>
                <w:szCs w:val="18"/>
                <w:color w:val="auto"/>
              </w:rPr>
            </w:pPr>
          </w:p>
        </w:tc>
        <w:tc>
          <w:tcPr>
            <w:tcW w:w="7340" w:type="dxa"/>
            <w:vAlign w:val="bottom"/>
          </w:tcPr>
          <w:p>
            <w:pPr>
              <w:ind w:left="5920"/>
              <w:spacing w:after="0"/>
              <w:rPr>
                <w:sz w:val="20"/>
                <w:szCs w:val="20"/>
                <w:color w:val="auto"/>
              </w:rPr>
            </w:pPr>
            <w:r>
              <w:rPr>
                <w:rFonts w:ascii="Arial" w:cs="Arial" w:eastAsia="Arial" w:hAnsi="Arial"/>
                <w:sz w:val="18"/>
                <w:szCs w:val="18"/>
                <w:color w:val="auto"/>
              </w:rPr>
              <w:t>Frankfurt</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Seoul</w:t>
            </w:r>
          </w:p>
        </w:tc>
      </w:tr>
      <w:tr>
        <w:trPr>
          <w:trHeight w:val="216"/>
        </w:trPr>
        <w:tc>
          <w:tcPr>
            <w:tcW w:w="1960" w:type="dxa"/>
            <w:vAlign w:val="bottom"/>
          </w:tcPr>
          <w:p>
            <w:pPr>
              <w:spacing w:after="0"/>
              <w:rPr>
                <w:sz w:val="18"/>
                <w:szCs w:val="18"/>
                <w:color w:val="auto"/>
              </w:rPr>
            </w:pPr>
          </w:p>
        </w:tc>
        <w:tc>
          <w:tcPr>
            <w:tcW w:w="7340" w:type="dxa"/>
            <w:vAlign w:val="bottom"/>
          </w:tcPr>
          <w:p>
            <w:pPr>
              <w:ind w:left="5920"/>
              <w:spacing w:after="0"/>
              <w:rPr>
                <w:sz w:val="20"/>
                <w:szCs w:val="20"/>
                <w:color w:val="auto"/>
              </w:rPr>
            </w:pPr>
            <w:r>
              <w:rPr>
                <w:rFonts w:ascii="Arial" w:cs="Arial" w:eastAsia="Arial" w:hAnsi="Arial"/>
                <w:sz w:val="18"/>
                <w:szCs w:val="18"/>
                <w:color w:val="auto"/>
              </w:rPr>
              <w:t>Hamburg</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Shanghai</w:t>
            </w:r>
          </w:p>
        </w:tc>
      </w:tr>
      <w:tr>
        <w:trPr>
          <w:trHeight w:val="216"/>
        </w:trPr>
        <w:tc>
          <w:tcPr>
            <w:tcW w:w="1960" w:type="dxa"/>
            <w:vAlign w:val="bottom"/>
          </w:tcPr>
          <w:p>
            <w:pPr>
              <w:spacing w:after="0"/>
              <w:rPr>
                <w:sz w:val="18"/>
                <w:szCs w:val="18"/>
                <w:color w:val="auto"/>
              </w:rPr>
            </w:pPr>
          </w:p>
        </w:tc>
        <w:tc>
          <w:tcPr>
            <w:tcW w:w="7340" w:type="dxa"/>
            <w:vAlign w:val="bottom"/>
          </w:tcPr>
          <w:p>
            <w:pPr>
              <w:ind w:left="5920"/>
              <w:spacing w:after="0"/>
              <w:rPr>
                <w:sz w:val="20"/>
                <w:szCs w:val="20"/>
                <w:color w:val="auto"/>
              </w:rPr>
            </w:pPr>
            <w:r>
              <w:rPr>
                <w:rFonts w:ascii="Arial" w:cs="Arial" w:eastAsia="Arial" w:hAnsi="Arial"/>
                <w:sz w:val="18"/>
                <w:szCs w:val="18"/>
                <w:color w:val="auto"/>
              </w:rPr>
              <w:t>Hong Kong</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Silicon Valley</w:t>
            </w:r>
          </w:p>
        </w:tc>
      </w:tr>
      <w:tr>
        <w:trPr>
          <w:trHeight w:val="216"/>
        </w:trPr>
        <w:tc>
          <w:tcPr>
            <w:tcW w:w="1960" w:type="dxa"/>
            <w:vAlign w:val="bottom"/>
          </w:tcPr>
          <w:p>
            <w:pPr>
              <w:spacing w:after="0"/>
              <w:rPr>
                <w:sz w:val="18"/>
                <w:szCs w:val="18"/>
                <w:color w:val="auto"/>
              </w:rPr>
            </w:pPr>
          </w:p>
        </w:tc>
        <w:tc>
          <w:tcPr>
            <w:tcW w:w="7340" w:type="dxa"/>
            <w:vAlign w:val="bottom"/>
          </w:tcPr>
          <w:p>
            <w:pPr>
              <w:ind w:left="5920"/>
              <w:spacing w:after="0"/>
              <w:rPr>
                <w:sz w:val="20"/>
                <w:szCs w:val="20"/>
                <w:color w:val="auto"/>
              </w:rPr>
            </w:pPr>
            <w:r>
              <w:rPr>
                <w:rFonts w:ascii="Arial" w:cs="Arial" w:eastAsia="Arial" w:hAnsi="Arial"/>
                <w:sz w:val="18"/>
                <w:szCs w:val="18"/>
                <w:color w:val="auto"/>
              </w:rPr>
              <w:t>Houston</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Singapore</w:t>
            </w:r>
          </w:p>
        </w:tc>
      </w:tr>
      <w:tr>
        <w:trPr>
          <w:trHeight w:val="216"/>
        </w:trPr>
        <w:tc>
          <w:tcPr>
            <w:tcW w:w="1960" w:type="dxa"/>
            <w:vAlign w:val="bottom"/>
          </w:tcPr>
          <w:p>
            <w:pPr>
              <w:spacing w:after="0"/>
              <w:rPr>
                <w:sz w:val="18"/>
                <w:szCs w:val="18"/>
                <w:color w:val="auto"/>
              </w:rPr>
            </w:pPr>
          </w:p>
        </w:tc>
        <w:tc>
          <w:tcPr>
            <w:tcW w:w="7340" w:type="dxa"/>
            <w:vAlign w:val="bottom"/>
          </w:tcPr>
          <w:p>
            <w:pPr>
              <w:ind w:left="5920"/>
              <w:spacing w:after="0"/>
              <w:rPr>
                <w:sz w:val="20"/>
                <w:szCs w:val="20"/>
                <w:color w:val="auto"/>
              </w:rPr>
            </w:pPr>
            <w:r>
              <w:rPr>
                <w:rFonts w:ascii="Arial" w:cs="Arial" w:eastAsia="Arial" w:hAnsi="Arial"/>
                <w:sz w:val="18"/>
                <w:szCs w:val="18"/>
                <w:color w:val="auto"/>
              </w:rPr>
              <w:t>London</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Tel Aviv</w:t>
            </w:r>
          </w:p>
        </w:tc>
      </w:tr>
      <w:tr>
        <w:trPr>
          <w:trHeight w:val="216"/>
        </w:trPr>
        <w:tc>
          <w:tcPr>
            <w:tcW w:w="1960" w:type="dxa"/>
            <w:vAlign w:val="bottom"/>
          </w:tcPr>
          <w:p>
            <w:pPr>
              <w:spacing w:after="0"/>
              <w:rPr>
                <w:sz w:val="18"/>
                <w:szCs w:val="18"/>
                <w:color w:val="auto"/>
              </w:rPr>
            </w:pPr>
          </w:p>
        </w:tc>
        <w:tc>
          <w:tcPr>
            <w:tcW w:w="7340" w:type="dxa"/>
            <w:vAlign w:val="bottom"/>
          </w:tcPr>
          <w:p>
            <w:pPr>
              <w:ind w:left="5920"/>
              <w:spacing w:after="0"/>
              <w:rPr>
                <w:sz w:val="20"/>
                <w:szCs w:val="20"/>
                <w:color w:val="auto"/>
              </w:rPr>
            </w:pPr>
            <w:r>
              <w:rPr>
                <w:rFonts w:ascii="Arial" w:cs="Arial" w:eastAsia="Arial" w:hAnsi="Arial"/>
                <w:sz w:val="18"/>
                <w:szCs w:val="18"/>
                <w:color w:val="auto"/>
              </w:rPr>
              <w:t>Los Angeles</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Tokyo</w:t>
            </w:r>
          </w:p>
        </w:tc>
      </w:tr>
      <w:tr>
        <w:trPr>
          <w:trHeight w:val="230"/>
        </w:trPr>
        <w:tc>
          <w:tcPr>
            <w:tcW w:w="1960" w:type="dxa"/>
            <w:vAlign w:val="bottom"/>
          </w:tcPr>
          <w:p>
            <w:pPr>
              <w:spacing w:after="0"/>
              <w:rPr>
                <w:sz w:val="20"/>
                <w:szCs w:val="20"/>
                <w:color w:val="auto"/>
              </w:rPr>
            </w:pPr>
          </w:p>
        </w:tc>
        <w:tc>
          <w:tcPr>
            <w:tcW w:w="7340" w:type="dxa"/>
            <w:vAlign w:val="bottom"/>
          </w:tcPr>
          <w:p>
            <w:pPr>
              <w:ind w:left="5920"/>
              <w:spacing w:after="0"/>
              <w:rPr>
                <w:sz w:val="20"/>
                <w:szCs w:val="20"/>
                <w:color w:val="auto"/>
              </w:rPr>
            </w:pPr>
            <w:r>
              <w:rPr>
                <w:rFonts w:ascii="Arial" w:cs="Arial" w:eastAsia="Arial" w:hAnsi="Arial"/>
                <w:sz w:val="18"/>
                <w:szCs w:val="18"/>
                <w:color w:val="auto"/>
              </w:rPr>
              <w:t>Madrid</w:t>
            </w:r>
          </w:p>
        </w:tc>
        <w:tc>
          <w:tcPr>
            <w:tcW w:w="1940" w:type="dxa"/>
            <w:vAlign w:val="bottom"/>
            <w:gridSpan w:val="2"/>
          </w:tcPr>
          <w:p>
            <w:pPr>
              <w:ind w:left="260"/>
              <w:spacing w:after="0"/>
              <w:rPr>
                <w:sz w:val="20"/>
                <w:szCs w:val="20"/>
                <w:color w:val="auto"/>
              </w:rPr>
            </w:pPr>
            <w:r>
              <w:rPr>
                <w:rFonts w:ascii="Arial" w:cs="Arial" w:eastAsia="Arial" w:hAnsi="Arial"/>
                <w:sz w:val="18"/>
                <w:szCs w:val="18"/>
                <w:color w:val="auto"/>
              </w:rPr>
              <w:t>Washington, D.C.</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Ardelyx, Inc.</w:t>
            </w:r>
          </w:p>
        </w:tc>
        <w:tc>
          <w:tcPr>
            <w:tcW w:w="7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400 Fifth Avenue, Suite 210</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Waltham, MA 32081</w:t>
            </w:r>
          </w:p>
        </w:tc>
        <w:tc>
          <w:tcPr>
            <w:tcW w:w="7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91"/>
        </w:trPr>
        <w:tc>
          <w:tcPr>
            <w:tcW w:w="1960" w:type="dxa"/>
            <w:vAlign w:val="bottom"/>
          </w:tcPr>
          <w:p>
            <w:pPr>
              <w:ind w:left="1300"/>
              <w:spacing w:after="0"/>
              <w:rPr>
                <w:sz w:val="20"/>
                <w:szCs w:val="20"/>
                <w:color w:val="auto"/>
              </w:rPr>
            </w:pPr>
            <w:r>
              <w:rPr>
                <w:rFonts w:ascii="Arial" w:cs="Arial" w:eastAsia="Arial" w:hAnsi="Arial"/>
                <w:sz w:val="18"/>
                <w:szCs w:val="18"/>
                <w:b w:val="1"/>
                <w:bCs w:val="1"/>
                <w:color w:val="auto"/>
              </w:rPr>
              <w:t>Re:</w:t>
            </w:r>
          </w:p>
        </w:tc>
        <w:tc>
          <w:tcPr>
            <w:tcW w:w="9280" w:type="dxa"/>
            <w:vAlign w:val="bottom"/>
            <w:gridSpan w:val="3"/>
          </w:tcPr>
          <w:p>
            <w:pPr>
              <w:spacing w:after="0"/>
              <w:rPr>
                <w:sz w:val="20"/>
                <w:szCs w:val="20"/>
                <w:color w:val="auto"/>
              </w:rPr>
            </w:pPr>
            <w:r>
              <w:rPr>
                <w:rFonts w:ascii="Arial" w:cs="Arial" w:eastAsia="Arial" w:hAnsi="Arial"/>
                <w:sz w:val="18"/>
                <w:szCs w:val="18"/>
                <w:b w:val="1"/>
                <w:bCs w:val="1"/>
                <w:color w:val="auto"/>
                <w:w w:val="91"/>
              </w:rPr>
              <w:t xml:space="preserve">Registration Statement on Form S-8; 11,935,875 shares of Common Stock of Ardelyx, Inc., par value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0.0001 per share</w:t>
            </w:r>
          </w:p>
        </w:tc>
      </w:tr>
      <w:tr>
        <w:trPr>
          <w:trHeight w:val="20"/>
        </w:trPr>
        <w:tc>
          <w:tcPr>
            <w:tcW w:w="1960" w:type="dxa"/>
            <w:vAlign w:val="bottom"/>
          </w:tcPr>
          <w:p>
            <w:pPr>
              <w:spacing w:after="0" w:line="20" w:lineRule="exact"/>
              <w:rPr>
                <w:sz w:val="1"/>
                <w:szCs w:val="1"/>
                <w:color w:val="auto"/>
              </w:rPr>
            </w:pPr>
          </w:p>
        </w:tc>
        <w:tc>
          <w:tcPr>
            <w:tcW w:w="73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-3154045</wp:posOffset>
            </wp:positionV>
            <wp:extent cx="240030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extLst>
                    </a:blip>
                    <a:srcRect/>
                    <a:stretch>
                      <a:fillRect/>
                    </a:stretch>
                  </pic:blipFill>
                  <pic:spPr bwMode="auto">
                    <a:xfrm>
                      <a:off x="0" y="0"/>
                      <a:ext cx="2400300" cy="25717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To the addressee set forth above: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acted as special counsel to Ardelyx,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registration by the Company of 11,935,875 shares of common stock of the Company, par value $0.0001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issuable under the Company’s 2014 Equity Incentive Award Plan (the “</w:t>
      </w:r>
      <w:r>
        <w:rPr>
          <w:rFonts w:ascii="Arial" w:cs="Arial" w:eastAsia="Arial" w:hAnsi="Arial"/>
          <w:sz w:val="18"/>
          <w:szCs w:val="18"/>
          <w:b w:val="1"/>
          <w:bCs w:val="1"/>
          <w:i w:val="1"/>
          <w:iCs w:val="1"/>
          <w:color w:val="auto"/>
        </w:rPr>
        <w:t>2014 Plan</w:t>
      </w:r>
      <w:r>
        <w:rPr>
          <w:rFonts w:ascii="Arial" w:cs="Arial" w:eastAsia="Arial" w:hAnsi="Arial"/>
          <w:sz w:val="18"/>
          <w:szCs w:val="18"/>
          <w:color w:val="auto"/>
        </w:rPr>
        <w:t>”), the 2014 Employee Stock Purchase Plan (the “</w:t>
      </w:r>
      <w:r>
        <w:rPr>
          <w:rFonts w:ascii="Arial" w:cs="Arial" w:eastAsia="Arial" w:hAnsi="Arial"/>
          <w:sz w:val="18"/>
          <w:szCs w:val="18"/>
          <w:b w:val="1"/>
          <w:bCs w:val="1"/>
          <w:i w:val="1"/>
          <w:iCs w:val="1"/>
          <w:color w:val="auto"/>
        </w:rPr>
        <w:t>ESPP</w:t>
      </w:r>
      <w:r>
        <w:rPr>
          <w:rFonts w:ascii="Arial" w:cs="Arial" w:eastAsia="Arial" w:hAnsi="Arial"/>
          <w:sz w:val="18"/>
          <w:szCs w:val="18"/>
          <w:color w:val="auto"/>
        </w:rPr>
        <w:t>”) and 2016 Employment Commencement Incentive Plan (the “</w:t>
      </w:r>
      <w:r>
        <w:rPr>
          <w:rFonts w:ascii="Arial" w:cs="Arial" w:eastAsia="Arial" w:hAnsi="Arial"/>
          <w:sz w:val="18"/>
          <w:szCs w:val="18"/>
          <w:b w:val="1"/>
          <w:bCs w:val="1"/>
          <w:i w:val="1"/>
          <w:iCs w:val="1"/>
          <w:color w:val="auto"/>
        </w:rPr>
        <w:t>2016</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together with the 2014 Plan and the ESPP,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Shares are included in a registration statement on Form S-8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filed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March 6, 2023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This opinion is being furnished in connection with the requirements of Item 601(b)(5) of Regulation S-K under the Act, and no opinion is expressed herein as to any matter pertaining to the contents of the Registration Statement or the related prospectus, other than as expressly stated herein with respect to the issue of the Shares.</w:t>
      </w:r>
    </w:p>
    <w:p>
      <w:pPr>
        <w:spacing w:after="0" w:line="17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March 6,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05610" cy="248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extLst>
                    </a:blip>
                    <a:srcRect/>
                    <a:stretch>
                      <a:fillRect/>
                    </a:stretch>
                  </pic:blipFill>
                  <pic:spPr bwMode="auto">
                    <a:xfrm>
                      <a:off x="0" y="0"/>
                      <a:ext cx="17056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Plans, assuming in each case that the individual issuances, grants or awards under the Plans are duly authorized by all necessary corporate action and duly issued, granted or awarded and exercised in accordance with the requirements of law and the Plans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2014 Equity Incentive Award Plan, the 2014 Employee Stock Purchase Plan and the 2016 Employment Commencement Incentive Plan of Ardelyx, Inc. of our report dated March 2, 2023, with respect to the financial statements of Ardelyx, Inc. included in its Annual Report (Form 10-K) for the year ended December 31, 2022,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t>Exhibit 99.3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EMPLOYMENT COMMENCEMENT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purpose of the Ardelyx, Inc. 2016 Employment Commencement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is to promote the success and enhance the value of Ardelyx, Inc. (the “</w:t>
      </w:r>
      <w:r>
        <w:rPr>
          <w:rFonts w:ascii="Arial" w:cs="Arial" w:eastAsia="Arial" w:hAnsi="Arial"/>
          <w:sz w:val="18"/>
          <w:szCs w:val="18"/>
          <w:u w:val="single" w:color="auto"/>
          <w:color w:val="auto"/>
        </w:rPr>
        <w:t>Company</w:t>
      </w:r>
      <w:r>
        <w:rPr>
          <w:rFonts w:ascii="Arial" w:cs="Arial" w:eastAsia="Arial" w:hAnsi="Arial"/>
          <w:sz w:val="18"/>
          <w:szCs w:val="18"/>
          <w:color w:val="auto"/>
        </w:rPr>
        <w:t>”) by linking the individual interests of the Eligible Individuals to those of the Company’s stockholders and by providing such individuals with an incentive for outstanding performance to generate superior returns to the Company’s stockholders. The Plan is further intended to provide flexibility to the Company in its ability to motivate, attract, and retain the services of Employees upon whose judgment, interest, and special effort the successful conduct of the Company’s operation is largely dependent. Only Eligible Individuals may receive awards under the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Wherever the following terms are used in the Plan they shall have the meanings specified below, unless the context clearly indicates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singular pronoun shall include the plural where the context so indicates.</w:t>
      </w:r>
    </w:p>
    <w:p>
      <w:pPr>
        <w:spacing w:after="0" w:line="21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entity that conducts the general administration of the Plan as provided in Article 12 hereof. With reference to the duties of the Administrator under the Plan which have been delegated to one or more persons pursuant to Section 12.6 hereof, or as to which the Board has assumed, the term “Administrator” shall refer to such person(s) unless the Committee or the Board has revoked such delegation or the Board has terminated the assumption of such duties. For the avoidance of doubt, only the Committee or the Board may grant Awards under the Plan.  </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Parent or Subsidiary.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2.3          “</w:t>
      </w:r>
      <w:r>
        <w:rPr>
          <w:rFonts w:ascii="Arial" w:cs="Arial" w:eastAsia="Arial" w:hAnsi="Arial"/>
          <w:sz w:val="17"/>
          <w:szCs w:val="17"/>
          <w:u w:val="single" w:color="auto"/>
          <w:color w:val="auto"/>
        </w:rPr>
        <w:t>Applicable Accounting Standards</w:t>
      </w:r>
      <w:r>
        <w:rPr>
          <w:rFonts w:ascii="Arial" w:cs="Arial" w:eastAsia="Arial" w:hAnsi="Arial"/>
          <w:sz w:val="17"/>
          <w:szCs w:val="17"/>
          <w:color w:val="auto"/>
        </w:rPr>
        <w:t>” shall mean Generally Accepted Accounting Principles in the United States, International Financial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Reporting Standards or such other accounting principles or standards as may apply to the Company’s financial statements under United States federal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laws from time to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Applicable Law</w:t>
      </w:r>
      <w:r>
        <w:rPr>
          <w:rFonts w:ascii="Arial" w:cs="Arial" w:eastAsia="Arial" w:hAnsi="Arial"/>
          <w:sz w:val="18"/>
          <w:szCs w:val="18"/>
          <w:color w:val="auto"/>
        </w:rPr>
        <w:t>” shall mean any applicable law, including without limitation, (i) provisions of the Code, the Securities Act, the Exchange Act and any rules or regulations thereunder; (ii) corporate, securities, tax or other laws, statutes, rules, requirements or regulations, whether federal, state, local or foreign; and (iii) rules of any securities exchange or automated quotation system on which the Shares are listed, quoted or traded.  </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2.5          “</w:t>
      </w:r>
      <w:r>
        <w:rPr>
          <w:rFonts w:ascii="Arial" w:cs="Arial" w:eastAsia="Arial" w:hAnsi="Arial"/>
          <w:sz w:val="16"/>
          <w:szCs w:val="16"/>
          <w:u w:val="single" w:color="auto"/>
          <w:color w:val="auto"/>
        </w:rPr>
        <w:t>Award</w:t>
      </w:r>
      <w:r>
        <w:rPr>
          <w:rFonts w:ascii="Arial" w:cs="Arial" w:eastAsia="Arial" w:hAnsi="Arial"/>
          <w:sz w:val="16"/>
          <w:szCs w:val="16"/>
          <w:color w:val="auto"/>
        </w:rPr>
        <w:t>” shall mean an Option, a Restricted Stock award, a Restricted Stock Unit award, a Performance Award, a Dividend Equivalents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 a Deferred Stock award, a Deferred Stock Unit award, a Stock Payment award or a Stock Appreciation Right, which may be awarded or granted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Plan (collectively, “</w:t>
      </w:r>
      <w:r>
        <w:rPr>
          <w:rFonts w:ascii="Arial" w:cs="Arial" w:eastAsia="Arial" w:hAnsi="Arial"/>
          <w:sz w:val="18"/>
          <w:szCs w:val="18"/>
          <w:u w:val="single" w:color="auto"/>
          <w:color w:val="auto"/>
        </w:rPr>
        <w:t>Awards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2.6          “</w:t>
      </w:r>
      <w:r>
        <w:rPr>
          <w:rFonts w:ascii="Arial" w:cs="Arial" w:eastAsia="Arial" w:hAnsi="Arial"/>
          <w:sz w:val="16"/>
          <w:szCs w:val="16"/>
          <w:u w:val="single" w:color="auto"/>
          <w:color w:val="auto"/>
        </w:rPr>
        <w:t>Award Agreement</w:t>
      </w:r>
      <w:r>
        <w:rPr>
          <w:rFonts w:ascii="Arial" w:cs="Arial" w:eastAsia="Arial" w:hAnsi="Arial"/>
          <w:sz w:val="16"/>
          <w:szCs w:val="16"/>
          <w:color w:val="auto"/>
        </w:rPr>
        <w:t>” shall mean any written notice, agreement, terms and conditions, contract or other instrument or document evidencing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Award, including through electronic medium, which shall contain such terms and conditions with respect to an Award as the Administrator shall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determine consistent with the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2.8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mean the occurrence, in a single transaction or in a series of related transactions, of any one or more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following events: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(a)          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  </w:t>
      </w:r>
    </w:p>
    <w:p>
      <w:pPr>
        <w:spacing w:after="0" w:line="3"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(b)          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Section 2.9(a) or 2.9(c))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  </w:t>
      </w:r>
    </w:p>
    <w:p>
      <w:pPr>
        <w:spacing w:after="0" w:line="2"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6"/>
          <w:szCs w:val="16"/>
          <w:color w:val="auto"/>
        </w:rPr>
        <w:t>(c)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w:t>
      </w:r>
    </w:p>
    <w:p>
      <w:pPr>
        <w:spacing w:after="0" w:line="2"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transaction: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Arial" w:cs="Arial" w:eastAsia="Arial" w:hAnsi="Arial"/>
          <w:sz w:val="18"/>
          <w:szCs w:val="18"/>
          <w:color w:val="auto"/>
        </w:rPr>
        <w:t>(i)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u w:val="single" w:color="auto"/>
          <w:color w:val="auto"/>
        </w:rPr>
        <w:t>Successor Entity</w:t>
      </w:r>
      <w:r>
        <w:rPr>
          <w:rFonts w:ascii="Arial" w:cs="Arial" w:eastAsia="Arial" w:hAnsi="Arial"/>
          <w:sz w:val="18"/>
          <w:szCs w:val="18"/>
          <w:color w:val="auto"/>
        </w:rPr>
        <w:t>”)) directly or indirectly, at least a majority of the combined voting power of the Successor Entity’s outstanding voting securities immediately after the transaction, and  </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(ii)           after which no person or group beneficially owns voting securities representing 50% or more of the combined voting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power of the Successor Entity; provided, however, that no person or group shall be treated for purposes of this Section 2.9(c)(ii) as beneficially owning 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more of the combined voting power of the Successor Entity solely as a result of the voting power held in the Company prior to the consummation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transaction;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          The Company’s stockholders approve a liquidation or dissolution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if a Change in Control constitutes a payment event with respect to any portion of an Award that provides for the deferral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is subject to Section 409A of the Code, the transaction or event described in subsection (a), (b), (c) or (d) with respect to such Award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portion thereof) must also constitute a “change in control event,” as defined in Treasury Regulation Section 1.409A-3(i)(5) to the extent required 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409A.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is in conjunction with a determination of whether a Change in Control is a “change in control event” as defined in Treasury Regulation Section 1.409A-3(i)(5) shall be consistent with such regulation.  </w:t>
      </w:r>
    </w:p>
    <w:p>
      <w:pPr>
        <w:spacing w:after="0" w:line="207"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 whether issued prior or subsequent to the grant of any Award.  </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the Company, par value $0.0001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Article 1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Deferred Stock</w:t>
      </w:r>
      <w:r>
        <w:rPr>
          <w:rFonts w:ascii="Arial" w:cs="Arial" w:eastAsia="Arial" w:hAnsi="Arial"/>
          <w:sz w:val="18"/>
          <w:szCs w:val="18"/>
          <w:color w:val="auto"/>
        </w:rPr>
        <w:t>” shall mean a right to receive Shares awarded under Section 9.4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Deferred Stock Unit</w:t>
      </w:r>
      <w:r>
        <w:rPr>
          <w:rFonts w:ascii="Arial" w:cs="Arial" w:eastAsia="Arial" w:hAnsi="Arial"/>
          <w:sz w:val="18"/>
          <w:szCs w:val="18"/>
          <w:color w:val="auto"/>
        </w:rPr>
        <w:t>” shall mean a right to receive Shares awarded under Section 9.5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as constituted from time to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Dividend Equivalent</w:t>
      </w:r>
      <w:r>
        <w:rPr>
          <w:rFonts w:ascii="Arial" w:cs="Arial" w:eastAsia="Arial" w:hAnsi="Arial"/>
          <w:sz w:val="16"/>
          <w:szCs w:val="16"/>
          <w:color w:val="auto"/>
        </w:rPr>
        <w:t>” shall mean a right to receive the equivalent value (in cash or Shares) of dividends paid on Shares, awarded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9.2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DRO</w:t>
      </w:r>
      <w:r>
        <w:rPr>
          <w:rFonts w:ascii="Arial" w:cs="Arial" w:eastAsia="Arial" w:hAnsi="Arial"/>
          <w:sz w:val="16"/>
          <w:szCs w:val="16"/>
          <w:color w:val="auto"/>
        </w:rPr>
        <w:t>” shall mean a “domestic relations order” as defined by the Code or Title I of the Employee Retirement Income Security Act of 1974,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amended from time to time, or the rules thereunder.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date on which the Board has adopted the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Eligible Individual</w:t>
      </w:r>
      <w:r>
        <w:rPr>
          <w:rFonts w:ascii="Arial" w:cs="Arial" w:eastAsia="Arial" w:hAnsi="Arial"/>
          <w:sz w:val="18"/>
          <w:szCs w:val="18"/>
          <w:color w:val="auto"/>
        </w:rPr>
        <w:t>” shall mean any Employee who has not previously been an Employee or Director of the Company or a Subsidiary, or is commencing employment with the Company or a Subsidiary following a bona fide period of non-employment by the Company or a Subsidiary, if he or she is granted an Award in connection with his or her commencement of employment with the Company or a Subsidiary and such grant is an inducement material to his or her entering into employment with the Company or a Subsidiary. The Board may in its discretion adopt procedures from time to time to ensure that an Employee is eligible to participate in the Plan prior to the granting of any Awards to such Employee under the Plan (including, without limitation, a requirement, that each such Employee certify to the Company prior to the receipt of an Award under the Plan that he or she has not been previously employed by the Company or a Subsidiary, or if previously employed, has had a bona fide period of non-employment, and that the grant of Awards under the Plan is an inducement material to his or her agreement to enter into employment with the Company or a Subsidiary).  </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2.20        “</w:t>
      </w:r>
      <w:r>
        <w:rPr>
          <w:rFonts w:ascii="Arial" w:cs="Arial" w:eastAsia="Arial" w:hAnsi="Arial"/>
          <w:sz w:val="16"/>
          <w:szCs w:val="16"/>
          <w:u w:val="single" w:color="auto"/>
          <w:color w:val="auto"/>
        </w:rPr>
        <w:t>Employee</w:t>
      </w:r>
      <w:r>
        <w:rPr>
          <w:rFonts w:ascii="Arial" w:cs="Arial" w:eastAsia="Arial" w:hAnsi="Arial"/>
          <w:sz w:val="16"/>
          <w:szCs w:val="16"/>
          <w:color w:val="auto"/>
        </w:rPr>
        <w:t>” shall mean any officer or other employee (as determined in accordance with Section 3401(c) of the Code and the Treasury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Regulations thereunder) of the Company or any Affiliate.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2.21        “</w:t>
      </w:r>
      <w:r>
        <w:rPr>
          <w:rFonts w:ascii="Arial" w:cs="Arial" w:eastAsia="Arial" w:hAnsi="Arial"/>
          <w:sz w:val="16"/>
          <w:szCs w:val="16"/>
          <w:u w:val="single" w:color="auto"/>
          <w:color w:val="auto"/>
        </w:rPr>
        <w:t>Equity Restructuring</w:t>
      </w:r>
      <w:r>
        <w:rPr>
          <w:rFonts w:ascii="Arial" w:cs="Arial" w:eastAsia="Arial" w:hAnsi="Arial"/>
          <w:sz w:val="16"/>
          <w:szCs w:val="16"/>
          <w:color w:val="auto"/>
        </w:rPr>
        <w:t>” shall mean a nonreciprocal transaction between the Company and its stockholders, such as a stock dividend,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split, spin-off, rights offering or recapitalization through a large, nonrecurring cash dividend, that affects the number or kind of Shares (or other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 or the share price of Common Stock (or other securities) and causes a change in the per share value of the Common Stock underlying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stock-based Awards.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as of any given date, the value of a Share determined as follows: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(a)          If the Common Stock is (i) listed on any established securities exchange (such as the New York Stock Exchange, the NASDAQ Global Market and the NASDAQ Global Select Market), (ii) listed on any national market system or (iii) listed,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The Wall Street Journal or such other source as the Administrator deems reliable;  </w:t>
      </w:r>
    </w:p>
    <w:p>
      <w:pPr>
        <w:spacing w:after="0" w:line="205"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(b)          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The Wall Street Journal or such other source as the Administrator deems reliable; or  </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right="20" w:firstLine="1296"/>
        <w:spacing w:after="0" w:line="250" w:lineRule="auto"/>
        <w:rPr>
          <w:sz w:val="20"/>
          <w:szCs w:val="20"/>
          <w:color w:val="auto"/>
        </w:rPr>
      </w:pPr>
      <w:r>
        <w:rPr>
          <w:rFonts w:ascii="Arial" w:cs="Arial" w:eastAsia="Arial" w:hAnsi="Arial"/>
          <w:sz w:val="18"/>
          <w:szCs w:val="18"/>
          <w:color w:val="auto"/>
        </w:rPr>
        <w:t>(c)           If the Common Stock is neither listed on an established securities exchange, national market system or automated quotation system nor regularly quoted by a recognized securities dealer, its Fair Market Value shall be established by the Administrator in good faith.  </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Holder</w:t>
      </w:r>
      <w:r>
        <w:rPr>
          <w:rFonts w:ascii="Arial" w:cs="Arial" w:eastAsia="Arial" w:hAnsi="Arial"/>
          <w:sz w:val="18"/>
          <w:szCs w:val="18"/>
          <w:color w:val="auto"/>
        </w:rPr>
        <w:t>” shall mean an Eligible Individual who has been granted an Award.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 Incentive Stock Options may not be granted under the Plan.  </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2.26        “</w:t>
      </w:r>
      <w:r>
        <w:rPr>
          <w:rFonts w:ascii="Arial" w:cs="Arial" w:eastAsia="Arial" w:hAnsi="Arial"/>
          <w:sz w:val="17"/>
          <w:szCs w:val="17"/>
          <w:u w:val="single" w:color="auto"/>
          <w:color w:val="auto"/>
        </w:rPr>
        <w:t>Non-Employee Director</w:t>
      </w:r>
      <w:r>
        <w:rPr>
          <w:rFonts w:ascii="Arial" w:cs="Arial" w:eastAsia="Arial" w:hAnsi="Arial"/>
          <w:sz w:val="17"/>
          <w:szCs w:val="17"/>
          <w:color w:val="auto"/>
        </w:rPr>
        <w:t>” shall mean a Director of the Company who is not an Employee of the Company and who qualifies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“independent” within the meaning of Nasdaq Stock Market Rule 5605(a)(2), or any successor rule, if the Company’s securities are traded on the Nasdaq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Market, or if the requirements of any other established stock exchange on which the Company’s securities are traded, as such rules or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be amended from time to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2.28        “</w:t>
      </w:r>
      <w:r>
        <w:rPr>
          <w:rFonts w:ascii="Arial" w:cs="Arial" w:eastAsia="Arial" w:hAnsi="Arial"/>
          <w:sz w:val="16"/>
          <w:szCs w:val="16"/>
          <w:u w:val="single" w:color="auto"/>
          <w:color w:val="auto"/>
        </w:rPr>
        <w:t>Option</w:t>
      </w:r>
      <w:r>
        <w:rPr>
          <w:rFonts w:ascii="Arial" w:cs="Arial" w:eastAsia="Arial" w:hAnsi="Arial"/>
          <w:sz w:val="16"/>
          <w:szCs w:val="16"/>
          <w:color w:val="auto"/>
        </w:rPr>
        <w:t>” shall mean a right to purchase Shares at a specified exercise price, granted under Article 5 hereof. Any Option granted under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 shall be a Non-Qualified Stock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Option Term</w:t>
      </w:r>
      <w:r>
        <w:rPr>
          <w:rFonts w:ascii="Arial" w:cs="Arial" w:eastAsia="Arial" w:hAnsi="Arial"/>
          <w:sz w:val="18"/>
          <w:szCs w:val="18"/>
          <w:color w:val="auto"/>
        </w:rPr>
        <w:t>” shall have the meaning set forth in Section 5.4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Parent</w:t>
      </w:r>
      <w:r>
        <w:rPr>
          <w:rFonts w:ascii="Arial" w:cs="Arial" w:eastAsia="Arial" w:hAnsi="Arial"/>
          <w:sz w:val="18"/>
          <w:szCs w:val="18"/>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more than fifty percent (50%) of the total combined voting power of all classes of securities or interests in one of the other entities in such chain.  </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2.31        “</w:t>
      </w:r>
      <w:r>
        <w:rPr>
          <w:rFonts w:ascii="Arial" w:cs="Arial" w:eastAsia="Arial" w:hAnsi="Arial"/>
          <w:sz w:val="16"/>
          <w:szCs w:val="16"/>
          <w:u w:val="single" w:color="auto"/>
          <w:color w:val="auto"/>
        </w:rPr>
        <w:t>Performance Award</w:t>
      </w:r>
      <w:r>
        <w:rPr>
          <w:rFonts w:ascii="Arial" w:cs="Arial" w:eastAsia="Arial" w:hAnsi="Arial"/>
          <w:sz w:val="16"/>
          <w:szCs w:val="16"/>
          <w:color w:val="auto"/>
        </w:rPr>
        <w:t>” shall mean a cash bonus award, stock bonus award, performance award or incentive award that is paid in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or a combination of both, awarded under Section 9.1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2.32        “</w:t>
      </w:r>
      <w:r>
        <w:rPr>
          <w:rFonts w:ascii="Arial" w:cs="Arial" w:eastAsia="Arial" w:hAnsi="Arial"/>
          <w:sz w:val="17"/>
          <w:szCs w:val="17"/>
          <w:u w:val="single" w:color="auto"/>
          <w:color w:val="auto"/>
        </w:rPr>
        <w:t>Performance Stock Unit</w:t>
      </w:r>
      <w:r>
        <w:rPr>
          <w:rFonts w:ascii="Arial" w:cs="Arial" w:eastAsia="Arial" w:hAnsi="Arial"/>
          <w:sz w:val="17"/>
          <w:szCs w:val="17"/>
          <w:color w:val="auto"/>
        </w:rPr>
        <w:t>” shall mean a Performance Award awarded under Section 9.1 hereof which is denominated in units of value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including dollar value of shares of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2.33        “</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shall mean, with respect to a Holder, any “family member” of the Holder, as defined under the General Instructions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Form S-8 Registration Statement under the Securities Act or any successor Form thereto, or any other transferee specifically approved by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Administrator, after taking into account Applicable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Plan</w:t>
      </w:r>
      <w:r>
        <w:rPr>
          <w:rFonts w:ascii="Arial" w:cs="Arial" w:eastAsia="Arial" w:hAnsi="Arial"/>
          <w:sz w:val="18"/>
          <w:szCs w:val="18"/>
          <w:color w:val="auto"/>
        </w:rPr>
        <w:t>” shall have the meaning set forth in Article 1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Program</w:t>
      </w:r>
      <w:r>
        <w:rPr>
          <w:rFonts w:ascii="Arial" w:cs="Arial" w:eastAsia="Arial" w:hAnsi="Arial"/>
          <w:sz w:val="18"/>
          <w:szCs w:val="18"/>
          <w:color w:val="auto"/>
        </w:rPr>
        <w:t>” shall mean any program adopted by the Administrator pursuant to the Plan containing the terms and conditions intended to govern a specified type of Award granted under the Plan and pursuant to which such type of Award may be granted under the Plan.  </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2.36        “</w:t>
      </w:r>
      <w:r>
        <w:rPr>
          <w:rFonts w:ascii="Arial" w:cs="Arial" w:eastAsia="Arial" w:hAnsi="Arial"/>
          <w:sz w:val="16"/>
          <w:szCs w:val="16"/>
          <w:u w:val="single" w:color="auto"/>
          <w:color w:val="auto"/>
        </w:rPr>
        <w:t>Restricted Stock</w:t>
      </w:r>
      <w:r>
        <w:rPr>
          <w:rFonts w:ascii="Arial" w:cs="Arial" w:eastAsia="Arial" w:hAnsi="Arial"/>
          <w:sz w:val="16"/>
          <w:szCs w:val="16"/>
          <w:color w:val="auto"/>
        </w:rPr>
        <w:t>” shall mean an award of Shares made under Article 7 hereof that is subject to certain restrictions and may be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risk of forfeiture or repurchase.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2.37         “</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shall mean a contractual right awarded under Article 8 hereof to receive in the future a Share or the Fair Market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of a Share in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Shares</w:t>
      </w:r>
      <w:r>
        <w:rPr>
          <w:rFonts w:ascii="Arial" w:cs="Arial" w:eastAsia="Arial" w:hAnsi="Arial"/>
          <w:sz w:val="18"/>
          <w:szCs w:val="18"/>
          <w:color w:val="auto"/>
        </w:rPr>
        <w:t>” shall mean shares of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Share Limit</w:t>
      </w:r>
      <w:r>
        <w:rPr>
          <w:rFonts w:ascii="Arial" w:cs="Arial" w:eastAsia="Arial" w:hAnsi="Arial"/>
          <w:sz w:val="18"/>
          <w:szCs w:val="18"/>
          <w:color w:val="auto"/>
        </w:rPr>
        <w:t>” shall have the meaning set forth in Section 3.1(a)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mean a stock appreciation right granted under Article 10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Stock Appreciation Right Term</w:t>
      </w:r>
      <w:r>
        <w:rPr>
          <w:rFonts w:ascii="Arial" w:cs="Arial" w:eastAsia="Arial" w:hAnsi="Arial"/>
          <w:sz w:val="18"/>
          <w:szCs w:val="18"/>
          <w:color w:val="auto"/>
        </w:rPr>
        <w:t>” shall have the meaning set forth in Section 10.4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Stock Payment</w:t>
      </w:r>
      <w:r>
        <w:rPr>
          <w:rFonts w:ascii="Arial" w:cs="Arial" w:eastAsia="Arial" w:hAnsi="Arial"/>
          <w:sz w:val="18"/>
          <w:szCs w:val="18"/>
          <w:color w:val="auto"/>
        </w:rPr>
        <w:t>” shall mean (a) a payment in the form of Shares, or (b) an option or other right to purchase Shares, as part of a bonus, deferred compensation or other arrangement, awarded under Section 9.3 hereof.  </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2.44        “</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any entity (other than the Company), whether domestic or foreign, in an unbroken chain of entities beginning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if each of the entities other than the last entity in the unbroken chain beneficially owns, at the time of the determination, securities or interests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representing more than fifty percent (50%) of the total combined voting power of all classes of securities or interests in one of the other entities in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2.45        “</w:t>
      </w:r>
      <w:r>
        <w:rPr>
          <w:rFonts w:ascii="Arial" w:cs="Arial" w:eastAsia="Arial" w:hAnsi="Arial"/>
          <w:sz w:val="16"/>
          <w:szCs w:val="16"/>
          <w:u w:val="single" w:color="auto"/>
          <w:color w:val="auto"/>
        </w:rPr>
        <w:t>Substitute Award</w:t>
      </w:r>
      <w:r>
        <w:rPr>
          <w:rFonts w:ascii="Arial" w:cs="Arial" w:eastAsia="Arial" w:hAnsi="Arial"/>
          <w:sz w:val="16"/>
          <w:szCs w:val="16"/>
          <w:color w:val="auto"/>
        </w:rPr>
        <w:t>” shall mean an Award granted under the Plan upon the assumption of, or in substitution for, outstanding equity awards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previously granted by a company or other entity in connection with a corporate transaction, such as a merger, combination, consolidation or acquisition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property or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term “Substitute Award” be construed to refer to an award made in connection with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cancellation and repricing of an Option or Stock Appreciation 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mean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  </w:t>
      </w:r>
    </w:p>
    <w:p>
      <w:pPr>
        <w:spacing w:after="0" w:line="2"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  </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THE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3.1        </w:t>
      </w:r>
      <w:r>
        <w:rPr>
          <w:rFonts w:ascii="Arial" w:cs="Arial" w:eastAsia="Arial" w:hAnsi="Arial"/>
          <w:sz w:val="18"/>
          <w:szCs w:val="18"/>
          <w:u w:val="single" w:color="auto"/>
          <w:color w:val="auto"/>
        </w:rPr>
        <w:t>  Number of Shares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Subject to Sections 13.1, 13.2 and 3.1(b) hereof, the aggregate number of Shares which may be issued or transferred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Awards under the Plan shall be 6,457,767 Shares (the “</w:t>
      </w:r>
      <w:r>
        <w:rPr>
          <w:rFonts w:ascii="Arial" w:cs="Arial" w:eastAsia="Arial" w:hAnsi="Arial"/>
          <w:sz w:val="17"/>
          <w:szCs w:val="17"/>
          <w:u w:val="single" w:color="auto"/>
          <w:color w:val="auto"/>
        </w:rPr>
        <w:t>Share Limit</w:t>
      </w:r>
      <w:r>
        <w:rPr>
          <w:rFonts w:ascii="Arial" w:cs="Arial" w:eastAsia="Arial" w:hAnsi="Arial"/>
          <w:sz w:val="17"/>
          <w:szCs w:val="17"/>
          <w:color w:val="auto"/>
        </w:rPr>
        <w:t>”). Notwithstanding the foregoing, to the extent permitted under Applicable Law,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Awards that provide for the delivery of Shares subsequent to the applicable grant date may be granted in excess of the Share Limit if such Awards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forfeiture or cash settlement of such Awards to the extent that insufficient Shares remain under the Share Limit in this Section 3.1 at the time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would otherwise be issued in respect of such Award.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If any Shares subject to an Award are forfeited or expire or such Award is settled for cash (in whole or in part), the Shares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Award shall, to the extent of such forfeiture, expiration or cash settlement, again be available for future grants of Awards under the Plan and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added back to the Share Limit. In addition, the following Shares shall be available for future grants of Awards under the Plan and shall be added back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Limit: (i) Shares tendered by a Holder or withheld by the Company in payment of the exercise price of an Option; (ii) Shares tendered by the 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withheld by the Company to satisfy any tax withholding obligation with respect to an Award; and (iii) Shares subject to Stock Appreciation Rights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not issued in connection with the stock settlement of the Stock Appreciation Rights on exercise thereof. Any Shares repurchased by the Company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7.4 hereof at the same price paid by the Holder or a lower price so that such Shares are returned to the Company will again be available for Awards.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payment of Dividend Equivalents in cash in conjunction with any outstanding Awards shall not be counted against the Shares available for issuance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          Substitute Awards shall not reduce the Shares authorized for grant under the Plan. Additionally, in the event that a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acquired by the Company or any Affiliate or with which the Company or any Affiliate combines has shares available under a pre-existing plan approved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its stockholders and not adopted in contemplation of such acquisition or combination, the shares available for grant pursuant to the terms of such pre-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existing plan (as adjusted, to the extent appropriate, using the exchange ratio or other adjustment or valuation ratio or formula used in such acquisition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combination to determine the consideration payable to the holders of common stock of the entities party to such acquisition or combination) may be used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Awards under the Plan and shall not reduce the Shares authorized for grant under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Awards using such available shares shall not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made after the date awards or grants could have been made under the terms of the pre-existing plan, absent the acquisition or combination, and shall only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made to individuals who were not employed by or providing services to the Company or its Affiliates immediately prior to such acquisition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combination.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3.2        </w:t>
      </w:r>
      <w:r>
        <w:rPr>
          <w:rFonts w:ascii="Arial" w:cs="Arial" w:eastAsia="Arial" w:hAnsi="Arial"/>
          <w:sz w:val="18"/>
          <w:szCs w:val="18"/>
          <w:u w:val="single" w:color="auto"/>
          <w:color w:val="auto"/>
        </w:rPr>
        <w:t>  Stock Distributed</w:t>
      </w:r>
      <w:r>
        <w:rPr>
          <w:rFonts w:ascii="Arial" w:cs="Arial" w:eastAsia="Arial" w:hAnsi="Arial"/>
          <w:sz w:val="18"/>
          <w:szCs w:val="18"/>
          <w:color w:val="auto"/>
        </w:rPr>
        <w:t>. Any Shares distributed pursuant to an Award may consist, in whole or in part, of authorized and unissued Common Stock, treasury Common Stock or Common Stock purchased on the open market.  </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OF AWARDS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4.1        </w:t>
      </w:r>
      <w:r>
        <w:rPr>
          <w:rFonts w:ascii="Arial" w:cs="Arial" w:eastAsia="Arial" w:hAnsi="Arial"/>
          <w:sz w:val="16"/>
          <w:szCs w:val="16"/>
          <w:u w:val="single" w:color="auto"/>
          <w:color w:val="auto"/>
        </w:rPr>
        <w:t>  Participation</w:t>
      </w:r>
      <w:r>
        <w:rPr>
          <w:rFonts w:ascii="Arial" w:cs="Arial" w:eastAsia="Arial" w:hAnsi="Arial"/>
          <w:sz w:val="16"/>
          <w:szCs w:val="16"/>
          <w:color w:val="auto"/>
        </w:rPr>
        <w:t>. The Committee and the Board may, from time to time, select from among all Eligible Individuals, those to whom an Award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granted and shall determine the nature and amount of each Award, which shall not be inconsistent with the requirements of the Plan. No Eligible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Individual shall have any right to be granted an Award pursuant to the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4.2        </w:t>
      </w:r>
      <w:r>
        <w:rPr>
          <w:rFonts w:ascii="Arial" w:cs="Arial" w:eastAsia="Arial" w:hAnsi="Arial"/>
          <w:sz w:val="18"/>
          <w:szCs w:val="18"/>
          <w:u w:val="single" w:color="auto"/>
          <w:color w:val="auto"/>
        </w:rPr>
        <w:t>  Award Agreement</w:t>
      </w:r>
      <w:r>
        <w:rPr>
          <w:rFonts w:ascii="Arial" w:cs="Arial" w:eastAsia="Arial" w:hAnsi="Arial"/>
          <w:sz w:val="18"/>
          <w:szCs w:val="18"/>
          <w:color w:val="auto"/>
        </w:rPr>
        <w:t>.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w:t>
      </w:r>
    </w:p>
    <w:p>
      <w:pPr>
        <w:spacing w:after="0" w:line="20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4.3        </w:t>
      </w:r>
      <w:r>
        <w:rPr>
          <w:rFonts w:ascii="Arial" w:cs="Arial" w:eastAsia="Arial" w:hAnsi="Arial"/>
          <w:sz w:val="18"/>
          <w:szCs w:val="18"/>
          <w:u w:val="single" w:color="auto"/>
          <w:color w:val="auto"/>
        </w:rPr>
        <w:t>  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  </w:t>
      </w:r>
    </w:p>
    <w:p>
      <w:pPr>
        <w:spacing w:after="0" w:line="20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4.4        </w:t>
      </w:r>
      <w:r>
        <w:rPr>
          <w:rFonts w:ascii="Arial" w:cs="Arial" w:eastAsia="Arial" w:hAnsi="Arial"/>
          <w:sz w:val="18"/>
          <w:szCs w:val="18"/>
          <w:u w:val="single" w:color="auto"/>
          <w:color w:val="auto"/>
        </w:rPr>
        <w:t>  At-Will Employment; Voluntary Participation</w:t>
      </w:r>
      <w:r>
        <w:rPr>
          <w:rFonts w:ascii="Arial" w:cs="Arial" w:eastAsia="Arial" w:hAnsi="Arial"/>
          <w:sz w:val="18"/>
          <w:szCs w:val="18"/>
          <w:color w:val="auto"/>
        </w:rPr>
        <w:t>. Nothing in the Plan or in any Program or Award Agreement hereunder shall confer upon any Holder any right to continue in the employ of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  </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4.5        </w:t>
      </w:r>
      <w:r>
        <w:rPr>
          <w:rFonts w:ascii="Arial" w:cs="Arial" w:eastAsia="Arial" w:hAnsi="Arial"/>
          <w:sz w:val="16"/>
          <w:szCs w:val="16"/>
          <w:u w:val="single" w:color="auto"/>
          <w:color w:val="auto"/>
        </w:rPr>
        <w:t>  Foreign Holders</w:t>
      </w:r>
      <w:r>
        <w:rPr>
          <w:rFonts w:ascii="Arial" w:cs="Arial" w:eastAsia="Arial" w:hAnsi="Arial"/>
          <w:sz w:val="16"/>
          <w:szCs w:val="16"/>
          <w:color w:val="auto"/>
        </w:rPr>
        <w:t>. Notwithstanding any provision of the Plan to the contrary, in order to comply with the laws in countries other than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in which the Company and its Affiliates operate or have Employees, or in order to comply with the requirements of any foreign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exchange, the Administrator, in its sole discretion, shall have the power and authority to: (a) determine which Affiliates shall be covered by the Plan;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 determine which Eligible Individuals outside the United States are eligible to participate in the Plan; (c) modify the terms and conditions of any Award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granted to Eligible Individuals outside the United States to comply with applicable foreign laws or listing requirements of any such foreign securities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(d) establish subplans and modify exercise procedures and other terms and procedures, to the extent such actions may be necessary or advisable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(any such subplans and/or modifications shall be attached to the Plan as appendices);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subplans and/or modifications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the share limitations contained in Section 3.1 hereof; and (e) take any action, before or after an Award is made, that it deems advisable to obtain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approval or comply with any necessary local governmental regulatory exemptions or approvals or listing requirements of any such foreign securities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Notwithstanding the foregoing, the Administrator may not take any actions hereunder, and no Awards shall be granted, that would violate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Code, the Exchange Act, the Securities Act, any other securities law or governing statute, the rules of the securities exchange or automated quotation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system on which the Shares are listed, quoted or traded or any other Applicable Law. For purposes of the Plan, all references to foreign laws, rules,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regulations or taxes shall be references to the laws, rules, regulations and taxes of any applicable jurisdiction other than the United States or a political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subdivision thereof.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4.6        </w:t>
      </w:r>
      <w:r>
        <w:rPr>
          <w:rFonts w:ascii="Arial" w:cs="Arial" w:eastAsia="Arial" w:hAnsi="Arial"/>
          <w:sz w:val="18"/>
          <w:szCs w:val="18"/>
          <w:u w:val="single" w:color="auto"/>
          <w:color w:val="auto"/>
        </w:rPr>
        <w:t>  Stand-Alone and Tandem Awards</w:t>
      </w:r>
      <w:r>
        <w:rPr>
          <w:rFonts w:ascii="Arial" w:cs="Arial" w:eastAsia="Arial" w:hAnsi="Arial"/>
          <w:sz w:val="18"/>
          <w:szCs w:val="18"/>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  </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OF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5.1        </w:t>
      </w:r>
      <w:r>
        <w:rPr>
          <w:rFonts w:ascii="Arial" w:cs="Arial" w:eastAsia="Arial" w:hAnsi="Arial"/>
          <w:sz w:val="18"/>
          <w:szCs w:val="18"/>
          <w:u w:val="single" w:color="auto"/>
          <w:color w:val="auto"/>
        </w:rPr>
        <w:t>  Granting of Options to Eligible Individuals</w:t>
      </w:r>
      <w:r>
        <w:rPr>
          <w:rFonts w:ascii="Arial" w:cs="Arial" w:eastAsia="Arial" w:hAnsi="Arial"/>
          <w:sz w:val="18"/>
          <w:szCs w:val="18"/>
          <w:color w:val="auto"/>
        </w:rPr>
        <w:t>. Each of the Committee and the Board is authorized to grant Options to Eligible Individuals from time to time, in its sole discretion, on such terms and conditions as it may determine which shall not be inconsistent with the Plan.  </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color w:val="auto"/>
        </w:rPr>
        <w:t>5.2        </w:t>
      </w:r>
      <w:r>
        <w:rPr>
          <w:rFonts w:ascii="Arial" w:cs="Arial" w:eastAsia="Arial" w:hAnsi="Arial"/>
          <w:sz w:val="18"/>
          <w:szCs w:val="18"/>
          <w:u w:val="single" w:color="auto"/>
          <w:color w:val="auto"/>
        </w:rPr>
        <w:t>  Option Exercise Price</w:t>
      </w:r>
      <w:r>
        <w:rPr>
          <w:rFonts w:ascii="Arial" w:cs="Arial" w:eastAsia="Arial" w:hAnsi="Arial"/>
          <w:sz w:val="18"/>
          <w:szCs w:val="18"/>
          <w:color w:val="auto"/>
        </w:rPr>
        <w:t>. Except as provided in Article 13 hereof, the exercise price per Share subject to each Option shall be set by the Committee or the Board, but shall not be less than one hundred percent (100%) of the Fair Market Value of a Share on the date the Option is granted.  </w:t>
      </w:r>
    </w:p>
    <w:p>
      <w:pPr>
        <w:spacing w:after="0" w:line="1"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5.3          </w:t>
      </w:r>
      <w:r>
        <w:rPr>
          <w:rFonts w:ascii="Arial" w:cs="Arial" w:eastAsia="Arial" w:hAnsi="Arial"/>
          <w:sz w:val="18"/>
          <w:szCs w:val="18"/>
          <w:u w:val="single" w:color="auto"/>
          <w:color w:val="auto"/>
        </w:rPr>
        <w:t>  Option Term</w:t>
      </w:r>
      <w:r>
        <w:rPr>
          <w:rFonts w:ascii="Arial" w:cs="Arial" w:eastAsia="Arial" w:hAnsi="Arial"/>
          <w:sz w:val="18"/>
          <w:szCs w:val="18"/>
          <w:color w:val="auto"/>
        </w:rPr>
        <w:t>. The term of each Option (the “</w:t>
      </w:r>
      <w:r>
        <w:rPr>
          <w:rFonts w:ascii="Arial" w:cs="Arial" w:eastAsia="Arial" w:hAnsi="Arial"/>
          <w:sz w:val="18"/>
          <w:szCs w:val="18"/>
          <w:u w:val="single" w:color="auto"/>
          <w:color w:val="auto"/>
        </w:rPr>
        <w:t>Option Term</w:t>
      </w:r>
      <w:r>
        <w:rPr>
          <w:rFonts w:ascii="Arial" w:cs="Arial" w:eastAsia="Arial" w:hAnsi="Arial"/>
          <w:sz w:val="18"/>
          <w:szCs w:val="18"/>
          <w:color w:val="auto"/>
        </w:rPr>
        <w:t xml:space="preserve">”) shall be set by the Administrator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Option Term shall not be more than ten (10) years from the date the Option is granted.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of the Code or the first sentence of this Section 5.3, the Administrator may extend the Option Term of any outstanding Option, may extend the time period during which vested Options may be exercised following any Termination of Service of the Holder, and may amend any other term or condition of such Option relating to such a Termination of Service.  </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5.4        </w:t>
      </w:r>
      <w:r>
        <w:rPr>
          <w:rFonts w:ascii="Arial" w:cs="Arial" w:eastAsia="Arial" w:hAnsi="Arial"/>
          <w:sz w:val="18"/>
          <w:szCs w:val="18"/>
          <w:u w:val="single" w:color="auto"/>
          <w:color w:val="auto"/>
        </w:rPr>
        <w:t>  Option Vesting</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The period during which the right to exercise, in whole or in part, an Option vests in the Holder shall be set by the Administrator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Administrator may determine that an Option may not be exercised in whole or in part for a specified period after it is granted. Such vesting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service with the Company or any Affiliate, any performance criteria, or any other criteria selected by the Administrator. At any time after the grant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an Option, the Administrator may, in its sole discretion and subject to whatever terms and conditions it selects, accelerate the vesting of the Option,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following a Termination of Service; provided, that in no event shall an Option become exercisable following its expiration, termination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forfeiture.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No portion of an Option which is unexercisable at a Holder’s Termination of Service shall thereafter become exercisable, except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otherwise provided by the Administrator either in the Program, the Award Agreement or by action of the Administrator following the grant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5.5        </w:t>
      </w:r>
      <w:r>
        <w:rPr>
          <w:rFonts w:ascii="Arial" w:cs="Arial" w:eastAsia="Arial" w:hAnsi="Arial"/>
          <w:sz w:val="18"/>
          <w:szCs w:val="18"/>
          <w:u w:val="single" w:color="auto"/>
          <w:color w:val="auto"/>
        </w:rPr>
        <w:t>  Substitute Awards</w:t>
      </w:r>
      <w:r>
        <w:rPr>
          <w:rFonts w:ascii="Arial" w:cs="Arial" w:eastAsia="Arial" w:hAnsi="Arial"/>
          <w:sz w:val="18"/>
          <w:szCs w:val="18"/>
          <w:color w:val="auto"/>
        </w:rPr>
        <w:t xml:space="preserve">. Notwithstanding the foregoing provisions of this Article 5 to the contrary, in the case of an Option that is a Substitute Award, the price per share of the shares subject to such Option may be less than the Fair Market Value per share on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  </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5.6        </w:t>
      </w:r>
      <w:r>
        <w:rPr>
          <w:rFonts w:ascii="Arial" w:cs="Arial" w:eastAsia="Arial" w:hAnsi="Arial"/>
          <w:sz w:val="16"/>
          <w:szCs w:val="16"/>
          <w:u w:val="single" w:color="auto"/>
          <w:color w:val="auto"/>
        </w:rPr>
        <w:t>  Substitution of Stock Appreciation Rights</w:t>
      </w:r>
      <w:r>
        <w:rPr>
          <w:rFonts w:ascii="Arial" w:cs="Arial" w:eastAsia="Arial" w:hAnsi="Arial"/>
          <w:sz w:val="16"/>
          <w:szCs w:val="16"/>
          <w:color w:val="auto"/>
        </w:rPr>
        <w:t>. The Administrator may provide in the applicable Program or the Award Agreement evidencing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grant of an Option that the Administrator, in its sole discretion, shall have the right to substitute a Stock Appreciation Right for such Option at any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prior to or upon exercise of such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Stock Appreciation Right shall be exercisable with respect to the same number of Shares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such substituted Option would have been exercisable, and shall also have the same exercise price, vesting schedule and remaining Option Term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substituted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6.1        </w:t>
      </w:r>
      <w:r>
        <w:rPr>
          <w:rFonts w:ascii="Arial" w:cs="Arial" w:eastAsia="Arial" w:hAnsi="Arial"/>
          <w:sz w:val="16"/>
          <w:szCs w:val="16"/>
          <w:u w:val="single" w:color="auto"/>
          <w:color w:val="auto"/>
        </w:rPr>
        <w:t>  Partial Exercise</w:t>
      </w:r>
      <w:r>
        <w:rPr>
          <w:rFonts w:ascii="Arial" w:cs="Arial" w:eastAsia="Arial" w:hAnsi="Arial"/>
          <w:sz w:val="16"/>
          <w:szCs w:val="16"/>
          <w:color w:val="auto"/>
        </w:rPr>
        <w:t>. An exercisable Option may be exercised in whole or in part. However, an Option shall not be exercisable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fractional Shares and the Administrator may require that, by the terms of the Option, a partial exercise must be with respect to a minimum number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6.2        </w:t>
      </w:r>
      <w:r>
        <w:rPr>
          <w:rFonts w:ascii="Arial" w:cs="Arial" w:eastAsia="Arial" w:hAnsi="Arial"/>
          <w:sz w:val="17"/>
          <w:szCs w:val="17"/>
          <w:u w:val="single" w:color="auto"/>
          <w:color w:val="auto"/>
        </w:rPr>
        <w:t>  Manner of Exercise</w:t>
      </w:r>
      <w:r>
        <w:rPr>
          <w:rFonts w:ascii="Arial" w:cs="Arial" w:eastAsia="Arial" w:hAnsi="Arial"/>
          <w:sz w:val="17"/>
          <w:szCs w:val="17"/>
          <w:color w:val="auto"/>
        </w:rPr>
        <w:t>. All or a portion of an exercisable Option shall be deemed exercised upon delivery of all of the following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Secretary of the Company, or such other person or entity designated by the Administrator, or his, her or its office, as applicable: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(a)          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  </w:t>
      </w:r>
    </w:p>
    <w:p>
      <w:pPr>
        <w:spacing w:after="0" w:line="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18"/>
          <w:szCs w:val="18"/>
          <w:color w:val="auto"/>
        </w:rPr>
        <w:t>(b)          Such representations and documents as the Administrator, in its sole discretion, deems necessary or advisable to effect compliance with all Applicable Law. The Administrator may, in its sole discretion, also take whatever additional actions it deems appropriate to effect such compliance including, without limitation, placing legends on share certificates and issuing stop-transfer notices to agents and registrars;  </w:t>
      </w:r>
    </w:p>
    <w:p>
      <w:pPr>
        <w:spacing w:after="0" w:line="2"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(c)           In the event that the Option shall be exercised pursuant to Section 11.3 hereof by any person or persons other than the Holder, appropriate proof of the right of such person or persons to exercise the Option, as determined in the sole discretion of the Administrator; and  </w:t>
      </w:r>
    </w:p>
    <w:p>
      <w:pPr>
        <w:spacing w:after="0" w:line="1" w:lineRule="exact"/>
        <w:rPr>
          <w:sz w:val="20"/>
          <w:szCs w:val="20"/>
          <w:color w:val="auto"/>
        </w:rPr>
      </w:pPr>
    </w:p>
    <w:p>
      <w:pPr>
        <w:ind w:firstLine="1296"/>
        <w:spacing w:after="0" w:line="260" w:lineRule="auto"/>
        <w:rPr>
          <w:sz w:val="20"/>
          <w:szCs w:val="20"/>
          <w:color w:val="auto"/>
        </w:rPr>
      </w:pPr>
      <w:r>
        <w:rPr>
          <w:rFonts w:ascii="Arial" w:cs="Arial" w:eastAsia="Arial" w:hAnsi="Arial"/>
          <w:sz w:val="18"/>
          <w:szCs w:val="18"/>
          <w:color w:val="auto"/>
        </w:rPr>
        <w:t>(d)          Full payment of the exercise price and applicable withholding taxes to the stock administrator of the Company for the shares with respect to which the Option, or portion thereof, is exercised, in a manner permitted by Section 11.1 and 11.2 hereof.  </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RESTRICTED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7.1        </w:t>
      </w:r>
      <w:r>
        <w:rPr>
          <w:rFonts w:ascii="Arial" w:cs="Arial" w:eastAsia="Arial" w:hAnsi="Arial"/>
          <w:sz w:val="18"/>
          <w:szCs w:val="18"/>
          <w:u w:val="single" w:color="auto"/>
          <w:color w:val="auto"/>
        </w:rPr>
        <w:t>  Award of Restricted Stock</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(a)           Each of the Committee and the Board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  </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18"/>
          <w:szCs w:val="18"/>
          <w:color w:val="auto"/>
        </w:rPr>
        <w:t xml:space="preserve">(b)          The Administrator shall establish the purchase price, if any, and form of payment for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  </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7.2        </w:t>
      </w:r>
      <w:r>
        <w:rPr>
          <w:rFonts w:ascii="Arial" w:cs="Arial" w:eastAsia="Arial" w:hAnsi="Arial"/>
          <w:sz w:val="16"/>
          <w:szCs w:val="16"/>
          <w:u w:val="single" w:color="auto"/>
          <w:color w:val="auto"/>
        </w:rPr>
        <w:t>  Rights as Stockholders</w:t>
      </w:r>
      <w:r>
        <w:rPr>
          <w:rFonts w:ascii="Arial" w:cs="Arial" w:eastAsia="Arial" w:hAnsi="Arial"/>
          <w:sz w:val="16"/>
          <w:szCs w:val="16"/>
          <w:color w:val="auto"/>
        </w:rPr>
        <w:t>. Subject to Section 7.4 hereof, upon issuance of Restricted Stock, the Holder shall have, unless otherwise 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Administrator, all the rights of a stockholder with respect to said Shares, subject to the restrictions in the applicable Program or in each individual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Award Agreement, including the right to receive all dividends and other distributions paid or made with respect to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sole discretion of the Administrator, any extraordinary distributions with respect to the Shares shall be subject to the restrictions set forth in Section 7.3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7.3        </w:t>
      </w:r>
      <w:r>
        <w:rPr>
          <w:rFonts w:ascii="Arial" w:cs="Arial" w:eastAsia="Arial" w:hAnsi="Arial"/>
          <w:sz w:val="16"/>
          <w:szCs w:val="16"/>
          <w:u w:val="single" w:color="auto"/>
          <w:color w:val="auto"/>
        </w:rPr>
        <w:t>  Restrictions</w:t>
      </w:r>
      <w:r>
        <w:rPr>
          <w:rFonts w:ascii="Arial" w:cs="Arial" w:eastAsia="Arial" w:hAnsi="Arial"/>
          <w:sz w:val="16"/>
          <w:szCs w:val="16"/>
          <w:color w:val="auto"/>
        </w:rPr>
        <w:t>. All shares of Restricted Stock (including any shares received by Holders thereof with respect to shares of Restricted Stock 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 of stock dividends, stock splits or any other form of recapitalization) shall, in the terms of the applicable Program or in each individual Award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be subject to such restrictions and vesting requirements as the Administrator shall provide. Such restrictions may include, without limitation,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restrictions concerning voting rights and transferability and such restrictions may lapse separately or in combination at such times and pursuant to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circumstances or based on such criteria as selected by the Administrator, including, without limitation, criteria based on the Holder’s duration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employment with the Company, Company or Affiliate performance, individual performance or other criteria selected by the Administrator. By action taken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the Restricted Stock is issued, the Administrator may, on such terms and conditions as it may determine to be appropriate, accelerate the vesting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Restricted Stock by removing any or all of the restrictions imposed by the terms of the Program and/or the Award Agreement. Restricted Stock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be sold or encumbered until all restrictions are terminated or expire.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7.4        </w:t>
      </w:r>
      <w:r>
        <w:rPr>
          <w:rFonts w:ascii="Arial" w:cs="Arial" w:eastAsia="Arial" w:hAnsi="Arial"/>
          <w:sz w:val="18"/>
          <w:szCs w:val="18"/>
          <w:u w:val="single" w:color="auto"/>
          <w:color w:val="auto"/>
        </w:rPr>
        <w:t>  Repurchase or Forfeiture of Restricted Stock</w:t>
      </w:r>
      <w:r>
        <w:rPr>
          <w:rFonts w:ascii="Arial" w:cs="Arial" w:eastAsia="Arial" w:hAnsi="Arial"/>
          <w:sz w:val="18"/>
          <w:szCs w:val="18"/>
          <w:color w:val="auto"/>
        </w:rPr>
        <w:t>.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  </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7.5        </w:t>
      </w:r>
      <w:r>
        <w:rPr>
          <w:rFonts w:ascii="Arial" w:cs="Arial" w:eastAsia="Arial" w:hAnsi="Arial"/>
          <w:sz w:val="18"/>
          <w:szCs w:val="18"/>
          <w:u w:val="single" w:color="auto"/>
          <w:color w:val="auto"/>
        </w:rPr>
        <w:t>  Certificates for Restricted Stock</w:t>
      </w:r>
      <w:r>
        <w:rPr>
          <w:rFonts w:ascii="Arial" w:cs="Arial" w:eastAsia="Arial" w:hAnsi="Arial"/>
          <w:sz w:val="18"/>
          <w:szCs w:val="18"/>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its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  </w:t>
      </w:r>
    </w:p>
    <w:p>
      <w:pPr>
        <w:spacing w:after="0" w:line="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7.6        </w:t>
      </w:r>
      <w:r>
        <w:rPr>
          <w:rFonts w:ascii="Arial" w:cs="Arial" w:eastAsia="Arial" w:hAnsi="Arial"/>
          <w:sz w:val="18"/>
          <w:szCs w:val="18"/>
          <w:u w:val="single" w:color="auto"/>
          <w:color w:val="auto"/>
        </w:rPr>
        <w:t>  Section 83(b) Election</w:t>
      </w:r>
      <w:r>
        <w:rPr>
          <w:rFonts w:ascii="Arial" w:cs="Arial" w:eastAsia="Arial" w:hAnsi="Arial"/>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RESTRICTED STOCK UNITS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color w:val="auto"/>
        </w:rPr>
        <w:t>8.1        </w:t>
      </w:r>
      <w:r>
        <w:rPr>
          <w:rFonts w:ascii="Arial" w:cs="Arial" w:eastAsia="Arial" w:hAnsi="Arial"/>
          <w:sz w:val="18"/>
          <w:szCs w:val="18"/>
          <w:u w:val="single" w:color="auto"/>
          <w:color w:val="auto"/>
        </w:rPr>
        <w:t>  Grant of Restricted Stock Units</w:t>
      </w:r>
      <w:r>
        <w:rPr>
          <w:rFonts w:ascii="Arial" w:cs="Arial" w:eastAsia="Arial" w:hAnsi="Arial"/>
          <w:sz w:val="18"/>
          <w:szCs w:val="18"/>
          <w:color w:val="auto"/>
        </w:rPr>
        <w:t>. Each of the Committee and the Board is authorized to grant Awards of Restricted Stock Units to any Eligible Individual selected by the Administrator in such amounts and subject to such terms and conditions as determined by the Administrator.  </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8.2        </w:t>
      </w:r>
      <w:r>
        <w:rPr>
          <w:rFonts w:ascii="Arial" w:cs="Arial" w:eastAsia="Arial" w:hAnsi="Arial"/>
          <w:sz w:val="16"/>
          <w:szCs w:val="16"/>
          <w:u w:val="single" w:color="auto"/>
          <w:color w:val="auto"/>
        </w:rPr>
        <w:t>  Term</w:t>
      </w:r>
      <w:r>
        <w:rPr>
          <w:rFonts w:ascii="Arial" w:cs="Arial" w:eastAsia="Arial" w:hAnsi="Arial"/>
          <w:sz w:val="16"/>
          <w:szCs w:val="16"/>
          <w:color w:val="auto"/>
        </w:rPr>
        <w:t>. Except as otherwise provided herein, the term of a Restricted Stock Unit award shall be set by the Administrator in its sole discretion.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8.3        </w:t>
      </w:r>
      <w:r>
        <w:rPr>
          <w:rFonts w:ascii="Arial" w:cs="Arial" w:eastAsia="Arial" w:hAnsi="Arial"/>
          <w:sz w:val="16"/>
          <w:szCs w:val="16"/>
          <w:u w:val="single" w:color="auto"/>
          <w:color w:val="auto"/>
        </w:rPr>
        <w:t>  Purchase Price</w:t>
      </w:r>
      <w:r>
        <w:rPr>
          <w:rFonts w:ascii="Arial" w:cs="Arial" w:eastAsia="Arial" w:hAnsi="Arial"/>
          <w:sz w:val="16"/>
          <w:szCs w:val="16"/>
          <w:color w:val="auto"/>
        </w:rPr>
        <w:t>. The Administrator shall specify the purchase price, if any, to be paid by the Holder to the Company with respect 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Restricted Stock Unit award;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value of the consideration shall not be less than the par value of a Share, unless otherwise permitted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Applicable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8.4        </w:t>
      </w:r>
      <w:r>
        <w:rPr>
          <w:rFonts w:ascii="Arial" w:cs="Arial" w:eastAsia="Arial" w:hAnsi="Arial"/>
          <w:sz w:val="18"/>
          <w:szCs w:val="18"/>
          <w:u w:val="single" w:color="auto"/>
          <w:color w:val="auto"/>
        </w:rPr>
        <w:t>  Vesting of Restricted Stock Units</w:t>
      </w:r>
      <w:r>
        <w:rPr>
          <w:rFonts w:ascii="Arial" w:cs="Arial" w:eastAsia="Arial" w:hAnsi="Arial"/>
          <w:sz w:val="18"/>
          <w:szCs w:val="18"/>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Company performance, individual performance or other specific criteria, in each case on a specified date or dates or over any period or periods, as determined by the Administrator.  </w:t>
      </w:r>
    </w:p>
    <w:p>
      <w:pPr>
        <w:spacing w:after="0" w:line="2"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16"/>
          <w:szCs w:val="16"/>
          <w:color w:val="auto"/>
        </w:rPr>
        <w:t>8.5        </w:t>
      </w:r>
      <w:r>
        <w:rPr>
          <w:rFonts w:ascii="Arial" w:cs="Arial" w:eastAsia="Arial" w:hAnsi="Arial"/>
          <w:sz w:val="16"/>
          <w:szCs w:val="16"/>
          <w:u w:val="single" w:color="auto"/>
          <w:color w:val="auto"/>
        </w:rPr>
        <w:t>  Maturity and Payment</w:t>
      </w:r>
      <w:r>
        <w:rPr>
          <w:rFonts w:ascii="Arial" w:cs="Arial" w:eastAsia="Arial" w:hAnsi="Arial"/>
          <w:sz w:val="16"/>
          <w:szCs w:val="16"/>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otherwise determined by the Administrator, set forth in any applicable Award Agreement, and subject to compliance with Section 409A of the Code, in no event shall the maturity date relating to each Restricted Stock Unit occur following the later of (a) the fifteenth (15</w:t>
      </w:r>
      <w:r>
        <w:rPr>
          <w:rFonts w:ascii="Arial" w:cs="Arial" w:eastAsia="Arial" w:hAnsi="Arial"/>
          <w:sz w:val="26"/>
          <w:szCs w:val="26"/>
          <w:color w:val="auto"/>
          <w:vertAlign w:val="superscript"/>
        </w:rPr>
        <w:t>th</w:t>
      </w:r>
      <w:r>
        <w:rPr>
          <w:rFonts w:ascii="Arial" w:cs="Arial" w:eastAsia="Arial" w:hAnsi="Arial"/>
          <w:sz w:val="16"/>
          <w:szCs w:val="16"/>
          <w:color w:val="auto"/>
        </w:rPr>
        <w:t>) day of the third (3</w:t>
      </w:r>
      <w:r>
        <w:rPr>
          <w:rFonts w:ascii="Arial" w:cs="Arial" w:eastAsia="Arial" w:hAnsi="Arial"/>
          <w:sz w:val="26"/>
          <w:szCs w:val="26"/>
          <w:color w:val="auto"/>
          <w:vertAlign w:val="superscript"/>
        </w:rPr>
        <w:t>rd</w:t>
      </w:r>
      <w:r>
        <w:rPr>
          <w:rFonts w:ascii="Arial" w:cs="Arial" w:eastAsia="Arial" w:hAnsi="Arial"/>
          <w:sz w:val="16"/>
          <w:szCs w:val="16"/>
          <w:color w:val="auto"/>
        </w:rPr>
        <w:t>) month following the end of calendar year in which the Restricted Stock Unit vests; or (b) the fifteenth (15</w:t>
      </w:r>
      <w:r>
        <w:rPr>
          <w:rFonts w:ascii="Arial" w:cs="Arial" w:eastAsia="Arial" w:hAnsi="Arial"/>
          <w:sz w:val="26"/>
          <w:szCs w:val="26"/>
          <w:color w:val="auto"/>
          <w:vertAlign w:val="superscript"/>
        </w:rPr>
        <w:t>th</w:t>
      </w:r>
      <w:r>
        <w:rPr>
          <w:rFonts w:ascii="Arial" w:cs="Arial" w:eastAsia="Arial" w:hAnsi="Arial"/>
          <w:sz w:val="16"/>
          <w:szCs w:val="16"/>
          <w:color w:val="auto"/>
        </w:rPr>
        <w:t>) day</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of the third (3</w:t>
      </w:r>
      <w:r>
        <w:rPr>
          <w:rFonts w:ascii="Arial" w:cs="Arial" w:eastAsia="Arial" w:hAnsi="Arial"/>
          <w:sz w:val="29"/>
          <w:szCs w:val="29"/>
          <w:color w:val="auto"/>
          <w:vertAlign w:val="superscript"/>
        </w:rPr>
        <w:t>rd</w:t>
      </w:r>
      <w:r>
        <w:rPr>
          <w:rFonts w:ascii="Arial" w:cs="Arial" w:eastAsia="Arial" w:hAnsi="Arial"/>
          <w:sz w:val="18"/>
          <w:szCs w:val="18"/>
          <w:color w:val="auto"/>
        </w:rPr>
        <w:t>) month following the end of the Company’s fiscal year in which the Restricted Stock Unit vests. On the maturity date, the Company shall, subject to Section 11.4(e) hereof,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  </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8.6        </w:t>
      </w:r>
      <w:r>
        <w:rPr>
          <w:rFonts w:ascii="Arial" w:cs="Arial" w:eastAsia="Arial" w:hAnsi="Arial"/>
          <w:sz w:val="17"/>
          <w:szCs w:val="17"/>
          <w:u w:val="single" w:color="auto"/>
          <w:color w:val="auto"/>
        </w:rPr>
        <w:t>  Payment upon Termination of Service</w:t>
      </w:r>
      <w:r>
        <w:rPr>
          <w:rFonts w:ascii="Arial" w:cs="Arial" w:eastAsia="Arial" w:hAnsi="Arial"/>
          <w:sz w:val="17"/>
          <w:szCs w:val="17"/>
          <w:color w:val="auto"/>
        </w:rPr>
        <w:t>. An Award of Restricted Stock Units shall only be payable while the Holder is an Employee;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Administrator, in its sole and absolute discretion may provide (in an Award Agreement or otherwise) that a Restricted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 award may be paid subsequent to a Termination of Service in certain events, including a Change in Control, the Holder’s death, retirement or disability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any other specified Termination of Service.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8.7        </w:t>
      </w:r>
      <w:r>
        <w:rPr>
          <w:rFonts w:ascii="Arial" w:cs="Arial" w:eastAsia="Arial" w:hAnsi="Arial"/>
          <w:sz w:val="17"/>
          <w:szCs w:val="17"/>
          <w:u w:val="single" w:color="auto"/>
          <w:color w:val="auto"/>
        </w:rPr>
        <w:t>  No Rights as a Stockholder</w:t>
      </w:r>
      <w:r>
        <w:rPr>
          <w:rFonts w:ascii="Arial" w:cs="Arial" w:eastAsia="Arial" w:hAnsi="Arial"/>
          <w:sz w:val="17"/>
          <w:szCs w:val="17"/>
          <w:color w:val="auto"/>
        </w:rPr>
        <w:t>. Unless otherwise determined by the Administrator, a Holder who is awarded Restricted Stock Units shall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possess no incidents of ownership with respect to the Shares represented by such Restricted Stock Units, unless and until the same are transferred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Holder pursuant to the terms of this Plan and the Award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8.8        </w:t>
      </w:r>
      <w:r>
        <w:rPr>
          <w:rFonts w:ascii="Arial" w:cs="Arial" w:eastAsia="Arial" w:hAnsi="Arial"/>
          <w:sz w:val="18"/>
          <w:szCs w:val="18"/>
          <w:u w:val="single" w:color="auto"/>
          <w:color w:val="auto"/>
        </w:rPr>
        <w:t>  Dividend Equivalents</w:t>
      </w:r>
      <w:r>
        <w:rPr>
          <w:rFonts w:ascii="Arial" w:cs="Arial" w:eastAsia="Arial" w:hAnsi="Arial"/>
          <w:sz w:val="18"/>
          <w:szCs w:val="18"/>
          <w:color w:val="auto"/>
        </w:rPr>
        <w:t>. Subject to Section 9.2 hereof,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  </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AWARD OF PERFORMANCE AWARDS, DIVIDEND EQUIVALENTS, STOCK PAYMENTS, DEFERRED STOCK, DEFERRED STOCK UNITS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9.1        </w:t>
      </w:r>
      <w:r>
        <w:rPr>
          <w:rFonts w:ascii="Arial" w:cs="Arial" w:eastAsia="Arial" w:hAnsi="Arial"/>
          <w:sz w:val="18"/>
          <w:szCs w:val="18"/>
          <w:u w:val="single" w:color="auto"/>
          <w:color w:val="auto"/>
        </w:rPr>
        <w:t>  Performance Awards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Each of the Board and the Committee is authorized to grant Performance Awards, including Awards of Performance Stock Units,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Eligible Individual. The value of Performance Awards, including Performance Stock Units, may be linked to any performance criteria or other specific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criteria determined by the Administrator, in each case on a specified date or dates or over any period or periods determined by the Administrator.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Awards, including Performance Stock Unit awards may be paid in cash, Shares, or a combination of cash and Shares, as determined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Administrator.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(b)          Without limiting Section 9.1(a) hereof, each of the Board and the Committee may grant Performance Awards to any Eligible Individual in the form of a cash bonus payable upon the attainment of objective performance criteria, or such other criteria, whether or not objective, which are established by the Administrator, in each case on a specified date or dates or over any period or periods determined by the Administrator.  </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9.2        </w:t>
      </w:r>
      <w:r>
        <w:rPr>
          <w:rFonts w:ascii="Arial" w:cs="Arial" w:eastAsia="Arial" w:hAnsi="Arial"/>
          <w:sz w:val="18"/>
          <w:szCs w:val="18"/>
          <w:u w:val="single" w:color="auto"/>
          <w:color w:val="auto"/>
        </w:rPr>
        <w:t>  Dividend Equivalents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(a)          Dividend Equivalents may be granted by each of the Board and the Committee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of Common Stock by such formula and at such time and subject to such limitations as may be determined by the Administrator.  </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Notwithstanding the foregoing, no Dividend Equivalents shall be payable with respect to Options or Stock Appreciation Rights.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9.3        </w:t>
      </w:r>
      <w:r>
        <w:rPr>
          <w:rFonts w:ascii="Arial" w:cs="Arial" w:eastAsia="Arial" w:hAnsi="Arial"/>
          <w:sz w:val="18"/>
          <w:szCs w:val="18"/>
          <w:u w:val="single" w:color="auto"/>
          <w:color w:val="auto"/>
        </w:rPr>
        <w:t>  Stock Payments</w:t>
      </w:r>
      <w:r>
        <w:rPr>
          <w:rFonts w:ascii="Arial" w:cs="Arial" w:eastAsia="Arial" w:hAnsi="Arial"/>
          <w:sz w:val="18"/>
          <w:szCs w:val="18"/>
          <w:color w:val="auto"/>
        </w:rPr>
        <w:t>. Each of the Board and the Committee is authorized to make Stock Payments to any Eligible Individual. The number or value of Shares of any Stock Payment shall be determined by the Administrator and may be based upon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  </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9.4        </w:t>
      </w:r>
      <w:r>
        <w:rPr>
          <w:rFonts w:ascii="Arial" w:cs="Arial" w:eastAsia="Arial" w:hAnsi="Arial"/>
          <w:sz w:val="17"/>
          <w:szCs w:val="17"/>
          <w:u w:val="single" w:color="auto"/>
          <w:color w:val="auto"/>
        </w:rPr>
        <w:t>  Deferred Stock</w:t>
      </w:r>
      <w:r>
        <w:rPr>
          <w:rFonts w:ascii="Arial" w:cs="Arial" w:eastAsia="Arial" w:hAnsi="Arial"/>
          <w:sz w:val="17"/>
          <w:szCs w:val="17"/>
          <w:color w:val="auto"/>
        </w:rPr>
        <w:t>. Each of the Board and the Committee is authorized to grant Deferred Stock to any Eligible Individual. The number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shares of Deferred Stock shall be determined by the Administrator and may (but is not required to) be based on performance criteria or other specific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criteria, including service to the Company or any Affiliate, as the Administrator determines, in each case on a specified date or dates or over any period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periods determined by the Administrator. Shares underlying a Deferred Stock award which is subject to a vesting schedule or other conditions or criteria 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Administrator will be issued on the vesting date(s) or date(s) that those conditions and criteria have been satisfied, as applicable. Unless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by the Administrator, a Holder of Deferred Stock shall have no rights as a Company stockholder with respect to such Deferred Stock until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as the Award has vested and any other applicable conditions and/or criteria have been satisfied and the Shares underlying the Award have been issued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9.5        </w:t>
      </w:r>
      <w:r>
        <w:rPr>
          <w:rFonts w:ascii="Arial" w:cs="Arial" w:eastAsia="Arial" w:hAnsi="Arial"/>
          <w:sz w:val="16"/>
          <w:szCs w:val="16"/>
          <w:u w:val="single" w:color="auto"/>
          <w:color w:val="auto"/>
        </w:rPr>
        <w:t>  Deferred Stock Units</w:t>
      </w:r>
      <w:r>
        <w:rPr>
          <w:rFonts w:ascii="Arial" w:cs="Arial" w:eastAsia="Arial" w:hAnsi="Arial"/>
          <w:sz w:val="16"/>
          <w:szCs w:val="16"/>
          <w:color w:val="auto"/>
        </w:rPr>
        <w:t>. Each of the Board and the Committee is authorized to grant Deferred Stock Units to any Eligible Individual.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number of Deferred Stock Units shall be determined by the Administrator and may (but is not required to) be based on performance criteria or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specific criteria, including service to the Company or any Affiliate, as the Administrator determines, in each case on a specified date or dates or over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or periods determined by the Administrator. Each Deferred Stock Unit shall entitle the Holder thereof to receive one share of Common Stock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the Deferred Stock Unit becomes vested or upon a specified settlement date thereafter (which settlement date may (but is not required to) be the date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Holder’s Termination of Service). Shares underlying a Deferred Stock Unit award which is subject to a vesting schedule or other conditions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criteria set by the Administrator will not be issued until on or following the date that those conditions and criteria have been satisfied. Unless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by the Administrator, a Holder of Deferred Stock Units shall have no rights as a Company stockholder with respect to such Deferred Stock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until such time as the Award has vested and any other applicable conditions and/or criteria have been satisfied and the Shares underlying the Award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been issued to the 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9.6        </w:t>
      </w:r>
      <w:r>
        <w:rPr>
          <w:rFonts w:ascii="Arial" w:cs="Arial" w:eastAsia="Arial" w:hAnsi="Arial"/>
          <w:sz w:val="16"/>
          <w:szCs w:val="16"/>
          <w:u w:val="single" w:color="auto"/>
          <w:color w:val="auto"/>
        </w:rPr>
        <w:t>  Term</w:t>
      </w:r>
      <w:r>
        <w:rPr>
          <w:rFonts w:ascii="Arial" w:cs="Arial" w:eastAsia="Arial" w:hAnsi="Arial"/>
          <w:sz w:val="16"/>
          <w:szCs w:val="16"/>
          <w:color w:val="auto"/>
        </w:rPr>
        <w:t>. The term of a Performance Award, Dividend Equivalent award, Stock Payment award, Deferred Stock award and/or Deferred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 award shall be set by the Administrator in its sole discretion.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9.7        </w:t>
      </w:r>
      <w:r>
        <w:rPr>
          <w:rFonts w:ascii="Arial" w:cs="Arial" w:eastAsia="Arial" w:hAnsi="Arial"/>
          <w:sz w:val="16"/>
          <w:szCs w:val="16"/>
          <w:u w:val="single" w:color="auto"/>
          <w:color w:val="auto"/>
        </w:rPr>
        <w:t>  Purchase Price</w:t>
      </w:r>
      <w:r>
        <w:rPr>
          <w:rFonts w:ascii="Arial" w:cs="Arial" w:eastAsia="Arial" w:hAnsi="Arial"/>
          <w:sz w:val="16"/>
          <w:szCs w:val="16"/>
          <w:color w:val="auto"/>
        </w:rPr>
        <w:t>. The Administrator may establish the purchase price of a Performance Award, Shares distributed as a Stock Payment award,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shares of Deferred Stock or Shares distributed pursuant to a Deferred Stock Unit award;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value of the consideration shall not be less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than the par value of a Share, unless otherwise permitted by Applicable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9.8        </w:t>
      </w:r>
      <w:r>
        <w:rPr>
          <w:rFonts w:ascii="Arial" w:cs="Arial" w:eastAsia="Arial" w:hAnsi="Arial"/>
          <w:sz w:val="16"/>
          <w:szCs w:val="16"/>
          <w:u w:val="single" w:color="auto"/>
          <w:color w:val="auto"/>
        </w:rPr>
        <w:t>  Termination of Service</w:t>
      </w:r>
      <w:r>
        <w:rPr>
          <w:rFonts w:ascii="Arial" w:cs="Arial" w:eastAsia="Arial" w:hAnsi="Arial"/>
          <w:sz w:val="16"/>
          <w:szCs w:val="16"/>
          <w:color w:val="auto"/>
        </w:rPr>
        <w:t>. A Performance Award, Stock Payment award, Dividend Equivalent award, Deferred Stock award and/or Deferred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Unit award is distributable only while the Holder is an Employee. The Administrator, however, in its sole discretion may provide that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Performance Award, Dividend Equivalent award, Stock Payment award, Deferred Stock award and/or Deferred Stock Unit award may be distributed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subsequent to a Termination of Service in certain events, including a Change in Control, the Holder’s death, retirement or disability or any other specified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Service.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STOCK APPRECIATION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      </w:t>
      </w:r>
      <w:r>
        <w:rPr>
          <w:rFonts w:ascii="Arial" w:cs="Arial" w:eastAsia="Arial" w:hAnsi="Arial"/>
          <w:sz w:val="18"/>
          <w:szCs w:val="18"/>
          <w:u w:val="single" w:color="auto"/>
          <w:color w:val="auto"/>
        </w:rPr>
        <w:t>  Grant of Stock Appreciation Rights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Arial" w:cs="Arial" w:eastAsia="Arial" w:hAnsi="Arial"/>
          <w:sz w:val="18"/>
          <w:szCs w:val="18"/>
          <w:color w:val="auto"/>
        </w:rPr>
        <w:t>(a)           Each of the Board and the Committee is authorized to grant Stock Appreciation Rights to Eligible Individuals from time to time, in its sole discretion, on such terms and conditions as it may determine consistent with the Plan.  </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A Stock Appreciation Right shall entitle the Holder (or other person entitled to exercise the Stock Appreciation Right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Plan) to exercise all or a specified portion of the Stock Appreciation Right (to the extent then exercisable pursuant to its terms) and to receive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an amount determined by multiplying the difference obtained by subtracting the exercise price per Share of the Stock Appreciation Right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Market Value on the date of exercise of the Stock Appreciation Right by the number of Shares with respect to which the Stock Appreciation Right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have been exercised, subject to any limitations the Administrator may impose. Except as described in (c) below or in Section 13.2 hereof, the exercise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per Share subject to each Stock Appreciation Right shall be set by the Administrator, but shall not be less than one hundred percent (100%) of the Fair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 Value on the date the Stock Appreciation Right is 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Notwithstanding the foregoing provisions of Section 10.1(b) hereof to the contrary, in the case of a Stock Appreciation Right that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Substitute Award, the price per Share of the Shares subject to such Stock Appreciation Right may be less than one hundred percent (100%) of the Fair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Market Value per share on the date of grant;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excess of: (i) the aggregate Fair Market Value (as of the date such Substitute Award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granted) of the shares subject to the Substitute Award, over (ii) the aggregate exercise price thereof does not exceed the excess of: (x) the aggregate fair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 value (as of the time immediately preceding the transaction giving rise to the Substitute Award, such fair market value to be determined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Administrator) of the shares of the predecessor entity that were subject to the grant assumed or substituted for by the Company, over (y) the aggregate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of such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10.2      </w:t>
      </w:r>
      <w:r>
        <w:rPr>
          <w:rFonts w:ascii="Arial" w:cs="Arial" w:eastAsia="Arial" w:hAnsi="Arial"/>
          <w:sz w:val="18"/>
          <w:szCs w:val="18"/>
          <w:u w:val="single" w:color="auto"/>
          <w:color w:val="auto"/>
        </w:rPr>
        <w:t>  Stock Appreciation Right Vesting</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(a)           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any performance criteria or any other criteria selected by the Administrator. At any time after grant of a Stock Appreciation Right, the Administrator may, in its sole discretion and subject to whatever terms and conditions it selects, accelerate the period during which a Stock Appreciation Right vests.  </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No portion of a Stock Appreciation Right which is unexercisable at Termination of Service shall thereafter become exercisable,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except as may be otherwise provided by the Administrator either in the applicable Program or Award Agreement or by action of the Administrator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following the grant of the Stock Appreciation Right, including following a Termination of Service; provided, that in no event shall a Stock Appreciation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Right become exercisable following its expiration, termination or forfeiture.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color w:val="auto"/>
        </w:rPr>
        <w:t>10.3      </w:t>
      </w:r>
      <w:r>
        <w:rPr>
          <w:rFonts w:ascii="Arial" w:cs="Arial" w:eastAsia="Arial" w:hAnsi="Arial"/>
          <w:sz w:val="18"/>
          <w:szCs w:val="18"/>
          <w:u w:val="single" w:color="auto"/>
          <w:color w:val="auto"/>
        </w:rPr>
        <w:t>  Manner of Exercise</w:t>
      </w:r>
      <w:r>
        <w:rPr>
          <w:rFonts w:ascii="Arial" w:cs="Arial" w:eastAsia="Arial" w:hAnsi="Arial"/>
          <w:sz w:val="18"/>
          <w:szCs w:val="18"/>
          <w:color w:val="auto"/>
        </w:rPr>
        <w:t>. All or a portion of an exercisable Stock Appreciation Right shall be deemed exercised upon delivery of all of the following to the stock administrator of the Company, or such other person or entity designated by the Administrator, or his, her or its office, as applicable:  </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A written or electronic notice complying with the applicable rules established by the Administrator stating that the Stock</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Appreciation Right, or a portion thereof, is exercised. The notice shall be signed by the Holder or other person then entitled to exercise the Stock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Appreciation Right or such portion of the Stock Appreciation 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(b)          Such representations and documents as the Administrator, in its sole discretion, deems necessary or advisable to effect compliance with all applicable provisions of the Securities Act and any other federal, state or foreign securities laws or regulations. The Administrator may, in its sole discretion, also take whatever additional actions it deems appropriate to effect such compliance; and  </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right="20" w:firstLine="1296"/>
        <w:spacing w:after="0" w:line="260" w:lineRule="auto"/>
        <w:rPr>
          <w:sz w:val="20"/>
          <w:szCs w:val="20"/>
          <w:color w:val="auto"/>
        </w:rPr>
      </w:pPr>
      <w:r>
        <w:rPr>
          <w:rFonts w:ascii="Arial" w:cs="Arial" w:eastAsia="Arial" w:hAnsi="Arial"/>
          <w:sz w:val="18"/>
          <w:szCs w:val="18"/>
          <w:color w:val="auto"/>
        </w:rPr>
        <w:t>(c)           In the event that the Stock Appreciation Right shall be exercised pursuant to this Section 10.3 hereof by any person or persons other than the Holder, appropriate proof of the right of such person or persons to exercise the Stock Appreciation Right.  </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10.4      </w:t>
      </w:r>
      <w:r>
        <w:rPr>
          <w:rFonts w:ascii="Arial" w:cs="Arial" w:eastAsia="Arial" w:hAnsi="Arial"/>
          <w:sz w:val="17"/>
          <w:szCs w:val="17"/>
          <w:u w:val="single" w:color="auto"/>
          <w:color w:val="auto"/>
        </w:rPr>
        <w:t>  Stock Appreciation Right Term</w:t>
      </w:r>
      <w:r>
        <w:rPr>
          <w:rFonts w:ascii="Arial" w:cs="Arial" w:eastAsia="Arial" w:hAnsi="Arial"/>
          <w:sz w:val="17"/>
          <w:szCs w:val="17"/>
          <w:color w:val="auto"/>
        </w:rPr>
        <w:t>. The term of each Stock Appreciation Right (the “</w:t>
      </w:r>
      <w:r>
        <w:rPr>
          <w:rFonts w:ascii="Arial" w:cs="Arial" w:eastAsia="Arial" w:hAnsi="Arial"/>
          <w:sz w:val="17"/>
          <w:szCs w:val="17"/>
          <w:u w:val="single" w:color="auto"/>
          <w:color w:val="auto"/>
        </w:rPr>
        <w:t>Stock Appreciation Right Term</w:t>
      </w:r>
      <w:r>
        <w:rPr>
          <w:rFonts w:ascii="Arial" w:cs="Arial" w:eastAsia="Arial" w:hAnsi="Arial"/>
          <w:sz w:val="17"/>
          <w:szCs w:val="17"/>
          <w:color w:val="auto"/>
        </w:rPr>
        <w:t>”) shall be set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Administrator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shall not be more than ten (10) years from the date the Stock Appreciation Right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granted. The Administrator shall determine the time period, including the time period following a Termination of Service, during which the Holder has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 to exercise the vested Stock Appreciation Rights, which time period may not extend beyond the expiration date of the Stock Appreciation Right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Except as limited by the requirements of Section 409A of the Code and regulations and rulings thereunder or the first sentence of this Section 10.4,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Administrator may extend the Stock Appreciation Right Term of any outstanding Stock Appreciation Right, may extend the time period during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vested Stock Appreciation Rights may be exercised following any Termination of Service of the Holder, and may amend any other term or condition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Stock Appreciation Right relating to such a Termination of Service.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10.5      </w:t>
      </w:r>
      <w:r>
        <w:rPr>
          <w:rFonts w:ascii="Arial" w:cs="Arial" w:eastAsia="Arial" w:hAnsi="Arial"/>
          <w:sz w:val="18"/>
          <w:szCs w:val="18"/>
          <w:u w:val="single" w:color="auto"/>
          <w:color w:val="auto"/>
        </w:rPr>
        <w:t>  Payment</w:t>
      </w:r>
      <w:r>
        <w:rPr>
          <w:rFonts w:ascii="Arial" w:cs="Arial" w:eastAsia="Arial" w:hAnsi="Arial"/>
          <w:sz w:val="18"/>
          <w:szCs w:val="18"/>
          <w:color w:val="auto"/>
        </w:rPr>
        <w:t>. Payment of the amounts payable with respect to Stock Appreciation Rights pursuant to this Article 10 shall be in cash, Shares (based on its Fair Market Value as of the date the Stock Appreciation Right is exercised), or a combination of both, as determined by the Administrator.  </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OF AWARDS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11.1      </w:t>
      </w:r>
      <w:r>
        <w:rPr>
          <w:rFonts w:ascii="Arial" w:cs="Arial" w:eastAsia="Arial" w:hAnsi="Arial"/>
          <w:sz w:val="16"/>
          <w:szCs w:val="16"/>
          <w:u w:val="single" w:color="auto"/>
          <w:color w:val="auto"/>
        </w:rPr>
        <w:t>  Payment</w:t>
      </w:r>
      <w:r>
        <w:rPr>
          <w:rFonts w:ascii="Arial" w:cs="Arial" w:eastAsia="Arial" w:hAnsi="Arial"/>
          <w:sz w:val="16"/>
          <w:szCs w:val="16"/>
          <w:color w:val="auto"/>
        </w:rPr>
        <w:t>. The Administrator shall determine the methods by which payments by any Holder with respect to any Awards granted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shall be made, including, without limitation: (a) cash or check, (b) Shares (including, in the case of payment of the exercise price of an Award,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issuable pursuant to the exercise of the Award) or Shares held for such period of time as may be required by the Administrator in order to avoid adverse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consequences, in each case, having a Fair Market Value on the date of delivery equal to the aggregate payments required, (c) delivery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written or electronic notice that the Holder has placed a market sell order with a broker with respect to Shares then issuable upon exercise or vesting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 and that the broker has been directed to pay a sufficient portion of the net proceeds of the sale to the Company in satisfaction of the aggregate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payments required;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payment of such proceeds is then made to the Company upon settlement of such sale, or (d) other form of legal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consideration acceptable to the Administrator. The Administrator shall also determine the methods by which Shares shall be delivered or deemed to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delivered to Holders. Notwithstanding any other provision of the Plan to the contrary, no Holder who is a Director or an “executive officer”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within the meaning of Section 13(k) of the Exchange Act shall be permitted to make payment with respect to any Awards granted under the Plan,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continue any extension of credit with respect to such payment, with a loan from the Company or a loan arranged by the Company in violation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13(k) of the Exchange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11.2      </w:t>
      </w:r>
      <w:r>
        <w:rPr>
          <w:rFonts w:ascii="Arial" w:cs="Arial" w:eastAsia="Arial" w:hAnsi="Arial"/>
          <w:sz w:val="16"/>
          <w:szCs w:val="16"/>
          <w:u w:val="single" w:color="auto"/>
          <w:color w:val="auto"/>
        </w:rPr>
        <w:t>  Tax Withholding</w:t>
      </w:r>
      <w:r>
        <w:rPr>
          <w:rFonts w:ascii="Arial" w:cs="Arial" w:eastAsia="Arial" w:hAnsi="Arial"/>
          <w:sz w:val="16"/>
          <w:szCs w:val="16"/>
          <w:color w:val="auto"/>
        </w:rPr>
        <w:t>. The Company or any Affiliate shall have the authority and the right to deduct or withhold, or require a Holder to remit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an amount sufficient to satisfy federal, state, local and foreign taxes (including the Holder’s FICA or employment tax obligation)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law to be withheld with respect to any taxable event concerning a Holder arising as a result of the Plan. The Administrator may in its sole discretion and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satisfaction of the foregoing requirement allow a Holder to satisfy such obligations by any payment means described in Section 11.1 hereof, including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without limitation, by allowing such Holder to elect to have the Company withhold Shares otherwise issuable under an Award (or allow the surrender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The number of Shares which may be so withheld or surrendered shall be limited to the number of Shares which have a Fair Market Value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withholding or repurchase equal to the aggregate amount of such liabilities based on the minimum statutory withholding rates for federal, state,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local and foreign income tax and payroll tax purposes that are applicable to such supplemental taxable income. The Administrator shall determine the fair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 value of the Shares, consistent with applicable provisions of the Code, for tax withholding obligations due in connection with a broker-assisted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cashless Option or Stock Appreciation Right exercise involving the sale of Shares to pay the Option or Stock Appreciation Right exercise price or any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withholding obligation.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  Transferability of Awards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Except as otherwise provided in Sections 11.3(b) and 11.3(c)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(i)            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  </w:t>
      </w:r>
    </w:p>
    <w:p>
      <w:pPr>
        <w:spacing w:after="0" w:line="204" w:lineRule="exact"/>
        <w:rPr>
          <w:sz w:val="20"/>
          <w:szCs w:val="20"/>
          <w:color w:val="auto"/>
        </w:rPr>
      </w:pPr>
    </w:p>
    <w:p>
      <w:pPr>
        <w:ind w:firstLine="1944"/>
        <w:spacing w:after="0" w:line="250" w:lineRule="auto"/>
        <w:rPr>
          <w:sz w:val="20"/>
          <w:szCs w:val="20"/>
          <w:color w:val="auto"/>
        </w:rPr>
      </w:pPr>
      <w:r>
        <w:rPr>
          <w:rFonts w:ascii="Arial" w:cs="Arial" w:eastAsia="Arial" w:hAnsi="Arial"/>
          <w:sz w:val="18"/>
          <w:szCs w:val="18"/>
          <w:color w:val="auto"/>
        </w:rPr>
        <w:t>(ii)           No Award or interest or right therein shall be liable for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the satisfaction of these conditions shall be null and void and of no effect, except to the extent that such disposition is permitted by clause (i) of this provision; and  </w:t>
      </w:r>
    </w:p>
    <w:p>
      <w:pPr>
        <w:spacing w:after="0" w:line="3" w:lineRule="exact"/>
        <w:rPr>
          <w:sz w:val="20"/>
          <w:szCs w:val="20"/>
          <w:color w:val="auto"/>
        </w:rPr>
      </w:pPr>
    </w:p>
    <w:p>
      <w:pPr>
        <w:ind w:firstLine="1944"/>
        <w:spacing w:after="0" w:line="253" w:lineRule="auto"/>
        <w:rPr>
          <w:sz w:val="20"/>
          <w:szCs w:val="20"/>
          <w:color w:val="auto"/>
        </w:rPr>
      </w:pPr>
      <w:r>
        <w:rPr>
          <w:rFonts w:ascii="Arial" w:cs="Arial" w:eastAsia="Arial" w:hAnsi="Arial"/>
          <w:sz w:val="18"/>
          <w:szCs w:val="18"/>
          <w:color w:val="auto"/>
        </w:rPr>
        <w:t>(iii)          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  </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(b)          Notwithstanding Section 11.3(a) hereof, the Administrator, in its sole discretion, may determine to permit a Holder or a Permitted Transferee of such Holder to transfer an Award to any one or more Permitted Transferees, subject to the following terms and conditions: (i) an Award transferred to a Permitted Transferee shall not be assignable or transferable by the Permitted Transferee (other than to another Permitted Transferee of the applicable Holder) other than by will or the laws of descent and distribution; (ii) an Award transferred to a Permitted Transferee shall continue to be subject to all the terms and conditions of the Award as applicable to the original Holder (other than the ability to further transfer the Award); and (iii) the Holder (or transferring Permitted Transferee)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federal, state and foreign securities laws and (C) evidence the transfer.  </w:t>
      </w:r>
    </w:p>
    <w:p>
      <w:pPr>
        <w:spacing w:after="0" w:line="4" w:lineRule="exact"/>
        <w:rPr>
          <w:sz w:val="20"/>
          <w:szCs w:val="20"/>
          <w:color w:val="auto"/>
        </w:rPr>
      </w:pPr>
    </w:p>
    <w:p>
      <w:pPr>
        <w:ind w:firstLine="1296"/>
        <w:spacing w:after="0" w:line="265" w:lineRule="auto"/>
        <w:rPr>
          <w:sz w:val="20"/>
          <w:szCs w:val="20"/>
          <w:color w:val="auto"/>
        </w:rPr>
      </w:pPr>
      <w:r>
        <w:rPr>
          <w:rFonts w:ascii="Arial" w:cs="Arial" w:eastAsia="Arial" w:hAnsi="Arial"/>
          <w:sz w:val="17"/>
          <w:szCs w:val="17"/>
          <w:color w:val="auto"/>
        </w:rPr>
        <w:t xml:space="preserve">(c)          Notwithstanding Section 11.3(a) hereof,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his or her beneficiary with respect to more than fifty percent (50%) of the Holder’s interest in the Award shall not be effective without the prior written or electronic consent of the Holder’s spouse or domestic partner, as applicable.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change or revocation is filed with the Administrator prior to the Holder’s death.  </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  Conditions to Issuance of Shares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Notwithstanding anything herein to the contrary, the Company shall not be required to issue or deliver any certificates or make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book entries evidencing Shares pursuant to the exercise of any Award, unless and until the Board or the Committee has determined, with advice of counsel,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issuance of such shares is in compliance with all Applicable Law, and the Shares are covered by an effective registration statement or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exemption from registration. In addition to the terms and conditions provided herein, the Board or the Committee may require that a Holder make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reasonable covenants, agreements, and representations as the Board or the Committee, in its discretion, deems advisable in order to comply with Applicable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(b)          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w:t>
      </w:r>
    </w:p>
    <w:p>
      <w:pPr>
        <w:spacing w:after="0" w:line="204" w:lineRule="exact"/>
        <w:rPr>
          <w:sz w:val="20"/>
          <w:szCs w:val="20"/>
          <w:color w:val="auto"/>
        </w:rPr>
      </w:pPr>
    </w:p>
    <w:p>
      <w:pPr>
        <w:ind w:right="20" w:firstLine="1296"/>
        <w:spacing w:after="0" w:line="250" w:lineRule="auto"/>
        <w:rPr>
          <w:sz w:val="20"/>
          <w:szCs w:val="20"/>
          <w:color w:val="auto"/>
        </w:rPr>
      </w:pPr>
      <w:r>
        <w:rPr>
          <w:rFonts w:ascii="Arial" w:cs="Arial" w:eastAsia="Arial" w:hAnsi="Arial"/>
          <w:sz w:val="18"/>
          <w:szCs w:val="18"/>
          <w:color w:val="auto"/>
        </w:rPr>
        <w:t>(c)          The Administrator shall have the right to require any Holder to comply with any timing or other restrictions with respect to the settlement, distribution or exercise of any Award, including a window-period limitation, as may be imposed in the sole discretion of the Administrator.  </w:t>
      </w:r>
    </w:p>
    <w:p>
      <w:pPr>
        <w:spacing w:after="0" w:line="1" w:lineRule="exact"/>
        <w:rPr>
          <w:sz w:val="20"/>
          <w:szCs w:val="20"/>
          <w:color w:val="auto"/>
        </w:rPr>
      </w:pPr>
    </w:p>
    <w:p>
      <w:pPr>
        <w:ind w:firstLine="1296"/>
        <w:spacing w:after="0" w:line="260" w:lineRule="auto"/>
        <w:rPr>
          <w:sz w:val="20"/>
          <w:szCs w:val="20"/>
          <w:color w:val="auto"/>
        </w:rPr>
      </w:pPr>
      <w:r>
        <w:rPr>
          <w:rFonts w:ascii="Arial" w:cs="Arial" w:eastAsia="Arial" w:hAnsi="Arial"/>
          <w:sz w:val="18"/>
          <w:szCs w:val="18"/>
          <w:color w:val="auto"/>
        </w:rPr>
        <w:t>(d)          No fractional Shares shall be issued and the Administrator shall determine, in its sole discretion, whether cash shall be given in lieu of fractional Shares or whether such fractional Shares shall be eliminated by rounding down.  </w:t>
      </w:r>
    </w:p>
    <w:p>
      <w:pPr>
        <w:spacing w:after="0" w:line="200"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(e)          Notwithstanding any other provision of the Plan, unless otherwise determined by the Administrator or required by any Applicable Law, the Company shall not deliver to any Holder certificates evidencing Shares issued in connection with any Award and instead such Shares shall be recorded in the books of the Company (or, as applicable, its transfer agent or stock plan administrator).  </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11.5      </w:t>
      </w:r>
      <w:r>
        <w:rPr>
          <w:rFonts w:ascii="Arial" w:cs="Arial" w:eastAsia="Arial" w:hAnsi="Arial"/>
          <w:sz w:val="16"/>
          <w:szCs w:val="16"/>
          <w:u w:val="single" w:color="auto"/>
          <w:color w:val="auto"/>
        </w:rPr>
        <w:t>  Forfeiture and Claw-Back Provisions</w:t>
      </w:r>
      <w:r>
        <w:rPr>
          <w:rFonts w:ascii="Arial" w:cs="Arial" w:eastAsia="Arial" w:hAnsi="Arial"/>
          <w:sz w:val="16"/>
          <w:szCs w:val="16"/>
          <w:color w:val="auto"/>
        </w:rPr>
        <w:t>. Pursuant to its general authority to determine the terms and conditions applicable to Awards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Plan, the Administrator shall have the right to provide, in an Award Agreement or otherwise, or to require a Holder to agree by separate written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electronic instrument,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(i) Any proceeds, gains or other economic benefit actually or constructively received by the Holder upon any receipt or exercise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Award, or upon the receipt or resale of any Shares underlying the Award, must be paid to the Company, and (ii) the Award shall terminate and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unexercised portion of the Award (whether or not vested) shall be forfeited, if (x) a Termination of Service occurs prior to a specified date, or within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specified time period following receipt or exercise of the Award, or (y) the Holder at any time, or during a specified time period, engages in any activity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competition with the Company, or which is inimical, contrary or harmful to the interests of the Company, as further defined by the Administrator or (z)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 incurs a Termination of Service for “cause” (as such term is defined in the sole discretion of the Administrator, or as set forth in a written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relating to such Award between the Company and the Holder);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(b)          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  </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11.6      </w:t>
      </w:r>
      <w:r>
        <w:rPr>
          <w:rFonts w:ascii="Arial" w:cs="Arial" w:eastAsia="Arial" w:hAnsi="Arial"/>
          <w:sz w:val="17"/>
          <w:szCs w:val="17"/>
          <w:u w:val="single" w:color="auto"/>
          <w:color w:val="auto"/>
        </w:rPr>
        <w:t>  Prohibition on Repricing</w:t>
      </w:r>
      <w:r>
        <w:rPr>
          <w:rFonts w:ascii="Arial" w:cs="Arial" w:eastAsia="Arial" w:hAnsi="Arial"/>
          <w:sz w:val="17"/>
          <w:szCs w:val="17"/>
          <w:color w:val="auto"/>
        </w:rPr>
        <w:t>. Subject to Section 13.2 hereof, the Administrator shall not, without the approval of the stockholders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(i) authorize the amendment of any outstanding Option or Stock Appreciation Right to reduce its price per Share, or (ii) cancel any Option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Appreciation Right in exchange for cash or another Award when the Option or Stock Appreciation Right price per Share exceeds the Fair Market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of the underlying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  Leave of Absence</w:t>
      </w:r>
      <w:r>
        <w:rPr>
          <w:rFonts w:ascii="Arial" w:cs="Arial" w:eastAsia="Arial" w:hAnsi="Arial"/>
          <w:sz w:val="18"/>
          <w:szCs w:val="18"/>
          <w:color w:val="auto"/>
        </w:rPr>
        <w:t>. Unless the Administrator provides otherwise, vesting of Awards granted hereunder shall be suspended during any unpaid leave of absence. A Holder shall not cease to be considered an Employee in the case of any (a) leave of absence approved by the Company or (b) transfer between locations of the Company or between the Company and any of its Affiliates or any successor thereof.  </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  Administrator</w:t>
      </w:r>
      <w:r>
        <w:rPr>
          <w:rFonts w:ascii="Arial" w:cs="Arial" w:eastAsia="Arial" w:hAnsi="Arial"/>
          <w:sz w:val="18"/>
          <w:szCs w:val="18"/>
          <w:color w:val="auto"/>
        </w:rPr>
        <w:t>. The Committee and the Board shall administer the Plan (except as otherwise permitted herein). Any action taken by the Board in connection with the administration of the Plan shall not be deemed approved by the Board unless such actions are approved by a majority of the Non-Employee Directors. Except as may otherwise be provided in any charter of the Committee or the Board, appointment of Committee and Board members shall be effective upon acceptance of appointment. Committee and Board members may resign at any time by delivering written or electronic notice to the Board. Vacancies in the Committee and the Board may only be filled by the Board.  </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12.2      </w:t>
      </w:r>
      <w:r>
        <w:rPr>
          <w:rFonts w:ascii="Arial" w:cs="Arial" w:eastAsia="Arial" w:hAnsi="Arial"/>
          <w:sz w:val="17"/>
          <w:szCs w:val="17"/>
          <w:u w:val="single" w:color="auto"/>
          <w:color w:val="auto"/>
        </w:rPr>
        <w:t>  Duties and Powers of Administrator</w:t>
      </w:r>
      <w:r>
        <w:rPr>
          <w:rFonts w:ascii="Arial" w:cs="Arial" w:eastAsia="Arial" w:hAnsi="Arial"/>
          <w:sz w:val="17"/>
          <w:szCs w:val="17"/>
          <w:color w:val="auto"/>
        </w:rPr>
        <w:t>. It shall be the duty of the Administrator to conduct the general administration of the Plan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its provisions. The Administrator shall have the power to interpret the Plan, the Program and the Award Agreement, and to adopt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rules for the administration, interpretation and application of the Plan as are not inconsistent therewith, to interpret, amend or revoke any such rules and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amend any Program or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rights or obligations of the Holder of the Award that is the subject of any such Program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Award Agreement are not affected materially and adversely by such amendment, unless the consent of the Holder is obtained or such amendment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otherwise permitted under Section 13.10 hereof. Any such grant or award under the Plan need not be the same with respect to each Holder. In its sole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discretion, the Board may at any time and from time to time exercise any and all rights and duties of the Committee under the Plan except as described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12.1 above and with respect to matters which under Rule 16b-3 under the Exchange Act or any successor rule, or the rules of any securities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exchange or automated quotation system on which the Shares are listed, quoted or traded are required to be determined in the sole discretion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12.3      </w:t>
      </w:r>
      <w:r>
        <w:rPr>
          <w:rFonts w:ascii="Arial" w:cs="Arial" w:eastAsia="Arial" w:hAnsi="Arial"/>
          <w:sz w:val="16"/>
          <w:szCs w:val="16"/>
          <w:u w:val="single" w:color="auto"/>
          <w:color w:val="auto"/>
        </w:rPr>
        <w:t>  Action by the Committee</w:t>
      </w:r>
      <w:r>
        <w:rPr>
          <w:rFonts w:ascii="Arial" w:cs="Arial" w:eastAsia="Arial" w:hAnsi="Arial"/>
          <w:sz w:val="16"/>
          <w:szCs w:val="16"/>
          <w:color w:val="auto"/>
        </w:rPr>
        <w:t>. Unless otherwise established by the Board or in any charter of the Committee, a majority of the Committee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constitute a quorum and the acts of a majority of the members present at any meeting at which a quorum is present, and acts approved in writing by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Committee in lieu of a meeting, shall be deemed the acts of the Committee. Each member of the Committee is entitled to, in good faith,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rely or act upon any report or other information furnished to that member by any officer or other employee of the Company or any Affiliate,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independent certified public accountants, or any executive compensation consultant or other professional retained by the Company to assist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of the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12.4      </w:t>
      </w:r>
      <w:r>
        <w:rPr>
          <w:rFonts w:ascii="Arial" w:cs="Arial" w:eastAsia="Arial" w:hAnsi="Arial"/>
          <w:sz w:val="17"/>
          <w:szCs w:val="17"/>
          <w:u w:val="single" w:color="auto"/>
          <w:color w:val="auto"/>
        </w:rPr>
        <w:t>  Authority of Administrator</w:t>
      </w:r>
      <w:r>
        <w:rPr>
          <w:rFonts w:ascii="Arial" w:cs="Arial" w:eastAsia="Arial" w:hAnsi="Arial"/>
          <w:sz w:val="17"/>
          <w:szCs w:val="17"/>
          <w:color w:val="auto"/>
        </w:rPr>
        <w:t>. Subject to the Company’s Bylaws, the Committee’s Charter and any specific designation in the Plan,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Administrator has the exclusive power, authority and sole discretion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340" w:firstLine="1296"/>
        <w:spacing w:after="0" w:line="265" w:lineRule="auto"/>
        <w:rPr>
          <w:sz w:val="20"/>
          <w:szCs w:val="20"/>
          <w:color w:val="auto"/>
        </w:rPr>
      </w:pPr>
      <w:r>
        <w:rPr>
          <w:rFonts w:ascii="Arial" w:cs="Arial" w:eastAsia="Arial" w:hAnsi="Arial"/>
          <w:sz w:val="17"/>
          <w:szCs w:val="17"/>
          <w:color w:val="auto"/>
        </w:rPr>
        <w:t>(a)            Adopt procedures from time to time in the Administrator’s discretion to ensure that an Employee is eligible to participate in the Plan prior to the granting of any Awards to such Employee under the Plan (including, without limitation, a requirement, if any, that each such Employee certify to the Company prior to the receipt of an Award under the Plan that he or she has not been previously employed by the Company or a Subsidiary, or if previously employed, has had a bona fide period of non-employment, and that the grant of Awards under the Plan is an inducement material to his or her agreement to enter into employment with the Company or a Subsidiary);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            Designate Eligible Individuals to receive Awards;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            Determine the type or types of Awards to be granted to each Eligible Individual;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            Determine the number of Awards to be granted and the number of Shares to which an Award will relate;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340" w:firstLine="1296"/>
        <w:spacing w:after="0" w:line="281" w:lineRule="auto"/>
        <w:rPr>
          <w:sz w:val="20"/>
          <w:szCs w:val="20"/>
          <w:color w:val="auto"/>
        </w:rPr>
      </w:pPr>
      <w:r>
        <w:rPr>
          <w:rFonts w:ascii="Arial" w:cs="Arial" w:eastAsia="Arial" w:hAnsi="Arial"/>
          <w:sz w:val="16"/>
          <w:szCs w:val="16"/>
          <w:color w:val="auto"/>
        </w:rPr>
        <w:t>(e)            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340" w:firstLine="1296"/>
        <w:spacing w:after="0" w:line="265" w:lineRule="auto"/>
        <w:rPr>
          <w:sz w:val="20"/>
          <w:szCs w:val="20"/>
          <w:color w:val="auto"/>
        </w:rPr>
      </w:pPr>
      <w:r>
        <w:rPr>
          <w:rFonts w:ascii="Arial" w:cs="Arial" w:eastAsia="Arial" w:hAnsi="Arial"/>
          <w:sz w:val="17"/>
          <w:szCs w:val="17"/>
          <w:color w:val="auto"/>
        </w:rPr>
        <w:t>(f)             Determine whether, to what extent, and pursuant to what circumstances an Award may be settled in, or the exercise price of an Award may be paid in cash, Shares, other Awards, or other property, or an Award may be canceled, forfeited, or surrendered;</w:t>
      </w: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            Prescribe the form of each Award Agreement, which need not be identical for each 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(h)            Decide all other matters that must be determined in connection with an Award;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              Establish, adopt, or revise any rules and regulations as it may deem necessary or advisable to administer the Plan;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(j)              Interpret the terms of, and any matter arising pursuant to, the Plan, any Program or any Award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340" w:firstLine="1296"/>
        <w:spacing w:after="0" w:line="250" w:lineRule="auto"/>
        <w:rPr>
          <w:sz w:val="20"/>
          <w:szCs w:val="20"/>
          <w:color w:val="auto"/>
        </w:rPr>
      </w:pPr>
      <w:r>
        <w:rPr>
          <w:rFonts w:ascii="Arial" w:cs="Arial" w:eastAsia="Arial" w:hAnsi="Arial"/>
          <w:sz w:val="18"/>
          <w:szCs w:val="18"/>
          <w:color w:val="auto"/>
        </w:rPr>
        <w:t>(k)             Make all other decisions and determinations that may be required pursuant to the Plan or as the Administrator deems necessary or advisable to administer the Plan;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340" w:right="20" w:firstLine="1296"/>
        <w:spacing w:after="0" w:line="250" w:lineRule="auto"/>
        <w:rPr>
          <w:sz w:val="20"/>
          <w:szCs w:val="20"/>
          <w:color w:val="auto"/>
        </w:rPr>
      </w:pPr>
      <w:r>
        <w:rPr>
          <w:rFonts w:ascii="Arial" w:cs="Arial" w:eastAsia="Arial" w:hAnsi="Arial"/>
          <w:sz w:val="18"/>
          <w:szCs w:val="18"/>
          <w:color w:val="auto"/>
        </w:rPr>
        <w:t>(l)             Accelerate wholly or partially the vesting or lapse of restrictions of any Award or portion thereof at any time after the grant of an Award, subject to whatever terms and conditions it selects and Sections 3.4 and 13.2(d) hereof.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  Decisions Binding</w:t>
      </w:r>
      <w:r>
        <w:rPr>
          <w:rFonts w:ascii="Arial" w:cs="Arial" w:eastAsia="Arial" w:hAnsi="Arial"/>
          <w:sz w:val="18"/>
          <w:szCs w:val="18"/>
          <w:color w:val="auto"/>
        </w:rPr>
        <w:t>. The Administrator’s interpretation of the Plan, any Awards granted pursuant to the Plan, any Program, any Award Agreement and all decisions and determinations by the Administrator with respect to the Plan are final, binding, and conclusive on all parties.  </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12.6      </w:t>
      </w:r>
      <w:r>
        <w:rPr>
          <w:rFonts w:ascii="Arial" w:cs="Arial" w:eastAsia="Arial" w:hAnsi="Arial"/>
          <w:sz w:val="17"/>
          <w:szCs w:val="17"/>
          <w:u w:val="single" w:color="auto"/>
          <w:color w:val="auto"/>
        </w:rPr>
        <w:t>  Delegation of Authority</w:t>
      </w:r>
      <w:r>
        <w:rPr>
          <w:rFonts w:ascii="Arial" w:cs="Arial" w:eastAsia="Arial" w:hAnsi="Arial"/>
          <w:sz w:val="17"/>
          <w:szCs w:val="17"/>
          <w:color w:val="auto"/>
        </w:rPr>
        <w:t>. To the extent permitted by Applicable Law, the Board or Committee may from time to time delegate to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committee of one or more Non-Employee Directors or officers of the Company the authority to amend Awards or to take other administrative actions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pursuant to Article 12. Notwithstanding the foregoing, only the Committee and the Board, acting in accordance with this Article 12, may grant Awards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hereunder. Any delegation hereunder shall be subject to the restrictions and limits that the Board or Committee specifies at the time of such delegation,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Board may at any time rescind the authority so delegated or appoint a new delegatee. At all times, the delegatee appointed under this Section 12.6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serve in such capacity at the pleasure of the Board and the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13.1      </w:t>
      </w:r>
      <w:r>
        <w:rPr>
          <w:rFonts w:ascii="Arial" w:cs="Arial" w:eastAsia="Arial" w:hAnsi="Arial"/>
          <w:sz w:val="16"/>
          <w:szCs w:val="16"/>
          <w:u w:val="single" w:color="auto"/>
          <w:color w:val="auto"/>
        </w:rPr>
        <w:t>  Amendment, Suspension or Termination of the Plan</w:t>
      </w:r>
      <w:r>
        <w:rPr>
          <w:rFonts w:ascii="Arial" w:cs="Arial" w:eastAsia="Arial" w:hAnsi="Arial"/>
          <w:sz w:val="16"/>
          <w:szCs w:val="16"/>
          <w:color w:val="auto"/>
        </w:rPr>
        <w:t>. Except as otherwise provided in this Section 13.1, the Plan may be wholly or partially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or otherwise modified, suspended or terminated at any time or from time to time by the Board or the Committee. However, without approval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stockholders given within twelve (12) months before or after the action by the Administrator, no action of the Administrator may, except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in Section 13.2 hereof (a) reduce the price per share of any outstanding Option or Stock Appreciation Right granted under the Plan, or (b) cancel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Option or Stock Appreciation Right in exchange for cash or another Award when the Option or Stock Appreciation Right price per share exceeds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Fair Market Value of the underlying Shares. Except as provided in Section 13.10 hereof, no amendment, suspension or termination of the Plan shall,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without the consent of the Holder, materially and adversely affect any rights or obligations under any Award theretofore granted or awarded, unless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Award itself otherwise expressly so provides.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13.2      </w:t>
      </w:r>
      <w:r>
        <w:rPr>
          <w:rFonts w:ascii="Arial" w:cs="Arial" w:eastAsia="Arial" w:hAnsi="Arial"/>
          <w:sz w:val="17"/>
          <w:szCs w:val="17"/>
          <w:u w:val="single" w:color="auto"/>
          <w:color w:val="auto"/>
        </w:rPr>
        <w:t>  Changes in Common Stock or Assets of the Company, Acquisition or Liquidation of the Company and Other Corporate Events</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(a)           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 3.1 hereof on the maximum number and kind of shares which may be issued under the Plan); (ii) the number and kind of shares of Common Stock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  </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In the event of any transaction or event described in Section 13.2(a) hereof or any unusual or nonrecurring transactions or events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affecting the Company, any Affiliate of the Company, or the financial statements of the Company or any Affiliate, or of changes in Applicable Law,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Administrator, in its sole discretion, and on such terms and conditions as it deems appropriate, either by the terms of the Award or by action taken prior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occurrence of such transaction or event and either automatically or upon the Holder’s request, is hereby authorized to take any one or more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following actions whenever the Administrator determines that such action is appropriate in order to prevent dilution or enlargement of the benefits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potential benefits intended to be made available under the Plan or with respect to any Award under the Plan, to facilitate such transactions or events or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give effect to such changes in laws, regulations or principles: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            To provide for either (A) termination of any such Award in exchange for an amount of cash and/or other property, if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equal to the amount that would have been attained upon the exercise of such Award or realization of the Holder’s rights (and, for the avoidance of doubt,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of the occurrence of the transaction or event described in this Section 13.2 the Administrator determines in good faith that no amount would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been attained upon the exercise of such Award or realization of the Holder’s rights, then such Award may be terminated by the Company without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or (B) the replacement of such Award with other rights or property selected by the Administrator in its sole discretion having an aggregate value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exceeding the amount that could have been attained upon the exercise of such Award or realization of the Holder’s rights had such Award been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currently exercisable or payable or fully 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(ii)           To provide that such Award be assumed by the successor or survivor corporation, or a parent or subsidiary thereof,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substituted for by similar options, rights or awards covering the stock of the successor or survivor corporation, or a parent or subsidiary thereof,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appropriate adjustments as to the number and kind of shares and prices;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18"/>
          <w:szCs w:val="18"/>
          <w:color w:val="auto"/>
        </w:rPr>
        <w:t>(iii)          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  </w:t>
      </w:r>
    </w:p>
    <w:p>
      <w:pPr>
        <w:spacing w:after="0" w:line="2" w:lineRule="exact"/>
        <w:rPr>
          <w:sz w:val="20"/>
          <w:szCs w:val="20"/>
          <w:color w:val="auto"/>
        </w:rPr>
      </w:pPr>
    </w:p>
    <w:p>
      <w:pPr>
        <w:ind w:firstLine="1944"/>
        <w:spacing w:after="0" w:line="260" w:lineRule="auto"/>
        <w:rPr>
          <w:sz w:val="20"/>
          <w:szCs w:val="20"/>
          <w:color w:val="auto"/>
        </w:rPr>
      </w:pPr>
      <w:r>
        <w:rPr>
          <w:rFonts w:ascii="Arial" w:cs="Arial" w:eastAsia="Arial" w:hAnsi="Arial"/>
          <w:sz w:val="18"/>
          <w:szCs w:val="18"/>
          <w:color w:val="auto"/>
        </w:rPr>
        <w:t>(iv)          To provide that such Award shall be exercisable or payable or fully vested with respect to all shares covered thereby, notwithstanding anything to the contrary in the Plan or the applicable Program or Award Agreement; and  </w:t>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          To provide that the Award cannot vest, be exercised or become payable after such event.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           In connection with the occurrence of any Equity Restructuring, and notwithstanding anything to the contrary in Sections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13.2(a) and 13.2(b)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            The number and type of securities subject to each outstanding Award and the exercise price or grant price thereof, if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applicable, shall be equitably adjusted; and/or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18"/>
          <w:szCs w:val="18"/>
          <w:color w:val="auto"/>
        </w:rPr>
        <w:t>(ii)           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 3.1 hereof on the maximum number and kind of shares which may be issued under the Plan).  </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adjustments provided under this Section 13.2(c) shall be nondiscretionary and shall be final and binding on the affected Holder and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          </w:t>
      </w:r>
      <w:r>
        <w:rPr>
          <w:rFonts w:ascii="Arial" w:cs="Arial" w:eastAsia="Arial" w:hAnsi="Arial"/>
          <w:sz w:val="18"/>
          <w:szCs w:val="18"/>
          <w:u w:val="single" w:color="auto"/>
          <w:color w:val="auto"/>
        </w:rPr>
        <w:t>  Change in Control</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            Notwithstanding any other provision of the Plan, in the event of a Change in Control, each outstanding Award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assumed or an equivalent Award substituted by the successor corporation or a parent or subsidiary of the successor corporation, in each case, as determined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the Administrator.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(ii)           In the event that the successor corporation in a Change in Control and its parents and subsidiaries refuse to assume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substitute for any Award in accordance with Section 13.2(d)(i) hereof, each such non-assumed/substituted Award, except for any Performance Awards,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become fully vested and, as applicable, exercisable and shall be deemed exercised, immediately prior to the consummation of such transaction, and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forfeiture restrictions on any or all such Awards shall lapse at such time. For the avoidance of doubt, the vesting of any Performance Awards not assumed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Change in Control will not be automatically accelerated pursuant to this Section 13.2(d)(ii) and will instead vest pursuant to the terms and conditions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Award Agreement upon a Change in Control where the successor corporation and its parents and subsidiaries refuse to assume or substitute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any Award in accordance with Section 13.2(d)(i) hereof. If an Award vests and, as applicable, is exercised in lieu of assumption or substitution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a Change in Control, the Administrator shall notify the Holder of such vesting and any applicable exercise period, and the Award shall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terminate upon the Change in Control. For the avoidance of doubt, if the value of an Award that is terminated in connection with this Section 13.2(d)(ii)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zero or negative at the time of such Change in Control, such Award shall be terminated upon the Change in Control without payment of consideration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therefor.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Arial" w:cs="Arial" w:eastAsia="Arial" w:hAnsi="Arial"/>
          <w:sz w:val="18"/>
          <w:szCs w:val="18"/>
          <w:color w:val="auto"/>
        </w:rPr>
        <w:t>(e)           The Administrator may, in its sole discretion, include such further provisions and limitations in any Award, agreement or certificate, as it may deem equitable and in the best interests of the Company that are not inconsistent with the provisions of the Plan.  </w:t>
      </w:r>
    </w:p>
    <w:p>
      <w:pPr>
        <w:spacing w:after="0" w:line="200"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(f)           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spacing w:after="0" w:line="3"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(g)          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  </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13.3      </w:t>
      </w:r>
      <w:r>
        <w:rPr>
          <w:rFonts w:ascii="Arial" w:cs="Arial" w:eastAsia="Arial" w:hAnsi="Arial"/>
          <w:sz w:val="16"/>
          <w:szCs w:val="16"/>
          <w:u w:val="single" w:color="auto"/>
          <w:color w:val="auto"/>
        </w:rPr>
        <w:t>  Stockholder Approval of the Plan not Required.</w:t>
      </w:r>
      <w:r>
        <w:rPr>
          <w:rFonts w:ascii="Arial" w:cs="Arial" w:eastAsia="Arial" w:hAnsi="Arial"/>
          <w:sz w:val="16"/>
          <w:szCs w:val="16"/>
          <w:color w:val="auto"/>
        </w:rPr>
        <w:t xml:space="preserve"> It is expressly intended that approval of the Company’s stockholders not be required 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condition of the effectiveness of the Plan, and the Plan’s provisions shall be interpreted in a manner consistent with such intent for all purposes.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Specifically, Nasdaq Stock Market Rule 5635(c) generally requires stockholder approval for stock option plans or other equity compensation arrangements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adopted by companies whose securities are listed on the Nasdaq Stock Market pursuant to which stock awards or stock may be acquired by officers,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directors, employees, or consultants of such companies. Nasdaq Stock Market Rule 5635(c)(4) provides an exception to this requirement for issuances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to a person not previously an employee or director of the issuer, or following a bona fide period of non-employment, as an inducement material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individual’s entering into employment with the issuer; provided, such issuances are approved by either the issuer’s compensation committee comprised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majority of independent directors or a majority of the issuer’s independent directors. Notwithstanding anything to the contrary herein, Awards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Plan may only be made to Employees who have not previously been an Employee or Director of the Company or a Subsidiary, or following a bona fide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of non-employment by the Company or a Subsidiary, as an inducement material to the Employee’s entering into employment with the Company or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Subsidiary. Awards under the Plan will be approved by (i) the Company’s Compensation Committee comprised of a majority of the Company’s Non-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Employee Directors or (ii) a majority of the Company’s Non-Employee Directors. Accordingly, pursuant to Nasdaq Stock Market Rule 5635(c)(4),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issuance of Awards and the Shares issuable upon exercise or vesting of such Awards pursuant to the Plan are not subject to the approval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8" w:name="page39"/>
    <w:bookmarkEnd w:id="38"/>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  No Stockholders Rights</w:t>
      </w:r>
      <w:r>
        <w:rPr>
          <w:rFonts w:ascii="Arial" w:cs="Arial" w:eastAsia="Arial" w:hAnsi="Arial"/>
          <w:sz w:val="18"/>
          <w:szCs w:val="18"/>
          <w:color w:val="auto"/>
        </w:rPr>
        <w:t>. Except as otherwise provided herein, a Holder shall have none of the rights of a stockholder with respect to Shares covered by any Award until the Holder becomes the record owner of such Shares.  </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  Paperless Administration</w:t>
      </w:r>
      <w:r>
        <w:rPr>
          <w:rFonts w:ascii="Arial" w:cs="Arial" w:eastAsia="Arial" w:hAnsi="Arial"/>
          <w:sz w:val="18"/>
          <w:szCs w:val="18"/>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  </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13.6      </w:t>
      </w:r>
      <w:r>
        <w:rPr>
          <w:rFonts w:ascii="Arial" w:cs="Arial" w:eastAsia="Arial" w:hAnsi="Arial"/>
          <w:sz w:val="16"/>
          <w:szCs w:val="16"/>
          <w:u w:val="single" w:color="auto"/>
          <w:color w:val="auto"/>
        </w:rPr>
        <w:t>  Effect of Plan upon Other Compensation Plans</w:t>
      </w:r>
      <w:r>
        <w:rPr>
          <w:rFonts w:ascii="Arial" w:cs="Arial" w:eastAsia="Arial" w:hAnsi="Arial"/>
          <w:sz w:val="16"/>
          <w:szCs w:val="16"/>
          <w:color w:val="auto"/>
        </w:rPr>
        <w:t>. The adoption of the Plan shall not affect any other compensation or incentive plans in effect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Company or any Affiliate. Nothing in the Plan shall be construed to limit the right of the Company or any Affiliate: (a) to establish any other forms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incentives or compensation for Employees or other service providers of the Company or any Affiliate, or (b) to grant or assume options or other rights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awards otherwise than under the Plan in connection with any proper corporate purpose including without limitation, the grant or assumption of options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acquisition by purchase, lease, merger, consolidation or otherwise, of the business, stock or assets of any corporation,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firm or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13.7      </w:t>
      </w:r>
      <w:r>
        <w:rPr>
          <w:rFonts w:ascii="Arial" w:cs="Arial" w:eastAsia="Arial" w:hAnsi="Arial"/>
          <w:sz w:val="16"/>
          <w:szCs w:val="16"/>
          <w:u w:val="single" w:color="auto"/>
          <w:color w:val="auto"/>
        </w:rPr>
        <w:t>  Compliance with Laws</w:t>
      </w:r>
      <w:r>
        <w:rPr>
          <w:rFonts w:ascii="Arial" w:cs="Arial" w:eastAsia="Arial" w:hAnsi="Arial"/>
          <w:sz w:val="16"/>
          <w:szCs w:val="16"/>
          <w:color w:val="auto"/>
        </w:rPr>
        <w:t>. The Plan, the granting and vesting of Awards under the Plan and the issuance and delivery of Shares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of money under the Plan or under Awards granted or awarded hereunder are subject to compliance with all Applicable Law, and to such approvals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any listing, regulatory or governmental authority as may, in the opinion of counsel for the Company, be necessary or advisable in connection therewith.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securities delivered under the Plan shall be subject to such restrictions, and the person acquiring such securities shall, if requested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such assurances and representations to the Company as the Company may deem necessary or desirable to assure compliance with all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Law. To the extent permitted by Applicable Law, the Plan and Awards granted or awarded hereunder shall be deemed amended to the extent necessary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conform to such Applicable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13.8      </w:t>
      </w:r>
      <w:r>
        <w:rPr>
          <w:rFonts w:ascii="Arial" w:cs="Arial" w:eastAsia="Arial" w:hAnsi="Arial"/>
          <w:sz w:val="18"/>
          <w:szCs w:val="18"/>
          <w:u w:val="single" w:color="auto"/>
          <w:color w:val="auto"/>
        </w:rPr>
        <w:t>  Titles and Headings, References to Sections of the Code or Exchange Act</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  </w:t>
      </w:r>
    </w:p>
    <w:p>
      <w:pPr>
        <w:spacing w:after="0" w:line="204"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u w:val="single" w:color="auto"/>
          <w:color w:val="auto"/>
        </w:rPr>
        <w:t>  Governing Law</w:t>
      </w:r>
      <w:r>
        <w:rPr>
          <w:rFonts w:ascii="Arial" w:cs="Arial" w:eastAsia="Arial" w:hAnsi="Arial"/>
          <w:sz w:val="18"/>
          <w:szCs w:val="18"/>
          <w:color w:val="auto"/>
        </w:rPr>
        <w:t>. The Plan and any agreements hereunder shall be administered, interpreted and enforced under the internal laws of the State of Delaware without regard to conflicts of laws thereof or of any other jurisdiction.  </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firstLine="648"/>
        <w:spacing w:after="0" w:line="265" w:lineRule="auto"/>
        <w:rPr>
          <w:sz w:val="20"/>
          <w:szCs w:val="20"/>
          <w:color w:val="auto"/>
        </w:rPr>
      </w:pPr>
      <w:r>
        <w:rPr>
          <w:rFonts w:ascii="Arial" w:cs="Arial" w:eastAsia="Arial" w:hAnsi="Arial"/>
          <w:sz w:val="17"/>
          <w:szCs w:val="17"/>
          <w:color w:val="auto"/>
        </w:rPr>
        <w:t>13.10    </w:t>
      </w:r>
      <w:r>
        <w:rPr>
          <w:rFonts w:ascii="Arial" w:cs="Arial" w:eastAsia="Arial" w:hAnsi="Arial"/>
          <w:sz w:val="17"/>
          <w:szCs w:val="17"/>
          <w:u w:val="single" w:color="auto"/>
          <w:color w:val="auto"/>
        </w:rPr>
        <w:t>  Section 409A</w:t>
      </w:r>
      <w:r>
        <w:rPr>
          <w:rFonts w:ascii="Arial" w:cs="Arial" w:eastAsia="Arial" w:hAnsi="Arial"/>
          <w:sz w:val="17"/>
          <w:szCs w:val="17"/>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  </w:t>
      </w:r>
    </w:p>
    <w:p>
      <w:pPr>
        <w:spacing w:after="0" w:line="2"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13.11    </w:t>
      </w:r>
      <w:r>
        <w:rPr>
          <w:rFonts w:ascii="Arial" w:cs="Arial" w:eastAsia="Arial" w:hAnsi="Arial"/>
          <w:sz w:val="18"/>
          <w:szCs w:val="18"/>
          <w:u w:val="single" w:color="auto"/>
          <w:color w:val="auto"/>
        </w:rPr>
        <w:t>  No Rights to Awards</w:t>
      </w:r>
      <w:r>
        <w:rPr>
          <w:rFonts w:ascii="Arial" w:cs="Arial" w:eastAsia="Arial" w:hAnsi="Arial"/>
          <w:sz w:val="18"/>
          <w:szCs w:val="18"/>
          <w:color w:val="auto"/>
        </w:rPr>
        <w:t>. No Eligible Individual or other person shall have any claim to be granted any Award pursuant to the Plan, and neither the Company nor the Administrator is obligated to treat Eligible Individuals, Holders or any other persons uniformly.  </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13.12    </w:t>
      </w:r>
      <w:r>
        <w:rPr>
          <w:rFonts w:ascii="Arial" w:cs="Arial" w:eastAsia="Arial" w:hAnsi="Arial"/>
          <w:sz w:val="16"/>
          <w:szCs w:val="16"/>
          <w:u w:val="single" w:color="auto"/>
          <w:color w:val="auto"/>
        </w:rPr>
        <w:t>  Unfunded Status of Awards</w:t>
      </w:r>
      <w:r>
        <w:rPr>
          <w:rFonts w:ascii="Arial" w:cs="Arial" w:eastAsia="Arial" w:hAnsi="Arial"/>
          <w:sz w:val="16"/>
          <w:szCs w:val="16"/>
          <w:color w:val="auto"/>
        </w:rPr>
        <w:t>. The Plan is intended to be an “unfunded” plan for incentive compensation. With respect to any payments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yet made to a Holder pursuant to an Award, nothing contained in the Plan or any Program or Award Agreement shall give the Holder any rights that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greater than those of a general creditor of the Company or any Affiliate.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13.13    </w:t>
      </w:r>
      <w:r>
        <w:rPr>
          <w:rFonts w:ascii="Arial" w:cs="Arial" w:eastAsia="Arial" w:hAnsi="Arial"/>
          <w:sz w:val="16"/>
          <w:szCs w:val="16"/>
          <w:u w:val="single" w:color="auto"/>
          <w:color w:val="auto"/>
        </w:rPr>
        <w:t>  Indemnification</w:t>
      </w:r>
      <w:r>
        <w:rPr>
          <w:rFonts w:ascii="Arial" w:cs="Arial" w:eastAsia="Arial" w:hAnsi="Arial"/>
          <w:sz w:val="16"/>
          <w:szCs w:val="16"/>
          <w:color w:val="auto"/>
        </w:rPr>
        <w:t>. To the extent allowable pursuant to Applicable Law, each member of the Committee or of the Board and any officer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employee to whom authority to administer any component of the Plan is delegated shall be indemnified and held harmless by the Company from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cost, liability, or expense that may be imposed upon or reasonably incurred by such member in connection with or resulting from any claim, 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suit, or proceeding to which he or she may be a party or in which he or she may be involved by reason of any action or failure to act pursuant to the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against and from any and all amounts paid by him or her in satisfaction of judgment in such action, suit, or proceeding against him or 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she gives the Company an opportunity, at its own expense, to handle and defend the same before he or she undertakes to handle and defend it on his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 own behalf. The foregoing right of indemnification shall not be exclusive of any other rights of indemnification to which such persons may be entitled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Company’s Certificate of Incorporation or Bylaws, as a matter of law, or otherwise, or any power that the Company may have to indemnify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them or hold them harmless.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13.14    </w:t>
      </w:r>
      <w:r>
        <w:rPr>
          <w:rFonts w:ascii="Arial" w:cs="Arial" w:eastAsia="Arial" w:hAnsi="Arial"/>
          <w:sz w:val="16"/>
          <w:szCs w:val="16"/>
          <w:u w:val="single" w:color="auto"/>
          <w:color w:val="auto"/>
        </w:rPr>
        <w:t>  Relationship to other Benefits</w:t>
      </w:r>
      <w:r>
        <w:rPr>
          <w:rFonts w:ascii="Arial" w:cs="Arial" w:eastAsia="Arial" w:hAnsi="Arial"/>
          <w:sz w:val="16"/>
          <w:szCs w:val="16"/>
          <w:color w:val="auto"/>
        </w:rPr>
        <w:t>. No payment pursuant to the Plan shall be taken into account in determining any benefits under any pension,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retirement, savings, profit sharing, group insurance, welfare or other benefit plan of the Company or any Affiliate except to the extent otherwise expressly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provided in writing in such other plan or an agreement thereunder.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13.15    </w:t>
      </w:r>
      <w:r>
        <w:rPr>
          <w:rFonts w:ascii="Arial" w:cs="Arial" w:eastAsia="Arial" w:hAnsi="Arial"/>
          <w:sz w:val="18"/>
          <w:szCs w:val="18"/>
          <w:u w:val="single" w:color="auto"/>
          <w:color w:val="auto"/>
        </w:rPr>
        <w:t>  Expenses</w:t>
      </w:r>
      <w:r>
        <w:rPr>
          <w:rFonts w:ascii="Arial" w:cs="Arial" w:eastAsia="Arial" w:hAnsi="Arial"/>
          <w:sz w:val="18"/>
          <w:szCs w:val="18"/>
          <w:color w:val="auto"/>
        </w:rPr>
        <w:t>. The expenses of administering the Plan shall be borne by the Company and its Affiliates.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ectPr>
          <w:pgSz w:w="11900" w:h="16838" w:orient="portrait"/>
          <w:cols w:equalWidth="0" w:num="1">
            <w:col w:w="11240"/>
          </w:cols>
          <w:pgMar w:left="320" w:top="226"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107.1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252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Security Class</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Fee Calculation</w:t>
            </w: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 Rate</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21"/>
        </w:trPr>
        <w:tc>
          <w:tcPr>
            <w:tcW w:w="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Type</w:t>
            </w:r>
          </w:p>
        </w:tc>
        <w:tc>
          <w:tcPr>
            <w:tcW w:w="2520" w:type="dxa"/>
            <w:vAlign w:val="bottom"/>
            <w:tcBorders>
              <w:right w:val="single" w:sz="8" w:color="auto"/>
            </w:tcBorders>
          </w:tcPr>
          <w:p>
            <w:pPr>
              <w:ind w:left="1080"/>
              <w:spacing w:after="0"/>
              <w:rPr>
                <w:sz w:val="20"/>
                <w:szCs w:val="20"/>
                <w:color w:val="auto"/>
              </w:rPr>
            </w:pPr>
            <w:r>
              <w:rPr>
                <w:rFonts w:ascii="Arial" w:cs="Arial" w:eastAsia="Arial" w:hAnsi="Arial"/>
                <w:sz w:val="18"/>
                <w:szCs w:val="18"/>
                <w:b w:val="1"/>
                <w:bCs w:val="1"/>
                <w:color w:val="auto"/>
              </w:rPr>
              <w:t>Title</w:t>
            </w:r>
          </w:p>
        </w:tc>
        <w:tc>
          <w:tcPr>
            <w:tcW w:w="260" w:type="dxa"/>
            <w:vAlign w:val="bottom"/>
          </w:tcPr>
          <w:p>
            <w:pPr>
              <w:spacing w:after="0"/>
              <w:rPr>
                <w:sz w:val="19"/>
                <w:szCs w:val="19"/>
                <w:color w:val="auto"/>
              </w:rPr>
            </w:pPr>
          </w:p>
        </w:tc>
        <w:tc>
          <w:tcPr>
            <w:tcW w:w="14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2"/>
              </w:rPr>
              <w:t>Rule</w:t>
            </w:r>
          </w:p>
        </w:tc>
        <w:tc>
          <w:tcPr>
            <w:tcW w:w="1060" w:type="dxa"/>
            <w:vAlign w:val="bottom"/>
            <w:tcBorders>
              <w:right w:val="single" w:sz="8" w:color="auto"/>
            </w:tcBorders>
          </w:tcPr>
          <w:p>
            <w:pPr>
              <w:jc w:val="center"/>
              <w:spacing w:after="0" w:line="221" w:lineRule="exact"/>
              <w:rPr>
                <w:sz w:val="20"/>
                <w:szCs w:val="20"/>
                <w:color w:val="auto"/>
              </w:rPr>
            </w:pPr>
            <w:r>
              <w:rPr>
                <w:rFonts w:ascii="Arial" w:cs="Arial" w:eastAsia="Arial" w:hAnsi="Arial"/>
                <w:sz w:val="16"/>
                <w:szCs w:val="16"/>
                <w:b w:val="1"/>
                <w:bCs w:val="1"/>
                <w:color w:val="auto"/>
                <w:w w:val="96"/>
              </w:rPr>
              <w:t>Registered</w:t>
            </w:r>
            <w:r>
              <w:rPr>
                <w:rFonts w:ascii="Arial" w:cs="Arial" w:eastAsia="Arial" w:hAnsi="Arial"/>
                <w:sz w:val="25"/>
                <w:szCs w:val="25"/>
                <w:color w:val="auto"/>
                <w:w w:val="96"/>
                <w:vertAlign w:val="superscript"/>
              </w:rPr>
              <w:t>(1)</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 Per</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24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216"/>
        </w:trPr>
        <w:tc>
          <w:tcPr>
            <w:tcW w:w="74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Unit</w:t>
            </w:r>
            <w:r>
              <w:rPr>
                <w:rFonts w:ascii="Arial" w:cs="Arial" w:eastAsia="Arial" w:hAnsi="Arial"/>
                <w:sz w:val="25"/>
                <w:szCs w:val="25"/>
                <w:color w:val="auto"/>
                <w:w w:val="97"/>
                <w:vertAlign w:val="superscript"/>
              </w:rPr>
              <w:t>(2)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2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34"/>
        </w:trPr>
        <w:tc>
          <w:tcPr>
            <w:tcW w:w="740" w:type="dxa"/>
            <w:vAlign w:val="bottom"/>
            <w:tcBorders>
              <w:left w:val="single" w:sz="8" w:color="auto"/>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r>
      <w:tr>
        <w:trPr>
          <w:trHeight w:val="22"/>
        </w:trPr>
        <w:tc>
          <w:tcPr>
            <w:tcW w:w="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Equity</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Common stock, $0.0001 par</w:t>
            </w:r>
          </w:p>
        </w:tc>
        <w:tc>
          <w:tcPr>
            <w:tcW w:w="260" w:type="dxa"/>
            <w:vAlign w:val="bottom"/>
          </w:tcPr>
          <w:p>
            <w:pPr>
              <w:spacing w:after="0"/>
              <w:rPr>
                <w:sz w:val="19"/>
                <w:szCs w:val="19"/>
                <w:color w:val="auto"/>
              </w:rPr>
            </w:pPr>
          </w:p>
        </w:tc>
        <w:tc>
          <w:tcPr>
            <w:tcW w:w="14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Rule 457(c) and</w:t>
            </w:r>
          </w:p>
        </w:tc>
        <w:tc>
          <w:tcPr>
            <w:tcW w:w="10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16"/>
                <w:szCs w:val="16"/>
                <w:color w:val="auto"/>
                <w:w w:val="96"/>
              </w:rPr>
              <w:t>7,943,000</w:t>
            </w:r>
            <w:r>
              <w:rPr>
                <w:rFonts w:ascii="Arial" w:cs="Arial" w:eastAsia="Arial" w:hAnsi="Arial"/>
                <w:sz w:val="25"/>
                <w:szCs w:val="25"/>
                <w:color w:val="auto"/>
                <w:w w:val="96"/>
                <w:vertAlign w:val="superscript"/>
              </w:rPr>
              <w:t>(3)</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$2.89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$22,955,270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$110.20 per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$2,529.68</w:t>
            </w:r>
          </w:p>
        </w:tc>
      </w:tr>
      <w:tr>
        <w:trPr>
          <w:trHeight w:val="230"/>
        </w:trPr>
        <w:tc>
          <w:tcPr>
            <w:tcW w:w="740" w:type="dxa"/>
            <w:vAlign w:val="bottom"/>
            <w:tcBorders>
              <w:left w:val="single" w:sz="8" w:color="auto"/>
              <w:right w:val="single" w:sz="8" w:color="auto"/>
            </w:tcBorders>
          </w:tcPr>
          <w:p>
            <w:pPr>
              <w:spacing w:after="0"/>
              <w:rPr>
                <w:sz w:val="20"/>
                <w:szCs w:val="20"/>
                <w:color w:val="auto"/>
              </w:rPr>
            </w:pP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value per share</w:t>
            </w:r>
          </w:p>
        </w:tc>
        <w:tc>
          <w:tcPr>
            <w:tcW w:w="260" w:type="dxa"/>
            <w:vAlign w:val="bottom"/>
          </w:tcPr>
          <w:p>
            <w:pPr>
              <w:spacing w:after="0"/>
              <w:rPr>
                <w:sz w:val="20"/>
                <w:szCs w:val="20"/>
                <w:color w:val="auto"/>
              </w:rPr>
            </w:pPr>
          </w:p>
        </w:tc>
        <w:tc>
          <w:tcPr>
            <w:tcW w:w="14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3"/>
              </w:rPr>
              <w:t>Rule 457(h)</w:t>
            </w:r>
          </w:p>
        </w:tc>
        <w:tc>
          <w:tcPr>
            <w:tcW w:w="106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$1,000,000</w:t>
            </w:r>
          </w:p>
        </w:tc>
        <w:tc>
          <w:tcPr>
            <w:tcW w:w="1340" w:type="dxa"/>
            <w:vAlign w:val="bottom"/>
            <w:tcBorders>
              <w:right w:val="single" w:sz="8" w:color="auto"/>
            </w:tcBorders>
          </w:tcPr>
          <w:p>
            <w:pPr>
              <w:spacing w:after="0"/>
              <w:rPr>
                <w:sz w:val="20"/>
                <w:szCs w:val="20"/>
                <w:color w:val="auto"/>
              </w:rPr>
            </w:pPr>
          </w:p>
        </w:tc>
      </w:tr>
      <w:tr>
        <w:trPr>
          <w:trHeight w:val="26"/>
        </w:trPr>
        <w:tc>
          <w:tcPr>
            <w:tcW w:w="74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23"/>
        </w:trPr>
        <w:tc>
          <w:tcPr>
            <w:tcW w:w="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Equity</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Common stock, $0.0001 par</w:t>
            </w:r>
          </w:p>
        </w:tc>
        <w:tc>
          <w:tcPr>
            <w:tcW w:w="260" w:type="dxa"/>
            <w:vAlign w:val="bottom"/>
          </w:tcPr>
          <w:p>
            <w:pPr>
              <w:spacing w:after="0"/>
              <w:rPr>
                <w:sz w:val="19"/>
                <w:szCs w:val="19"/>
                <w:color w:val="auto"/>
              </w:rPr>
            </w:pPr>
          </w:p>
        </w:tc>
        <w:tc>
          <w:tcPr>
            <w:tcW w:w="14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Rule 457(c) and</w:t>
            </w:r>
          </w:p>
        </w:tc>
        <w:tc>
          <w:tcPr>
            <w:tcW w:w="10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16"/>
                <w:szCs w:val="16"/>
                <w:color w:val="auto"/>
                <w:w w:val="97"/>
              </w:rPr>
              <w:t>992,875</w:t>
            </w:r>
            <w:r>
              <w:rPr>
                <w:rFonts w:ascii="Arial" w:cs="Arial" w:eastAsia="Arial" w:hAnsi="Arial"/>
                <w:sz w:val="25"/>
                <w:szCs w:val="25"/>
                <w:color w:val="auto"/>
                <w:w w:val="97"/>
                <w:vertAlign w:val="superscript"/>
              </w:rPr>
              <w:t>(4)</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$2.89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$2,869,409</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$110.20 per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$316.21</w:t>
            </w:r>
          </w:p>
        </w:tc>
      </w:tr>
      <w:tr>
        <w:trPr>
          <w:trHeight w:val="230"/>
        </w:trPr>
        <w:tc>
          <w:tcPr>
            <w:tcW w:w="740" w:type="dxa"/>
            <w:vAlign w:val="bottom"/>
            <w:tcBorders>
              <w:left w:val="single" w:sz="8" w:color="auto"/>
              <w:right w:val="single" w:sz="8" w:color="auto"/>
            </w:tcBorders>
          </w:tcPr>
          <w:p>
            <w:pPr>
              <w:spacing w:after="0"/>
              <w:rPr>
                <w:sz w:val="20"/>
                <w:szCs w:val="20"/>
                <w:color w:val="auto"/>
              </w:rPr>
            </w:pP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value per share</w:t>
            </w:r>
          </w:p>
        </w:tc>
        <w:tc>
          <w:tcPr>
            <w:tcW w:w="260" w:type="dxa"/>
            <w:vAlign w:val="bottom"/>
          </w:tcPr>
          <w:p>
            <w:pPr>
              <w:spacing w:after="0"/>
              <w:rPr>
                <w:sz w:val="20"/>
                <w:szCs w:val="20"/>
                <w:color w:val="auto"/>
              </w:rPr>
            </w:pPr>
          </w:p>
        </w:tc>
        <w:tc>
          <w:tcPr>
            <w:tcW w:w="14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3"/>
              </w:rPr>
              <w:t>Rule 457(h)</w:t>
            </w:r>
          </w:p>
        </w:tc>
        <w:tc>
          <w:tcPr>
            <w:tcW w:w="106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$1,000,000</w:t>
            </w:r>
          </w:p>
        </w:tc>
        <w:tc>
          <w:tcPr>
            <w:tcW w:w="1340" w:type="dxa"/>
            <w:vAlign w:val="bottom"/>
            <w:tcBorders>
              <w:right w:val="single" w:sz="8" w:color="auto"/>
            </w:tcBorders>
          </w:tcPr>
          <w:p>
            <w:pPr>
              <w:spacing w:after="0"/>
              <w:rPr>
                <w:sz w:val="20"/>
                <w:szCs w:val="20"/>
                <w:color w:val="auto"/>
              </w:rPr>
            </w:pPr>
          </w:p>
        </w:tc>
      </w:tr>
      <w:tr>
        <w:trPr>
          <w:trHeight w:val="26"/>
        </w:trPr>
        <w:tc>
          <w:tcPr>
            <w:tcW w:w="74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23"/>
        </w:trPr>
        <w:tc>
          <w:tcPr>
            <w:tcW w:w="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Equity</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Common stock, $0.0001 par</w:t>
            </w:r>
          </w:p>
        </w:tc>
        <w:tc>
          <w:tcPr>
            <w:tcW w:w="260" w:type="dxa"/>
            <w:vAlign w:val="bottom"/>
          </w:tcPr>
          <w:p>
            <w:pPr>
              <w:spacing w:after="0"/>
              <w:rPr>
                <w:sz w:val="19"/>
                <w:szCs w:val="19"/>
                <w:color w:val="auto"/>
              </w:rPr>
            </w:pPr>
          </w:p>
        </w:tc>
        <w:tc>
          <w:tcPr>
            <w:tcW w:w="14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Rule 457(c) and</w:t>
            </w:r>
          </w:p>
        </w:tc>
        <w:tc>
          <w:tcPr>
            <w:tcW w:w="10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16"/>
                <w:szCs w:val="16"/>
                <w:color w:val="auto"/>
                <w:w w:val="96"/>
              </w:rPr>
              <w:t>3,000,000</w:t>
            </w:r>
            <w:r>
              <w:rPr>
                <w:rFonts w:ascii="Arial" w:cs="Arial" w:eastAsia="Arial" w:hAnsi="Arial"/>
                <w:sz w:val="25"/>
                <w:szCs w:val="25"/>
                <w:color w:val="auto"/>
                <w:w w:val="96"/>
                <w:vertAlign w:val="superscript"/>
              </w:rPr>
              <w:t>(5)</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$2.89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$8,670,000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$110.20 per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$955.44</w:t>
            </w:r>
          </w:p>
        </w:tc>
      </w:tr>
      <w:tr>
        <w:trPr>
          <w:trHeight w:val="230"/>
        </w:trPr>
        <w:tc>
          <w:tcPr>
            <w:tcW w:w="740" w:type="dxa"/>
            <w:vAlign w:val="bottom"/>
            <w:tcBorders>
              <w:left w:val="single" w:sz="8" w:color="auto"/>
              <w:right w:val="single" w:sz="8" w:color="auto"/>
            </w:tcBorders>
          </w:tcPr>
          <w:p>
            <w:pPr>
              <w:spacing w:after="0"/>
              <w:rPr>
                <w:sz w:val="20"/>
                <w:szCs w:val="20"/>
                <w:color w:val="auto"/>
              </w:rPr>
            </w:pP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value per share</w:t>
            </w:r>
          </w:p>
        </w:tc>
        <w:tc>
          <w:tcPr>
            <w:tcW w:w="260" w:type="dxa"/>
            <w:vAlign w:val="bottom"/>
          </w:tcPr>
          <w:p>
            <w:pPr>
              <w:spacing w:after="0"/>
              <w:rPr>
                <w:sz w:val="20"/>
                <w:szCs w:val="20"/>
                <w:color w:val="auto"/>
              </w:rPr>
            </w:pPr>
          </w:p>
        </w:tc>
        <w:tc>
          <w:tcPr>
            <w:tcW w:w="14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3"/>
              </w:rPr>
              <w:t>Rule 457(h)</w:t>
            </w:r>
          </w:p>
        </w:tc>
        <w:tc>
          <w:tcPr>
            <w:tcW w:w="106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$1,000,000</w:t>
            </w:r>
          </w:p>
        </w:tc>
        <w:tc>
          <w:tcPr>
            <w:tcW w:w="1340" w:type="dxa"/>
            <w:vAlign w:val="bottom"/>
            <w:tcBorders>
              <w:right w:val="single" w:sz="8" w:color="auto"/>
            </w:tcBorders>
          </w:tcPr>
          <w:p>
            <w:pPr>
              <w:spacing w:after="0"/>
              <w:rPr>
                <w:sz w:val="20"/>
                <w:szCs w:val="20"/>
                <w:color w:val="auto"/>
              </w:rPr>
            </w:pPr>
          </w:p>
        </w:tc>
      </w:tr>
      <w:tr>
        <w:trPr>
          <w:trHeight w:val="26"/>
        </w:trPr>
        <w:tc>
          <w:tcPr>
            <w:tcW w:w="74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37"/>
        </w:trPr>
        <w:tc>
          <w:tcPr>
            <w:tcW w:w="740" w:type="dxa"/>
            <w:vAlign w:val="bottom"/>
            <w:tcBorders>
              <w:left w:val="single" w:sz="8" w:color="auto"/>
            </w:tcBorders>
          </w:tcPr>
          <w:p>
            <w:pPr>
              <w:spacing w:after="0"/>
              <w:rPr>
                <w:sz w:val="20"/>
                <w:szCs w:val="20"/>
                <w:color w:val="auto"/>
              </w:rPr>
            </w:pPr>
          </w:p>
        </w:tc>
        <w:tc>
          <w:tcPr>
            <w:tcW w:w="426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1"/>
              </w:rPr>
              <w:t>Total Offering Amounts</w:t>
            </w:r>
          </w:p>
        </w:tc>
        <w:tc>
          <w:tcPr>
            <w:tcW w:w="106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$34,494,679</w:t>
            </w:r>
          </w:p>
        </w:tc>
        <w:tc>
          <w:tcPr>
            <w:tcW w:w="12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$3,801.32</w:t>
            </w:r>
          </w:p>
        </w:tc>
      </w:tr>
      <w:tr>
        <w:trPr>
          <w:trHeight w:val="27"/>
        </w:trPr>
        <w:tc>
          <w:tcPr>
            <w:tcW w:w="740" w:type="dxa"/>
            <w:vAlign w:val="bottom"/>
            <w:tcBorders>
              <w:left w:val="single" w:sz="8" w:color="auto"/>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4"/>
        </w:trPr>
        <w:tc>
          <w:tcPr>
            <w:tcW w:w="740" w:type="dxa"/>
            <w:vAlign w:val="bottom"/>
            <w:tcBorders>
              <w:left w:val="single" w:sz="8" w:color="auto"/>
              <w:bottom w:val="single" w:sz="8" w:color="auto"/>
            </w:tcBorders>
          </w:tcPr>
          <w:p>
            <w:pPr>
              <w:spacing w:after="0"/>
              <w:rPr>
                <w:sz w:val="24"/>
                <w:szCs w:val="24"/>
                <w:color w:val="auto"/>
              </w:rPr>
            </w:pPr>
          </w:p>
        </w:tc>
        <w:tc>
          <w:tcPr>
            <w:tcW w:w="426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88"/>
              </w:rPr>
              <w:t>Total Fee Offsets</w:t>
            </w:r>
          </w:p>
        </w:tc>
        <w:tc>
          <w:tcPr>
            <w:tcW w:w="106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line="304" w:lineRule="exact"/>
              <w:rPr>
                <w:sz w:val="20"/>
                <w:szCs w:val="20"/>
                <w:color w:val="auto"/>
              </w:rPr>
            </w:pPr>
            <w:r>
              <w:rPr>
                <w:rFonts w:ascii="Arial" w:cs="Arial" w:eastAsia="Arial" w:hAnsi="Arial"/>
                <w:sz w:val="35"/>
                <w:szCs w:val="35"/>
                <w:color w:val="auto"/>
                <w:w w:val="81"/>
                <w:vertAlign w:val="subscript"/>
              </w:rPr>
              <w:t>$-</w:t>
            </w:r>
            <w:r>
              <w:rPr>
                <w:rFonts w:ascii="Arial" w:cs="Arial" w:eastAsia="Arial" w:hAnsi="Arial"/>
                <w:sz w:val="15"/>
                <w:szCs w:val="15"/>
                <w:color w:val="auto"/>
                <w:w w:val="81"/>
              </w:rPr>
              <w:t>(6)</w:t>
            </w:r>
          </w:p>
        </w:tc>
      </w:tr>
      <w:tr>
        <w:trPr>
          <w:trHeight w:val="237"/>
        </w:trPr>
        <w:tc>
          <w:tcPr>
            <w:tcW w:w="740" w:type="dxa"/>
            <w:vAlign w:val="bottom"/>
            <w:tcBorders>
              <w:left w:val="single" w:sz="8" w:color="auto"/>
            </w:tcBorders>
          </w:tcPr>
          <w:p>
            <w:pPr>
              <w:spacing w:after="0"/>
              <w:rPr>
                <w:sz w:val="20"/>
                <w:szCs w:val="20"/>
                <w:color w:val="auto"/>
              </w:rPr>
            </w:pPr>
          </w:p>
        </w:tc>
        <w:tc>
          <w:tcPr>
            <w:tcW w:w="278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w w:val="90"/>
              </w:rPr>
              <w:t>Net Fee Due</w:t>
            </w:r>
          </w:p>
        </w:tc>
        <w:tc>
          <w:tcPr>
            <w:tcW w:w="148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$3,801.32</w:t>
            </w:r>
          </w:p>
        </w:tc>
      </w:tr>
      <w:tr>
        <w:trPr>
          <w:trHeight w:val="27"/>
        </w:trPr>
        <w:tc>
          <w:tcPr>
            <w:tcW w:w="740" w:type="dxa"/>
            <w:vAlign w:val="bottom"/>
            <w:tcBorders>
              <w:left w:val="single" w:sz="8" w:color="auto"/>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jc w:val="both"/>
        <w:ind w:left="320" w:right="20" w:hanging="290"/>
        <w:spacing w:after="0" w:line="257"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shall also cover any additional shares of the Registrant’s common stock that become issuable under the 2014 Equity Incentive Award Plan (the “2014 Plan”), the 2014 Employee Stock Purchase Plan (the “ESPP”) or the 2016 Employee Commencement Incentive Plan (the “2016 Plan”) by reason of any stock dividend, stock split, recapitalization or similar transaction effected without the Registrant’s receipt of consideration which would increase the number of outstanding shares of common stock.</w:t>
      </w:r>
    </w:p>
    <w:p>
      <w:pPr>
        <w:spacing w:after="0" w:line="25" w:lineRule="exact"/>
        <w:rPr>
          <w:rFonts w:ascii="Arial" w:cs="Arial" w:eastAsia="Arial" w:hAnsi="Arial"/>
          <w:sz w:val="18"/>
          <w:szCs w:val="18"/>
          <w:color w:val="auto"/>
        </w:rPr>
      </w:pPr>
    </w:p>
    <w:p>
      <w:pPr>
        <w:jc w:val="both"/>
        <w:ind w:left="320" w:right="20" w:hanging="290"/>
        <w:spacing w:after="0" w:line="259"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457(h) and Rule 457(c) promulgated under the Securities Act. The proposed maximum offering price per share and the proposed maximum aggregate offering price for shares reserved for future issuance under the 2014 Plan, the ESPP and 2016 Plan are based on the average of the high and the low price of Registrant’s Common Stock as reported on The Nasdaq Global Market on March 2, 2023.</w:t>
      </w:r>
    </w:p>
    <w:p>
      <w:pPr>
        <w:spacing w:after="0" w:line="24" w:lineRule="exact"/>
        <w:rPr>
          <w:rFonts w:ascii="Arial" w:cs="Arial" w:eastAsia="Arial" w:hAnsi="Arial"/>
          <w:sz w:val="18"/>
          <w:szCs w:val="18"/>
          <w:color w:val="auto"/>
        </w:rPr>
      </w:pPr>
    </w:p>
    <w:p>
      <w:pPr>
        <w:ind w:left="320" w:hanging="290"/>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the shares of the Registrant’s common stock issuable under the 2014 Plan resulting from an annual increase as of January 1, 2023.</w:t>
      </w:r>
    </w:p>
    <w:p>
      <w:pPr>
        <w:spacing w:after="0" w:line="74" w:lineRule="exact"/>
        <w:rPr>
          <w:rFonts w:ascii="Arial" w:cs="Arial" w:eastAsia="Arial" w:hAnsi="Arial"/>
          <w:sz w:val="17"/>
          <w:szCs w:val="17"/>
          <w:color w:val="auto"/>
        </w:rPr>
      </w:pPr>
    </w:p>
    <w:p>
      <w:pPr>
        <w:ind w:left="320" w:hanging="290"/>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the shares of the Registrant’s common stock issuable under the 2014 ESPP resulting from an increase as of January 1, 2023.</w:t>
      </w:r>
    </w:p>
    <w:p>
      <w:pPr>
        <w:spacing w:after="0" w:line="74" w:lineRule="exact"/>
        <w:rPr>
          <w:rFonts w:ascii="Arial" w:cs="Arial" w:eastAsia="Arial" w:hAnsi="Arial"/>
          <w:sz w:val="17"/>
          <w:szCs w:val="17"/>
          <w:color w:val="auto"/>
        </w:rPr>
      </w:pPr>
    </w:p>
    <w:p>
      <w:pPr>
        <w:ind w:left="320" w:hanging="290"/>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the shares of the Registrant’s common stock issuable under the 2016 Plan resulting from an increase as of December 6, 2022.</w:t>
      </w:r>
    </w:p>
    <w:p>
      <w:pPr>
        <w:spacing w:after="0" w:line="74" w:lineRule="exact"/>
        <w:rPr>
          <w:rFonts w:ascii="Arial" w:cs="Arial" w:eastAsia="Arial" w:hAnsi="Arial"/>
          <w:sz w:val="17"/>
          <w:szCs w:val="17"/>
          <w:color w:val="auto"/>
        </w:rPr>
      </w:pPr>
    </w:p>
    <w:p>
      <w:pPr>
        <w:ind w:left="320" w:hanging="290"/>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41B71EFB"/>
    <w:multiLevelType w:val="hybridMultilevel"/>
    <w:lvl w:ilvl="0">
      <w:lvlJc w:val="left"/>
      <w:lvlText w:val="%1"/>
      <w:numFmt w:val="lowerLetter"/>
      <w:start w:val="1"/>
    </w:lvl>
    <w:lvl w:ilvl="1">
      <w:lvlJc w:val="left"/>
      <w:lvlText w:val="(%2)"/>
      <w:numFmt w:val="decimal"/>
      <w:start w:val="1"/>
    </w:lvl>
  </w:abstractNum>
  <w:abstractNum w:abstractNumId="5">
    <w:nsid w:val="79E2A9E3"/>
    <w:multiLevelType w:val="hybridMultilevel"/>
    <w:lvl w:ilvl="0">
      <w:lvlJc w:val="left"/>
      <w:lvlText w:val="(%1)"/>
      <w:numFmt w:val="lowerLetter"/>
      <w:start w:val="2"/>
    </w:lvl>
    <w:lvl w:ilvl="1">
      <w:lvlJc w:val="left"/>
      <w:lvlText w:val="%2"/>
      <w:numFmt w:val="decimal"/>
      <w:start w:val="1"/>
    </w:lvl>
  </w:abstractNum>
  <w:abstractNum w:abstractNumId="6">
    <w:nsid w:val="7545E146"/>
    <w:multiLevelType w:val="hybridMultilevel"/>
    <w:lvl w:ilvl="0">
      <w:lvlJc w:val="left"/>
      <w:lvlText w:val="(%1)"/>
      <w:numFmt w:val="lowerLetter"/>
      <w:start w:val="8"/>
    </w:lvl>
  </w:abstractNum>
  <w:abstractNum w:abstractNumId="7">
    <w:nsid w:val="515F007C"/>
    <w:multiLevelType w:val="hybridMultilevel"/>
    <w:lvl w:ilvl="0">
      <w:lvlJc w:val="left"/>
      <w:lvlText w:val="a"/>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40" Type="http://schemas.openxmlformats.org/officeDocument/2006/relationships/image" Target="media/image11.png"/><Relationship Id="rId41" Type="http://schemas.openxmlformats.org/officeDocument/2006/relationships/image" Target="media/image12.png"/><Relationship Id="rId42" Type="http://schemas.openxmlformats.org/officeDocument/2006/relationships/image" Target="media/image13.png"/><Relationship Id="rId43" Type="http://schemas.openxmlformats.org/officeDocument/2006/relationships/image" Target="media/image14.jpeg"/><Relationship Id="rId44" Type="http://schemas.openxmlformats.org/officeDocument/2006/relationships/image" Target="media/image15.png"/><Relationship Id="rId45" Type="http://schemas.openxmlformats.org/officeDocument/2006/relationships/image" Target="media/image16.jpeg"/><Relationship Id="rId46" Type="http://schemas.openxmlformats.org/officeDocument/2006/relationships/image" Target="media/image17.png"/><Relationship Id="rId47" Type="http://schemas.openxmlformats.org/officeDocument/2006/relationships/image" Target="media/image18.png"/><Relationship Id="rId48" Type="http://schemas.openxmlformats.org/officeDocument/2006/relationships/image" Target="media/image19.png"/><Relationship Id="rId49" Type="http://schemas.openxmlformats.org/officeDocument/2006/relationships/image" Target="media/image20.png"/><Relationship Id="rId50" Type="http://schemas.openxmlformats.org/officeDocument/2006/relationships/image" Target="media/image21.png"/><Relationship Id="rId51" Type="http://schemas.openxmlformats.org/officeDocument/2006/relationships/image" Target="media/image22.png"/><Relationship Id="rId52"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png"/><Relationship Id="rId56" Type="http://schemas.openxmlformats.org/officeDocument/2006/relationships/image" Target="media/image27.png"/><Relationship Id="rId57"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14" Type="http://schemas.openxmlformats.org/officeDocument/2006/relationships/hyperlink" Target="http://www.sec.gov/Archives/edgar/data/1437402/000119312514267896/d758186ds8.htm" TargetMode="External"/><Relationship Id="rId15" Type="http://schemas.openxmlformats.org/officeDocument/2006/relationships/hyperlink" Target="http://www.sec.gov/Archives/edgar/data/1437402/000119312516764653/d276142ds8.htm" TargetMode="External"/><Relationship Id="rId16" Type="http://schemas.openxmlformats.org/officeDocument/2006/relationships/hyperlink" Target="http://www.sec.gov/Archives/edgar/data/1437402/000119312515087522/d889275ds8.htm" TargetMode="External"/><Relationship Id="rId17" Type="http://schemas.openxmlformats.org/officeDocument/2006/relationships/hyperlink" Target="http://www.sec.gov/Archives/edgar/data/1437402/000119312516500176/d159520ds8.htm" TargetMode="External"/><Relationship Id="rId18" Type="http://schemas.openxmlformats.org/officeDocument/2006/relationships/hyperlink" Target="http://www.sec.gov/Archives/edgar/data/1437402/000119312517050555/d333014ds8.htm" TargetMode="External"/><Relationship Id="rId19" Type="http://schemas.openxmlformats.org/officeDocument/2006/relationships/hyperlink" Target="http://www.sec.gov/Archives/edgar/data/1437402/000119312518084334/d551566ds8.htm" TargetMode="External"/><Relationship Id="rId20" Type="http://schemas.openxmlformats.org/officeDocument/2006/relationships/hyperlink" Target="http://www.sec.gov/Archives/edgar/data/1437402/000155837019001719/s-8.htm" TargetMode="External"/><Relationship Id="rId21" Type="http://schemas.openxmlformats.org/officeDocument/2006/relationships/hyperlink" Target="http://www.sec.gov/Archives/edgar/data/1437402/000119312520068867/d896070ds8.htm" TargetMode="External"/><Relationship Id="rId22" Type="http://schemas.openxmlformats.org/officeDocument/2006/relationships/hyperlink" Target="http://www.sec.gov/Archives/edgar/data/1437402/000155837021002843/tmb-20210311xs8.htm" TargetMode="External"/><Relationship Id="rId23" Type="http://schemas.openxmlformats.org/officeDocument/2006/relationships/hyperlink" Target="http://www.sec.gov/Archives/edgar/data/1437402/000110465922028658/tm227853d1_s8.htm" TargetMode="External"/><Relationship Id="rId26" Type="http://schemas.openxmlformats.org/officeDocument/2006/relationships/hyperlink" Target="http://www.sec.gov/ix?doc=/Archives/edgar/data/1437402/000162828023006041/ardx-20221231.htm" TargetMode="External"/><Relationship Id="rId27" Type="http://schemas.openxmlformats.org/officeDocument/2006/relationships/hyperlink" Target="http://www.sec.gov/Archives/edgar/data/1437402/000119312514230441/d740908d8a12b.htm" TargetMode="External"/><Relationship Id="rId28" Type="http://schemas.openxmlformats.org/officeDocument/2006/relationships/hyperlink" Target="http://www.sec.gov/Archives/edgar/data/1437402/000155837021002500/ardx-20201231xex4d4.htm" TargetMode="External"/><Relationship Id="rId31" Type="http://schemas.openxmlformats.org/officeDocument/2006/relationships/hyperlink" Target="http://www.sec.gov/Archives/edgar/data/1437402/000119312514247380/d748616dex31.htm" TargetMode="External"/><Relationship Id="rId32" Type="http://schemas.openxmlformats.org/officeDocument/2006/relationships/hyperlink" Target="http://www.sec.gov/Archives/edgar/data/1437402/000119312514247380/d748616dex32.htm" TargetMode="External"/><Relationship Id="rId33" Type="http://schemas.openxmlformats.org/officeDocument/2006/relationships/hyperlink" Target="http://www.sec.gov/Archives/edgar/data/1437402/000119312514240520/d704770dex42.htm" TargetMode="External"/><Relationship Id="rId34" Type="http://schemas.openxmlformats.org/officeDocument/2006/relationships/hyperlink" Target="http://www.sec.gov/Archives/edgar/data/1437402/000119312514267896/d758186dex993.htm" TargetMode="External"/><Relationship Id="rId35" Type="http://schemas.openxmlformats.org/officeDocument/2006/relationships/hyperlink" Target="http://www.sec.gov/Archives/edgar/data/1437402/000119312514267896/d758186dex996.htm" TargetMode="External"/><Relationship Id="rId36" Type="http://schemas.openxmlformats.org/officeDocument/2006/relationships/hyperlink" Target="http://www.sec.gov/Archives/edgar/data/1437402/000119312514229371/d704770dex106b.htm" TargetMode="External"/><Relationship Id="rId37" Type="http://schemas.openxmlformats.org/officeDocument/2006/relationships/hyperlink" Target="http://www.sec.gov/Archives/edgar/data/1437402/000119312514229371/d704770dex106c.htm" TargetMode="External"/><Relationship Id="rId38" Type="http://schemas.openxmlformats.org/officeDocument/2006/relationships/hyperlink" Target="http://www.sec.gov/Archives/edgar/data/1437402/000119312516764653/d276142dex992.htm" TargetMode="External"/><Relationship Id="rId39" Type="http://schemas.openxmlformats.org/officeDocument/2006/relationships/hyperlink" Target="http://www.sec.gov/Archives/edgar/data/1437402/000119312516764653/d276142d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2023-03-07T05:13:03Z</dcterms:created>
  <dcterms:modified xsi:type="dcterms:W3CDTF">2023-03-07T05:13:03Z</dcterms:modified>
</cp:coreProperties>
</file>