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jc w:val="center"/>
        <w:ind w:right="-8"/>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48"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75565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45"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ind w:left="449" w:right="160" w:hanging="449"/>
        <w:spacing w:after="0" w:line="227" w:lineRule="auto"/>
        <w:tabs>
          <w:tab w:leader="none" w:pos="62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49" w:right="140" w:hanging="449"/>
        <w:spacing w:after="0" w:line="235" w:lineRule="auto"/>
        <w:tabs>
          <w:tab w:leader="none" w:pos="62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069"/>
        <w:spacing w:after="0"/>
        <w:tabs>
          <w:tab w:leader="none" w:pos="704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4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68580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8"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ARDELYX, INC.</w:t>
      </w:r>
    </w:p>
    <w:p>
      <w:pPr>
        <w:jc w:val="center"/>
        <w:ind w:right="-8"/>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6" w:lineRule="exact"/>
        <w:rPr>
          <w:sz w:val="24"/>
          <w:szCs w:val="24"/>
          <w:color w:val="auto"/>
        </w:rPr>
      </w:pPr>
    </w:p>
    <w:tbl>
      <w:tblPr>
        <w:tblLayout w:type="fixed"/>
        <w:tblInd w:w="929" w:type="dxa"/>
        <w:tblCellMar>
          <w:top w:w="0" w:type="dxa"/>
          <w:left w:w="0" w:type="dxa"/>
          <w:bottom w:w="0" w:type="dxa"/>
          <w:right w:w="0" w:type="dxa"/>
        </w:tblCellMar>
      </w:tblPr>
      <w:tr>
        <w:trPr>
          <w:trHeight w:val="207"/>
        </w:trPr>
        <w:tc>
          <w:tcPr>
            <w:tcW w:w="4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DELAWARE</w:t>
            </w:r>
          </w:p>
        </w:tc>
        <w:tc>
          <w:tcPr>
            <w:tcW w:w="3460" w:type="dxa"/>
            <w:vAlign w:val="bottom"/>
          </w:tcPr>
          <w:p>
            <w:pPr>
              <w:jc w:val="center"/>
              <w:ind w:left="1070"/>
              <w:spacing w:after="0" w:line="207" w:lineRule="exact"/>
              <w:rPr>
                <w:sz w:val="20"/>
                <w:szCs w:val="20"/>
                <w:color w:val="auto"/>
              </w:rPr>
            </w:pPr>
            <w:r>
              <w:rPr>
                <w:rFonts w:ascii="Arial" w:cs="Arial" w:eastAsia="Arial" w:hAnsi="Arial"/>
                <w:sz w:val="18"/>
                <w:szCs w:val="18"/>
                <w:b w:val="1"/>
                <w:bCs w:val="1"/>
                <w:color w:val="auto"/>
                <w:w w:val="89"/>
              </w:rPr>
              <w:t>26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1303944</w:t>
            </w:r>
          </w:p>
        </w:tc>
      </w:tr>
      <w:tr>
        <w:trPr>
          <w:trHeight w:val="176"/>
        </w:trPr>
        <w:tc>
          <w:tcPr>
            <w:tcW w:w="4620" w:type="dxa"/>
            <w:vAlign w:val="bottom"/>
          </w:tcPr>
          <w:p>
            <w:pPr>
              <w:jc w:val="center"/>
              <w:ind w:right="1070"/>
              <w:spacing w:after="0" w:line="176" w:lineRule="exact"/>
              <w:rPr>
                <w:sz w:val="20"/>
                <w:szCs w:val="20"/>
                <w:color w:val="auto"/>
              </w:rPr>
            </w:pPr>
            <w:r>
              <w:rPr>
                <w:rFonts w:ascii="Arial" w:cs="Arial" w:eastAsia="Arial" w:hAnsi="Arial"/>
                <w:sz w:val="18"/>
                <w:szCs w:val="18"/>
                <w:color w:val="auto"/>
                <w:w w:val="94"/>
              </w:rPr>
              <w:t>(STATE OR OTHER JURISDICTION</w:t>
            </w:r>
          </w:p>
        </w:tc>
        <w:tc>
          <w:tcPr>
            <w:tcW w:w="346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6"/>
              </w:rPr>
              <w:t>(I.R.S. EMPLOYER</w:t>
            </w:r>
          </w:p>
        </w:tc>
      </w:tr>
      <w:tr>
        <w:trPr>
          <w:trHeight w:val="230"/>
        </w:trPr>
        <w:tc>
          <w:tcPr>
            <w:tcW w:w="4620" w:type="dxa"/>
            <w:vAlign w:val="bottom"/>
          </w:tcPr>
          <w:p>
            <w:pPr>
              <w:jc w:val="center"/>
              <w:ind w:right="1070"/>
              <w:spacing w:after="0"/>
              <w:rPr>
                <w:sz w:val="20"/>
                <w:szCs w:val="20"/>
                <w:color w:val="auto"/>
              </w:rPr>
            </w:pPr>
            <w:r>
              <w:rPr>
                <w:rFonts w:ascii="Arial" w:cs="Arial" w:eastAsia="Arial" w:hAnsi="Arial"/>
                <w:sz w:val="18"/>
                <w:szCs w:val="18"/>
                <w:color w:val="auto"/>
                <w:w w:val="95"/>
              </w:rPr>
              <w:t>OF INCORPORATION OR ORGANIZATION)</w:t>
            </w:r>
          </w:p>
        </w:tc>
        <w:tc>
          <w:tcPr>
            <w:tcW w:w="3460" w:type="dxa"/>
            <w:vAlign w:val="bottom"/>
          </w:tcPr>
          <w:p>
            <w:pPr>
              <w:jc w:val="center"/>
              <w:ind w:left="1070"/>
              <w:spacing w:after="0"/>
              <w:rPr>
                <w:sz w:val="20"/>
                <w:szCs w:val="20"/>
                <w:color w:val="auto"/>
              </w:rPr>
            </w:pPr>
            <w:r>
              <w:rPr>
                <w:rFonts w:ascii="Arial" w:cs="Arial" w:eastAsia="Arial" w:hAnsi="Arial"/>
                <w:sz w:val="18"/>
                <w:szCs w:val="18"/>
                <w:color w:val="auto"/>
                <w:w w:val="99"/>
              </w:rPr>
              <w:t>IDENTIFICATION NUMBER)</w:t>
            </w:r>
          </w:p>
        </w:tc>
      </w:tr>
    </w:tbl>
    <w:p>
      <w:pPr>
        <w:spacing w:after="0" w:line="1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34175 Ardenwood Boulevard, Suite 200</w:t>
      </w:r>
    </w:p>
    <w:p>
      <w:pPr>
        <w:jc w:val="center"/>
        <w:ind w:right="-8"/>
        <w:spacing w:after="0" w:line="203" w:lineRule="auto"/>
        <w:rPr>
          <w:sz w:val="20"/>
          <w:szCs w:val="20"/>
          <w:color w:val="auto"/>
        </w:rPr>
      </w:pPr>
      <w:r>
        <w:rPr>
          <w:rFonts w:ascii="Arial" w:cs="Arial" w:eastAsia="Arial" w:hAnsi="Arial"/>
          <w:sz w:val="18"/>
          <w:szCs w:val="18"/>
          <w:b w:val="1"/>
          <w:bCs w:val="1"/>
          <w:color w:val="auto"/>
        </w:rPr>
        <w:t>Fremont, California 94555</w:t>
      </w:r>
    </w:p>
    <w:p>
      <w:pPr>
        <w:jc w:val="center"/>
        <w:ind w:right="-8"/>
        <w:spacing w:after="0"/>
        <w:rPr>
          <w:sz w:val="20"/>
          <w:szCs w:val="20"/>
          <w:color w:val="auto"/>
        </w:rPr>
      </w:pPr>
      <w:r>
        <w:rPr>
          <w:rFonts w:ascii="Arial" w:cs="Arial" w:eastAsia="Arial" w:hAnsi="Arial"/>
          <w:sz w:val="18"/>
          <w:szCs w:val="18"/>
          <w:color w:val="auto"/>
        </w:rPr>
        <w:t>(ADDRESS OF PRINCIPAL EXECUTIVE OFFICES, INCLUDING ZIPCODE)</w:t>
      </w:r>
    </w:p>
    <w:p>
      <w:pPr>
        <w:spacing w:after="0" w:line="1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jc w:val="center"/>
        <w:ind w:right="-8"/>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2" w:lineRule="exact"/>
        <w:rPr>
          <w:sz w:val="24"/>
          <w:szCs w:val="24"/>
          <w:color w:val="auto"/>
        </w:rPr>
      </w:pPr>
    </w:p>
    <w:tbl>
      <w:tblPr>
        <w:tblLayout w:type="fixed"/>
        <w:tblInd w:w="9" w:type="dxa"/>
        <w:tblCellMar>
          <w:top w:w="0" w:type="dxa"/>
          <w:left w:w="0" w:type="dxa"/>
          <w:bottom w:w="0" w:type="dxa"/>
          <w:right w:w="0" w:type="dxa"/>
        </w:tblCellMar>
      </w:tblPr>
      <w:tr>
        <w:trPr>
          <w:trHeight w:val="182"/>
        </w:trPr>
        <w:tc>
          <w:tcPr>
            <w:tcW w:w="3420" w:type="dxa"/>
            <w:vAlign w:val="bottom"/>
            <w:gridSpan w:val="3"/>
          </w:tcPr>
          <w:p>
            <w:pPr>
              <w:spacing w:after="0"/>
              <w:rPr>
                <w:sz w:val="20"/>
                <w:szCs w:val="20"/>
                <w:color w:val="auto"/>
              </w:rPr>
            </w:pPr>
            <w:r>
              <w:rPr>
                <w:rFonts w:ascii="Arial" w:cs="Arial" w:eastAsia="Arial" w:hAnsi="Arial"/>
                <w:sz w:val="14"/>
                <w:szCs w:val="14"/>
                <w:color w:val="auto"/>
                <w:w w:val="95"/>
              </w:rPr>
              <w:t>Securities registered pursuant to Section 12(b) of the Act:</w:t>
            </w:r>
          </w:p>
        </w:tc>
        <w:tc>
          <w:tcPr>
            <w:tcW w:w="2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tcPr>
          <w:p>
            <w:pPr>
              <w:jc w:val="center"/>
              <w:spacing w:after="0"/>
              <w:rPr>
                <w:sz w:val="20"/>
                <w:szCs w:val="20"/>
                <w:color w:val="auto"/>
              </w:rPr>
            </w:pPr>
            <w:r>
              <w:rPr>
                <w:rFonts w:ascii="Arial" w:cs="Arial" w:eastAsia="Arial" w:hAnsi="Arial"/>
                <w:sz w:val="14"/>
                <w:szCs w:val="14"/>
                <w:color w:val="auto"/>
                <w:w w:val="93"/>
              </w:rPr>
              <w:t>Common Stock, par value $0.0001</w:t>
            </w:r>
          </w:p>
        </w:tc>
        <w:tc>
          <w:tcPr>
            <w:tcW w:w="320" w:type="dxa"/>
            <w:vAlign w:val="bottom"/>
            <w:vMerge w:val="continue"/>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rPr>
              <w:t>ARDX</w:t>
            </w:r>
          </w:p>
        </w:tc>
        <w:tc>
          <w:tcPr>
            <w:tcW w:w="300" w:type="dxa"/>
            <w:vAlign w:val="bottom"/>
            <w:vMerge w:val="continue"/>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9" w:right="600" w:firstLine="441"/>
        <w:spacing w:after="0" w:line="22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9"/>
        <w:spacing w:after="0" w:line="161" w:lineRule="exact"/>
        <w:tabs>
          <w:tab w:leader="none" w:pos="588" w:val="left"/>
          <w:tab w:leader="none" w:pos="1128"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5" w:lineRule="exact"/>
        <w:rPr>
          <w:sz w:val="24"/>
          <w:szCs w:val="24"/>
          <w:color w:val="auto"/>
        </w:rPr>
      </w:pPr>
    </w:p>
    <w:p>
      <w:pPr>
        <w:ind w:left="9" w:right="200" w:firstLine="441"/>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9" w:right="60" w:firstLine="441"/>
        <w:spacing w:after="0" w:line="159"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p>
    <w:p>
      <w:pPr>
        <w:spacing w:after="0" w:line="7" w:lineRule="exact"/>
        <w:rPr>
          <w:sz w:val="24"/>
          <w:szCs w:val="24"/>
          <w:color w:val="auto"/>
        </w:rPr>
      </w:pPr>
    </w:p>
    <w:tbl>
      <w:tblPr>
        <w:tblLayout w:type="fixed"/>
        <w:tblInd w:w="9" w:type="dxa"/>
        <w:tblCellMar>
          <w:top w:w="0" w:type="dxa"/>
          <w:left w:w="0" w:type="dxa"/>
          <w:bottom w:w="0" w:type="dxa"/>
          <w:right w:w="0" w:type="dxa"/>
        </w:tblCellMar>
      </w:tblP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4" w:lineRule="exact"/>
        <w:rPr>
          <w:sz w:val="24"/>
          <w:szCs w:val="24"/>
          <w:color w:val="auto"/>
        </w:rPr>
      </w:pPr>
    </w:p>
    <w:p>
      <w:pPr>
        <w:ind w:left="9" w:right="500" w:firstLine="441"/>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49"/>
        <w:spacing w:after="0" w:line="161" w:lineRule="exact"/>
        <w:tabs>
          <w:tab w:leader="none" w:pos="7088" w:val="left"/>
          <w:tab w:leader="none" w:pos="7628"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ind w:left="449"/>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August 5, 2019, was 62,800,869.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598170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20"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restart"/>
          </w:tcPr>
          <w:p>
            <w:pPr>
              <w:spacing w:after="0"/>
              <w:rPr>
                <w:sz w:val="14"/>
                <w:szCs w:val="14"/>
                <w:color w:val="auto"/>
              </w:rPr>
            </w:pPr>
          </w:p>
        </w:tc>
        <w:tc>
          <w:tcPr>
            <w:tcW w:w="5860" w:type="dxa"/>
            <w:vAlign w:val="bottom"/>
            <w:gridSpan w:val="16"/>
            <w:vMerge w:val="restart"/>
          </w:tcPr>
          <w:p>
            <w:pPr>
              <w:jc w:val="center"/>
              <w:ind w:right="28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60" w:type="dxa"/>
            <w:vAlign w:val="bottom"/>
            <w:gridSpan w:val="16"/>
            <w:vMerge w:val="continue"/>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 Condensed Consolidated Financial Statements</w:t>
              </w:r>
            </w:hyperlink>
          </w:p>
        </w:tc>
        <w:tc>
          <w:tcPr>
            <w:tcW w:w="4580" w:type="dxa"/>
            <w:vAlign w:val="bottom"/>
            <w:gridSpan w:val="11"/>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2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2019 (unaudited) and December 31, 2018</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20" w:type="dxa"/>
            <w:vAlign w:val="bottom"/>
            <w:tcBorders>
              <w:top w:val="single" w:sz="8" w:color="0000EE"/>
            </w:tcBorders>
            <w:gridSpan w:val="20"/>
          </w:tcPr>
          <w:p>
            <w:pPr>
              <w:spacing w:after="0" w:line="15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 for the</w:t>
              </w:r>
            </w:hyperlink>
          </w:p>
        </w:tc>
        <w:tc>
          <w:tcPr>
            <w:tcW w:w="2000" w:type="dxa"/>
            <w:vAlign w:val="bottom"/>
            <w:gridSpan w:val="5"/>
          </w:tcPr>
          <w:p>
            <w:pPr>
              <w:ind w:left="80"/>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40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ended June 30, 2019 and 2018 (unaudited)</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820" w:type="dxa"/>
            <w:vAlign w:val="bottom"/>
            <w:gridSpan w:val="23"/>
          </w:tcPr>
          <w:p>
            <w:pPr>
              <w:spacing w:after="0" w:line="15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Stockholders' Equity for the three and six months ended</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60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June 30, 2019 and 2018 (unaudited)</w:t>
              </w:r>
            </w:hyperlink>
          </w:p>
        </w:tc>
        <w:tc>
          <w:tcPr>
            <w:tcW w:w="4960" w:type="dxa"/>
            <w:vAlign w:val="bottom"/>
            <w:tcBorders>
              <w:top w:val="single" w:sz="8" w:color="0000EE"/>
            </w:tcBorders>
            <w:gridSpan w:val="12"/>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gridSpan w:val="23"/>
          </w:tcPr>
          <w:p>
            <w:pPr>
              <w:spacing w:after="0" w:line="15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for the three and six months ended June 30, 2019 and</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4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2018 (unaudited)</w:t>
              </w:r>
            </w:hyperlink>
          </w:p>
        </w:tc>
        <w:tc>
          <w:tcPr>
            <w:tcW w:w="6180" w:type="dxa"/>
            <w:vAlign w:val="bottom"/>
            <w:tcBorders>
              <w:top w:val="single" w:sz="8" w:color="0000EE"/>
            </w:tcBorders>
            <w:gridSpan w:val="16"/>
          </w:tcPr>
          <w:p>
            <w:pPr>
              <w:spacing w:after="0"/>
              <w:rPr>
                <w:sz w:val="13"/>
                <w:szCs w:val="13"/>
                <w:color w:val="auto"/>
              </w:rPr>
            </w:pPr>
          </w:p>
        </w:tc>
        <w:tc>
          <w:tcPr>
            <w:tcW w:w="400" w:type="dxa"/>
            <w:vAlign w:val="bottom"/>
            <w:gridSpan w:val="2"/>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14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58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368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60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1"/>
        </w:trPr>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29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6700" w:type="dxa"/>
            <w:vAlign w:val="bottom"/>
            <w:gridSpan w:val="1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700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600" w:type="dxa"/>
            <w:vAlign w:val="bottom"/>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2. Unregistered Sales of Equity Securities and Use of Proceeds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3. Defaults Upon Senior Securities</w:t>
              </w:r>
            </w:hyperlink>
          </w:p>
        </w:tc>
        <w:tc>
          <w:tcPr>
            <w:tcW w:w="370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4. Mine Safety Disclosures</w:t>
              </w:r>
            </w:hyperlink>
          </w:p>
        </w:tc>
        <w:tc>
          <w:tcPr>
            <w:tcW w:w="572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17"/>
                <w:szCs w:val="17"/>
                <w:color w:val="auto"/>
              </w:rPr>
            </w:pPr>
          </w:p>
        </w:tc>
        <w:tc>
          <w:tcPr>
            <w:tcW w:w="6280" w:type="dxa"/>
            <w:vAlign w:val="bottom"/>
            <w:gridSpan w:val="1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Item 6. Exhibits</w:t>
              </w:r>
            </w:hyperlink>
          </w:p>
        </w:tc>
        <w:tc>
          <w:tcPr>
            <w:tcW w:w="7440" w:type="dxa"/>
            <w:vAlign w:val="bottom"/>
            <w:gridSpan w:val="2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860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642"/>
        </w:trPr>
        <w:tc>
          <w:tcPr>
            <w:tcW w:w="760" w:type="dxa"/>
            <w:vAlign w:val="bottom"/>
            <w:tcBorders>
              <w:top w:val="single" w:sz="8" w:color="0000EE"/>
            </w:tcBorders>
            <w:gridSpan w:val="2"/>
          </w:tcPr>
          <w:p>
            <w:pPr>
              <w:spacing w:after="0"/>
              <w:rPr>
                <w:sz w:val="24"/>
                <w:szCs w:val="24"/>
                <w:color w:val="auto"/>
              </w:rPr>
            </w:pPr>
          </w:p>
        </w:tc>
        <w:tc>
          <w:tcPr>
            <w:tcW w:w="4140" w:type="dxa"/>
            <w:vAlign w:val="bottom"/>
            <w:gridSpan w:val="14"/>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4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20" w:type="dxa"/>
            <w:vAlign w:val="bottom"/>
            <w:gridSpan w:val="3"/>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Pr>
          <w:p>
            <w:pPr>
              <w:jc w:val="center"/>
              <w:ind w:left="10"/>
              <w:spacing w:after="0"/>
              <w:rPr>
                <w:sz w:val="20"/>
                <w:szCs w:val="20"/>
                <w:color w:val="auto"/>
              </w:rPr>
            </w:pPr>
            <w:r>
              <w:rPr>
                <w:rFonts w:ascii="Arial" w:cs="Arial" w:eastAsia="Arial" w:hAnsi="Arial"/>
                <w:sz w:val="18"/>
                <w:szCs w:val="18"/>
                <w:b w:val="1"/>
                <w:bCs w:val="1"/>
                <w:color w:val="auto"/>
              </w:rPr>
              <w:t>ARDELYX, INC.</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0" w:type="dxa"/>
            <w:vAlign w:val="bottom"/>
          </w:tcPr>
          <w:p>
            <w:pPr>
              <w:jc w:val="center"/>
              <w:ind w:left="30"/>
              <w:spacing w:after="0" w:line="176" w:lineRule="exact"/>
              <w:rPr>
                <w:sz w:val="20"/>
                <w:szCs w:val="20"/>
                <w:color w:val="auto"/>
              </w:rPr>
            </w:pPr>
            <w:r>
              <w:rPr>
                <w:rFonts w:ascii="Arial" w:cs="Arial" w:eastAsia="Arial" w:hAnsi="Arial"/>
                <w:sz w:val="18"/>
                <w:szCs w:val="18"/>
                <w:b w:val="1"/>
                <w:bCs w:val="1"/>
                <w:color w:val="auto"/>
                <w:w w:val="98"/>
              </w:rPr>
              <w:t>CONDENSED BALANCE SHEETS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tcPr>
          <w:p>
            <w:pPr>
              <w:spacing w:after="0" w:line="176" w:lineRule="exact"/>
              <w:rPr>
                <w:sz w:val="20"/>
                <w:szCs w:val="20"/>
                <w:color w:val="auto"/>
              </w:rPr>
            </w:pPr>
            <w:r>
              <w:rPr>
                <w:rFonts w:ascii="Arial" w:cs="Arial" w:eastAsia="Arial" w:hAnsi="Arial"/>
                <w:sz w:val="18"/>
                <w:szCs w:val="18"/>
                <w:color w:val="auto"/>
                <w:w w:val="85"/>
              </w:rPr>
              <w:t>Current assets: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89,626</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78,768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34,315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89,321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Unbilled license revenue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58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127,241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176,371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5,611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4,919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tcBorders>
              <w:bottom w:val="single" w:sz="8" w:color="CCEEFF"/>
            </w:tcBorders>
            <w:gridSpan w:val="4"/>
          </w:tcPr>
          <w:p>
            <w:pPr>
              <w:ind w:left="320"/>
              <w:spacing w:after="0" w:line="170"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137,980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183,332</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2,351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2,723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Uncharged license fees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2,318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Accrued and other liabilities</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12,857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58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16,333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17,728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Loan payable, long term</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49,597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49,209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580" w:type="dxa"/>
            <w:vAlign w:val="bottom"/>
            <w:tcBorders>
              <w:bottom w:val="single" w:sz="8" w:color="CCEEFF"/>
            </w:tcBorders>
            <w:gridSpan w:val="4"/>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69,363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67,519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5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5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7"/>
                <w:szCs w:val="17"/>
                <w:color w:val="auto"/>
                <w:w w:val="98"/>
              </w:rPr>
              <w:t>Preferred stock, $0.0001 par value; 5,000,000 shares authorized; no shares issued and</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580" w:type="dxa"/>
            <w:vAlign w:val="bottom"/>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as of June 30, 2019 and December 31, 2018, respectively.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580" w:type="dxa"/>
            <w:vAlign w:val="bottom"/>
            <w:gridSpan w:val="4"/>
          </w:tcPr>
          <w:p>
            <w:pPr>
              <w:ind w:left="100"/>
              <w:spacing w:after="0" w:line="149" w:lineRule="exact"/>
              <w:rPr>
                <w:sz w:val="20"/>
                <w:szCs w:val="20"/>
                <w:color w:val="auto"/>
              </w:rPr>
            </w:pPr>
            <w:r>
              <w:rPr>
                <w:rFonts w:ascii="Arial" w:cs="Arial" w:eastAsia="Arial" w:hAnsi="Arial"/>
                <w:sz w:val="17"/>
                <w:szCs w:val="17"/>
                <w:color w:val="auto"/>
              </w:rPr>
              <w:t>Common stock, $0.0001 par value; 300,000,000 shares authorized; 62,800,869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ind w:left="100"/>
              <w:spacing w:after="0" w:line="176" w:lineRule="exact"/>
              <w:rPr>
                <w:sz w:val="20"/>
                <w:szCs w:val="20"/>
                <w:color w:val="auto"/>
              </w:rPr>
            </w:pPr>
            <w:r>
              <w:rPr>
                <w:rFonts w:ascii="Arial" w:cs="Arial" w:eastAsia="Arial" w:hAnsi="Arial"/>
                <w:sz w:val="18"/>
                <w:szCs w:val="18"/>
                <w:color w:val="auto"/>
                <w:w w:val="91"/>
              </w:rPr>
              <w:t>62,516,627 shares issued and outstanding as of June 30, 2019 and December 31, 2018,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060" w:type="dxa"/>
            <w:vAlign w:val="bottom"/>
          </w:tcPr>
          <w:p>
            <w:pPr>
              <w:ind w:left="100"/>
              <w:spacing w:after="0" w:line="202" w:lineRule="exact"/>
              <w:rPr>
                <w:sz w:val="20"/>
                <w:szCs w:val="20"/>
                <w:color w:val="auto"/>
              </w:rPr>
            </w:pPr>
            <w:r>
              <w:rPr>
                <w:rFonts w:ascii="Arial" w:cs="Arial" w:eastAsia="Arial" w:hAnsi="Arial"/>
                <w:sz w:val="18"/>
                <w:szCs w:val="18"/>
                <w:color w:val="auto"/>
                <w:w w:val="93"/>
              </w:rPr>
              <w:t>respectively.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485,718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481,357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w w:val="95"/>
              </w:rPr>
              <w:t>(417,123)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5"/>
              </w:rPr>
              <w:t>(365,512)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580" w:type="dxa"/>
            <w:vAlign w:val="bottom"/>
            <w:tcBorders>
              <w:bottom w:val="single" w:sz="8" w:color="CCEEFF"/>
            </w:tcBorders>
            <w:gridSpan w:val="4"/>
          </w:tcPr>
          <w:p>
            <w:pPr>
              <w:spacing w:after="0" w:line="170"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68,617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115,813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580" w:type="dxa"/>
            <w:vAlign w:val="bottom"/>
            <w:tcBorders>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137,980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183,332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7"/>
        <w:spacing w:after="0" w:line="203" w:lineRule="exact"/>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4"/>
                <w:szCs w:val="14"/>
                <w:color w:val="auto"/>
              </w:rPr>
            </w:pPr>
          </w:p>
        </w:tc>
        <w:tc>
          <w:tcPr>
            <w:tcW w:w="214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43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20"/>
              <w:spacing w:after="0" w:line="176" w:lineRule="exact"/>
              <w:rPr>
                <w:sz w:val="20"/>
                <w:szCs w:val="20"/>
                <w:color w:val="auto"/>
              </w:rPr>
            </w:pPr>
            <w:r>
              <w:rPr>
                <w:rFonts w:ascii="Arial" w:cs="Arial" w:eastAsia="Arial" w:hAnsi="Arial"/>
                <w:sz w:val="18"/>
                <w:szCs w:val="18"/>
                <w:color w:val="auto"/>
              </w:rPr>
              <w:t>Licensing revenue</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Pr>
          <w:p>
            <w:pPr>
              <w:ind w:left="440"/>
              <w:spacing w:after="0" w:line="170" w:lineRule="exact"/>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2,350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1,886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19,475</w:t>
            </w:r>
          </w:p>
        </w:tc>
        <w:tc>
          <w:tcPr>
            <w:tcW w:w="14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16,046</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39,856</w:t>
            </w:r>
          </w:p>
        </w:tc>
        <w:tc>
          <w:tcPr>
            <w:tcW w:w="1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29,396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5,371</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6,138</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10,488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12,329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24,846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22,184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50,344</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41,725</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(24,828)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(22,154)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(50,326)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(39,839)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(1,451)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(692)</w:t>
            </w:r>
          </w:p>
        </w:tc>
        <w:tc>
          <w:tcPr>
            <w:tcW w:w="120" w:type="dxa"/>
            <w:vAlign w:val="bottom"/>
          </w:tcPr>
          <w:p>
            <w:pPr>
              <w:spacing w:after="0"/>
              <w:rPr>
                <w:sz w:val="15"/>
                <w:szCs w:val="15"/>
                <w:color w:val="auto"/>
              </w:rPr>
            </w:pPr>
          </w:p>
        </w:tc>
        <w:tc>
          <w:tcPr>
            <w:tcW w:w="10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(2,885)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(692)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1,602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1,227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line="170" w:lineRule="exact"/>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(25,467)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(22,289)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(51,609)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(39,304)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(25,467)</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(22,291)</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(51,611)</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(39,310)</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(0.82)</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(0.78)</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300" w:type="dxa"/>
            <w:vAlign w:val="bottom"/>
          </w:tcPr>
          <w:p>
            <w:pPr>
              <w:spacing w:after="0" w:line="122" w:lineRule="exact"/>
              <w:rPr>
                <w:sz w:val="20"/>
                <w:szCs w:val="20"/>
                <w:color w:val="auto"/>
              </w:rPr>
            </w:pPr>
            <w:r>
              <w:rPr>
                <w:rFonts w:ascii="Arial" w:cs="Arial" w:eastAsia="Arial" w:hAnsi="Arial"/>
                <w:sz w:val="14"/>
                <w:szCs w:val="14"/>
                <w:color w:val="auto"/>
              </w:rPr>
              <w:t>Shares used in computing net loss per share - basic and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62,651,863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52,824,483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62,599,371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50,206,470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Comprehensive loss: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(25,467)</w:t>
            </w:r>
          </w:p>
        </w:tc>
        <w:tc>
          <w:tcPr>
            <w:tcW w:w="120" w:type="dxa"/>
            <w:vAlign w:val="bottom"/>
          </w:tcPr>
          <w:p>
            <w:pPr>
              <w:spacing w:after="0"/>
              <w:rPr>
                <w:sz w:val="15"/>
                <w:szCs w:val="15"/>
                <w:color w:val="auto"/>
              </w:rPr>
            </w:pPr>
          </w:p>
        </w:tc>
        <w:tc>
          <w:tcPr>
            <w:tcW w:w="10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(22,291)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(51,611)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(39,310)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Unrealized gain on available-for-sale securities, net of tax</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line="170" w:lineRule="exact"/>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(25,463)</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(22,236)</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(51,557)</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(39,299)</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STATEMENTS OF CHANGES IN STOCKHOLDERS’ EQUITY For the Three and Six Months ended June 30, 2019 (in thousands, except share amounts)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7"/>
              </w:rPr>
              <w:t>Common Stock</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12"/>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June 30, 2019</w:t>
            </w:r>
          </w:p>
        </w:tc>
        <w:tc>
          <w:tcPr>
            <w:tcW w:w="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3"/>
        </w:trPr>
        <w:tc>
          <w:tcPr>
            <w:tcW w:w="3320" w:type="dxa"/>
            <w:vAlign w:val="bottom"/>
            <w:gridSpan w:val="3"/>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line="20" w:lineRule="exact"/>
              <w:rPr>
                <w:sz w:val="1"/>
                <w:szCs w:val="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3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20" w:type="dxa"/>
            <w:vAlign w:val="bottom"/>
            <w:tcBorders>
              <w:top w:val="single" w:sz="8" w:color="auto"/>
              <w:bottom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March 31, 2019</w:t>
            </w: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2"/>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62,600,443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$ 483,479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(391,656)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91,841</w:t>
            </w:r>
          </w:p>
        </w:tc>
        <w:tc>
          <w:tcPr>
            <w:tcW w:w="0" w:type="dxa"/>
            <w:vAlign w:val="bottom"/>
          </w:tcPr>
          <w:p>
            <w:pPr>
              <w:spacing w:after="0"/>
              <w:rPr>
                <w:sz w:val="1"/>
                <w:szCs w:val="1"/>
                <w:color w:val="auto"/>
              </w:rPr>
            </w:pPr>
          </w:p>
        </w:tc>
      </w:tr>
      <w:tr>
        <w:trPr>
          <w:trHeight w:val="163"/>
        </w:trPr>
        <w:tc>
          <w:tcPr>
            <w:tcW w:w="332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Issuance of common stock for services</w:t>
            </w:r>
          </w:p>
        </w:tc>
        <w:tc>
          <w:tcPr>
            <w:tcW w:w="94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113,136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3"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49"/>
        </w:trPr>
        <w:tc>
          <w:tcPr>
            <w:tcW w:w="33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7"/>
                <w:szCs w:val="17"/>
                <w:color w:val="auto"/>
              </w:rPr>
              <w:t>Issuance of common stock upon exercise</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3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of options</w:t>
            </w:r>
          </w:p>
        </w:tc>
        <w:tc>
          <w:tcPr>
            <w:tcW w:w="9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gridSpan w:val="3"/>
          </w:tcPr>
          <w:p>
            <w:pPr>
              <w:ind w:left="120"/>
              <w:spacing w:after="0" w:line="149" w:lineRule="exact"/>
              <w:rPr>
                <w:sz w:val="20"/>
                <w:szCs w:val="20"/>
                <w:color w:val="auto"/>
              </w:rPr>
            </w:pPr>
            <w:r>
              <w:rPr>
                <w:rFonts w:ascii="Arial" w:cs="Arial" w:eastAsia="Arial" w:hAnsi="Arial"/>
                <w:sz w:val="17"/>
                <w:szCs w:val="17"/>
                <w:color w:val="auto"/>
              </w:rPr>
              <w:t>Issuance of common stock upon vesting</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85,609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of restricted stock units</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1,923</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176"/>
        </w:trPr>
        <w:tc>
          <w:tcPr>
            <w:tcW w:w="332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33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(25,467)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(25,467)</w:t>
            </w:r>
          </w:p>
        </w:tc>
        <w:tc>
          <w:tcPr>
            <w:tcW w:w="0" w:type="dxa"/>
            <w:vAlign w:val="bottom"/>
          </w:tcPr>
          <w:p>
            <w:pPr>
              <w:spacing w:after="0"/>
              <w:rPr>
                <w:sz w:val="1"/>
                <w:szCs w:val="1"/>
                <w:color w:val="auto"/>
              </w:rPr>
            </w:pPr>
          </w:p>
        </w:tc>
      </w:tr>
      <w:tr>
        <w:trPr>
          <w:trHeight w:val="176"/>
        </w:trPr>
        <w:tc>
          <w:tcPr>
            <w:tcW w:w="3320" w:type="dxa"/>
            <w:vAlign w:val="bottom"/>
            <w:gridSpan w:val="3"/>
          </w:tcPr>
          <w:p>
            <w:pPr>
              <w:spacing w:after="0" w:line="170" w:lineRule="exact"/>
              <w:rPr>
                <w:sz w:val="20"/>
                <w:szCs w:val="20"/>
                <w:color w:val="auto"/>
              </w:rPr>
            </w:pPr>
            <w:r>
              <w:rPr>
                <w:rFonts w:ascii="Arial" w:cs="Arial" w:eastAsia="Arial" w:hAnsi="Arial"/>
                <w:sz w:val="18"/>
                <w:szCs w:val="18"/>
                <w:b w:val="1"/>
                <w:bCs w:val="1"/>
                <w:color w:val="auto"/>
              </w:rPr>
              <w:t>Balance as of June 30, 2019</w:t>
            </w:r>
          </w:p>
        </w:tc>
        <w:tc>
          <w:tcPr>
            <w:tcW w:w="940" w:type="dxa"/>
            <w:vAlign w:val="bottom"/>
            <w:tcBorders>
              <w:top w:val="single" w:sz="8" w:color="auto"/>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w w:val="95"/>
              </w:rPr>
              <w:t>62,800,869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$ 485,718</w:t>
            </w:r>
          </w:p>
        </w:tc>
        <w:tc>
          <w:tcPr>
            <w:tcW w:w="1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1"/>
              </w:rPr>
              <w:t>$ (417,123)</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1"/>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68,617</w:t>
            </w:r>
          </w:p>
        </w:tc>
        <w:tc>
          <w:tcPr>
            <w:tcW w:w="0" w:type="dxa"/>
            <w:vAlign w:val="bottom"/>
          </w:tcPr>
          <w:p>
            <w:pPr>
              <w:spacing w:after="0"/>
              <w:rPr>
                <w:sz w:val="1"/>
                <w:szCs w:val="1"/>
                <w:color w:val="auto"/>
              </w:rPr>
            </w:pPr>
          </w:p>
        </w:tc>
      </w:tr>
      <w:tr>
        <w:trPr>
          <w:trHeight w:val="909"/>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w w:val="89"/>
              </w:rPr>
              <w:t>Six Months Ended June 30, 2019</w:t>
            </w:r>
          </w:p>
        </w:tc>
        <w:tc>
          <w:tcPr>
            <w:tcW w:w="8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tcPr>
          <w:p>
            <w:pPr>
              <w:ind w:left="320"/>
              <w:spacing w:after="0" w:line="149" w:lineRule="exact"/>
              <w:rPr>
                <w:sz w:val="20"/>
                <w:szCs w:val="20"/>
                <w:color w:val="auto"/>
              </w:rPr>
            </w:pPr>
            <w:r>
              <w:rPr>
                <w:rFonts w:ascii="Arial" w:cs="Arial" w:eastAsia="Arial" w:hAnsi="Arial"/>
                <w:sz w:val="14"/>
                <w:szCs w:val="14"/>
                <w:b w:val="1"/>
                <w:bCs w:val="1"/>
                <w:color w:val="auto"/>
                <w:w w:val="97"/>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3"/>
        </w:trPr>
        <w:tc>
          <w:tcPr>
            <w:tcW w:w="2520" w:type="dxa"/>
            <w:vAlign w:val="bottom"/>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line="20" w:lineRule="exact"/>
              <w:rPr>
                <w:sz w:val="1"/>
                <w:szCs w:val="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bottom w:val="single" w:sz="8" w:color="CCEEFF"/>
            </w:tcBorders>
            <w:gridSpan w:val="3"/>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December 31, 2018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62,516,627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$ 481,357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(365,512)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(38)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8"/>
              </w:rPr>
              <w:t>115,813</w:t>
            </w:r>
          </w:p>
        </w:tc>
        <w:tc>
          <w:tcPr>
            <w:tcW w:w="0" w:type="dxa"/>
            <w:vAlign w:val="bottom"/>
          </w:tcPr>
          <w:p>
            <w:pPr>
              <w:spacing w:after="0"/>
              <w:rPr>
                <w:sz w:val="1"/>
                <w:szCs w:val="1"/>
                <w:color w:val="auto"/>
              </w:rPr>
            </w:pPr>
          </w:p>
        </w:tc>
      </w:tr>
      <w:tr>
        <w:trPr>
          <w:trHeight w:val="122"/>
        </w:trPr>
        <w:tc>
          <w:tcPr>
            <w:tcW w:w="3320" w:type="dxa"/>
            <w:vAlign w:val="bottom"/>
            <w:gridSpan w:val="3"/>
          </w:tcPr>
          <w:p>
            <w:pPr>
              <w:ind w:left="120"/>
              <w:spacing w:after="0" w:line="122" w:lineRule="exact"/>
              <w:rPr>
                <w:sz w:val="20"/>
                <w:szCs w:val="20"/>
                <w:color w:val="auto"/>
              </w:rPr>
            </w:pPr>
            <w:r>
              <w:rPr>
                <w:rFonts w:ascii="Arial" w:cs="Arial" w:eastAsia="Arial" w:hAnsi="Arial"/>
                <w:sz w:val="14"/>
                <w:szCs w:val="14"/>
                <w:color w:val="auto"/>
              </w:rPr>
              <w:t>Issuance of common stock under employee</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83,046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3"/>
        </w:trPr>
        <w:tc>
          <w:tcPr>
            <w:tcW w:w="33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stock purchase plan</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Issuance of common stock for services</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113,136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49"/>
        </w:trPr>
        <w:tc>
          <w:tcPr>
            <w:tcW w:w="3320" w:type="dxa"/>
            <w:vAlign w:val="bottom"/>
            <w:gridSpan w:val="3"/>
          </w:tcPr>
          <w:p>
            <w:pPr>
              <w:ind w:left="120"/>
              <w:spacing w:after="0" w:line="149" w:lineRule="exact"/>
              <w:rPr>
                <w:sz w:val="20"/>
                <w:szCs w:val="20"/>
                <w:color w:val="auto"/>
              </w:rPr>
            </w:pPr>
            <w:r>
              <w:rPr>
                <w:rFonts w:ascii="Arial" w:cs="Arial" w:eastAsia="Arial" w:hAnsi="Arial"/>
                <w:sz w:val="17"/>
                <w:szCs w:val="17"/>
                <w:color w:val="auto"/>
              </w:rPr>
              <w:t>Issuance of common stock upon exercise</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3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of options</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7"/>
                <w:szCs w:val="17"/>
                <w:color w:val="auto"/>
                <w:w w:val="98"/>
              </w:rPr>
              <w:t>Issuance of common stock upon vesting of</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85,609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units</w:t>
            </w:r>
          </w:p>
        </w:tc>
        <w:tc>
          <w:tcPr>
            <w:tcW w:w="9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2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3,845</w:t>
            </w: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176"/>
        </w:trPr>
        <w:tc>
          <w:tcPr>
            <w:tcW w:w="33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76"/>
        </w:trPr>
        <w:tc>
          <w:tcPr>
            <w:tcW w:w="332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(51,611)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(51,611)</w:t>
            </w:r>
          </w:p>
        </w:tc>
        <w:tc>
          <w:tcPr>
            <w:tcW w:w="0" w:type="dxa"/>
            <w:vAlign w:val="bottom"/>
          </w:tcPr>
          <w:p>
            <w:pPr>
              <w:spacing w:after="0"/>
              <w:rPr>
                <w:sz w:val="1"/>
                <w:szCs w:val="1"/>
                <w:color w:val="auto"/>
              </w:rPr>
            </w:pPr>
          </w:p>
        </w:tc>
      </w:tr>
      <w:tr>
        <w:trPr>
          <w:trHeight w:val="176"/>
        </w:trPr>
        <w:tc>
          <w:tcPr>
            <w:tcW w:w="3320" w:type="dxa"/>
            <w:vAlign w:val="bottom"/>
            <w:tcBorders>
              <w:top w:val="single" w:sz="8" w:color="CCEEFF"/>
              <w:bottom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June 30, 2019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62,800,869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$ 485,718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(417,123)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68,617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CHANGES IN STOCKHOLDERS’ EQUITY For the Three and Six Months ended June 30, 2018 (in thousands, except share amounts)</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2018</w:t>
            </w:r>
          </w:p>
        </w:tc>
        <w:tc>
          <w:tcPr>
            <w:tcW w:w="13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6"/>
        </w:trPr>
        <w:tc>
          <w:tcPr>
            <w:tcW w:w="3340" w:type="dxa"/>
            <w:vAlign w:val="bottom"/>
            <w:gridSpan w:val="2"/>
            <w:vMerge w:val="continue"/>
          </w:tcPr>
          <w:p>
            <w:pPr>
              <w:spacing w:after="0"/>
              <w:rPr>
                <w:sz w:val="15"/>
                <w:szCs w:val="15"/>
                <w:color w:val="auto"/>
              </w:rPr>
            </w:pPr>
          </w:p>
        </w:tc>
        <w:tc>
          <w:tcPr>
            <w:tcW w:w="94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800" w:type="dxa"/>
            <w:vAlign w:val="bottom"/>
          </w:tcPr>
          <w:p>
            <w:pPr>
              <w:jc w:val="right"/>
              <w:ind w:right="77"/>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86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20" w:type="dxa"/>
            <w:vAlign w:val="bottom"/>
            <w:tcBorders>
              <w:top w:val="single" w:sz="8" w:color="auto"/>
              <w:bottom w:val="single" w:sz="8" w:color="CCEEFF"/>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March 31, 2018</w:t>
            </w: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47,603,568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$ 420,294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(291,233)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(91)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8"/>
              </w:rPr>
              <w:t>128,975</w:t>
            </w:r>
          </w:p>
        </w:tc>
        <w:tc>
          <w:tcPr>
            <w:tcW w:w="0" w:type="dxa"/>
            <w:vAlign w:val="bottom"/>
          </w:tcPr>
          <w:p>
            <w:pPr>
              <w:spacing w:after="0"/>
              <w:rPr>
                <w:sz w:val="1"/>
                <w:szCs w:val="1"/>
                <w:color w:val="auto"/>
              </w:rPr>
            </w:pPr>
          </w:p>
        </w:tc>
      </w:tr>
      <w:tr>
        <w:trPr>
          <w:trHeight w:val="176"/>
        </w:trPr>
        <w:tc>
          <w:tcPr>
            <w:tcW w:w="33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Issuance of common stock for services</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75,183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302</w:t>
            </w: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189"/>
        </w:trPr>
        <w:tc>
          <w:tcPr>
            <w:tcW w:w="33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Other comprehensive income</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7"/>
                <w:szCs w:val="17"/>
                <w:color w:val="auto"/>
              </w:rPr>
              <w:t>Issuance of common stock upon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14,375,000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underwritten public offering</w:t>
            </w:r>
          </w:p>
        </w:tc>
        <w:tc>
          <w:tcPr>
            <w:tcW w:w="9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(22,291)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(22,291)</w:t>
            </w:r>
          </w:p>
        </w:tc>
        <w:tc>
          <w:tcPr>
            <w:tcW w:w="0" w:type="dxa"/>
            <w:vAlign w:val="bottom"/>
          </w:tcPr>
          <w:p>
            <w:pPr>
              <w:spacing w:after="0"/>
              <w:rPr>
                <w:sz w:val="1"/>
                <w:szCs w:val="1"/>
                <w:color w:val="auto"/>
              </w:rPr>
            </w:pPr>
          </w:p>
        </w:tc>
      </w:tr>
      <w:tr>
        <w:trPr>
          <w:trHeight w:val="176"/>
        </w:trPr>
        <w:tc>
          <w:tcPr>
            <w:tcW w:w="334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June 30, 2018</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62,053,751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$ 476,968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(313,524)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163,414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w w:val="89"/>
              </w:rPr>
              <w:t>Six Months Ended June 30, 2018</w:t>
            </w:r>
          </w:p>
        </w:tc>
        <w:tc>
          <w:tcPr>
            <w:tcW w:w="820" w:type="dxa"/>
            <w:vAlign w:val="bottom"/>
            <w:vMerge w:val="restart"/>
          </w:tcPr>
          <w:p>
            <w:pPr>
              <w:spacing w:after="0"/>
              <w:rPr>
                <w:sz w:val="15"/>
                <w:szCs w:val="15"/>
                <w:color w:val="auto"/>
              </w:rPr>
            </w:pPr>
          </w:p>
        </w:tc>
        <w:tc>
          <w:tcPr>
            <w:tcW w:w="13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800" w:type="dxa"/>
            <w:vAlign w:val="bottom"/>
          </w:tcPr>
          <w:p>
            <w:pPr>
              <w:jc w:val="right"/>
              <w:ind w:right="77"/>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86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340" w:type="dxa"/>
            <w:vAlign w:val="bottom"/>
            <w:tcBorders>
              <w:top w:val="single" w:sz="8" w:color="CCEEFF"/>
              <w:bottom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Balance as of December 31, 2017</w:t>
            </w: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5"/>
              </w:rPr>
              <w:t>47,534,979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2"/>
              </w:rPr>
              <w:t>$ 417,568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1"/>
              </w:rPr>
              <w:t>$ (278,214)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(47)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8"/>
              </w:rPr>
              <w:t>139,312</w:t>
            </w:r>
          </w:p>
        </w:tc>
        <w:tc>
          <w:tcPr>
            <w:tcW w:w="0" w:type="dxa"/>
            <w:vAlign w:val="bottom"/>
          </w:tcPr>
          <w:p>
            <w:pPr>
              <w:spacing w:after="0"/>
              <w:rPr>
                <w:sz w:val="1"/>
                <w:szCs w:val="1"/>
                <w:color w:val="auto"/>
              </w:rPr>
            </w:pPr>
          </w:p>
        </w:tc>
      </w:tr>
      <w:tr>
        <w:trPr>
          <w:trHeight w:val="122"/>
        </w:trPr>
        <w:tc>
          <w:tcPr>
            <w:tcW w:w="3340" w:type="dxa"/>
            <w:vAlign w:val="bottom"/>
            <w:gridSpan w:val="2"/>
          </w:tcPr>
          <w:p>
            <w:pPr>
              <w:ind w:left="120"/>
              <w:spacing w:after="0" w:line="122" w:lineRule="exact"/>
              <w:rPr>
                <w:sz w:val="20"/>
                <w:szCs w:val="20"/>
                <w:color w:val="auto"/>
              </w:rPr>
            </w:pPr>
            <w:r>
              <w:rPr>
                <w:rFonts w:ascii="Arial" w:cs="Arial" w:eastAsia="Arial" w:hAnsi="Arial"/>
                <w:sz w:val="14"/>
                <w:szCs w:val="14"/>
                <w:color w:val="auto"/>
              </w:rPr>
              <w:t>Issuance of common stock under employee</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68,589</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purchase plan</w:t>
            </w: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Issuance of common stock for services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75,183</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89"/>
        </w:trPr>
        <w:tc>
          <w:tcPr>
            <w:tcW w:w="33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5,028</w:t>
            </w:r>
          </w:p>
        </w:tc>
        <w:tc>
          <w:tcPr>
            <w:tcW w:w="1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49"/>
        </w:trPr>
        <w:tc>
          <w:tcPr>
            <w:tcW w:w="3340" w:type="dxa"/>
            <w:vAlign w:val="bottom"/>
            <w:gridSpan w:val="2"/>
          </w:tcPr>
          <w:p>
            <w:pPr>
              <w:ind w:left="120"/>
              <w:spacing w:after="0" w:line="149" w:lineRule="exact"/>
              <w:rPr>
                <w:sz w:val="20"/>
                <w:szCs w:val="20"/>
                <w:color w:val="auto"/>
              </w:rPr>
            </w:pPr>
            <w:r>
              <w:rPr>
                <w:rFonts w:ascii="Arial" w:cs="Arial" w:eastAsia="Arial" w:hAnsi="Arial"/>
                <w:sz w:val="17"/>
                <w:szCs w:val="17"/>
                <w:color w:val="auto"/>
              </w:rPr>
              <w:t>Issuance of common stock upon</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14,375,000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53,769</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03"/>
        </w:trPr>
        <w:tc>
          <w:tcPr>
            <w:tcW w:w="3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underwritten public offering</w:t>
            </w: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7"/>
                <w:szCs w:val="17"/>
                <w:color w:val="auto"/>
              </w:rPr>
              <w:t>Adoption of ASU No. 2014-09 on January</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1, 2018</w:t>
            </w:r>
          </w:p>
        </w:tc>
        <w:tc>
          <w:tcPr>
            <w:tcW w:w="8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(39,310)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(39,310)</w:t>
            </w:r>
          </w:p>
        </w:tc>
        <w:tc>
          <w:tcPr>
            <w:tcW w:w="0" w:type="dxa"/>
            <w:vAlign w:val="bottom"/>
          </w:tcPr>
          <w:p>
            <w:pPr>
              <w:spacing w:after="0"/>
              <w:rPr>
                <w:sz w:val="1"/>
                <w:szCs w:val="1"/>
                <w:color w:val="auto"/>
              </w:rPr>
            </w:pPr>
          </w:p>
        </w:tc>
      </w:tr>
      <w:tr>
        <w:trPr>
          <w:trHeight w:val="176"/>
        </w:trPr>
        <w:tc>
          <w:tcPr>
            <w:tcW w:w="334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June 30, 2018</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62,053,751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$ 476,968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 (313,524)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1"/>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163,414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67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June 30,</w:t>
            </w:r>
          </w:p>
        </w:tc>
        <w:tc>
          <w:tcPr>
            <w:tcW w:w="720" w:type="dxa"/>
            <w:vAlign w:val="bottom"/>
            <w:tcBorders>
              <w:top w:val="single" w:sz="8" w:color="auto"/>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129"/>
        </w:trPr>
        <w:tc>
          <w:tcPr>
            <w:tcW w:w="67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1"/>
                <w:szCs w:val="11"/>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w w:val="98"/>
              </w:rPr>
              <w:t>(51,611)</w:t>
            </w:r>
          </w:p>
        </w:tc>
        <w:tc>
          <w:tcPr>
            <w:tcW w:w="180" w:type="dxa"/>
            <w:vAlign w:val="bottom"/>
          </w:tcPr>
          <w:p>
            <w:pPr>
              <w:spacing w:after="0"/>
              <w:rPr>
                <w:sz w:val="15"/>
                <w:szCs w:val="15"/>
                <w:color w:val="auto"/>
              </w:rPr>
            </w:pP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(39,310)</w:t>
            </w: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1,353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1,343</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Amortization of deferred compensation for services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154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premium on investment securities</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(256)</w:t>
            </w: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Non-cash lease expense</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891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w:t>
            </w: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3,845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5,028</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Change in derivative liabilities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w:t>
            </w: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Non-cash interest associated with debt discount accretion</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Accounts receivable and unbilled license revenue</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5,068</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10,766</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540"/>
              <w:spacing w:after="0" w:line="176"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1,192</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(887)</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(706)</w:t>
            </w:r>
          </w:p>
        </w:tc>
      </w:tr>
      <w:tr>
        <w:trPr>
          <w:trHeight w:val="176"/>
        </w:trPr>
        <w:tc>
          <w:tcPr>
            <w:tcW w:w="6720" w:type="dxa"/>
            <w:vAlign w:val="bottom"/>
          </w:tcPr>
          <w:p>
            <w:pPr>
              <w:ind w:left="540"/>
              <w:spacing w:after="0" w:line="176" w:lineRule="exact"/>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5"/>
                <w:szCs w:val="15"/>
                <w:color w:val="auto"/>
              </w:rPr>
            </w:pPr>
          </w:p>
        </w:tc>
        <w:tc>
          <w:tcPr>
            <w:tcW w:w="8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(372)</w:t>
            </w:r>
          </w:p>
        </w:tc>
        <w:tc>
          <w:tcPr>
            <w:tcW w:w="200" w:type="dxa"/>
            <w:vAlign w:val="bottom"/>
          </w:tcPr>
          <w:p>
            <w:pPr>
              <w:spacing w:after="0"/>
              <w:rPr>
                <w:sz w:val="15"/>
                <w:szCs w:val="15"/>
                <w:color w:val="auto"/>
              </w:rPr>
            </w:pPr>
          </w:p>
        </w:tc>
        <w:tc>
          <w:tcPr>
            <w:tcW w:w="11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(1,026)</w:t>
            </w:r>
          </w:p>
        </w:tc>
      </w:tr>
      <w:tr>
        <w:trPr>
          <w:trHeight w:val="176"/>
        </w:trPr>
        <w:tc>
          <w:tcPr>
            <w:tcW w:w="67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Accrued and other liabilities</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(3,155)</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(2,064)</w:t>
            </w:r>
          </w:p>
        </w:tc>
      </w:tr>
      <w:tr>
        <w:trPr>
          <w:trHeight w:val="169"/>
        </w:trPr>
        <w:tc>
          <w:tcPr>
            <w:tcW w:w="67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(44,733)</w:t>
            </w:r>
          </w:p>
        </w:tc>
        <w:tc>
          <w:tcPr>
            <w:tcW w:w="1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(24,819)</w:t>
            </w:r>
          </w:p>
        </w:tc>
        <w:tc>
          <w:tcPr>
            <w:tcW w:w="380" w:type="dxa"/>
            <w:vAlign w:val="bottom"/>
            <w:tcBorders>
              <w:bottom w:val="single" w:sz="8" w:color="CCEEFF"/>
            </w:tcBorders>
          </w:tcPr>
          <w:p>
            <w:pPr>
              <w:spacing w:after="0"/>
              <w:rPr>
                <w:sz w:val="14"/>
                <w:szCs w:val="14"/>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Proceeds from maturities of investments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86,454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56,050</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Sales and redemptions of investments</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5"/>
                <w:szCs w:val="15"/>
                <w:color w:val="auto"/>
              </w:rPr>
            </w:pPr>
          </w:p>
        </w:tc>
        <w:tc>
          <w:tcPr>
            <w:tcW w:w="8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w w:val="98"/>
              </w:rPr>
              <w:t>(30,857)</w:t>
            </w:r>
          </w:p>
        </w:tc>
        <w:tc>
          <w:tcPr>
            <w:tcW w:w="200" w:type="dxa"/>
            <w:vAlign w:val="bottom"/>
          </w:tcPr>
          <w:p>
            <w:pPr>
              <w:spacing w:after="0"/>
              <w:rPr>
                <w:sz w:val="15"/>
                <w:szCs w:val="15"/>
                <w:color w:val="auto"/>
              </w:rPr>
            </w:pPr>
          </w:p>
        </w:tc>
        <w:tc>
          <w:tcPr>
            <w:tcW w:w="11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w w:val="90"/>
              </w:rPr>
              <w:t>(119,021)</w:t>
            </w: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(55)</w:t>
            </w:r>
          </w:p>
        </w:tc>
      </w:tr>
      <w:tr>
        <w:trPr>
          <w:trHeight w:val="169"/>
        </w:trPr>
        <w:tc>
          <w:tcPr>
            <w:tcW w:w="67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55,386</w:t>
            </w:r>
          </w:p>
        </w:tc>
        <w:tc>
          <w:tcPr>
            <w:tcW w:w="1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(62,176)</w:t>
            </w:r>
          </w:p>
        </w:tc>
        <w:tc>
          <w:tcPr>
            <w:tcW w:w="380" w:type="dxa"/>
            <w:vAlign w:val="bottom"/>
            <w:tcBorders>
              <w:bottom w:val="single" w:sz="8" w:color="CCEEFF"/>
            </w:tcBorders>
          </w:tcPr>
          <w:p>
            <w:pPr>
              <w:spacing w:after="0"/>
              <w:rPr>
                <w:sz w:val="14"/>
                <w:szCs w:val="14"/>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Proceeds from loan payable, net of issuance costs</w:t>
            </w:r>
          </w:p>
        </w:tc>
        <w:tc>
          <w:tcPr>
            <w:tcW w:w="180" w:type="dxa"/>
            <w:vAlign w:val="bottom"/>
          </w:tcPr>
          <w:p>
            <w:pPr>
              <w:spacing w:after="0"/>
              <w:rPr>
                <w:sz w:val="15"/>
                <w:szCs w:val="15"/>
                <w:color w:val="auto"/>
              </w:rPr>
            </w:pPr>
          </w:p>
        </w:tc>
        <w:tc>
          <w:tcPr>
            <w:tcW w:w="8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49,292</w:t>
            </w:r>
          </w:p>
        </w:tc>
        <w:tc>
          <w:tcPr>
            <w:tcW w:w="38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underwritten public offering, net of issuance costs</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53,770</w:t>
            </w:r>
          </w:p>
        </w:tc>
        <w:tc>
          <w:tcPr>
            <w:tcW w:w="38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upon exercise of options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w:t>
            </w: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issuance of common stock under stock plans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301</w:t>
            </w:r>
          </w:p>
        </w:tc>
        <w:tc>
          <w:tcPr>
            <w:tcW w:w="380" w:type="dxa"/>
            <w:vAlign w:val="bottom"/>
            <w:shd w:val="clear" w:color="auto" w:fill="CCEEFF"/>
          </w:tcPr>
          <w:p>
            <w:pPr>
              <w:spacing w:after="0"/>
              <w:rPr>
                <w:sz w:val="15"/>
                <w:szCs w:val="15"/>
                <w:color w:val="auto"/>
              </w:rPr>
            </w:pPr>
          </w:p>
        </w:tc>
      </w:tr>
      <w:tr>
        <w:trPr>
          <w:trHeight w:val="169"/>
        </w:trPr>
        <w:tc>
          <w:tcPr>
            <w:tcW w:w="67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205</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103,363</w:t>
            </w:r>
          </w:p>
        </w:tc>
        <w:tc>
          <w:tcPr>
            <w:tcW w:w="380" w:type="dxa"/>
            <w:vAlign w:val="bottom"/>
            <w:tcBorders>
              <w:bottom w:val="single" w:sz="8" w:color="CCEEFF"/>
            </w:tcBorders>
          </w:tcPr>
          <w:p>
            <w:pPr>
              <w:spacing w:after="0"/>
              <w:rPr>
                <w:sz w:val="14"/>
                <w:szCs w:val="14"/>
                <w:color w:val="auto"/>
              </w:rPr>
            </w:pPr>
          </w:p>
        </w:tc>
      </w:tr>
      <w:tr>
        <w:trPr>
          <w:trHeight w:val="169"/>
        </w:trPr>
        <w:tc>
          <w:tcPr>
            <w:tcW w:w="67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10,858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16,368</w:t>
            </w:r>
          </w:p>
        </w:tc>
        <w:tc>
          <w:tcPr>
            <w:tcW w:w="380" w:type="dxa"/>
            <w:vAlign w:val="bottom"/>
            <w:shd w:val="clear" w:color="auto" w:fill="CCEEFF"/>
          </w:tcPr>
          <w:p>
            <w:pPr>
              <w:spacing w:after="0"/>
              <w:rPr>
                <w:sz w:val="14"/>
                <w:szCs w:val="14"/>
                <w:color w:val="auto"/>
              </w:rPr>
            </w:pPr>
          </w:p>
        </w:tc>
      </w:tr>
      <w:tr>
        <w:trPr>
          <w:trHeight w:val="176"/>
        </w:trPr>
        <w:tc>
          <w:tcPr>
            <w:tcW w:w="6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78,768</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75,383</w:t>
            </w:r>
          </w:p>
        </w:tc>
        <w:tc>
          <w:tcPr>
            <w:tcW w:w="380" w:type="dxa"/>
            <w:vAlign w:val="bottom"/>
            <w:tcBorders>
              <w:bottom w:val="single" w:sz="8" w:color="CCEEFF"/>
            </w:tcBorders>
          </w:tcPr>
          <w:p>
            <w:pPr>
              <w:spacing w:after="0"/>
              <w:rPr>
                <w:sz w:val="15"/>
                <w:szCs w:val="15"/>
                <w:color w:val="auto"/>
              </w:rPr>
            </w:pPr>
          </w:p>
        </w:tc>
      </w:tr>
      <w:tr>
        <w:trPr>
          <w:trHeight w:val="189"/>
        </w:trPr>
        <w:tc>
          <w:tcPr>
            <w:tcW w:w="6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89,626</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91,751</w:t>
            </w:r>
          </w:p>
        </w:tc>
        <w:tc>
          <w:tcPr>
            <w:tcW w:w="380" w:type="dxa"/>
            <w:vAlign w:val="bottom"/>
            <w:tcBorders>
              <w:bottom w:val="single" w:sz="8" w:color="CCEEFF"/>
            </w:tcBorders>
            <w:shd w:val="clear" w:color="auto" w:fill="CCEEFF"/>
          </w:tcPr>
          <w:p>
            <w:pPr>
              <w:spacing w:after="0"/>
              <w:rPr>
                <w:sz w:val="16"/>
                <w:szCs w:val="16"/>
                <w:color w:val="auto"/>
              </w:rPr>
            </w:pPr>
          </w:p>
        </w:tc>
      </w:tr>
      <w:tr>
        <w:trPr>
          <w:trHeight w:val="163"/>
        </w:trPr>
        <w:tc>
          <w:tcPr>
            <w:tcW w:w="67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b w:val="1"/>
                <w:bCs w:val="1"/>
                <w:color w:val="auto"/>
              </w:rPr>
              <w:t>Supplementary disclosure of non-cash financing information:</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r>
      <w:tr>
        <w:trPr>
          <w:trHeight w:val="176"/>
        </w:trPr>
        <w:tc>
          <w:tcPr>
            <w:tcW w:w="672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Issuance of derivative in connection with issuance of loan payable</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546</w:t>
            </w:r>
          </w:p>
        </w:tc>
        <w:tc>
          <w:tcPr>
            <w:tcW w:w="38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8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Ardelyx, Inc. (the “Company,” “we,” “us” or “our”) is a specialized biopharmaceutical company focused on developing first-in-class medicines to improve treatment choices for people with cardiorenal diseases. Tenapanor, a first-in-class inhibitor of NHE3, is being evaluated in a Phase 3 clinical program, including, the PHREEDOM trial, a second Phase 3 clinical trial evaluating tenapanor as a monotherapy treatment for hyperphosphatemia in patients with end-stage renal disease, or ESRD, who are on dialysis, and in the AMPLIFY trial, a Phase 3 clinical trial evaluating tenapanor’s efficacy in combination with phosphate binders. The Company is also advancing a small molecule potassium secretagogue program, RDX013, for the potential treatment of hyperkalemia. In November 2018, the Company’s New Drug Application, or NDA, for tenapanor for the treatment of people with irritable bowel syndrome with constipation, or IBS-C, was accepted for substantive review by the United States Food and Drug Administration, or FDA.</w:t>
      </w:r>
    </w:p>
    <w:p>
      <w:pPr>
        <w:spacing w:after="0" w:line="162" w:lineRule="exact"/>
        <w:rPr>
          <w:sz w:val="20"/>
          <w:szCs w:val="20"/>
          <w:color w:val="auto"/>
        </w:rPr>
      </w:pPr>
    </w:p>
    <w:p>
      <w:pPr>
        <w:ind w:right="700" w:firstLine="324"/>
        <w:spacing w:after="0" w:line="454" w:lineRule="auto"/>
        <w:rPr>
          <w:sz w:val="20"/>
          <w:szCs w:val="20"/>
          <w:color w:val="auto"/>
        </w:rPr>
      </w:pPr>
      <w:r>
        <w:rPr>
          <w:rFonts w:ascii="Arial" w:cs="Arial" w:eastAsia="Arial" w:hAnsi="Arial"/>
          <w:sz w:val="18"/>
          <w:szCs w:val="18"/>
          <w:color w:val="auto"/>
        </w:rPr>
        <w:t xml:space="preserve">The Company operates in only one business segment, which is the development of biopharmaceutical products. </w:t>
      </w:r>
      <w:r>
        <w:rPr>
          <w:rFonts w:ascii="Arial" w:cs="Arial" w:eastAsia="Arial" w:hAnsi="Arial"/>
          <w:sz w:val="18"/>
          <w:szCs w:val="18"/>
          <w:b w:val="1"/>
          <w:bCs w:val="1"/>
          <w:i w:val="1"/>
          <w:iCs w:val="1"/>
          <w:color w:val="auto"/>
        </w:rPr>
        <w:t>Basis of Presentation</w:t>
      </w:r>
    </w:p>
    <w:p>
      <w:pPr>
        <w:jc w:val="both"/>
        <w:ind w:firstLine="324"/>
        <w:spacing w:after="0" w:line="237" w:lineRule="auto"/>
        <w:rPr>
          <w:sz w:val="20"/>
          <w:szCs w:val="20"/>
          <w:color w:val="auto"/>
        </w:rPr>
      </w:pPr>
      <w:r>
        <w:rPr>
          <w:rFonts w:ascii="Arial" w:cs="Arial" w:eastAsia="Arial" w:hAnsi="Arial"/>
          <w:sz w:val="16"/>
          <w:szCs w:val="16"/>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and six months ended June 30, 2019, are not necessarily indicative of results to be expected for the entire year ending December 31, 2019, or future operating periods.</w:t>
      </w:r>
    </w:p>
    <w:p>
      <w:pPr>
        <w:spacing w:after="0" w:line="167" w:lineRule="exact"/>
        <w:rPr>
          <w:sz w:val="20"/>
          <w:szCs w:val="20"/>
          <w:color w:val="auto"/>
        </w:rPr>
      </w:pPr>
    </w:p>
    <w:p>
      <w:pPr>
        <w:jc w:val="both"/>
        <w:ind w:firstLine="324"/>
        <w:spacing w:after="0" w:line="187" w:lineRule="exact"/>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2018,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(the “2018 Form 10</w:t>
      </w:r>
      <w:r>
        <w:rPr>
          <w:rFonts w:ascii="MS PGothic" w:cs="MS PGothic" w:eastAsia="MS PGothic" w:hAnsi="MS PGothic"/>
          <w:sz w:val="18"/>
          <w:szCs w:val="18"/>
          <w:color w:val="auto"/>
        </w:rPr>
        <w:t>‑</w:t>
      </w:r>
      <w:r>
        <w:rPr>
          <w:rFonts w:ascii="Arial" w:cs="Arial" w:eastAsia="Arial" w:hAnsi="Arial"/>
          <w:sz w:val="18"/>
          <w:szCs w:val="18"/>
          <w:color w:val="auto"/>
        </w:rPr>
        <w:t>K”). The balance sheet at December 31, 2018, has been derived from the audited consolidated financial statements at that date, as filed with the 2018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accompanying condensed consolidated financial statements include the accounts of Ardelyx, Inc. and its wholly-owned subsidiary, Ardelyx Cayman Islands, which was placed into voluntary liquidation in December 2017 and dissolved in April 2018, have been prepared in accordance with U.S. GAAP. Intercompany transactions and balances have been eliminated upon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Errors</w:t>
      </w:r>
    </w:p>
    <w:p>
      <w:pPr>
        <w:spacing w:after="0" w:line="144"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During the second quarter of 2019, errors were identified in our consolidated financial statements for the quarter ended March 31, 2019, for year ended December 31, 2018 and for each of the quarterly periods ended March 31, 2018, June 30, 2018 and September 30, 2018. The errors were related to the accounting for clinical trial accruals, and resulted in an overstatement of research and development expenses during these periods. Research and development expenses were overstated by $0.2 million, $0.9 million, $1.1 million, $1.4 million and $0.5 million for the three-month periods ended March 31, 2018, June 30, 2018, September 30, 2018, December 31, 2018 and March 31, 2019, respectively. As of December 31, 2018, accrued and other liabilities was overstated by $3.6 million.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Company analyzed the potential impact of these errors and concluded that while the accumulated errors were significant to the results for the three months ended June 30, 2019, a correction of the errors would not be material to any individual prior period, taking into account the requirements of the Securities and Exchange Commission (SEC) Staff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Accounting Bulletin No. 108, Considering the Effects of Prior Year Misstatements when Quantifying Misstatements in Current Year Financial Statements. In accordance with the authoritative guidance, management evaluated the materiality of the errors from a qualitative and quantitative perspective. Based on such evaluation, the Company concluded that correcting the cumulative errors for the year ended December 31, 2018 is expected to be immaterial to the currently estimated full year results for 2019 and a correction of the errors would not have a material impact on the periods ended March 31, 2018, June 30, 2018, September 30, 2018, December 31, 2018 and March 31, 2019 or affect the trend of financial results. Accordingly, during the second quarter of 2019, the Company reduced accrued and other liabilities by $4.1 million and recorded a cumulative adjustment of $4.1 million in the condensed consolidated statement of operations to reduce research and development expenses.</w:t>
      </w:r>
    </w:p>
    <w:p>
      <w:pPr>
        <w:spacing w:after="0" w:line="122" w:lineRule="exact"/>
        <w:rPr>
          <w:sz w:val="20"/>
          <w:szCs w:val="20"/>
          <w:color w:val="auto"/>
        </w:rPr>
      </w:pPr>
    </w:p>
    <w:p>
      <w:pPr>
        <w:ind w:right="3620"/>
        <w:spacing w:after="0" w:line="456" w:lineRule="auto"/>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62"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contract research organizations, or CROs,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investigative sites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related to product manufacturing, development and distribution of clinical supplies;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in connection with preclinical development activities.</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 xml:space="preserve">On January 1, 2018 the Company adopted the new standard for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on a modified retrospective method as an adjustment to the opening balance of retained earnings of the annual reporting period. As a result of the adoption of the new standard, on January 1, 2018, the Company had recorded the following: (i) unbilled license revenue under current assets of $5.0 million representing a future receivable related to the first milestone under the Company’s license agreement with Kyowa Kirin Co., Ltd., or KKC (formerly known as Kyowa Hakko Kirin Co., Ltd, or KHK), which was subsequently achieved by KKC and collected in February 2019, thereby reducing the unbilled license revenue balance to zero, (ii) uncharged license fees under current liabilities of $1.0 million representing the corresponding future payable related to AstraZeneca AB, or AstraZeneca, in accordance with the Company’s termination agreement with AstraZeneca, which, upon KKC achieving the milestone, was reclassified to accounts payable and subsequently paid to AstraZeneca during the three months ended June 30, 2019, and (iii) a related decrease in accumulated deficit of approximately $4.0 million as the new standard permitted revenue from milestones that possess certain criteria to be recognized earlier and also contained different recognition criteria related to milestones than under the previous standard, </w:t>
      </w:r>
      <w:r>
        <w:rPr>
          <w:rFonts w:ascii="Arial" w:cs="Arial" w:eastAsia="Arial" w:hAnsi="Arial"/>
          <w:sz w:val="16"/>
          <w:szCs w:val="16"/>
          <w:i w:val="1"/>
          <w:iCs w:val="1"/>
          <w:color w:val="auto"/>
        </w:rPr>
        <w:t>Revenue Recognition, Multiple-Element Arrangements - Licensing revenues</w:t>
      </w:r>
      <w:r>
        <w:rPr>
          <w:rFonts w:ascii="Arial" w:cs="Arial" w:eastAsia="Arial" w:hAnsi="Arial"/>
          <w:sz w:val="16"/>
          <w:szCs w:val="16"/>
          <w:color w:val="auto"/>
        </w:rPr>
        <w:t>, ASC 605.</w:t>
      </w:r>
    </w:p>
    <w:p>
      <w:pPr>
        <w:spacing w:after="0" w:line="16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The Company enters into license agreements which are within the scope of ASC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and future royalties on net sales of licensed products. Each of these payments results in license, collaboration and other revenues, except for revenues from royalties on net sales of licensed products, which are classified as royalty revenues.</w:t>
      </w:r>
    </w:p>
    <w:p>
      <w:pPr>
        <w:spacing w:after="0" w:line="15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performs the following steps: (i) identification of the promised goods or services in the contract;</w:t>
      </w:r>
    </w:p>
    <w:p>
      <w:pPr>
        <w:spacing w:after="0" w:line="1" w:lineRule="exact"/>
        <w:rPr>
          <w:sz w:val="20"/>
          <w:szCs w:val="20"/>
          <w:color w:val="auto"/>
        </w:rPr>
      </w:pPr>
    </w:p>
    <w:p>
      <w:pPr>
        <w:jc w:val="both"/>
        <w:ind w:firstLine="3"/>
        <w:spacing w:after="0" w:line="229" w:lineRule="auto"/>
        <w:tabs>
          <w:tab w:leader="none" w:pos="271"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whether the promised goods or services are performance obligations including whether they are distinct in the context of the contract; (iii) measurement of the transaction price, including the constraint on variable consideration;</w:t>
      </w:r>
    </w:p>
    <w:p>
      <w:pPr>
        <w:jc w:val="both"/>
        <w:ind w:firstLine="3"/>
        <w:spacing w:after="0" w:line="211" w:lineRule="auto"/>
        <w:tabs>
          <w:tab w:leader="none" w:pos="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and (v) recognition of revenue when (or as) the Company satisfies each performance obligation.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spacing w:after="0" w:line="17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At each reporting period, the variable consideration related to the remaining development milestone payments is not included in the transaction price as these are fully constrained as of that period end date. As part of its evaluation of the constraint, the Company considers numerous factors, including that receipt of the milestones is outside the control of the Company and contingent upon success in future clinical trials and collaboration partner’s efforts. Any variable consideration related to sales-based milestones (including royalties) will be recognized when the related sales occur as they were determined to relate predominantly to the license granted to the collaboration partner. The Company re-evaluates the transaction price in each reporting period and as uncertain events are resolved or other changes in circumstances occur.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other revenues when the customer obtains control of the goods, which is upon delivery.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accounts for its derivative instruments as either assets or liabilities on the condensed balance sheet and measures them at fair value. Derivatives are adjusted to fair value through other (expense) income, net in the condensed consolidated statements of operations and comprehensive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determine if an arrangement is a lease at the inception of the arrangement. Operating leases are included in right-of-use assets, current portion of operating lease liability, and operating lease liability, net of current portion in our condensed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the information available at the lease commencement date. The operating lease right-of-use assets also include any lease payments made and exclude lease incentives. Our lease terms may include options to extend or terminate the lease when it is reasonably certain that we will exercise any such options. Lease expense is recognized on a straight-line basis over the expected lease term.</w:t>
      </w:r>
    </w:p>
    <w:p>
      <w:pPr>
        <w:spacing w:after="0" w:line="127"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On January 1, 2019, we adopted ASU No. 2016-02, Leases (Topic 842) using the optional transition method to initially account for the impact of the adoption with a cumulative adjustment to accrued and other liabilities and other long-term liabilities. We elected the package of practical expedients, which among other things, allowed us not to reassess the following: whether any expired or existing contracts were considered or contained leases; the lease classification for any expired or existing leases; or initial direct costs for any existing leases. For our building leases, we also elected the practical expedient not to separate lease and non-lease components, such as common area maintenance charges, and instead we account for these as a single lease component.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18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 xml:space="preserve">On January 1, 2019, the Company adopted ASU 2018-07,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(Topic 718). This update simplifies the accounting for share-based payments to non-employees by aligning it with the accounting guidance for share-based payments for employees. The ASU expands the scope of Topic 718, Compensation </w:t>
      </w:r>
      <w:r>
        <w:rPr>
          <w:rFonts w:ascii="Arial" w:cs="Arial" w:eastAsia="Arial" w:hAnsi="Arial"/>
          <w:sz w:val="18"/>
          <w:szCs w:val="18"/>
          <w:i w:val="1"/>
          <w:iCs w:val="1"/>
          <w:color w:val="auto"/>
        </w:rPr>
        <w:t>–</w:t>
      </w:r>
      <w:r>
        <w:rPr>
          <w:rFonts w:ascii="Arial" w:cs="Arial" w:eastAsia="Arial" w:hAnsi="Arial"/>
          <w:sz w:val="18"/>
          <w:szCs w:val="18"/>
          <w:color w:val="auto"/>
        </w:rPr>
        <w:t xml:space="preserve"> Stock Compensation, which currently only includes share-based payments issued to employees, to also include share-based payments issued to non-employees for goods and services. Consequently, the accounting for share-based payments to non-employees and employees is substantially aligned. The adoption of this standard did not have a material impact on the Company’s condensed consolidated financial statements.</w:t>
      </w:r>
    </w:p>
    <w:p>
      <w:pPr>
        <w:spacing w:after="0" w:line="16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In August 2018, the SEC adopted amendments to certain disclosure requirements in Securities Act Release No. 33-10532, Disclosure Update and Simplification. These amendments eliminate, modify, or integrate into other SEC</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requirements certain disclosure rules. Among the amendments is the requirement to present an analysis of changes in stockholders’ equity in the interim financial statements included in quarterly reports on Form 10-Q. The analysis, which can be presented as a footnote or separate statement, is required for the current and comparative quarter and year-to-date interim periods. The amendments are effective for all filings made on or after November 5, 2018. In light of the anticipated timing of effectiveness of the amendments and expected proximity of effectiveness to the filing date for most filers’ quarterly reports, the SEC’s Division of Corporate Finance issued a Compliance and Disclosure Interpretation related to Exchange Act Forms, or CDI – Question 105.09, that provides transition guidance related to this disclosure requirement. CDI – Question 105.09 states that the SEC would not object if the filer’s first presentation of the changes in shareholders’ equity is included in its Form 10-Q for the quarter that begins after the effective date of the amendments. As such, the Company adopted these SEC amendments on November 5, 2018 and started presenting the analysis of changes in stockholders’ equity starting in its Quarterly Report on Form 10-Q for the period ended March 31, 2019. The adoption of these SEC amendments did not have a material effect on the Company’s financial position, results of operations, cash flows or shareholders’ equity.</w:t>
      </w:r>
    </w:p>
    <w:p>
      <w:pPr>
        <w:spacing w:after="0" w:line="17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In February 2016, the FASB issued ASU No. 2016-02, Leases (Topic 842) (ASU 2016-02), as amended, which generally requires lessees to recognize operating and financing lease liabilities and corresponding right-of-use assets on the balance sheet and to provide enhanced disclosures surrounding the amount, timing and uncertainty of cash flows arising from leasing arrangements. In July 2018, the FASB issued ASU No. 2018-11, Leases (Topic 842): Targeted Improvements, or ASU No. 2018-11. In issuing ASU No. 2018-11, the FASB is permitting another transition method for ASU 2016-02, which allows the transition to the new lease standard by recognizing a cumulative-effect adjustment to the opening balance of retained earnings in the period of adoption. We elected the transition method and package of practical expedients permitted under the transition guidance, which allowed us to carryforward our historical lease classification, our assessment on whether a contract is or contains a lease, and our initial direct costs for any leases that exist prior to adoption of the new standard. We also elected to combine lease and non-lease components and to keep leases with an initial term of 12 months or less off the balance sheet and recognize the associated lease payments in the statements of operations on a straight-line basis over the lease term. We adopted the ASU on January 1, 2019 using a modified retrospective approach and recorded a right-of-use asset and a corresponding lease liability to account for our facility lease as a cumulative-effect adjustment to the opening balance of accrued and other liabilities and other long-term liabilities in the period of adoption.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Company, on adopting ASU 2016-02 - Leases (Topic 842) on January 1, 2019, has used the modified retrospective approach with the cumulative effect of initially applying the standard as an adjustment to the opening balance of accrued and other liabilities and other long-term liabilities. The following adjustments were recorded in the opening balance on January 1,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January 1,</w:t>
            </w:r>
          </w:p>
        </w:tc>
        <w:tc>
          <w:tcPr>
            <w:tcW w:w="90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Due to Topic 842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3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Right-of-use assets</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5,810</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440" w:type="dxa"/>
            <w:vAlign w:val="bottom"/>
          </w:tcPr>
          <w:p>
            <w:pPr>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1,892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1,892</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Operating lease liability, net of current portion</w:t>
            </w: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4,684</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440" w:type="dxa"/>
            <w:vAlign w:val="bottom"/>
          </w:tcPr>
          <w:p>
            <w:pPr>
              <w:spacing w:after="0" w:line="176" w:lineRule="exact"/>
              <w:rPr>
                <w:sz w:val="20"/>
                <w:szCs w:val="20"/>
                <w:color w:val="auto"/>
              </w:rPr>
            </w:pPr>
            <w:r>
              <w:rPr>
                <w:rFonts w:ascii="Arial" w:cs="Arial" w:eastAsia="Arial" w:hAnsi="Arial"/>
                <w:sz w:val="18"/>
                <w:szCs w:val="18"/>
                <w:color w:val="auto"/>
              </w:rPr>
              <w:t>Accrued and other liabilities</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12,857</w:t>
            </w:r>
          </w:p>
        </w:tc>
        <w:tc>
          <w:tcPr>
            <w:tcW w:w="1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12,673</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70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r>
      <w:tr>
        <w:trPr>
          <w:trHeight w:val="635"/>
        </w:trPr>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a result of adopting Topic 842 on January 1, 2019, the following financial statement line items in the Company’s condensed balance sheet at June 30, 2019 and the condensed consolidated statement of operations and comprehensive loss for the six months ended June 30, 2019 were affected (in thousands):</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gridSpan w:val="3"/>
          </w:tcPr>
          <w:p>
            <w:pPr>
              <w:jc w:val="center"/>
              <w:ind w:right="160"/>
              <w:spacing w:after="0" w:line="102" w:lineRule="exact"/>
              <w:rPr>
                <w:sz w:val="20"/>
                <w:szCs w:val="20"/>
                <w:color w:val="auto"/>
              </w:rPr>
            </w:pPr>
            <w:r>
              <w:rPr>
                <w:rFonts w:ascii="Arial" w:cs="Arial" w:eastAsia="Arial" w:hAnsi="Arial"/>
                <w:sz w:val="11"/>
                <w:szCs w:val="11"/>
                <w:b w:val="1"/>
                <w:bCs w:val="1"/>
                <w:color w:val="auto"/>
              </w:rPr>
              <w:t>As Reported</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Under Topic 840</w:t>
            </w:r>
          </w:p>
        </w:tc>
        <w:tc>
          <w:tcPr>
            <w:tcW w:w="160" w:type="dxa"/>
            <w:vAlign w:val="bottom"/>
          </w:tcPr>
          <w:p>
            <w:pPr>
              <w:spacing w:after="0"/>
              <w:rPr>
                <w:sz w:val="8"/>
                <w:szCs w:val="8"/>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under Topic</w:t>
            </w:r>
          </w:p>
        </w:tc>
        <w:tc>
          <w:tcPr>
            <w:tcW w:w="1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842</w:t>
            </w: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Right-of-use assets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4,919</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2,318</w:t>
            </w:r>
          </w:p>
        </w:tc>
        <w:tc>
          <w:tcPr>
            <w:tcW w:w="16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Operating lease liability, net of current portion</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3,433</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10,404</w:t>
            </w:r>
          </w:p>
        </w:tc>
        <w:tc>
          <w:tcPr>
            <w:tcW w:w="16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10,674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431</w:t>
            </w:r>
          </w:p>
        </w:tc>
        <w:tc>
          <w:tcPr>
            <w:tcW w:w="500" w:type="dxa"/>
            <w:vAlign w:val="bottom"/>
            <w:gridSpan w:val="2"/>
            <w:shd w:val="clear" w:color="auto" w:fill="CCEEFF"/>
          </w:tcPr>
          <w:p>
            <w:pPr>
              <w:jc w:val="right"/>
              <w:ind w:right="187"/>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1"/>
              </w:rPr>
              <w:t>Six Months Ended June 30, 2019</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As Reported under</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Under Topic 840</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Effect of Change</w:t>
            </w:r>
          </w:p>
        </w:tc>
        <w:tc>
          <w:tcPr>
            <w:tcW w:w="0" w:type="dxa"/>
            <w:vAlign w:val="bottom"/>
          </w:tcPr>
          <w:p>
            <w:pPr>
              <w:spacing w:after="0"/>
              <w:rPr>
                <w:sz w:val="1"/>
                <w:szCs w:val="1"/>
                <w:color w:val="auto"/>
              </w:rPr>
            </w:pPr>
          </w:p>
        </w:tc>
      </w:tr>
      <w:tr>
        <w:trPr>
          <w:trHeight w:val="110"/>
        </w:trPr>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Topic 842</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6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8"/>
              </w:rPr>
              <w:t>General and administrative related</w:t>
            </w:r>
          </w:p>
        </w:tc>
        <w:tc>
          <w:tcPr>
            <w:tcW w:w="30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to leases</w:t>
            </w:r>
          </w:p>
        </w:tc>
        <w:tc>
          <w:tcPr>
            <w:tcW w:w="3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640" w:type="dxa"/>
            <w:vAlign w:val="bottom"/>
            <w:gridSpan w:val="3"/>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Stock Compensation (Topic 718): Improvements to Nonemployee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r>
        <w:rPr>
          <w:rFonts w:ascii="Arial" w:cs="Arial" w:eastAsia="Arial" w:hAnsi="Arial"/>
          <w:sz w:val="16"/>
          <w:szCs w:val="16"/>
          <w:color w:val="auto"/>
        </w:rPr>
        <w:t>. ASU 2018-07 is intended to reduce the cost and complexity and to improve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for nonemployee share-based payments. ASU 2018-07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supersedes Subtopic 505-50, Equity-Based Payments to Non-Employees. ASU 2018-07 is effective for the Company for fiscal years beginning after December 15, 2018, including interim periods within that fiscal year and early adoption is permitted. On January 1, 2019, we adopted ASU 2018-07 and the adoption of this standard did not have a material impact on the Company’s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ind w:right="60" w:firstLine="324"/>
        <w:spacing w:after="0" w:line="229"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 (Topic 808): Clarifying the Interaction</w:t>
      </w:r>
      <w:r>
        <w:rPr>
          <w:rFonts w:ascii="Arial" w:cs="Arial" w:eastAsia="Arial" w:hAnsi="Arial"/>
          <w:sz w:val="17"/>
          <w:szCs w:val="17"/>
          <w:color w:val="auto"/>
        </w:rPr>
        <w:t xml:space="preserve"> </w:t>
      </w:r>
      <w:r>
        <w:rPr>
          <w:rFonts w:ascii="Arial" w:cs="Arial" w:eastAsia="Arial" w:hAnsi="Arial"/>
          <w:sz w:val="17"/>
          <w:szCs w:val="17"/>
          <w:i w:val="1"/>
          <w:iCs w:val="1"/>
          <w:color w:val="auto"/>
        </w:rPr>
        <w:t>between Topic 808 and Topic 606</w:t>
      </w:r>
      <w:r>
        <w:rPr>
          <w:rFonts w:ascii="Arial" w:cs="Arial" w:eastAsia="Arial" w:hAnsi="Arial"/>
          <w:sz w:val="17"/>
          <w:szCs w:val="17"/>
          <w:color w:val="auto"/>
        </w:rPr>
        <w:t>. The guidance clarifies that certain transactions between collaborative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should be accounted for as revenue under Topic 606 when the collaborative arrangement participant is a customer. For the Company, the amendment will be effective January 1, 2020. The Company is evaluating the impact this guidance will have on its consolidated financial statements and related disclosures.</w:t>
      </w:r>
    </w:p>
    <w:p>
      <w:pPr>
        <w:spacing w:after="0" w:line="161"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 xml:space="preserve">In August 2018, the FASB issued ASU No. </w:t>
      </w:r>
      <w:r>
        <w:rPr>
          <w:rFonts w:ascii="Arial" w:cs="Arial" w:eastAsia="Arial" w:hAnsi="Arial"/>
          <w:sz w:val="18"/>
          <w:szCs w:val="18"/>
          <w:u w:val="single" w:color="auto"/>
          <w:color w:val="auto"/>
        </w:rPr>
        <w:t>2018-15</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 (Topic 350):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 is a service contract with the requirements for capitalizing implementation costs incurred to develop or obtain internal-use software. This new standard also requires customers to expense the capitalized implementation costs of a hosting arrangement that is a service contract over the term of the hosting arrangement. This ASU is effective for public companies for fiscal years beginning after December 15, 2019. This new standard can be applied either retrospectively or prospectively to all implementation costs incurred after the date of adoption. The Company is currently evaluating the impact of adoption of this ASU on its consolidated financial statements.</w:t>
      </w:r>
    </w:p>
    <w:p>
      <w:pPr>
        <w:spacing w:after="0" w:line="16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the Disclosure Requirements for Fair Value Measurement</w:t>
      </w:r>
      <w:r>
        <w:rPr>
          <w:rFonts w:ascii="Arial" w:cs="Arial" w:eastAsia="Arial" w:hAnsi="Arial"/>
          <w:sz w:val="16"/>
          <w:szCs w:val="16"/>
          <w:color w:val="auto"/>
        </w:rPr>
        <w:t>. ASU 2018-13 considers cost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modifies and adds disclosure requirements in Topic 820. The amendments on changes in unrealized gains and losses, the range and weighted average of significant unobservable inputs used to develop Level 3 fair value measurements,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and the narrative description of measurement uncertainty is to be applied prospectively for only the most recent interim or annual period presented in the initial fiscal year of adoption. All other amendments are to be applied retrospectively to all periods presented. ASU 2018-13 is effective for the Company for fiscal years beginning after December 15, 2019, including interim periods within that fiscal year and early adoption is permitted. The Company is currently assessing the impact of this standard on its consolidated financial statements.</w:t>
      </w:r>
    </w:p>
    <w:p>
      <w:pPr>
        <w:spacing w:after="0" w:line="16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an amendment which modifies the measurement and recognition of credit losses for</w:t>
      </w:r>
      <w:r>
        <w:rPr>
          <w:rFonts w:ascii="Arial" w:cs="Arial" w:eastAsia="Arial" w:hAnsi="Arial"/>
          <w:sz w:val="17"/>
          <w:szCs w:val="17"/>
          <w:i w:val="1"/>
          <w:iCs w:val="1"/>
          <w:color w:val="auto"/>
        </w:rPr>
        <w:t xml:space="preserve"> </w:t>
      </w:r>
      <w:r>
        <w:rPr>
          <w:rFonts w:ascii="Arial" w:cs="Arial" w:eastAsia="Arial" w:hAnsi="Arial"/>
          <w:sz w:val="17"/>
          <w:szCs w:val="17"/>
          <w:color w:val="auto"/>
        </w:rPr>
        <w:t>most financial assets and certain other instruments. The 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The guidance is effective for fiscal years beginning after December 15, 2019, including interim periods within those fiscal years. Early adoption is permitted for annual periods after December 15, 2018. The Company is currently evaluating the impact of adoption of this ASU on its condensed consolidated financial statements.</w:t>
      </w:r>
    </w:p>
    <w:p>
      <w:pPr>
        <w:spacing w:after="0" w:line="164"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INVESTMENTS</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Securities classified as cash, cash equivalents and short-term investments as of June 30, 2019 and December 31, 2018, are summarized below (in thousands). Estimated fair value is based on quoted market prices for these investments.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366"/>
              <w:spacing w:after="0" w:line="129"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1"/>
                <w:szCs w:val="11"/>
                <w:color w:val="auto"/>
              </w:rPr>
            </w:pPr>
          </w:p>
        </w:tc>
        <w:tc>
          <w:tcPr>
            <w:tcW w:w="86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4,455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85,171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85,171</w:t>
            </w:r>
          </w:p>
        </w:tc>
        <w:tc>
          <w:tcPr>
            <w:tcW w:w="0" w:type="dxa"/>
            <w:vAlign w:val="bottom"/>
          </w:tcPr>
          <w:p>
            <w:pPr>
              <w:spacing w:after="0"/>
              <w:rPr>
                <w:sz w:val="1"/>
                <w:szCs w:val="1"/>
                <w:color w:val="auto"/>
              </w:rPr>
            </w:pPr>
          </w:p>
        </w:tc>
      </w:tr>
      <w:tr>
        <w:trPr>
          <w:trHeight w:val="169"/>
        </w:trPr>
        <w:tc>
          <w:tcPr>
            <w:tcW w:w="3280" w:type="dxa"/>
            <w:vAlign w:val="bottom"/>
          </w:tcPr>
          <w:p>
            <w:pPr>
              <w:spacing w:after="0" w:line="170" w:lineRule="exact"/>
              <w:rPr>
                <w:sz w:val="20"/>
                <w:szCs w:val="20"/>
                <w:color w:val="auto"/>
              </w:rPr>
            </w:pPr>
            <w:r>
              <w:rPr>
                <w:rFonts w:ascii="Arial" w:cs="Arial" w:eastAsia="Arial" w:hAnsi="Arial"/>
                <w:sz w:val="18"/>
                <w:szCs w:val="18"/>
                <w:color w:val="auto"/>
              </w:rPr>
              <w:t>Total cash and cash equivalents</w:t>
            </w:r>
          </w:p>
        </w:tc>
        <w:tc>
          <w:tcPr>
            <w:tcW w:w="360" w:type="dxa"/>
            <w:vAlign w:val="bottom"/>
          </w:tcPr>
          <w:p>
            <w:pPr>
              <w:spacing w:after="0"/>
              <w:rPr>
                <w:sz w:val="14"/>
                <w:szCs w:val="14"/>
                <w:color w:val="auto"/>
              </w:rPr>
            </w:pPr>
          </w:p>
        </w:tc>
        <w:tc>
          <w:tcPr>
            <w:tcW w:w="1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89,626</w:t>
            </w:r>
          </w:p>
        </w:tc>
        <w:tc>
          <w:tcPr>
            <w:tcW w:w="240" w:type="dxa"/>
            <w:vAlign w:val="bottom"/>
          </w:tcPr>
          <w:p>
            <w:pPr>
              <w:spacing w:after="0"/>
              <w:rPr>
                <w:sz w:val="14"/>
                <w:szCs w:val="14"/>
                <w:color w:val="auto"/>
              </w:rPr>
            </w:pPr>
          </w:p>
        </w:tc>
        <w:tc>
          <w:tcPr>
            <w:tcW w:w="240" w:type="dxa"/>
            <w:vAlign w:val="bottom"/>
            <w:tcBorders>
              <w:top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860" w:type="dxa"/>
            <w:vAlign w:val="bottom"/>
            <w:tcBorders>
              <w:top w:val="single" w:sz="8" w:color="auto"/>
            </w:tcBorders>
          </w:tcPr>
          <w:p>
            <w:pPr>
              <w:jc w:val="right"/>
              <w:ind w:right="70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80" w:type="dxa"/>
            <w:vAlign w:val="bottom"/>
            <w:tcBorders>
              <w:top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89,626</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320"/>
              <w:spacing w:after="0" w:line="176" w:lineRule="exact"/>
              <w:rPr>
                <w:sz w:val="20"/>
                <w:szCs w:val="20"/>
                <w:color w:val="auto"/>
              </w:rPr>
            </w:pPr>
            <w:r>
              <w:rPr>
                <w:rFonts w:ascii="Arial" w:cs="Arial" w:eastAsia="Arial" w:hAnsi="Arial"/>
                <w:sz w:val="18"/>
                <w:szCs w:val="18"/>
                <w:color w:val="auto"/>
              </w:rPr>
              <w:t>U.S. treasury notes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2,291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U.S. treasury securities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2,293</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176"/>
        </w:trPr>
        <w:tc>
          <w:tcPr>
            <w:tcW w:w="3280" w:type="dxa"/>
            <w:vAlign w:val="bottom"/>
          </w:tcPr>
          <w:p>
            <w:pPr>
              <w:ind w:left="320"/>
              <w:spacing w:after="0" w:line="176" w:lineRule="exact"/>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7,745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7,748</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17,674</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176"/>
        </w:trPr>
        <w:tc>
          <w:tcPr>
            <w:tcW w:w="3280" w:type="dxa"/>
            <w:vAlign w:val="bottom"/>
          </w:tcPr>
          <w:p>
            <w:pPr>
              <w:ind w:left="320"/>
              <w:spacing w:after="0" w:line="176" w:lineRule="exact"/>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4,296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34,299</w:t>
            </w: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70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34,315</w:t>
            </w:r>
          </w:p>
        </w:tc>
        <w:tc>
          <w:tcPr>
            <w:tcW w:w="0" w:type="dxa"/>
            <w:vAlign w:val="bottom"/>
          </w:tcPr>
          <w:p>
            <w:pPr>
              <w:spacing w:after="0"/>
              <w:rPr>
                <w:sz w:val="1"/>
                <w:szCs w:val="1"/>
                <w:color w:val="auto"/>
              </w:rPr>
            </w:pPr>
          </w:p>
        </w:tc>
      </w:tr>
      <w:tr>
        <w:trPr>
          <w:trHeight w:val="176"/>
        </w:trPr>
        <w:tc>
          <w:tcPr>
            <w:tcW w:w="3280" w:type="dxa"/>
            <w:vAlign w:val="bottom"/>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123,925</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ind w:right="70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80"/>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123,941</w:t>
            </w:r>
          </w:p>
        </w:tc>
        <w:tc>
          <w:tcPr>
            <w:tcW w:w="0" w:type="dxa"/>
            <w:vAlign w:val="bottom"/>
          </w:tcPr>
          <w:p>
            <w:pPr>
              <w:spacing w:after="0"/>
              <w:rPr>
                <w:sz w:val="1"/>
                <w:szCs w:val="1"/>
                <w:color w:val="auto"/>
              </w:rPr>
            </w:pPr>
          </w:p>
        </w:tc>
      </w:tr>
      <w:tr>
        <w:trPr>
          <w:trHeight w:val="810"/>
        </w:trPr>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ind w:left="500"/>
              <w:spacing w:after="0" w:line="129" w:lineRule="exact"/>
              <w:rPr>
                <w:sz w:val="20"/>
                <w:szCs w:val="20"/>
                <w:color w:val="auto"/>
              </w:rPr>
            </w:pPr>
            <w:r>
              <w:rPr>
                <w:rFonts w:ascii="Arial" w:cs="Arial" w:eastAsia="Arial" w:hAnsi="Arial"/>
                <w:sz w:val="14"/>
                <w:szCs w:val="14"/>
                <w:b w:val="1"/>
                <w:bCs w:val="1"/>
                <w:color w:val="auto"/>
              </w:rPr>
              <w:t>Gross Unrealized</w:t>
            </w: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3,733</w:t>
            </w:r>
          </w:p>
        </w:tc>
        <w:tc>
          <w:tcPr>
            <w:tcW w:w="240" w:type="dxa"/>
            <w:vAlign w:val="bottom"/>
          </w:tcPr>
          <w:p>
            <w:pPr>
              <w:spacing w:after="0"/>
              <w:rPr>
                <w:sz w:val="15"/>
                <w:szCs w:val="15"/>
                <w:color w:val="auto"/>
              </w:rPr>
            </w:pPr>
          </w:p>
        </w:tc>
        <w:tc>
          <w:tcPr>
            <w:tcW w:w="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6"/>
              <w:spacing w:after="0" w:line="17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73,238</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73,238</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1,797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8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securities</w:t>
            </w:r>
          </w:p>
        </w:tc>
        <w:tc>
          <w:tcPr>
            <w:tcW w:w="4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34,611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w w:val="99"/>
              </w:rPr>
              <w:t>(21)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41,371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w w:val="99"/>
              </w:rPr>
              <w:t>(14)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41,357</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9,381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68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89,359</w:t>
            </w: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68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(38)</w:t>
            </w: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89,321</w:t>
            </w:r>
          </w:p>
        </w:tc>
        <w:tc>
          <w:tcPr>
            <w:tcW w:w="0" w:type="dxa"/>
            <w:vAlign w:val="bottom"/>
          </w:tcPr>
          <w:p>
            <w:pPr>
              <w:spacing w:after="0"/>
              <w:rPr>
                <w:sz w:val="1"/>
                <w:szCs w:val="1"/>
                <w:color w:val="auto"/>
              </w:rPr>
            </w:pPr>
          </w:p>
        </w:tc>
      </w:tr>
      <w:tr>
        <w:trPr>
          <w:trHeight w:val="176"/>
        </w:trPr>
        <w:tc>
          <w:tcPr>
            <w:tcW w:w="3280" w:type="dxa"/>
            <w:vAlign w:val="bottom"/>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168,127</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80"/>
              <w:spacing w:after="0" w:line="17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(38)</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168,089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the Company’s condensed balance sheets. The Company uses the specific identification method to determine the amount of realized gains or losses on sales of marketable securities. Realized gains or losses have been insignificant and are included in other income (expense), net, in the consolidated condensed statement of operations.</w:t>
      </w:r>
    </w:p>
    <w:p>
      <w:pPr>
        <w:spacing w:after="0" w:line="16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All available-for-sale securities held as of June 30, 2019,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June 30, 2019, no investment was in a continuous unrealized loss position for more than one year and the Company believes that it is more likely than not that the investments will be held until maturity or a forecasted recovery of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320"/>
              <w:spacing w:after="0"/>
              <w:rPr>
                <w:sz w:val="20"/>
                <w:szCs w:val="20"/>
                <w:color w:val="auto"/>
              </w:rPr>
            </w:pPr>
            <w:r>
              <w:rPr>
                <w:rFonts w:ascii="Arial" w:cs="Arial" w:eastAsia="Arial" w:hAnsi="Arial"/>
                <w:sz w:val="18"/>
                <w:szCs w:val="18"/>
                <w:color w:val="auto"/>
              </w:rPr>
              <w:t>Level 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800" w:type="dxa"/>
            <w:vAlign w:val="bottom"/>
          </w:tcPr>
          <w:p>
            <w:pPr>
              <w:jc w:val="right"/>
              <w:spacing w:after="0"/>
              <w:rPr>
                <w:sz w:val="20"/>
                <w:szCs w:val="20"/>
                <w:color w:val="auto"/>
              </w:rPr>
            </w:pPr>
            <w:r>
              <w:rPr>
                <w:rFonts w:ascii="Arial" w:cs="Arial" w:eastAsia="Arial" w:hAnsi="Arial"/>
                <w:sz w:val="18"/>
                <w:szCs w:val="18"/>
                <w:color w:val="auto"/>
                <w:w w:val="98"/>
              </w:rPr>
              <w:t>Valuations are based on quoted prices in active markets for identical assets or liabilities and readily</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2"/>
              </w:rPr>
              <w:t>accessible by the Company at the reporting date. Examples of assets and liabilities utilizing Level 1 inputs</w:t>
            </w:r>
          </w:p>
        </w:tc>
      </w:t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0" w:type="dxa"/>
            <w:vAlign w:val="bottom"/>
          </w:tcPr>
          <w:p>
            <w:pPr>
              <w:jc w:val="right"/>
              <w:spacing w:after="0" w:line="176" w:lineRule="exact"/>
              <w:rPr>
                <w:sz w:val="20"/>
                <w:szCs w:val="20"/>
                <w:color w:val="auto"/>
              </w:rPr>
            </w:pPr>
            <w:r>
              <w:rPr>
                <w:rFonts w:ascii="Arial" w:cs="Arial" w:eastAsia="Arial" w:hAnsi="Arial"/>
                <w:sz w:val="18"/>
                <w:szCs w:val="18"/>
                <w:color w:val="auto"/>
                <w:w w:val="98"/>
              </w:rPr>
              <w:t>are certain money market funds, U.S. Treasuries and trading securities with quoted prices on active</w:t>
            </w: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rPr>
              <w:t>markets.</w:t>
            </w:r>
          </w:p>
        </w:tc>
      </w:tr>
      <w:tr>
        <w:trPr>
          <w:trHeight w:val="337"/>
        </w:trPr>
        <w:tc>
          <w:tcPr>
            <w:tcW w:w="1000" w:type="dxa"/>
            <w:vAlign w:val="bottom"/>
          </w:tcPr>
          <w:p>
            <w:pPr>
              <w:ind w:left="320"/>
              <w:spacing w:after="0"/>
              <w:rPr>
                <w:sz w:val="20"/>
                <w:szCs w:val="20"/>
                <w:color w:val="auto"/>
              </w:rPr>
            </w:pPr>
            <w:r>
              <w:rPr>
                <w:rFonts w:ascii="Arial" w:cs="Arial" w:eastAsia="Arial" w:hAnsi="Arial"/>
                <w:sz w:val="18"/>
                <w:szCs w:val="18"/>
                <w:color w:val="auto"/>
              </w:rPr>
              <w:t>Level 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800" w:type="dxa"/>
            <w:vAlign w:val="bottom"/>
          </w:tcPr>
          <w:p>
            <w:pPr>
              <w:jc w:val="right"/>
              <w:spacing w:after="0"/>
              <w:rPr>
                <w:sz w:val="20"/>
                <w:szCs w:val="20"/>
                <w:color w:val="auto"/>
              </w:rPr>
            </w:pPr>
            <w:r>
              <w:rPr>
                <w:rFonts w:ascii="Arial" w:cs="Arial" w:eastAsia="Arial" w:hAnsi="Arial"/>
                <w:sz w:val="18"/>
                <w:szCs w:val="18"/>
                <w:color w:val="auto"/>
                <w:w w:val="95"/>
              </w:rPr>
              <w:t>Valuations based on inputs other than Level 1 that are observable, either directly or indirectly, such as</w:t>
            </w: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w w:val="94"/>
              </w:rPr>
              <w:t>quoted prices for similar assets or liabilities; quoted prices in markets that are not active; or other inputs</w:t>
            </w:r>
          </w:p>
        </w:tc>
      </w:tr>
      <w:tr>
        <w:trPr>
          <w:trHeight w:val="607"/>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tcPr>
          <w:p>
            <w:pPr>
              <w:jc w:val="right"/>
              <w:ind w:right="4350"/>
              <w:spacing w:after="0"/>
              <w:rPr>
                <w:sz w:val="20"/>
                <w:szCs w:val="20"/>
                <w:color w:val="auto"/>
              </w:rPr>
            </w:pPr>
            <w:r>
              <w:rPr>
                <w:rFonts w:ascii="Arial" w:cs="Arial" w:eastAsia="Arial" w:hAnsi="Arial"/>
                <w:sz w:val="18"/>
                <w:szCs w:val="18"/>
                <w:color w:val="auto"/>
              </w:rPr>
              <w:t>14</w:t>
            </w:r>
          </w:p>
        </w:tc>
      </w:tr>
      <w:tr>
        <w:trPr>
          <w:trHeight w:val="534"/>
        </w:trPr>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1300"/>
        <w:spacing w:after="0" w:line="224" w:lineRule="auto"/>
        <w:rPr>
          <w:sz w:val="20"/>
          <w:szCs w:val="20"/>
          <w:color w:val="auto"/>
        </w:rPr>
      </w:pPr>
      <w:r>
        <w:rPr>
          <w:rFonts w:ascii="Arial" w:cs="Arial" w:eastAsia="Arial" w:hAnsi="Arial"/>
          <w:sz w:val="18"/>
          <w:szCs w:val="18"/>
          <w:color w:val="auto"/>
        </w:rPr>
        <w:t>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ectPr>
          <w:pgSz w:w="11900" w:h="16838" w:orient="portrait"/>
          <w:cols w:equalWidth="0" w:num="1">
            <w:col w:w="9060"/>
          </w:cols>
          <w:pgMar w:left="1420" w:top="112" w:right="1419" w:bottom="1440" w:gutter="0" w:footer="0" w:header="0"/>
        </w:sectPr>
      </w:pP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hanging="195"/>
        <w:spacing w:after="0" w:line="235"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based on unobservable inputs in which there is little or no market data, which require the Company to develop its own assumptions.</w:t>
      </w:r>
    </w:p>
    <w:p>
      <w:pPr>
        <w:spacing w:after="0" w:line="162" w:lineRule="exact"/>
        <w:rPr>
          <w:sz w:val="20"/>
          <w:szCs w:val="20"/>
          <w:color w:val="auto"/>
        </w:rPr>
      </w:pPr>
    </w:p>
    <w:p>
      <w:pPr>
        <w:sectPr>
          <w:pgSz w:w="11900" w:h="16838" w:orient="portrait"/>
          <w:cols w:equalWidth="0" w:num="2">
            <w:col w:w="900" w:space="400"/>
            <w:col w:w="7760"/>
          </w:cols>
          <w:pgMar w:left="1420" w:top="112" w:right="1419" w:bottom="1440" w:gutter="0" w:footer="0" w:header="0"/>
          <w:type w:val="continuous"/>
        </w:sectPr>
      </w:pPr>
    </w:p>
    <w:p>
      <w:pPr>
        <w:jc w:val="both"/>
        <w:ind w:firstLine="324"/>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94"/>
              </w:rPr>
              <w:t>June 30, 2019</w:t>
            </w: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9"/>
        </w:trPr>
        <w:tc>
          <w:tcPr>
            <w:tcW w:w="3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38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76"/>
        </w:trPr>
        <w:tc>
          <w:tcPr>
            <w:tcW w:w="382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50"/>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85,171</w:t>
            </w:r>
          </w:p>
        </w:tc>
        <w:tc>
          <w:tcPr>
            <w:tcW w:w="32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85,171</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treasury notes</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2,293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Pr>
          <w:p>
            <w:pPr>
              <w:ind w:left="120"/>
              <w:spacing w:after="0" w:line="176" w:lineRule="exact"/>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w w:val="97"/>
              </w:rPr>
              <w:t>2,294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2,294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7,748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7,748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5"/>
                <w:szCs w:val="15"/>
                <w:color w:val="auto"/>
              </w:rPr>
            </w:pPr>
          </w:p>
        </w:tc>
        <w:tc>
          <w:tcPr>
            <w:tcW w:w="11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17,679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17,679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4,301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4,301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Borders>
              <w:bottom w:val="single" w:sz="8" w:color="CCEEFF"/>
            </w:tcBorders>
          </w:tcPr>
          <w:p>
            <w:pPr>
              <w:jc w:val="center"/>
              <w:ind w:right="2930"/>
              <w:spacing w:after="0" w:line="170" w:lineRule="exact"/>
              <w:rPr>
                <w:sz w:val="20"/>
                <w:szCs w:val="20"/>
                <w:color w:val="auto"/>
              </w:rPr>
            </w:pPr>
            <w:r>
              <w:rPr>
                <w:rFonts w:ascii="Arial" w:cs="Arial" w:eastAsia="Arial" w:hAnsi="Arial"/>
                <w:sz w:val="18"/>
                <w:szCs w:val="18"/>
                <w:color w:val="auto"/>
                <w:w w:val="89"/>
              </w:rPr>
              <w:t>Total</w:t>
            </w:r>
          </w:p>
        </w:tc>
        <w:tc>
          <w:tcPr>
            <w:tcW w:w="340" w:type="dxa"/>
            <w:vAlign w:val="bottom"/>
            <w:tcBorders>
              <w:top w:val="single" w:sz="8" w:color="auto"/>
              <w:bottom w:val="single" w:sz="8" w:color="auto"/>
            </w:tcBorders>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rPr>
              <w:t>119,486</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89,758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40"/>
              <w:spacing w:after="0" w:line="170" w:lineRule="exact"/>
              <w:rPr>
                <w:sz w:val="20"/>
                <w:szCs w:val="20"/>
                <w:color w:val="auto"/>
              </w:rPr>
            </w:pPr>
            <w:r>
              <w:rPr>
                <w:rFonts w:ascii="Arial" w:cs="Arial" w:eastAsia="Arial" w:hAnsi="Arial"/>
                <w:sz w:val="18"/>
                <w:szCs w:val="18"/>
                <w:color w:val="auto"/>
              </w:rPr>
              <w:t>29,728</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6"/>
        </w:trPr>
        <w:tc>
          <w:tcPr>
            <w:tcW w:w="3820" w:type="dxa"/>
            <w:vAlign w:val="bottom"/>
          </w:tcPr>
          <w:p>
            <w:pPr>
              <w:jc w:val="center"/>
              <w:ind w:right="2950"/>
              <w:spacing w:after="0" w:line="176" w:lineRule="exact"/>
              <w:rPr>
                <w:sz w:val="20"/>
                <w:szCs w:val="20"/>
                <w:color w:val="auto"/>
              </w:rPr>
            </w:pPr>
            <w:r>
              <w:rPr>
                <w:rFonts w:ascii="Arial" w:cs="Arial" w:eastAsia="Arial" w:hAnsi="Arial"/>
                <w:sz w:val="18"/>
                <w:szCs w:val="18"/>
                <w:color w:val="auto"/>
                <w:w w:val="98"/>
              </w:rPr>
              <w:t>Liabilities:</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3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Derivative liability for exit fee</w:t>
            </w:r>
          </w:p>
        </w:tc>
        <w:tc>
          <w:tcPr>
            <w:tcW w:w="3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594</w:t>
            </w:r>
          </w:p>
        </w:tc>
        <w:tc>
          <w:tcPr>
            <w:tcW w:w="32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594</w:t>
            </w:r>
          </w:p>
        </w:tc>
      </w:tr>
      <w:tr>
        <w:trPr>
          <w:trHeight w:val="176"/>
        </w:trPr>
        <w:tc>
          <w:tcPr>
            <w:tcW w:w="3820" w:type="dxa"/>
            <w:vAlign w:val="bottom"/>
          </w:tcPr>
          <w:p>
            <w:pPr>
              <w:jc w:val="center"/>
              <w:ind w:right="2930"/>
              <w:spacing w:after="0" w:line="170" w:lineRule="exact"/>
              <w:rPr>
                <w:sz w:val="20"/>
                <w:szCs w:val="20"/>
                <w:color w:val="auto"/>
              </w:rPr>
            </w:pPr>
            <w:r>
              <w:rPr>
                <w:rFonts w:ascii="Arial" w:cs="Arial" w:eastAsia="Arial" w:hAnsi="Arial"/>
                <w:sz w:val="18"/>
                <w:szCs w:val="18"/>
                <w:color w:val="auto"/>
                <w:w w:val="89"/>
              </w:rPr>
              <w:t>Total</w:t>
            </w:r>
          </w:p>
        </w:tc>
        <w:tc>
          <w:tcPr>
            <w:tcW w:w="340" w:type="dxa"/>
            <w:vAlign w:val="bottom"/>
            <w:tcBorders>
              <w:top w:val="single" w:sz="8" w:color="auto"/>
              <w:bottom w:val="single" w:sz="8" w:color="auto"/>
            </w:tcBorders>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594</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40"/>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594</w:t>
            </w:r>
          </w:p>
        </w:tc>
      </w:tr>
      <w:tr>
        <w:trPr>
          <w:trHeight w:val="324"/>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December 31, 2018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29"/>
        </w:trPr>
        <w:tc>
          <w:tcPr>
            <w:tcW w:w="3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w w:val="92"/>
              </w:rPr>
              <w:t>Level 3</w:t>
            </w:r>
          </w:p>
        </w:tc>
      </w:tr>
      <w:tr>
        <w:trPr>
          <w:trHeight w:val="169"/>
        </w:trPr>
        <w:tc>
          <w:tcPr>
            <w:tcW w:w="38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76"/>
        </w:trPr>
        <w:tc>
          <w:tcPr>
            <w:tcW w:w="382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15"/>
                <w:szCs w:val="15"/>
                <w:color w:val="auto"/>
              </w:rPr>
            </w:pP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73,238</w:t>
            </w:r>
          </w:p>
        </w:tc>
        <w:tc>
          <w:tcPr>
            <w:tcW w:w="220" w:type="dxa"/>
            <w:vAlign w:val="bottom"/>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73,238</w:t>
            </w:r>
          </w:p>
        </w:tc>
        <w:tc>
          <w:tcPr>
            <w:tcW w:w="4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3,996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34,590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43,154</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43,154</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spacing w:after="0" w:line="176" w:lineRule="exact"/>
              <w:rPr>
                <w:sz w:val="20"/>
                <w:szCs w:val="20"/>
                <w:color w:val="auto"/>
              </w:rPr>
            </w:pPr>
            <w:r>
              <w:rPr>
                <w:rFonts w:ascii="Arial" w:cs="Arial" w:eastAsia="Arial" w:hAnsi="Arial"/>
                <w:sz w:val="18"/>
                <w:szCs w:val="18"/>
                <w:color w:val="auto"/>
              </w:rPr>
              <w:t>9,378</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9,378</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Borders>
              <w:bottom w:val="single" w:sz="8" w:color="CCEEFF"/>
            </w:tcBorders>
            <w:shd w:val="clear" w:color="auto" w:fill="CCEEFF"/>
          </w:tcPr>
          <w:p>
            <w:pPr>
              <w:jc w:val="center"/>
              <w:ind w:right="2930"/>
              <w:spacing w:after="0" w:line="170" w:lineRule="exact"/>
              <w:rPr>
                <w:sz w:val="20"/>
                <w:szCs w:val="20"/>
                <w:color w:val="auto"/>
              </w:rPr>
            </w:pPr>
            <w:r>
              <w:rPr>
                <w:rFonts w:ascii="Arial" w:cs="Arial" w:eastAsia="Arial" w:hAnsi="Arial"/>
                <w:sz w:val="18"/>
                <w:szCs w:val="18"/>
                <w:color w:val="auto"/>
                <w:w w:val="89"/>
              </w:rPr>
              <w:t>Total</w:t>
            </w: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rPr>
              <w:t>164,356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40"/>
              <w:spacing w:after="0" w:line="170" w:lineRule="exact"/>
              <w:rPr>
                <w:sz w:val="20"/>
                <w:szCs w:val="20"/>
                <w:color w:val="auto"/>
              </w:rPr>
            </w:pPr>
            <w:r>
              <w:rPr>
                <w:rFonts w:ascii="Arial" w:cs="Arial" w:eastAsia="Arial" w:hAnsi="Arial"/>
                <w:sz w:val="18"/>
                <w:szCs w:val="18"/>
                <w:color w:val="auto"/>
              </w:rPr>
              <w:t>77,234</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87,122</w:t>
            </w: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89"/>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6"/>
        </w:trPr>
        <w:tc>
          <w:tcPr>
            <w:tcW w:w="3820" w:type="dxa"/>
            <w:vAlign w:val="bottom"/>
            <w:shd w:val="clear" w:color="auto" w:fill="CCEEFF"/>
          </w:tcPr>
          <w:p>
            <w:pPr>
              <w:jc w:val="center"/>
              <w:ind w:right="2950"/>
              <w:spacing w:after="0" w:line="176" w:lineRule="exact"/>
              <w:rPr>
                <w:sz w:val="20"/>
                <w:szCs w:val="20"/>
                <w:color w:val="auto"/>
              </w:rPr>
            </w:pPr>
            <w:r>
              <w:rPr>
                <w:rFonts w:ascii="Arial" w:cs="Arial" w:eastAsia="Arial" w:hAnsi="Arial"/>
                <w:sz w:val="18"/>
                <w:szCs w:val="18"/>
                <w:color w:val="auto"/>
                <w:w w:val="98"/>
              </w:rPr>
              <w:t>Liabilities:</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6"/>
        </w:trPr>
        <w:tc>
          <w:tcPr>
            <w:tcW w:w="3820" w:type="dxa"/>
            <w:vAlign w:val="bottom"/>
          </w:tcPr>
          <w:p>
            <w:pPr>
              <w:ind w:left="120"/>
              <w:spacing w:after="0" w:line="176" w:lineRule="exact"/>
              <w:rPr>
                <w:sz w:val="20"/>
                <w:szCs w:val="20"/>
                <w:color w:val="auto"/>
              </w:rPr>
            </w:pPr>
            <w:r>
              <w:rPr>
                <w:rFonts w:ascii="Arial" w:cs="Arial" w:eastAsia="Arial" w:hAnsi="Arial"/>
                <w:sz w:val="18"/>
                <w:szCs w:val="18"/>
                <w:color w:val="auto"/>
              </w:rPr>
              <w:t>Derivative liability for exit fee</w:t>
            </w:r>
          </w:p>
        </w:tc>
        <w:tc>
          <w:tcPr>
            <w:tcW w:w="340" w:type="dxa"/>
            <w:vAlign w:val="bottom"/>
          </w:tcPr>
          <w:p>
            <w:pPr>
              <w:spacing w:after="0"/>
              <w:rPr>
                <w:sz w:val="15"/>
                <w:szCs w:val="15"/>
                <w:color w:val="auto"/>
              </w:rPr>
            </w:pP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533</w:t>
            </w:r>
          </w:p>
        </w:tc>
        <w:tc>
          <w:tcPr>
            <w:tcW w:w="220" w:type="dxa"/>
            <w:vAlign w:val="bottom"/>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533</w:t>
            </w:r>
          </w:p>
        </w:tc>
      </w:tr>
      <w:tr>
        <w:trPr>
          <w:trHeight w:val="176"/>
        </w:trPr>
        <w:tc>
          <w:tcPr>
            <w:tcW w:w="3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Foreign currency derivative contracts</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820" w:type="dxa"/>
            <w:vAlign w:val="bottom"/>
          </w:tcPr>
          <w:p>
            <w:pPr>
              <w:jc w:val="center"/>
              <w:ind w:right="2930"/>
              <w:spacing w:after="0" w:line="170" w:lineRule="exact"/>
              <w:rPr>
                <w:sz w:val="20"/>
                <w:szCs w:val="20"/>
                <w:color w:val="auto"/>
              </w:rPr>
            </w:pPr>
            <w:r>
              <w:rPr>
                <w:rFonts w:ascii="Arial" w:cs="Arial" w:eastAsia="Arial" w:hAnsi="Arial"/>
                <w:sz w:val="18"/>
                <w:szCs w:val="18"/>
                <w:color w:val="auto"/>
                <w:w w:val="89"/>
              </w:rPr>
              <w:t>Total</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w w:val="79"/>
              </w:rPr>
              <w:t>585</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ind w:right="40"/>
              <w:spacing w:after="0" w:line="170" w:lineRule="exact"/>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533</w:t>
            </w:r>
          </w:p>
        </w:tc>
      </w:tr>
    </w:tbl>
    <w:p>
      <w:pPr>
        <w:spacing w:after="0" w:line="148"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Where quoted prices are available in an active market, securities are classified as Level 1. The Company classifies money market funds, U.S. treasury securities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 securities and foreign currency derivative contracts as Level 2. In certain cases, where there is limited activity or less transparency around inputs to valuation, securities are classified as Level 3. There were no transfers between Level 1 and Level 2 during the periods presented.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May 2018, pursuant to the loan and security agreement with Solar Capital Ltd. and Western Alliance Bank (see “Note</w:t>
      </w:r>
    </w:p>
    <w:p>
      <w:pPr>
        <w:spacing w:after="0" w:line="8" w:lineRule="exact"/>
        <w:rPr>
          <w:sz w:val="20"/>
          <w:szCs w:val="20"/>
          <w:color w:val="auto"/>
        </w:rPr>
      </w:pPr>
    </w:p>
    <w:p>
      <w:pPr>
        <w:jc w:val="both"/>
        <w:ind w:firstLine="3"/>
        <w:spacing w:after="0" w:line="225" w:lineRule="auto"/>
        <w:tabs>
          <w:tab w:leader="none" w:pos="188" w:val="left"/>
        </w:tabs>
        <w:numPr>
          <w:ilvl w:val="0"/>
          <w:numId w:val="7"/>
        </w:numPr>
        <w:rPr>
          <w:rFonts w:ascii="Arial" w:cs="Arial" w:eastAsia="Arial" w:hAnsi="Arial"/>
          <w:sz w:val="17"/>
          <w:szCs w:val="17"/>
          <w:color w:val="auto"/>
        </w:rPr>
      </w:pPr>
      <w:r>
        <w:rPr>
          <w:rFonts w:ascii="Arial" w:cs="Arial" w:eastAsia="Arial" w:hAnsi="Arial"/>
          <w:sz w:val="17"/>
          <w:szCs w:val="17"/>
          <w:color w:val="auto"/>
        </w:rPr>
        <w:t>Borrowings”), the Company entered into an Exit Fee Agreement under which the Company agreed to pay $1.5 million in cash, or the Exit Fee, upon any change of control transaction in respect of the Company or if the Company obtains both (i) FDA approval of tenapanor for the treatment of hyperphosphatemia in ESRD patients on dialysis and (ii) FDA approval of tenapanor for the treatment of patients with IBS-C. Notwithstanding the prepayment or termination of the Term Loan, the Company’s obligation to pay the Exit Fee will expire May 16, 2028. The Company evaluated that the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Exit Fee is a freestanding derivative which should be accounted for at fair value on a recurring basis. The estimated fair value of the Exit Fee is recorded as a derivative liability and included in accrued and other liabilities on the accompanying condensed balance sheet. As of June 30, 2019, the estimated fair value of the Exit Fee was determined to be $594,000, an increase of $61,000 compared with $533,000, the estimated fair value as of December 31, 2018, primarily as a result of changes to the inputs in the calculation including the estimated timing of payment and the time value of money, which are presented as a component of change in derivative liabilities in the Company’s condensed consolidated statements of operations.</w:t>
      </w:r>
    </w:p>
    <w:p>
      <w:pPr>
        <w:spacing w:after="0" w:line="16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w:t>
      </w:r>
    </w:p>
    <w:p>
      <w:pPr>
        <w:spacing w:after="0" w:line="2" w:lineRule="exact"/>
        <w:rPr>
          <w:sz w:val="20"/>
          <w:szCs w:val="20"/>
          <w:color w:val="auto"/>
        </w:rPr>
      </w:pPr>
    </w:p>
    <w:p>
      <w:pPr>
        <w:jc w:val="both"/>
        <w:ind w:firstLine="3"/>
        <w:spacing w:after="0" w:line="225" w:lineRule="auto"/>
        <w:tabs>
          <w:tab w:leader="none" w:pos="16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estimates of both the probability and timing of a potential $1.5 million payment to Solar Capital Ltd. and Western Alliance Bank as a result of the FDA approvals, and ii) a discount rate which was derived from the Company's estimated cost of debt. Generally, increases or decreases in the probability of occurrence would result in a directionally similar impact in the fair value measurement of the derivative instrument and it is estimated that a 10% increase (decrease) in the probability of occurrence would result in a fair value fluctuation of approximately $0.1 million.</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Changes in the fair value of recurring measurements included in Level 3 of the fair value hierarchy are presented as other income (expense), net, in the Company's condensed consolidated statements of operations and were as follows for the three and six months ended June 30, 2019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Estimated Fair Value</w:t>
            </w:r>
          </w:p>
        </w:tc>
      </w:tr>
      <w:tr>
        <w:trPr>
          <w:trHeight w:val="171"/>
        </w:trPr>
        <w:tc>
          <w:tcPr>
            <w:tcW w:w="1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of Derivative Liability</w:t>
            </w:r>
          </w:p>
        </w:tc>
      </w:tr>
      <w:tr>
        <w:trPr>
          <w:trHeight w:val="169"/>
        </w:trPr>
        <w:tc>
          <w:tcPr>
            <w:tcW w:w="1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384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Liabilities at December 31, 2018</w:t>
            </w: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533</w:t>
            </w:r>
          </w:p>
        </w:tc>
        <w:tc>
          <w:tcPr>
            <w:tcW w:w="140" w:type="dxa"/>
            <w:vAlign w:val="bottom"/>
            <w:tcBorders>
              <w:top w:val="single" w:sz="8" w:color="CCEEFF"/>
            </w:tcBorders>
            <w:shd w:val="clear" w:color="auto" w:fill="CCEEFF"/>
          </w:tcPr>
          <w:p>
            <w:pPr>
              <w:spacing w:after="0"/>
              <w:rPr>
                <w:sz w:val="14"/>
                <w:szCs w:val="14"/>
                <w:color w:val="auto"/>
              </w:rPr>
            </w:pPr>
          </w:p>
        </w:tc>
      </w:tr>
      <w:tr>
        <w:trPr>
          <w:trHeight w:val="176"/>
        </w:trPr>
        <w:tc>
          <w:tcPr>
            <w:tcW w:w="522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Change in estimated fair value of derivative liability for exit fee</w:t>
            </w: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tcPr>
          <w:p>
            <w:pPr>
              <w:spacing w:after="0"/>
              <w:rPr>
                <w:sz w:val="15"/>
                <w:szCs w:val="15"/>
                <w:color w:val="auto"/>
              </w:rPr>
            </w:pPr>
          </w:p>
        </w:tc>
      </w:tr>
      <w:tr>
        <w:trPr>
          <w:trHeight w:val="176"/>
        </w:trPr>
        <w:tc>
          <w:tcPr>
            <w:tcW w:w="13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38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Liabilities at June 30, 2019</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594</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June 30, 2019 and December 31, 2018, due to their short-term nature.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Foreign Currency Exchange Rate Exposure</w:t>
      </w:r>
    </w:p>
    <w:p>
      <w:pPr>
        <w:spacing w:after="0" w:line="148"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The Company uses forward foreign currency exchange contracts to secure a foreign currency exchange rate when a contract is executed involving payment in a foreign currency in order to minimize cash flow exposure to fluctuating exchange rates. Such exposure results from portions of the Company’s forecasted cash outflows being denominated in currencies other than the U.S. dollar, primarily the Swiss franc. The derivative instruments the Company uses to hedge this exposure are not designated as cash flow hedges, and as a result, changes in their fair value are recorded in other (expense) income, net, on the Company's condensed consolidated statements of operations and comprehensive loss. The fair values of forward foreign currency exchange contracts are estimated using current exchange rates and interest rates, and take into consideration the current creditworthiness of the counterparties.</w:t>
      </w:r>
    </w:p>
    <w:p>
      <w:pPr>
        <w:spacing w:after="0" w:line="127"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March 2019, the Company settled its forward foreign currency exchange contract in the aggregate notional amount of Swiss francs 3.3 million. As of June 30, 2019, the Company has no open forward foreign currency exchange contracts. The net loss associated with the Company's derivative instruments of zero and $60,558 for the three and six months ended June 30, 2019, respectively, is recognized in other (expense) income, net, on the condensed consolidated statement of operations and comprehensive loss. There were no expenses related to such derivative instruments for the three and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144"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On May 16, 2018, the Company entered into a loan and security agreement, or the Loan Agreement, with Solar Capital Ltd. and Western Alliance Bank, or collectively the Lenders. The Loan Agreement provides for a $50.0 million term loan facility with a maturity date of November 1, 2022, or the Term Loan. The full amount of the loan was funded on May 16, 2018. The Company received net proceeds from the loan of approximately $49.3 million, after deducting the closing fee, legal expenses and issuance cost.</w:t>
      </w:r>
    </w:p>
    <w:p>
      <w:pPr>
        <w:spacing w:after="0" w:line="122"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6"/>
          <w:szCs w:val="16"/>
          <w:color w:val="auto"/>
        </w:rPr>
        <w:t>Borrowings under the Term Loan bear interest at a floating per annum rate equal to 7.45% plus the one-month LIBOR. The Company is permitted to make interest-only payments on the Term Loan through December 1, 2020 if the Company achieves its primary endpoint in the Phase 3 study of tenapanor for the treatment of hyperphosphatemia in ESRD patients on dialysis, prior to June 1, 2020; otherwise, the Company is permitted to make interest-only payments on the Term Loan only through June 1, 2020. Accordingly, beginning on either June 1, 2020 or December 1, 2020, as applicable, through the maturity date, the Company will be required to make monthly payments of interest plus repayment of the Term Loan in consecutive equal monthly installments of principal. The Company paid a closing fee of 1% of the Term Loan, or $0.5 million, upon the closing of the Term Loan.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the Company’s intellectual property and certain other customary exclusions. Additionally, in connection with the Term Loan, the Company entered into an Exit Fee Agreement, whereby the Company agreed to pay an exit fee in the amount of 3% of the Term Loan, or the Exit Fee, upon any change of control transaction in respect of the Company or if the Company obtains both (i) FDA approval of tenapanor in the treatment of hyperphosphatemia in ESRD patients on dialysis and (ii) FDA approval of tenapanor for the treatment of patients with IBS-</w:t>
      </w:r>
    </w:p>
    <w:p>
      <w:pPr>
        <w:spacing w:after="0" w:line="2" w:lineRule="exact"/>
        <w:rPr>
          <w:sz w:val="20"/>
          <w:szCs w:val="20"/>
          <w:color w:val="auto"/>
        </w:rPr>
      </w:pPr>
    </w:p>
    <w:p>
      <w:pPr>
        <w:ind w:firstLine="3"/>
        <w:spacing w:after="0" w:line="226"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Notwithstanding the prepayment or termination of the Term Loan, the obligation to pay the Exit Fee will expire 10 years from the Closing Date.</w:t>
      </w:r>
    </w:p>
    <w:p>
      <w:pPr>
        <w:spacing w:after="0" w:line="12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Additionally, if the Company elects to enter into an exclusive license agreement for the use of its intellectual property in the United States (other than for tenapanor for hyperphosphatemia or for the Company’s FXR and TGR5 agonist programs) and has not obtained the written consent of the Lenders to enter into such license agreement, the Company has agreed to maintain unrestricted cash and cash equivalents of at least $50.0 million, until the Company achieves its primary endpoint in the second Phase 3 study of tenapanor for the treatment of hyperphosphatemia in end-stage renal disease patients on dialysis. As of June 30, 2019, the Company was in compliance with all of the covenants set forth in the Loan Agreement.</w:t>
      </w:r>
    </w:p>
    <w:p>
      <w:pPr>
        <w:spacing w:after="0" w:line="12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its cash. Upon the occurrence and for the duration of an event of default, an additional default interest rate equal to 4.0% per annum will apply to all obligations owed under the Loan Agreement. As of June 30, 2019, to the Company’s knowledge, there were no facts or circumstances in existence giving rise to an event of default.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of June 30, 2019, assuming the principal payments start on December 1, 2020, the Company’s future debt payment obligations towards the principal and final fee, excluding interest payments and exit fee, for the respective fiscal years are as follows (in thousands):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2,083</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25,000</w:t>
            </w:r>
          </w:p>
        </w:tc>
      </w:tr>
      <w:tr>
        <w:trPr>
          <w:trHeight w:val="176"/>
        </w:trPr>
        <w:tc>
          <w:tcPr>
            <w:tcW w:w="59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24,892</w:t>
            </w:r>
          </w:p>
        </w:tc>
      </w:tr>
      <w:tr>
        <w:trPr>
          <w:trHeight w:val="169"/>
        </w:trPr>
        <w:tc>
          <w:tcPr>
            <w:tcW w:w="596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principal and final fee payments</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51,975</w:t>
            </w: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8"/>
                <w:szCs w:val="18"/>
                <w:color w:val="auto"/>
              </w:rPr>
              <w:t>Less: Unamortized discount and debt issuance costs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(911)</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Unaccreted value of final fee</w:t>
            </w:r>
          </w:p>
        </w:tc>
        <w:tc>
          <w:tcPr>
            <w:tcW w:w="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(1,467)</w:t>
            </w:r>
          </w:p>
        </w:tc>
      </w:tr>
      <w:tr>
        <w:trPr>
          <w:trHeight w:val="176"/>
        </w:trPr>
        <w:tc>
          <w:tcPr>
            <w:tcW w:w="5960" w:type="dxa"/>
            <w:vAlign w:val="bottom"/>
          </w:tcPr>
          <w:p>
            <w:pPr>
              <w:ind w:left="100"/>
              <w:spacing w:after="0" w:line="170" w:lineRule="exact"/>
              <w:rPr>
                <w:sz w:val="20"/>
                <w:szCs w:val="20"/>
                <w:color w:val="auto"/>
              </w:rPr>
            </w:pPr>
            <w:r>
              <w:rPr>
                <w:rFonts w:ascii="Arial" w:cs="Arial" w:eastAsia="Arial" w:hAnsi="Arial"/>
                <w:sz w:val="18"/>
                <w:szCs w:val="18"/>
                <w:color w:val="auto"/>
              </w:rPr>
              <w:t>Loan payable, long term</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25"/>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49,597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Company has obtained the right of use for office space assets under two operating lease agreements. The Company has evaluated its facility leases and determined that, effective upon the adoption of Topic 842, the leases evaluated are all operating leases. The Company has performed an evaluation of its other contracts with suppliers and collaborators in accordance with Topic 842 and has determined that, except for the facility leases described below, none of the Company’s contracts contain a lease.</w:t>
      </w:r>
    </w:p>
    <w:p>
      <w:pPr>
        <w:spacing w:after="0" w:line="5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The Company obtained the right of use of office space located in Fremont, CA under a lease agreement entered into in September 2008, which was most recently amended in April 2016. The office space consists of 61,784 square feet, plus a further 10,716 square feet beginning in September 2019, with the entire lease terminating on September 10, 2021. The Company has an option to extend the term by five years as to the entire premises, by giving written notice of its election to exercise such option at least twelve months but not more than eighteen months prior to the end of the expiration of the lease term. This option to extend the lease term by five years has not been included in the calculation since currently the exercise of the option is highly uncertain and therefore deemed not probable. The Company also obtained the right of use of 3,250 square feet of office space located in Waltham, MA in October 2018 that terminates on September 30, 2021.</w:t>
      </w:r>
    </w:p>
    <w:p>
      <w:pPr>
        <w:spacing w:after="0" w:line="5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All of the Company’s leases are operating leases. Certain of the leases have both lease and non-lease components. The Company has elected to account for each separate lease component and the non-lease components associated with that lease component as a single lease component for all classes of underlying assets. As of June 30, 2019, the weighted average discount rate used for the calculations was 12.99% and the weighted average remaining lease term was 2.25 years.</w:t>
      </w:r>
    </w:p>
    <w:p>
      <w:pPr>
        <w:spacing w:after="0" w:line="4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provides additional details of the leases presented in the balance sheets (in thousands except remaining life and discount rate):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460" w:type="dxa"/>
            <w:vAlign w:val="bottom"/>
          </w:tcPr>
          <w:p>
            <w:pPr>
              <w:spacing w:after="0"/>
              <w:rPr>
                <w:sz w:val="14"/>
                <w:szCs w:val="14"/>
                <w:color w:val="auto"/>
              </w:rPr>
            </w:pPr>
          </w:p>
        </w:tc>
      </w:tr>
      <w:tr>
        <w:trPr>
          <w:trHeight w:val="169"/>
        </w:trPr>
        <w:tc>
          <w:tcPr>
            <w:tcW w:w="460" w:type="dxa"/>
            <w:vAlign w:val="bottom"/>
          </w:tcPr>
          <w:p>
            <w:pPr>
              <w:spacing w:after="0"/>
              <w:rPr>
                <w:sz w:val="14"/>
                <w:szCs w:val="14"/>
                <w:color w:val="auto"/>
              </w:rPr>
            </w:pPr>
          </w:p>
        </w:tc>
        <w:tc>
          <w:tcPr>
            <w:tcW w:w="37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Facilities</w:t>
            </w:r>
          </w:p>
        </w:tc>
        <w:tc>
          <w:tcPr>
            <w:tcW w:w="20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460" w:type="dxa"/>
            <w:vAlign w:val="bottom"/>
          </w:tcPr>
          <w:p>
            <w:pPr>
              <w:spacing w:after="0"/>
              <w:rPr>
                <w:sz w:val="14"/>
                <w:szCs w:val="14"/>
                <w:color w:val="auto"/>
              </w:rPr>
            </w:pPr>
          </w:p>
        </w:tc>
      </w:tr>
      <w:tr>
        <w:trPr>
          <w:trHeight w:val="176"/>
        </w:trPr>
        <w:tc>
          <w:tcPr>
            <w:tcW w:w="460" w:type="dxa"/>
            <w:vAlign w:val="bottom"/>
          </w:tcPr>
          <w:p>
            <w:pPr>
              <w:spacing w:after="0"/>
              <w:rPr>
                <w:sz w:val="15"/>
                <w:szCs w:val="15"/>
                <w:color w:val="auto"/>
              </w:rPr>
            </w:pPr>
          </w:p>
        </w:tc>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Right of use assets</w:t>
            </w:r>
          </w:p>
        </w:tc>
        <w:tc>
          <w:tcPr>
            <w:tcW w:w="226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460" w:type="dxa"/>
            <w:vAlign w:val="bottom"/>
          </w:tcPr>
          <w:p>
            <w:pPr>
              <w:ind w:left="1000"/>
              <w:spacing w:after="0" w:line="176" w:lineRule="exact"/>
              <w:rPr>
                <w:sz w:val="20"/>
                <w:szCs w:val="20"/>
                <w:color w:val="auto"/>
              </w:rPr>
            </w:pPr>
            <w:r>
              <w:rPr>
                <w:rFonts w:ascii="Arial" w:cs="Arial" w:eastAsia="Arial" w:hAnsi="Arial"/>
                <w:sz w:val="18"/>
                <w:szCs w:val="18"/>
                <w:color w:val="auto"/>
                <w:w w:val="97"/>
              </w:rPr>
              <w:t>4,919</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Current portion of lease liabilities</w:t>
            </w:r>
          </w:p>
        </w:tc>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ind w:left="1000"/>
              <w:spacing w:after="0" w:line="176" w:lineRule="exact"/>
              <w:rPr>
                <w:sz w:val="20"/>
                <w:szCs w:val="20"/>
                <w:color w:val="auto"/>
              </w:rPr>
            </w:pPr>
            <w:r>
              <w:rPr>
                <w:rFonts w:ascii="Arial" w:cs="Arial" w:eastAsia="Arial" w:hAnsi="Arial"/>
                <w:sz w:val="18"/>
                <w:szCs w:val="18"/>
                <w:color w:val="auto"/>
                <w:w w:val="97"/>
              </w:rPr>
              <w:t>2,318</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Operating lease liability, net of current portion</w:t>
            </w:r>
          </w:p>
        </w:tc>
        <w:tc>
          <w:tcPr>
            <w:tcW w:w="20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ind w:left="1000"/>
              <w:spacing w:after="0" w:line="176" w:lineRule="exact"/>
              <w:rPr>
                <w:sz w:val="20"/>
                <w:szCs w:val="20"/>
                <w:color w:val="auto"/>
              </w:rPr>
            </w:pPr>
            <w:r>
              <w:rPr>
                <w:rFonts w:ascii="Arial" w:cs="Arial" w:eastAsia="Arial" w:hAnsi="Arial"/>
                <w:sz w:val="18"/>
                <w:szCs w:val="18"/>
                <w:color w:val="auto"/>
                <w:w w:val="97"/>
              </w:rPr>
              <w:t>3,433</w:t>
            </w:r>
          </w:p>
        </w:tc>
        <w:tc>
          <w:tcPr>
            <w:tcW w:w="6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169"/>
        </w:trPr>
        <w:tc>
          <w:tcPr>
            <w:tcW w:w="460" w:type="dxa"/>
            <w:vAlign w:val="bottom"/>
          </w:tcPr>
          <w:p>
            <w:pPr>
              <w:spacing w:after="0"/>
              <w:rPr>
                <w:sz w:val="14"/>
                <w:szCs w:val="14"/>
                <w:color w:val="auto"/>
              </w:rPr>
            </w:pPr>
          </w:p>
        </w:tc>
        <w:tc>
          <w:tcPr>
            <w:tcW w:w="3780" w:type="dxa"/>
            <w:vAlign w:val="bottom"/>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14"/>
                <w:szCs w:val="14"/>
                <w:color w:val="auto"/>
              </w:rPr>
            </w:pPr>
          </w:p>
        </w:tc>
        <w:tc>
          <w:tcPr>
            <w:tcW w:w="260" w:type="dxa"/>
            <w:vAlign w:val="bottom"/>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460" w:type="dxa"/>
            <w:vAlign w:val="bottom"/>
          </w:tcPr>
          <w:p>
            <w:pPr>
              <w:ind w:left="1000"/>
              <w:spacing w:after="0" w:line="170" w:lineRule="exact"/>
              <w:rPr>
                <w:sz w:val="20"/>
                <w:szCs w:val="20"/>
                <w:color w:val="auto"/>
              </w:rPr>
            </w:pPr>
            <w:r>
              <w:rPr>
                <w:rFonts w:ascii="Arial" w:cs="Arial" w:eastAsia="Arial" w:hAnsi="Arial"/>
                <w:sz w:val="18"/>
                <w:szCs w:val="18"/>
                <w:color w:val="auto"/>
                <w:w w:val="97"/>
              </w:rPr>
              <w:t>5,751</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6"/>
        </w:trPr>
        <w:tc>
          <w:tcPr>
            <w:tcW w:w="4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Weighted-average remaining life</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ind w:left="1080"/>
              <w:spacing w:after="0"/>
              <w:rPr>
                <w:sz w:val="20"/>
                <w:szCs w:val="20"/>
                <w:color w:val="auto"/>
              </w:rPr>
            </w:pPr>
            <w:r>
              <w:rPr>
                <w:rFonts w:ascii="Arial" w:cs="Arial" w:eastAsia="Arial" w:hAnsi="Arial"/>
                <w:sz w:val="18"/>
                <w:szCs w:val="18"/>
                <w:color w:val="auto"/>
              </w:rPr>
              <w:t>2.25 years</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12.99 %</w:t>
            </w:r>
          </w:p>
        </w:tc>
        <w:tc>
          <w:tcPr>
            <w:tcW w:w="460" w:type="dxa"/>
            <w:vAlign w:val="bottom"/>
          </w:tcPr>
          <w:p>
            <w:pPr>
              <w:spacing w:after="0"/>
              <w:rPr>
                <w:sz w:val="18"/>
                <w:szCs w:val="18"/>
                <w:color w:val="auto"/>
              </w:rPr>
            </w:pPr>
          </w:p>
        </w:tc>
      </w:tr>
      <w:tr>
        <w:trPr>
          <w:trHeight w:val="810"/>
        </w:trPr>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0" w:type="dxa"/>
            <w:vAlign w:val="bottom"/>
          </w:tcPr>
          <w:p>
            <w:pPr>
              <w:jc w:val="right"/>
              <w:ind w:right="153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34"/>
        </w:trPr>
        <w:tc>
          <w:tcPr>
            <w:tcW w:w="4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The lease costs, which are included in operating expenses in our condensed consolidated statements of operations, were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2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June 30, 2019</w:t>
            </w:r>
          </w:p>
        </w:tc>
      </w:tr>
      <w:tr>
        <w:trPr>
          <w:trHeight w:val="169"/>
        </w:trPr>
        <w:tc>
          <w:tcPr>
            <w:tcW w:w="32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Facilities</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operating lease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bl>
    <w:p>
      <w:pPr>
        <w:spacing w:after="0" w:line="200" w:lineRule="exact"/>
        <w:rPr>
          <w:sz w:val="20"/>
          <w:szCs w:val="20"/>
          <w:color w:val="auto"/>
        </w:rPr>
      </w:pPr>
    </w:p>
    <w:p>
      <w:pPr>
        <w:spacing w:after="0" w:line="33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summarizes the Company’s undiscounted cash payment obligations for its operating lease liabilities as of June 30, 2019 (in thousands):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Ending June 30,</w:t>
            </w:r>
          </w:p>
        </w:tc>
        <w:tc>
          <w:tcPr>
            <w:tcW w:w="9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2019 (remaining six months)</w:t>
            </w:r>
          </w:p>
        </w:tc>
        <w:tc>
          <w:tcPr>
            <w:tcW w:w="90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1,415</w:t>
            </w: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90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3,065</w:t>
            </w: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9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2,183</w:t>
            </w:r>
          </w:p>
        </w:tc>
      </w:tr>
      <w:tr>
        <w:trPr>
          <w:trHeight w:val="176"/>
        </w:trPr>
        <w:tc>
          <w:tcPr>
            <w:tcW w:w="4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6,663</w:t>
            </w:r>
          </w:p>
        </w:tc>
      </w:tr>
      <w:tr>
        <w:trPr>
          <w:trHeight w:val="169"/>
        </w:trPr>
        <w:tc>
          <w:tcPr>
            <w:tcW w:w="49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Imputed interest</w:t>
            </w:r>
          </w:p>
        </w:tc>
        <w:tc>
          <w:tcPr>
            <w:tcW w:w="9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(912)</w:t>
            </w:r>
          </w:p>
        </w:tc>
      </w:tr>
      <w:tr>
        <w:trPr>
          <w:trHeight w:val="176"/>
        </w:trPr>
        <w:tc>
          <w:tcPr>
            <w:tcW w:w="49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lease liabilities</w:t>
            </w:r>
          </w:p>
        </w:tc>
        <w:tc>
          <w:tcPr>
            <w:tcW w:w="900" w:type="dxa"/>
            <w:vAlign w:val="bottom"/>
            <w:tcBorders>
              <w:bottom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5,751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16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On May 25, 2018, the Company completed an underwritten public offering of 12,500,000 shares of its common stock at a price to the public of $4.00 per share less underwriting discounts and commissions of $0.24 per share, that were purchased by Jefferies LLC, or Jefferies, and SVB Leerink (formerly known as Leerink Partners LLC), or Leerink, or collectively the Underwriters from the Company, at a price of $3.76 per share, and on June 25, 2018, the Company sold an additional 1,875,000 shares of its common stock at a price to the public of $4.00 per share less underwriting discounts and commissions of $0.24 per share, that were purchased by the Underwriters from the Company at a price of $3.76 per share, following the exercise in full of the underwriters’ option to purchase additional shares of common stock. The Company received net proceeds from the offering of $53.8 million, after deducting the underwriting discounts, commissions and offering expenses.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vMerge w:val="continue"/>
          </w:tcPr>
          <w:p>
            <w:pPr>
              <w:spacing w:after="0"/>
              <w:rPr>
                <w:sz w:val="15"/>
                <w:szCs w:val="15"/>
                <w:color w:val="auto"/>
              </w:rPr>
            </w:pPr>
          </w:p>
        </w:tc>
        <w:tc>
          <w:tcPr>
            <w:tcW w:w="2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767</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983</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$ 1,527</w:t>
            </w:r>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$ 1,890</w:t>
            </w:r>
          </w:p>
        </w:tc>
        <w:tc>
          <w:tcPr>
            <w:tcW w:w="16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740" w:type="dxa"/>
            <w:vAlign w:val="bottom"/>
          </w:tcPr>
          <w:p>
            <w:pPr>
              <w:spacing w:after="0" w:line="176" w:lineRule="exact"/>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1,156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1,620</w:t>
            </w: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2,318</w:t>
            </w:r>
          </w:p>
        </w:tc>
        <w:tc>
          <w:tcPr>
            <w:tcW w:w="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3,138</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740" w:type="dxa"/>
            <w:vAlign w:val="bottom"/>
            <w:tcBorders>
              <w:top w:val="single" w:sz="8" w:color="CCEEFF"/>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1,923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2,603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$ 3,845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$ 5,028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2"/>
          <w:szCs w:val="22"/>
          <w:color w:val="auto"/>
        </w:rPr>
        <w:t>At June 30, 2019, the Company had total unrecognized stock-based compensation expense, net of estimated forfeitures, of the following:</w:t>
      </w:r>
    </w:p>
    <w:p>
      <w:pPr>
        <w:spacing w:after="0" w:line="32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838"/>
              <w:spacing w:after="0"/>
              <w:rPr>
                <w:sz w:val="20"/>
                <w:szCs w:val="20"/>
                <w:color w:val="auto"/>
              </w:rPr>
            </w:pPr>
            <w:r>
              <w:rPr>
                <w:rFonts w:ascii="Arial" w:cs="Arial" w:eastAsia="Arial" w:hAnsi="Arial"/>
                <w:sz w:val="14"/>
                <w:szCs w:val="14"/>
                <w:b w:val="1"/>
                <w:bCs w:val="1"/>
                <w:color w:val="auto"/>
              </w:rPr>
              <w:t>At June 30, 2019</w:t>
            </w:r>
          </w:p>
        </w:tc>
        <w:tc>
          <w:tcPr>
            <w:tcW w:w="0" w:type="dxa"/>
            <w:vAlign w:val="bottom"/>
          </w:tcPr>
          <w:p>
            <w:pPr>
              <w:spacing w:after="0"/>
              <w:rPr>
                <w:sz w:val="1"/>
                <w:szCs w:val="1"/>
                <w:color w:val="auto"/>
              </w:rPr>
            </w:pPr>
          </w:p>
        </w:tc>
      </w:tr>
      <w:tr>
        <w:trPr>
          <w:trHeight w:val="102"/>
        </w:trPr>
        <w:tc>
          <w:tcPr>
            <w:tcW w:w="4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gridSpan w:val="2"/>
          </w:tcPr>
          <w:p>
            <w:pPr>
              <w:jc w:val="center"/>
              <w:ind w:right="620"/>
              <w:spacing w:after="0" w:line="102" w:lineRule="exact"/>
              <w:rPr>
                <w:sz w:val="20"/>
                <w:szCs w:val="20"/>
                <w:color w:val="auto"/>
              </w:rPr>
            </w:pPr>
            <w:r>
              <w:rPr>
                <w:rFonts w:ascii="Arial" w:cs="Arial" w:eastAsia="Arial" w:hAnsi="Arial"/>
                <w:sz w:val="11"/>
                <w:szCs w:val="11"/>
                <w:b w:val="1"/>
                <w:bCs w:val="1"/>
                <w:color w:val="auto"/>
              </w:rPr>
              <w:t>Unrecognized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Average Vesting</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Expense</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 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Stock options grants</w:t>
            </w: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42"/>
              <w:spacing w:after="0" w:line="170" w:lineRule="exact"/>
              <w:rPr>
                <w:sz w:val="20"/>
                <w:szCs w:val="20"/>
                <w:color w:val="auto"/>
              </w:rPr>
            </w:pPr>
            <w:r>
              <w:rPr>
                <w:rFonts w:ascii="Arial" w:cs="Arial" w:eastAsia="Arial" w:hAnsi="Arial"/>
                <w:sz w:val="18"/>
                <w:szCs w:val="18"/>
                <w:color w:val="auto"/>
              </w:rPr>
              <w:t>11,208</w:t>
            </w:r>
          </w:p>
        </w:tc>
        <w:tc>
          <w:tcPr>
            <w:tcW w:w="4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338"/>
              <w:spacing w:after="0" w:line="17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6"/>
        </w:trPr>
        <w:tc>
          <w:tcPr>
            <w:tcW w:w="4400" w:type="dxa"/>
            <w:vAlign w:val="bottom"/>
          </w:tcPr>
          <w:p>
            <w:pPr>
              <w:ind w:left="220"/>
              <w:spacing w:after="0" w:line="176" w:lineRule="exact"/>
              <w:rPr>
                <w:sz w:val="20"/>
                <w:szCs w:val="20"/>
                <w:color w:val="auto"/>
              </w:rPr>
            </w:pPr>
            <w:r>
              <w:rPr>
                <w:rFonts w:ascii="Arial" w:cs="Arial" w:eastAsia="Arial" w:hAnsi="Arial"/>
                <w:sz w:val="18"/>
                <w:szCs w:val="18"/>
                <w:color w:val="auto"/>
              </w:rPr>
              <w:t>RSU grants</w:t>
            </w:r>
          </w:p>
        </w:tc>
        <w:tc>
          <w:tcPr>
            <w:tcW w:w="160" w:type="dxa"/>
            <w:vAlign w:val="bottom"/>
          </w:tcPr>
          <w:p>
            <w:pPr>
              <w:spacing w:after="0"/>
              <w:rPr>
                <w:sz w:val="15"/>
                <w:szCs w:val="15"/>
                <w:color w:val="auto"/>
              </w:rPr>
            </w:pPr>
          </w:p>
        </w:tc>
        <w:tc>
          <w:tcPr>
            <w:tcW w:w="1620" w:type="dxa"/>
            <w:vAlign w:val="bottom"/>
            <w:gridSpan w:val="2"/>
          </w:tcPr>
          <w:p>
            <w:pPr>
              <w:ind w:left="520"/>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8"/>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PRSU grants</w:t>
            </w:r>
          </w:p>
        </w:tc>
        <w:tc>
          <w:tcPr>
            <w:tcW w:w="16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8"/>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ESPP</w:t>
            </w:r>
          </w:p>
        </w:tc>
        <w:tc>
          <w:tcPr>
            <w:tcW w:w="160" w:type="dxa"/>
            <w:vAlign w:val="bottom"/>
          </w:tcPr>
          <w:p>
            <w:pPr>
              <w:spacing w:after="0"/>
              <w:rPr>
                <w:sz w:val="20"/>
                <w:szCs w:val="20"/>
                <w:color w:val="auto"/>
              </w:rPr>
            </w:pPr>
          </w:p>
        </w:tc>
        <w:tc>
          <w:tcPr>
            <w:tcW w:w="1160" w:type="dxa"/>
            <w:vAlign w:val="bottom"/>
          </w:tcPr>
          <w:p>
            <w:pPr>
              <w:jc w:val="right"/>
              <w:ind w:right="402"/>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0"/>
                <w:szCs w:val="20"/>
                <w:color w:val="auto"/>
              </w:rPr>
            </w:pPr>
          </w:p>
        </w:tc>
        <w:tc>
          <w:tcPr>
            <w:tcW w:w="1060" w:type="dxa"/>
            <w:vAlign w:val="bottom"/>
          </w:tcPr>
          <w:p>
            <w:pPr>
              <w:jc w:val="right"/>
              <w:ind w:right="33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w:t>
      </w:r>
    </w:p>
    <w:p>
      <w:pPr>
        <w:spacing w:after="0" w:line="18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For the three and six months ended June 30, 2019, options were exercised to purchase 1,681 and 2,451 shares, respectively, of the Company's common stock, with insignificant net proceeds to the Company in the three and six months ended June 30, 2019. For each of the three and six months ended June 30, 2018, zero options were exercised to purchase shares of the Company's common stock, with zero net proceeds to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 July 2018, the Company granted 903,374 PRSUs to its employees that vest upon the achievement of certain performance conditions, subject to the employees’ continued service relationship with the Company through the achievement date. At June 30, 2019, 861,989 of these PRSUs were outstanding. Based on the evaluation of the performance conditions at June 30, 2019, the Company has not recorded stock-based compensation expense for the three and six months ended June 30, 2019 related to these PRSUs. The Company will continue to evaluate the performance conditions for these PRSUs at each reporting period and will record compensation expense related to the PRSUs accordingly.</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For each of the three and six months ended June 30, 2019, the Company issued 85,609 shares of its common stock upon vesting of RSUs to its employees. No PRSUs were issued for the three and six months ended June 30, 2019. For each of the three and six months ended June 30, 2018, the Company issued zero shares of its common stock upon vesting of RSUs or PRSUs to its employees.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February 2019, the Company sold 83,046 shares of its common stock under the ESPP. The shares were purchased by employees at a purchase price of $2.39 per share with proceeds to the Company of approximately $0.2 million. In February 2018, the Company sold 68,589 shares of its common stock under the ESPP. The shares were purchased by employees at a purchase price of $4.38 per share with proceeds to the Company of approximately $0.3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185"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For the three and six months ended June 30, 2019, the Company issued 113,136 shares of its common stock to members of the board of directors who elected to receive stock in lieu of their cash fees under the Company’s Amended and Restated Non-Employee Director Compensation Program. The shares issued were valued at $0.3 million based on the fair value of the common stock on the date of grant. For the three and six months ended June 30, 2018, the Company issued 75,183 shares of its common stock to members of the board of directors who elected to receive stock in lieu of their cash fees under the Company’s Amended and Restated Non-Employee Director Compensation Program. The shares issued were valued at $0.3 million based on the fair value of the common stock on the date of grant.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89"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and six months ended June 30, 2019 and 2018, all potential common shares were determined to be anti-dilutive. The following table sets forth the computation of net loss per common share (in thousands, except share and per share amounts):</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ind w:left="120"/>
        <w:spacing w:after="0" w:line="221" w:lineRule="auto"/>
        <w:rPr>
          <w:sz w:val="20"/>
          <w:szCs w:val="20"/>
          <w:color w:val="auto"/>
        </w:rPr>
      </w:pPr>
      <w:r>
        <w:rPr>
          <w:rFonts w:ascii="Arial" w:cs="Arial" w:eastAsia="Arial" w:hAnsi="Arial"/>
          <w:sz w:val="18"/>
          <w:szCs w:val="18"/>
          <w:color w:val="auto"/>
        </w:rPr>
        <w:t>Net loss</w:t>
      </w:r>
    </w:p>
    <w:p>
      <w:pPr>
        <w:ind w:left="120"/>
        <w:spacing w:after="0" w:line="204" w:lineRule="auto"/>
        <w:rPr>
          <w:sz w:val="20"/>
          <w:szCs w:val="20"/>
          <w:color w:val="auto"/>
        </w:rPr>
      </w:pPr>
      <w:r>
        <w:rPr>
          <w:rFonts w:ascii="Arial" w:cs="Arial" w:eastAsia="Arial" w:hAnsi="Arial"/>
          <w:sz w:val="18"/>
          <w:szCs w:val="18"/>
          <w:b w:val="1"/>
          <w:bCs w:val="1"/>
          <w:color w:val="auto"/>
        </w:rPr>
        <w:t>Denominator:</w:t>
      </w:r>
    </w:p>
    <w:p>
      <w:pPr>
        <w:ind w:left="220"/>
        <w:spacing w:after="0" w:line="219" w:lineRule="auto"/>
        <w:rPr>
          <w:sz w:val="20"/>
          <w:szCs w:val="20"/>
          <w:color w:val="auto"/>
        </w:rPr>
      </w:pPr>
      <w:r>
        <w:rPr>
          <w:rFonts w:ascii="Arial" w:cs="Arial" w:eastAsia="Arial" w:hAnsi="Arial"/>
          <w:sz w:val="18"/>
          <w:szCs w:val="18"/>
          <w:color w:val="auto"/>
        </w:rPr>
        <w:t>Weighted average common shares outstanding - basic and diluted</w:t>
      </w:r>
    </w:p>
    <w:p>
      <w:pPr>
        <w:ind w:left="120"/>
        <w:spacing w:after="0"/>
        <w:rPr>
          <w:sz w:val="20"/>
          <w:szCs w:val="20"/>
          <w:color w:val="auto"/>
        </w:rPr>
      </w:pPr>
      <w:r>
        <w:rPr>
          <w:rFonts w:ascii="Arial" w:cs="Arial" w:eastAsia="Arial" w:hAnsi="Arial"/>
          <w:sz w:val="18"/>
          <w:szCs w:val="18"/>
          <w:color w:val="auto"/>
        </w:rPr>
        <w:t>Net loss per share - basic and diluted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740" w:type="dxa"/>
            <w:vAlign w:val="bottom"/>
          </w:tcPr>
          <w:p>
            <w:pPr>
              <w:spacing w:after="0"/>
              <w:rPr>
                <w:sz w:val="14"/>
                <w:szCs w:val="14"/>
                <w:color w:val="auto"/>
              </w:rPr>
            </w:pPr>
          </w:p>
        </w:tc>
        <w:tc>
          <w:tcPr>
            <w:tcW w:w="162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Pr>
          <w:p>
            <w:pPr>
              <w:spacing w:after="0"/>
              <w:rPr>
                <w:sz w:val="14"/>
                <w:szCs w:val="14"/>
                <w:color w:val="auto"/>
              </w:rPr>
            </w:pPr>
          </w:p>
        </w:tc>
        <w:tc>
          <w:tcPr>
            <w:tcW w:w="1480" w:type="dxa"/>
            <w:vAlign w:val="bottom"/>
            <w:gridSpan w:val="3"/>
          </w:tcPr>
          <w:p>
            <w:pPr>
              <w:jc w:val="center"/>
              <w:ind w:right="728"/>
              <w:spacing w:after="0"/>
              <w:rPr>
                <w:sz w:val="20"/>
                <w:szCs w:val="20"/>
                <w:color w:val="auto"/>
              </w:rPr>
            </w:pPr>
            <w:r>
              <w:rPr>
                <w:rFonts w:ascii="Arial" w:cs="Arial" w:eastAsia="Arial" w:hAnsi="Arial"/>
                <w:sz w:val="14"/>
                <w:szCs w:val="14"/>
                <w:b w:val="1"/>
                <w:bCs w:val="1"/>
                <w:color w:val="auto"/>
                <w:w w:val="92"/>
              </w:rPr>
              <w:t>June 30,</w:t>
            </w:r>
          </w:p>
        </w:tc>
      </w:tr>
      <w:tr>
        <w:trPr>
          <w:trHeight w:val="129"/>
        </w:trPr>
        <w:tc>
          <w:tcPr>
            <w:tcW w:w="740" w:type="dxa"/>
            <w:vAlign w:val="bottom"/>
            <w:tcBorders>
              <w:top w:val="single" w:sz="8" w:color="auto"/>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08"/>
              <w:spacing w:after="0" w:line="129" w:lineRule="exact"/>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-8255</wp:posOffset>
            </wp:positionV>
            <wp:extent cx="575437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128" w:lineRule="exact"/>
        <w:rPr>
          <w:sz w:val="20"/>
          <w:szCs w:val="20"/>
          <w:color w:val="auto"/>
        </w:rPr>
      </w:pPr>
    </w:p>
    <w:p>
      <w:pPr>
        <w:ind w:left="420" w:hanging="414"/>
        <w:spacing w:after="0"/>
        <w:tabs>
          <w:tab w:leader="none" w:pos="42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(25,467)  $    (22,291)</w:t>
      </w:r>
      <w:r>
        <w:rPr>
          <w:rFonts w:ascii="Arial" w:cs="Arial" w:eastAsia="Arial" w:hAnsi="Arial"/>
          <w:sz w:val="18"/>
          <w:szCs w:val="18"/>
          <w:color w:val="auto"/>
        </w:rPr>
        <w:t xml:space="preserve">  $(51,611)  $</w:t>
      </w:r>
      <w:r>
        <w:rPr>
          <w:rFonts w:ascii="Arial" w:cs="Arial" w:eastAsia="Arial" w:hAnsi="Arial"/>
          <w:sz w:val="16"/>
          <w:szCs w:val="16"/>
          <w:color w:val="auto"/>
        </w:rPr>
        <w:t>(39,310)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-1905</wp:posOffset>
            </wp:positionV>
            <wp:extent cx="57543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pacing w:after="0" w:line="325" w:lineRule="exact"/>
        <w:rPr>
          <w:sz w:val="20"/>
          <w:szCs w:val="20"/>
          <w:color w:val="auto"/>
        </w:rPr>
      </w:pPr>
    </w:p>
    <w:p>
      <w:pPr>
        <w:ind w:left="160"/>
        <w:spacing w:after="0"/>
        <w:tabs>
          <w:tab w:leader="none" w:pos="1320" w:val="left"/>
          <w:tab w:leader="none" w:pos="2500" w:val="left"/>
          <w:tab w:leader="none" w:pos="3680" w:val="left"/>
        </w:tabs>
        <w:rPr>
          <w:sz w:val="20"/>
          <w:szCs w:val="20"/>
          <w:color w:val="auto"/>
        </w:rPr>
      </w:pPr>
      <w:r>
        <w:rPr>
          <w:rFonts w:ascii="Arial" w:cs="Arial" w:eastAsia="Arial" w:hAnsi="Arial"/>
          <w:sz w:val="18"/>
          <w:szCs w:val="18"/>
          <w:color w:val="auto"/>
        </w:rPr>
        <w:t>62,651,863</w:t>
      </w:r>
      <w:r>
        <w:rPr>
          <w:sz w:val="20"/>
          <w:szCs w:val="20"/>
          <w:color w:val="auto"/>
        </w:rPr>
        <w:tab/>
      </w:r>
      <w:r>
        <w:rPr>
          <w:rFonts w:ascii="Arial" w:cs="Arial" w:eastAsia="Arial" w:hAnsi="Arial"/>
          <w:sz w:val="18"/>
          <w:szCs w:val="18"/>
          <w:color w:val="auto"/>
        </w:rPr>
        <w:t>52,824,483</w:t>
      </w:r>
      <w:r>
        <w:rPr>
          <w:sz w:val="20"/>
          <w:szCs w:val="20"/>
          <w:color w:val="auto"/>
        </w:rPr>
        <w:tab/>
      </w:r>
      <w:r>
        <w:rPr>
          <w:rFonts w:ascii="Arial" w:cs="Arial" w:eastAsia="Arial" w:hAnsi="Arial"/>
          <w:sz w:val="18"/>
          <w:szCs w:val="18"/>
          <w:color w:val="auto"/>
        </w:rPr>
        <w:t>62,599,371</w:t>
      </w:r>
      <w:r>
        <w:rPr>
          <w:sz w:val="20"/>
          <w:szCs w:val="20"/>
          <w:color w:val="auto"/>
        </w:rPr>
        <w:tab/>
      </w:r>
      <w:r>
        <w:rPr>
          <w:rFonts w:ascii="Arial" w:cs="Arial" w:eastAsia="Arial" w:hAnsi="Arial"/>
          <w:sz w:val="16"/>
          <w:szCs w:val="16"/>
          <w:color w:val="auto"/>
        </w:rPr>
        <w:t>50,206,470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wp:posOffset>
            </wp:positionV>
            <wp:extent cx="57543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tabs>
          <w:tab w:leader="none" w:pos="580" w:val="left"/>
          <w:tab w:leader="none" w:pos="1160" w:val="left"/>
          <w:tab w:leader="none" w:pos="1760" w:val="left"/>
          <w:tab w:leader="none" w:pos="2340" w:val="left"/>
          <w:tab w:leader="none" w:pos="2920" w:val="left"/>
          <w:tab w:leader="none" w:pos="3520" w:val="left"/>
          <w:tab w:leader="none" w:pos="4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(0.41)</w:t>
        <w:tab/>
        <w:t>$</w:t>
      </w:r>
      <w:r>
        <w:rPr>
          <w:sz w:val="20"/>
          <w:szCs w:val="20"/>
          <w:color w:val="auto"/>
        </w:rPr>
        <w:tab/>
      </w:r>
      <w:r>
        <w:rPr>
          <w:rFonts w:ascii="Arial" w:cs="Arial" w:eastAsia="Arial" w:hAnsi="Arial"/>
          <w:sz w:val="18"/>
          <w:szCs w:val="18"/>
          <w:color w:val="auto"/>
        </w:rPr>
        <w:t>(0.42)</w:t>
        <w:tab/>
        <w:t>$</w:t>
      </w:r>
      <w:r>
        <w:rPr>
          <w:sz w:val="20"/>
          <w:szCs w:val="20"/>
          <w:color w:val="auto"/>
        </w:rPr>
        <w:tab/>
      </w:r>
      <w:r>
        <w:rPr>
          <w:rFonts w:ascii="Arial" w:cs="Arial" w:eastAsia="Arial" w:hAnsi="Arial"/>
          <w:sz w:val="18"/>
          <w:szCs w:val="18"/>
          <w:color w:val="auto"/>
        </w:rPr>
        <w:t>(0.82)</w:t>
        <w:tab/>
        <w:t>$</w:t>
      </w:r>
      <w:r>
        <w:rPr>
          <w:sz w:val="20"/>
          <w:szCs w:val="20"/>
          <w:color w:val="auto"/>
        </w:rPr>
        <w:tab/>
      </w:r>
      <w:r>
        <w:rPr>
          <w:rFonts w:ascii="Arial" w:cs="Arial" w:eastAsia="Arial" w:hAnsi="Arial"/>
          <w:sz w:val="16"/>
          <w:szCs w:val="16"/>
          <w:color w:val="auto"/>
        </w:rPr>
        <w:t>(0.78)</w:t>
      </w:r>
    </w:p>
    <w:p>
      <w:pPr>
        <w:spacing w:after="0" w:line="155" w:lineRule="exact"/>
        <w:rPr>
          <w:sz w:val="20"/>
          <w:szCs w:val="20"/>
          <w:color w:val="auto"/>
        </w:rPr>
      </w:pPr>
    </w:p>
    <w:p>
      <w:pPr>
        <w:sectPr>
          <w:pgSz w:w="11900" w:h="16838" w:orient="portrait"/>
          <w:cols w:equalWidth="0" w:num="2">
            <w:col w:w="4080" w:space="360"/>
            <w:col w:w="4620"/>
          </w:cols>
          <w:pgMar w:left="1420" w:top="111" w:right="1419" w:bottom="1440" w:gutter="0" w:footer="0" w:header="0"/>
          <w:type w:val="continuous"/>
        </w:sectPr>
      </w:pPr>
    </w:p>
    <w:p>
      <w:pPr>
        <w:jc w:val="both"/>
        <w:ind w:firstLine="324"/>
        <w:spacing w:after="0" w:line="224" w:lineRule="auto"/>
        <w:rPr>
          <w:sz w:val="20"/>
          <w:szCs w:val="20"/>
          <w:color w:val="auto"/>
        </w:rPr>
      </w:pPr>
      <w:r>
        <w:rPr>
          <w:rFonts w:ascii="Arial" w:cs="Arial" w:eastAsia="Arial" w:hAnsi="Arial"/>
          <w:sz w:val="18"/>
          <w:szCs w:val="18"/>
          <w:color w:val="auto"/>
        </w:rPr>
        <w:t>For the three and six months ended June 30, 2019, the total number of securities that could potentially dilute basic net loss per share in the future that were not included in the computation of diluted net loss per share because the effect would have been antidilutive was 10.2 million and 10.0 million, respectively.</w:t>
      </w:r>
    </w:p>
    <w:p>
      <w:pPr>
        <w:spacing w:after="0" w:line="16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and six months ended June 30, 2018, the total number of securities that could potentially dilute basic net loss per share in the future that were not included in the computation of diluted net loss per share because the effect would have been antidilutive was 7.9 million and 8.0 million, respectively.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LIABILITIES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and other liabilities consist of the following (in thousands):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9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69"/>
        </w:trPr>
        <w:tc>
          <w:tcPr>
            <w:tcW w:w="3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Accrued clinical and non-clinical expenses</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7,697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9,790</w:t>
            </w:r>
          </w:p>
        </w:tc>
        <w:tc>
          <w:tcPr>
            <w:tcW w:w="120" w:type="dxa"/>
            <w:vAlign w:val="bottom"/>
            <w:shd w:val="clear" w:color="auto" w:fill="CCEEFF"/>
          </w:tcPr>
          <w:p>
            <w:pPr>
              <w:spacing w:after="0"/>
              <w:rPr>
                <w:sz w:val="14"/>
                <w:szCs w:val="14"/>
                <w:color w:val="auto"/>
              </w:rPr>
            </w:pPr>
          </w:p>
        </w:tc>
      </w:tr>
      <w:tr>
        <w:trPr>
          <w:trHeight w:val="176"/>
        </w:trPr>
        <w:tc>
          <w:tcPr>
            <w:tcW w:w="3920" w:type="dxa"/>
            <w:vAlign w:val="bottom"/>
          </w:tcPr>
          <w:p>
            <w:pPr>
              <w:spacing w:after="0" w:line="176" w:lineRule="exact"/>
              <w:rPr>
                <w:sz w:val="20"/>
                <w:szCs w:val="20"/>
                <w:color w:val="auto"/>
              </w:rPr>
            </w:pPr>
            <w:r>
              <w:rPr>
                <w:rFonts w:ascii="Arial" w:cs="Arial" w:eastAsia="Arial" w:hAnsi="Arial"/>
                <w:sz w:val="18"/>
                <w:szCs w:val="18"/>
                <w:color w:val="auto"/>
              </w:rPr>
              <w:t>Accrued contract manufacturing expenses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1,622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1,971</w:t>
            </w:r>
          </w:p>
        </w:tc>
        <w:tc>
          <w:tcPr>
            <w:tcW w:w="120" w:type="dxa"/>
            <w:vAlign w:val="bottom"/>
          </w:tcPr>
          <w:p>
            <w:pPr>
              <w:spacing w:after="0"/>
              <w:rPr>
                <w:sz w:val="15"/>
                <w:szCs w:val="15"/>
                <w:color w:val="auto"/>
              </w:rPr>
            </w:pPr>
          </w:p>
        </w:tc>
      </w:tr>
      <w:tr>
        <w:trPr>
          <w:trHeight w:val="176"/>
        </w:trPr>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Derivative liability for exit fee</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5"/>
                <w:szCs w:val="15"/>
                <w:color w:val="auto"/>
              </w:rPr>
            </w:pPr>
          </w:p>
        </w:tc>
      </w:tr>
      <w:tr>
        <w:trPr>
          <w:trHeight w:val="176"/>
        </w:trPr>
        <w:tc>
          <w:tcPr>
            <w:tcW w:w="3920" w:type="dxa"/>
            <w:vAlign w:val="bottom"/>
          </w:tcPr>
          <w:p>
            <w:pPr>
              <w:spacing w:after="0" w:line="176" w:lineRule="exact"/>
              <w:rPr>
                <w:sz w:val="20"/>
                <w:szCs w:val="20"/>
                <w:color w:val="auto"/>
              </w:rPr>
            </w:pPr>
            <w:r>
              <w:rPr>
                <w:rFonts w:ascii="Arial" w:cs="Arial" w:eastAsia="Arial" w:hAnsi="Arial"/>
                <w:sz w:val="18"/>
                <w:szCs w:val="18"/>
                <w:color w:val="auto"/>
              </w:rPr>
              <w:t>Accrued professional and consulting services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269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5"/>
                <w:szCs w:val="15"/>
                <w:color w:val="auto"/>
              </w:rPr>
            </w:pPr>
          </w:p>
        </w:tc>
      </w:tr>
      <w:tr>
        <w:trPr>
          <w:trHeight w:val="176"/>
        </w:trPr>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derivative contract</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5"/>
                <w:szCs w:val="15"/>
                <w:color w:val="auto"/>
              </w:rPr>
            </w:pPr>
          </w:p>
        </w:tc>
      </w:tr>
      <w:tr>
        <w:trPr>
          <w:trHeight w:val="176"/>
        </w:trPr>
        <w:tc>
          <w:tcPr>
            <w:tcW w:w="39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222</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15"/>
                <w:szCs w:val="15"/>
                <w:color w:val="auto"/>
              </w:rPr>
            </w:pPr>
          </w:p>
        </w:tc>
      </w:tr>
      <w:tr>
        <w:trPr>
          <w:trHeight w:val="176"/>
        </w:trPr>
        <w:tc>
          <w:tcPr>
            <w:tcW w:w="39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10,404</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12,857</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COLLABORATION AND LICENSING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or KKC (formerly known as Kyowa Hakko Kirin Co., Ltd, or KHK)</w:t>
      </w:r>
    </w:p>
    <w:p>
      <w:pPr>
        <w:spacing w:after="0" w:line="18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November 2017, the Company entered into an exclusive license agreement with KKC, or the KKC Agreement, for the development, commercialization and distribution of tenapanor in Japan for cardiorenal indications. The Company assessed these arrangements in accordance with Topic 606 and concluded that the contract counterparty, KKC, is a customer. Under the terms of the KKC Agreement, the Company received $30.0 million in up-front license fees which was recognized as revenue when the agreement was executed. Based on the Company’s assessment, it identified that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license and the manufacturing supply services were its material performance obligations at the inception of the agreement, and as such each of the performance obligations are distinct. Additionally, on January 1, 2018, the Company recorded unbilled license revenue under current assets of $5.0 million and uncharged license fees under current liabilities of $1.0 million related to the first milestone under the KKC Agreement that KKC achieved in February 2019, reflecting revenues and cost of revenue, respectively, that would have been recognized in the fourth quarter 2017 if the Company had adopted Topic 606 prior to January 1, 2018. On KKC’s achievement of the milestone in February 2019, the balance related to unbilled license revenue was adjusted to zero. Correspondingly, the $1.0 million balance related to uncharged license fees that the Company owed to AstraZeneca was reclassified to accounts payable during the three months ended March 31, 2019, and subsequently paid to AstraZeneca during the three months ended June 30, 2019.</w:t>
      </w:r>
    </w:p>
    <w:p>
      <w:pPr>
        <w:spacing w:after="0" w:line="168"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In addition to the up-front license fee received of $30.0 million, the Company may be entitled to receive up to $55.0 million in total development milestones, of which $5.0 million has been received to date, and 8.5 billion yen in commercialization milestones, worth up to $78.7 million at the currency exchange rate on June 30, 2019, as well as reimbursement of cost,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June 30, 2019.</w:t>
      </w:r>
    </w:p>
    <w:p>
      <w:pPr>
        <w:spacing w:after="0" w:line="16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For each of the three and six months ended June 30, 2019, $18,000 of other revenue was recorded and for each of the three and six months ended June 30, 2018, $30,000 of other revenue was recorded. For both periods the other revenue recorded was for manufacturing supply of tenapanor and other materials delivered to KKC for its product development and clinical trials in Japan, in accordance with the Company’s agreement with KKC.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or Fosun Pharma</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Topic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addition, the Company may be entitled to additional development and commercialization milestones of up to $113.0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June 30, 2019.</w:t>
      </w:r>
    </w:p>
    <w:p>
      <w:pPr>
        <w:spacing w:after="0" w:line="15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For each of the three and six months ended June 30, 2019 and 2018, no revenue was recorded related to the Fosun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or Knight</w:t>
      </w:r>
    </w:p>
    <w:p>
      <w:pPr>
        <w:spacing w:after="0" w:line="18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Topic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Under the terms of the agreement, the Company is eligible to receive up to CAD 25 million in total payments, worth up to $19.1 million at the currency exchange rate on June 30, 2019, including an up-front payment and development and sales milestones, reimbursement of supply costs on a schedule specifying cost per tablet, with a reasonable mark up for overhead, as well as tiered royalty rates on net sales ranging from the mid-single digits to the low twenties. The variable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consideration related to the remaining development milestone payments has not been included in the transaction price as these were fully constrained at June 30, 2019.</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For each of the three and six months ended June 30, 2019, no revenue was recorded related to the Knight Agreement. For the three and six months ended June 30, 2018, zero and $2.3 million of revenue, respectively, was recorded related to the Knight Agreement, and zero and $0.5 million of cost of revenue, respectively, was recorded pursuant to the AstraZeneca Termination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In June 2015, the Company entered into a termination agreement with AstraZeneca, or the AstraZeneca Termination Agreement, pursuant to which the Company remains liable to pay AstraZeneca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To date in aggregate, the Company has recognized $9.9 million of the $75.0 million, recorded as cost of revenue comprising (i) $6.0 million and $2.4 million related to the KKC Agreement and Fosun Agreement, respectively, recorded in 2017 (ii) $0.5 million related to the Knight Agreement recorded in 2018 and (iii) $1.0 million related to the KKC Agreement associated with a milestone, that KKC achieved in February 2019, for which the Company previously recorded uncharged license fees under current liabilities in the period ended March 31, 2018 reflecting the amount that was owed to AstraZeneca upon achievement of the KKC milestone. The Company paid AstraZeneca the $1.0 million owed during the three months ended June 30,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CONTINGENCIES</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left="980" w:hanging="971"/>
        <w:spacing w:after="0" w:line="23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jc w:val="both"/>
        <w:ind w:firstLine="324"/>
        <w:spacing w:after="0" w:line="181"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2018.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 biopharmaceutical company focused on developing first-in-class medicines to improve treatment choices for people with cardiorenal diseases. This includes patients with end-stage renal disease, or ESRD, suffering from elevated serum phosphorus, or hyperphosphatemia; and patients with chronic kidney disease, or CKD, and/or heart failure patients with elevated serum potassium, or hyperkalemia.</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Our portfolio is led by the development of tenapanor, a first-in-class inhibitor of NHE3. In our cardiorenal pipeline, tenapanor is being evaluated in a Phase 3 clinical program, including the PHREEDOM trial, a second Phase 3 clinical trial evaluating tenapanor as a monotherapy treatment for hyperphosphatemia in patients with ESRD who are on dialysis, with topline results expected in the fourth quarter of 2019. This trial follows a successful first Phase 3 clinical trial completed in 2017, which achieved statistical significance for the primary endpoint. Tenapanor, if successfully developed and approved, would be the first therapy for phosphate management that is not a phosphate binder. Our tenapanor Phase 3 clinical program also includes, the AMPLIFY trial, a clinical trial evaluating tenapanor’s efficacy in combination with phosphate binders, from which results are currently expected in the third quarter of 2019. If our AMPLIFY trial is successful, tenapanor would, if approved, be the first and only phosphate lowering therapy to be indicated for use with phosphate binders.</w:t>
      </w:r>
    </w:p>
    <w:p>
      <w:pPr>
        <w:spacing w:after="0" w:line="16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also advancing our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 We believe that RDX013 has the potential to lower elevated potassium with a much lower pill burden than potassium binders and may provide significant advantages as a stand-alone agent or also in combination with potassium binders.</w:t>
      </w:r>
    </w:p>
    <w:p>
      <w:pPr>
        <w:spacing w:after="0" w:line="15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In addition to the development of tenapanor for the treatment of hyperphosphatemia for ESRD patients on dialysis, we have developed tenapanor for the treatment of patients with irritable bowel syndrome with constipation, or IBS-C. On September 12, 2018, we submitted a new drug application, or NDA, to the U.S. Food and Drug Administration, or FDA, for the treatment of patients with IBS-C and have been granted a target action date under the Prescription Drug User Fee Act of September 12, 2019. The NDA submission was supported by a clinical package encompassing more than 3,100 patients and healthy volunteers who have participated in our clinical trials and extensive clinical and preclinical data supporting the safety profile. The data include results from the completed IBS-C registration T3MPO program, which consisted of two Phase 3 trials, T3MPO-1 and T3MPO-2, and a long-term safety extension trial, T3MPO-3. Both the T3MPO-1 and T3MPO-2 trials achieved statistical significance for their primary endpoint and demonstrated that tenapanor had a durable effect on reducing constipation and abdominal pain for patients who experience IBS-C. The favorable safety profile of tenapanor, which has been shown across all clinical trials, was further supported by the completed T3MPO-3 study.</w:t>
      </w:r>
    </w:p>
    <w:p>
      <w:pPr>
        <w:spacing w:after="0" w:line="166"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and have no products approved for commercialization. As of June 30, 2019, we had an accumulated deficit of $417.1 million.</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On May 25, 2018, we completed an underwritten public offering of 12,500,000 shares of our common stock at a price to the public of $4.00 per share less underwriting discounts and commissions of $0.24 per share, that were purchased by Jefferies LLC, or Jefferies, and SVB Leerink (formerly known as Leerink Partners LLC), or Leerink, or collectively the Underwriters from the Company, at a price of $3.76 per share, and on June 25, 2018, we sold an additional 1,875,000 shares of our common stock at a price to the public of $4.00 per share less underwriting discounts and commissions of $0.24 per share, that were purchased by the Underwriters from the Company at a price of $3.76 per share, following the exercise in full of the underwriters’ option to purchase additional shares of common stock. We received net proceeds from the offering of $53.8 million, after deducting the underwriting discounts, commissions and offering expenses.</w:t>
      </w:r>
    </w:p>
    <w:p>
      <w:pPr>
        <w:spacing w:after="0" w:line="167"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We expect to incur operating losses for the foreseeable future as a result of our continued development of tenapanor and our preparations for the commercialization of tenapanor, including costs associated with completing the on-going Phase 3 development program for tenapanor for the treatment of hyperphosphatemia in patients with ESRD on dialysis, as well as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have not generated any revenue from product sales. Our past revenue performance is not necessarily indicative of results to be expected for the entire year ending December 31, 2019, or future operating periods. Our non-product revenue cannot always be predicted since it is dependent upon achievement of certain milestones. See “Note 2. Summary Of Significant Accounting Policies” for further detail.</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During the first quarter of 2018, we executed a license agreement with Knight for the development, commercialization and distribution of tenapanor for hyperphosphatemia and IBS-C in Canada. Under the terms of the Knight license agreement, the Company received a license fee, which was recorded as revenue when the contract was executed. The agreement also provides for development and commercialization milestone payments, which will be recorded as revenue when we achieve the underlying milestone.</w:t>
      </w:r>
    </w:p>
    <w:p>
      <w:pPr>
        <w:spacing w:after="0" w:line="162"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On January 1, 2018 we adopted the new standard for Revenue from Contracts with Customers, ASC 606, on a modified retrospective method as an adjustment to the opening balance of retained earnings of the annual reporting period. On January 1, 2018, we recorded (i) unbilled license revenue under current assets of $5.0 million reflecting a future receivable related to the first milestone under our license with KKC, which was subsequently achieved by KKC and collected in February 2019, thereby reducing the unbilled license revenue balance to zero; (ii) uncharged license fees under current liabilities of $1.0 million reflecting the corresponding future payable related to AstraZeneca, in accordance with our termination agreement with AstraZeneca, which, upon KKC achieving the milestone, was reclassified to accounts payable during the three months ended March 31, 2019, and subsequently paid to AstraZeneca during the three months ended June 30, 2019; and (iii) a related decrease in its accumulated deficit of approximately $4.0 million as the new standard permitted revenue from certain milestones to be recognized earlier and also contained different recognition criteria related to milestones than under the previous standard, ASC 605.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6"/>
          <w:szCs w:val="16"/>
          <w:color w:val="auto"/>
        </w:rPr>
        <w:t>Cost of revenue currently represents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 To date in aggregate, we have recognized $9.9 million of the $75.0 million, recorded as cost of revenue comprising (i) $6.0 million and $2.4 million related to the KKC Agreement and Fosun Agreement, respectively, recorded in 2017 (ii) $0.5 million related to the Knight Agreement recorded in 2018 and</w:t>
      </w:r>
    </w:p>
    <w:p>
      <w:pPr>
        <w:spacing w:after="0" w:line="4" w:lineRule="exact"/>
        <w:rPr>
          <w:sz w:val="20"/>
          <w:szCs w:val="20"/>
          <w:color w:val="auto"/>
        </w:rPr>
      </w:pPr>
    </w:p>
    <w:p>
      <w:pPr>
        <w:jc w:val="both"/>
        <w:ind w:firstLine="3"/>
        <w:spacing w:after="0" w:line="212" w:lineRule="auto"/>
        <w:tabs>
          <w:tab w:leader="none" w:pos="3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 million related to the KKC Agreement associated with a milestone that KKC achieved in February 2019 for which we previously recorded uncharged license fees under current liabilities in the period ended March 31, 2018. Upon KKC’s achievement of the milestone in February 2019, the $1.0 million balance related to uncharged license fees that we owed to AstraZeneca was reclassified to accounts payable and paid to AstraZeneca during the three months ended June 30, 2019, resulting in a zero balance in uncharged license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We recognize all research and development expenses as they are incurred to support the discovery, development and manufacturing of our product candidates. Research and development expenses consist of the following:</w:t>
      </w:r>
    </w:p>
    <w:p>
      <w:pPr>
        <w:spacing w:after="0" w:line="147" w:lineRule="exact"/>
        <w:rPr>
          <w:sz w:val="20"/>
          <w:szCs w:val="20"/>
          <w:color w:val="auto"/>
        </w:rPr>
      </w:pPr>
    </w:p>
    <w:p>
      <w:pPr>
        <w:jc w:val="both"/>
        <w:ind w:left="660" w:hanging="333"/>
        <w:spacing w:after="0" w:line="224"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external research and development expenses incurred under agreements with consultants, third-party CROs and investigative sites where a substantial portion of our clinical studies are conducted, and with contract manufacturing organizations where our clinical supplies are produced;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expenses associated with supplies and materials consumed in connection with our research operations;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 and</w:t>
      </w:r>
    </w:p>
    <w:p>
      <w:pPr>
        <w:spacing w:after="0" w:line="184"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12"/>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information technology expense and other supplies.</w:t>
      </w:r>
    </w:p>
    <w:p>
      <w:pPr>
        <w:spacing w:after="0" w:line="14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progress the development of tenapanor, as well as our other product candidates, advance our research programs into the preclinical stage and continue our early stage research. The process of conducting preclinical studies and clinical trials necessary to obtain regulatory approval is costly and time consuming. We may never succeed in achieving marketing approval for any of our product candidates, including tenapanor. Additionally, if marketing approval is received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68"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We anticipate that our general and administrative expenses will increase in the future primarily because of (i) increased pre-commercial activities, personnel costs and professional fees for services to support the potential launch and commercialization of tenapanor for the treatment of hyperphosphatemia in ESRD patients on dialysis and (ii) expenses related to costs of operating as a public company primarily preparing for future integrated audits.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provision for income taxes was not material for each of the three and six months ended June 30, 2019 and 2018. We expect to generate a net loss for the year ending December 31, 2019. Our deferred tax assets continue to be fully offset by a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Polices and Estimates</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 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Other than the adoption of ASU No. 2016-02, Leases (Topic 842) on January 1, 2019, there have been no material changes to our critical accounting policies since we filed our 2018 Form 10-K with the SEC on March 6, 2019. For a description of our critical accounting policies, please refer to our Form 10-K we filed with the SEC on March 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and six months ended June 30, 2019 and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400" w:firstLine="324"/>
        <w:spacing w:after="0" w:line="235" w:lineRule="auto"/>
        <w:rPr>
          <w:sz w:val="20"/>
          <w:szCs w:val="20"/>
          <w:color w:val="auto"/>
        </w:rPr>
      </w:pPr>
      <w:r>
        <w:rPr>
          <w:rFonts w:ascii="Arial" w:cs="Arial" w:eastAsia="Arial" w:hAnsi="Arial"/>
          <w:sz w:val="18"/>
          <w:szCs w:val="18"/>
          <w:color w:val="auto"/>
        </w:rPr>
        <w:t>Revenue for the three and six months ended June 30, 2019, as compared to the same period in the prior year, was as follows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gridSpan w:val="9"/>
          </w:tcPr>
          <w:p>
            <w:pPr>
              <w:jc w:val="center"/>
              <w:ind w:right="165"/>
              <w:spacing w:after="0"/>
              <w:rPr>
                <w:sz w:val="20"/>
                <w:szCs w:val="20"/>
                <w:color w:val="auto"/>
              </w:rPr>
            </w:pPr>
            <w:r>
              <w:rPr>
                <w:rFonts w:ascii="Arial" w:cs="Arial" w:eastAsia="Arial" w:hAnsi="Arial"/>
                <w:sz w:val="14"/>
                <w:szCs w:val="14"/>
                <w:b w:val="1"/>
                <w:bCs w:val="1"/>
                <w:color w:val="auto"/>
                <w:w w:val="93"/>
              </w:rPr>
              <w:t>Three Months Ended</w:t>
            </w:r>
          </w:p>
        </w:tc>
        <w:tc>
          <w:tcPr>
            <w:tcW w:w="140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w w:val="98"/>
              </w:rPr>
              <w:t>Six Months Ended</w:t>
            </w:r>
          </w:p>
        </w:tc>
      </w:tr>
      <w:tr>
        <w:trPr>
          <w:trHeight w:val="162"/>
        </w:trPr>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center"/>
              <w:ind w:left="255"/>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4"/>
                <w:szCs w:val="14"/>
                <w:b w:val="1"/>
                <w:bCs w:val="1"/>
                <w:color w:val="auto"/>
              </w:rPr>
              <w:t>June 30,</w:t>
            </w:r>
          </w:p>
        </w:tc>
      </w:tr>
      <w:tr>
        <w:trPr>
          <w:trHeight w:val="129"/>
        </w:trPr>
        <w:tc>
          <w:tcPr>
            <w:tcW w:w="3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680" w:type="dxa"/>
            <w:vAlign w:val="bottom"/>
            <w:gridSpan w:val="3"/>
          </w:tcPr>
          <w:p>
            <w:pPr>
              <w:jc w:val="right"/>
              <w:ind w:right="90"/>
              <w:spacing w:after="0" w:line="129" w:lineRule="exact"/>
              <w:rPr>
                <w:sz w:val="20"/>
                <w:szCs w:val="20"/>
                <w:color w:val="auto"/>
              </w:rPr>
            </w:pPr>
            <w:r>
              <w:rPr>
                <w:rFonts w:ascii="Arial" w:cs="Arial" w:eastAsia="Arial" w:hAnsi="Arial"/>
                <w:sz w:val="14"/>
                <w:szCs w:val="14"/>
                <w:b w:val="1"/>
                <w:bCs w:val="1"/>
                <w:color w:val="auto"/>
              </w:rPr>
              <w:t>2018</w:t>
            </w:r>
          </w:p>
        </w:tc>
      </w:tr>
      <w:tr>
        <w:trPr>
          <w:trHeight w:val="169"/>
        </w:trPr>
        <w:tc>
          <w:tcPr>
            <w:tcW w:w="31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Licensing revenue</w:t>
            </w:r>
          </w:p>
        </w:tc>
        <w:tc>
          <w:tcPr>
            <w:tcW w:w="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24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$ 2,320</w:t>
            </w: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color w:val="auto"/>
              </w:rPr>
              <w:t>Other revenue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ind w:left="240"/>
              <w:spacing w:after="0" w:line="176"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5"/>
                <w:szCs w:val="15"/>
                <w:color w:val="auto"/>
              </w:rPr>
            </w:pPr>
          </w:p>
        </w:tc>
        <w:tc>
          <w:tcPr>
            <w:tcW w:w="6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30</w:t>
            </w:r>
          </w:p>
        </w:tc>
      </w:tr>
      <w:tr>
        <w:trPr>
          <w:trHeight w:val="169"/>
        </w:trPr>
        <w:tc>
          <w:tcPr>
            <w:tcW w:w="3180" w:type="dxa"/>
            <w:vAlign w:val="bottom"/>
            <w:tcBorders>
              <w:top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240"/>
              <w:spacing w:after="0" w:line="170" w:lineRule="exact"/>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2,350</w:t>
            </w:r>
          </w:p>
        </w:tc>
      </w:tr>
      <w:tr>
        <w:trPr>
          <w:trHeight w:val="176"/>
        </w:trPr>
        <w:tc>
          <w:tcPr>
            <w:tcW w:w="318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w w:val="87"/>
              </w:rPr>
              <w:t>(2,332)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6"/>
        </w:trPr>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Revenue was $18,000 for the three months ended June 30, 2019, a decrease of $12,000, or 40%, compared to $30,000 for the three months ended June 30, 2018. For the three months ended June 30, 2019 and 2018, we recognized revenue related to the manufacturing supply of tenapanor and other materials delivered to KKC for its product development and clinical trials in Japan in accordance with our agreement with KKC.</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Revenue was $18,000 for the six months ended June 30, 2019, a decrease of $2.3 million, or 99%, compared to $2.4 million for the six months ended June 30, 2018. For the six months ended June 30, 2019 we recognized revenue of $18,000 related to the manufacturing supply of tenapanor and other materials delivered to KKC for its product development and clinical trials in Japan in accordance with our agreement with KKC. For the six months ended June 30, 2018 revenue was primarily from the licensing revenue of $2.3 million related to a license fee.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80" w:firstLine="324"/>
        <w:spacing w:after="0" w:line="235" w:lineRule="auto"/>
        <w:rPr>
          <w:sz w:val="20"/>
          <w:szCs w:val="20"/>
          <w:color w:val="auto"/>
        </w:rPr>
      </w:pPr>
      <w:r>
        <w:rPr>
          <w:rFonts w:ascii="Arial" w:cs="Arial" w:eastAsia="Arial" w:hAnsi="Arial"/>
          <w:sz w:val="18"/>
          <w:szCs w:val="18"/>
          <w:color w:val="auto"/>
        </w:rPr>
        <w:t>Cost of revenue for the three and six months ended June 30, 2019, as compared to the same period in the prior year, was as follows (in thousands):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26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r>
      <w:tr>
        <w:trPr>
          <w:trHeight w:val="169"/>
        </w:trPr>
        <w:tc>
          <w:tcPr>
            <w:tcW w:w="2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4"/>
                <w:szCs w:val="14"/>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7"/>
                <w:szCs w:val="17"/>
                <w:color w:val="auto"/>
              </w:rPr>
              <w:t>Dollar change from prior year</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jc w:val="right"/>
              <w:ind w:right="350"/>
              <w:spacing w:after="0" w:line="14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7"/>
                <w:szCs w:val="17"/>
                <w:color w:val="auto"/>
              </w:rPr>
              <w:t>(464)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0"/>
        </w:trPr>
        <w:tc>
          <w:tcPr>
            <w:tcW w:w="2680" w:type="dxa"/>
            <w:vAlign w:val="bottom"/>
          </w:tcPr>
          <w:p>
            <w:pPr>
              <w:spacing w:after="0" w:line="190" w:lineRule="exact"/>
              <w:rPr>
                <w:sz w:val="20"/>
                <w:szCs w:val="20"/>
                <w:color w:val="auto"/>
              </w:rPr>
            </w:pPr>
            <w:r>
              <w:rPr>
                <w:rFonts w:ascii="Arial" w:cs="Arial" w:eastAsia="Arial" w:hAnsi="Arial"/>
                <w:sz w:val="18"/>
                <w:szCs w:val="18"/>
                <w:color w:val="auto"/>
              </w:rPr>
              <w:t>Percent change from prior year</w:t>
            </w: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-102870</wp:posOffset>
            </wp:positionV>
            <wp:extent cx="4596765" cy="111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189" w:lineRule="auto"/>
        <w:rPr>
          <w:sz w:val="20"/>
          <w:szCs w:val="20"/>
          <w:color w:val="auto"/>
        </w:rPr>
      </w:pPr>
      <w:r>
        <w:rPr>
          <w:rFonts w:ascii="Arial" w:cs="Arial" w:eastAsia="Arial" w:hAnsi="Arial"/>
          <w:sz w:val="9"/>
          <w:szCs w:val="9"/>
          <w:color w:val="auto"/>
        </w:rPr>
        <w:t>________________________________________</w:t>
      </w:r>
    </w:p>
    <w:p>
      <w:pPr>
        <w:ind w:left="120" w:hanging="117"/>
        <w:spacing w:after="0" w:line="235"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4"/>
          <w:szCs w:val="14"/>
          <w:color w:val="auto"/>
        </w:rPr>
        <w:t>not meaningful</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Cost of revenue was negligible for each of the three months ended June 30, 2019 and 2018.</w:t>
      </w:r>
    </w:p>
    <w:p>
      <w:pPr>
        <w:spacing w:after="0" w:line="144"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Cost of revenue was negligible for the six months ended June 30, 2019, a decrease of approximately $0.5 million, compared to $0.5 million for the six months ended June 30, 2018. For the six months ended June 30, 2018, cost of revenue of $0.5 million was the fees paid to AstraZeneca pursuant to the AstraZeneca Termination Agreement, corresponding to the revenue realized.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Research and development expenses for the three and six months ended June 30, 2019, as compared to the same period in the prior year, were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90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320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3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   19,475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16,046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  39,856</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  29,396</w:t>
            </w:r>
          </w:p>
        </w:tc>
        <w:tc>
          <w:tcPr>
            <w:tcW w:w="60" w:type="dxa"/>
            <w:vAlign w:val="bottom"/>
            <w:shd w:val="clear" w:color="auto" w:fill="CCEEFF"/>
          </w:tcPr>
          <w:p>
            <w:pPr>
              <w:spacing w:after="0"/>
              <w:rPr>
                <w:sz w:val="14"/>
                <w:szCs w:val="14"/>
                <w:color w:val="auto"/>
              </w:rPr>
            </w:pPr>
          </w:p>
        </w:tc>
      </w:tr>
      <w:tr>
        <w:trPr>
          <w:trHeight w:val="176"/>
        </w:trPr>
        <w:tc>
          <w:tcPr>
            <w:tcW w:w="320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3,429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10,460</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11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21 %</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36 %</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Research and development expenses were $19.4 million for the three months ended June 30, 2019, an increase of $3.4 million, or 21%, compared to $16.0 million for the three months ended June 30, 2018. The increase consisted of a $2.5 million increase in our external program costs and a $0.9 million increase in our internal program costs.</w:t>
      </w:r>
    </w:p>
    <w:p>
      <w:pPr>
        <w:spacing w:after="0" w:line="16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increase in our external program costs of $2.5 million included a $6.0 million increase in expense primarily related to manufacturing of tenapanor and the continued clinical development of tenapanor for the treatment of hyperphosphatemia in ESRD patients on dialysis, and a $0.6 million increase related to the RDX013 program, partially offset by an out-of-period adjustment that reduced clinical trial expenses by $4.1 million related to our tenapanor clinical trials.</w:t>
      </w:r>
    </w:p>
    <w:p>
      <w:pPr>
        <w:spacing w:after="0" w:line="15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increase in our internal costs of $0.9 million was primarily due to an increase in headcount and related personnel costs and an increase in professional services partially offset by a decrease in stock-based compensation expenses.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Research and development expenses were $39.9 million for the six months ended June 30, 2019, an increase of $10.5 million, or 36%, compared to $29.4 million for the six months ended June 30, 2018. The increase consisted of a $9.2 million increase in our external program costs and a $1.3 million increase in our internal program costs.</w:t>
      </w:r>
    </w:p>
    <w:p>
      <w:pPr>
        <w:spacing w:after="0" w:line="161"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The increase in our external program costs of $9.2 million included a $11.6 million increase in expense primarily related to manufacturing of tenapanor and the clinical development of tenapanor for the treatment of hyperphosphatemia in ESRD patients on dialysis, and a $1.2 million increase related to the RDX013 program, partially offset by an out-of-period adjustment that reduced clinical trial expenses by $3.6 million related to our tenapanor clinical trials.</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increase in our internal costs of $1.3 million was primarily due to an increase in headcount and related personnel costs and an increase in professional services, partially offset by a decrease in stock-based compensation expenses.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General and administrative expenses for the three and six months ended June 30, 2019, as compared to the same period in the prior year, were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00" w:type="dxa"/>
            <w:vAlign w:val="bottom"/>
            <w:gridSpan w:val="5"/>
          </w:tcPr>
          <w:p>
            <w:pPr>
              <w:jc w:val="right"/>
              <w:ind w:right="19"/>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3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80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17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r>
      <w:tr>
        <w:trPr>
          <w:trHeight w:val="169"/>
        </w:trPr>
        <w:tc>
          <w:tcPr>
            <w:tcW w:w="32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top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5,371</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6,138</w:t>
            </w:r>
          </w:p>
        </w:tc>
        <w:tc>
          <w:tcPr>
            <w:tcW w:w="1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  10,488</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  12,329</w:t>
            </w:r>
          </w:p>
        </w:tc>
        <w:tc>
          <w:tcPr>
            <w:tcW w:w="60" w:type="dxa"/>
            <w:vAlign w:val="bottom"/>
            <w:tcBorders>
              <w:top w:val="single" w:sz="8" w:color="CCEEFF"/>
            </w:tcBorders>
            <w:shd w:val="clear" w:color="auto" w:fill="CCEEFF"/>
          </w:tcPr>
          <w:p>
            <w:pPr>
              <w:spacing w:after="0"/>
              <w:rPr>
                <w:sz w:val="14"/>
                <w:szCs w:val="14"/>
                <w:color w:val="auto"/>
              </w:rPr>
            </w:pPr>
          </w:p>
        </w:tc>
      </w:tr>
      <w:tr>
        <w:trPr>
          <w:trHeight w:val="176"/>
        </w:trPr>
        <w:tc>
          <w:tcPr>
            <w:tcW w:w="320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(767)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(1,841)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General and administrative expenses were $5.4 million for the three months ended June 30, 2019, a decrease of $0.7 million, or 12%, compared to $6.1 million for the three months ended June 30, 2018. The decrease was primarily due to a decrease in professional services and a reduction in stock-based compensation costs partially offset by an increase in headcount and related personnel costs.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General and administrative expenses were $10.5 million for the six months ended June 30, 2019, a decrease of $1.8 million, or 15%, compared to $12.3 million for the six months ended June 30, 2018. The decrease was primarily due to a decrease in professional services and a reduction in stock-based compensation costs partially offset by an increase in headcount and related personnel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displays a summary of our cash, cash equivalents and short-term investments as of June 30, 2019 and December 31, 2018 (in thousands):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69"/>
        </w:trPr>
        <w:tc>
          <w:tcPr>
            <w:tcW w:w="5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89,626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60" w:type="dxa"/>
            <w:vAlign w:val="bottom"/>
            <w:shd w:val="clear" w:color="auto" w:fill="CCEEFF"/>
          </w:tcPr>
          <w:p>
            <w:pPr>
              <w:spacing w:after="0"/>
              <w:rPr>
                <w:sz w:val="14"/>
                <w:szCs w:val="14"/>
                <w:color w:val="auto"/>
              </w:rPr>
            </w:pPr>
          </w:p>
        </w:tc>
      </w:tr>
      <w:tr>
        <w:trPr>
          <w:trHeight w:val="176"/>
        </w:trPr>
        <w:tc>
          <w:tcPr>
            <w:tcW w:w="5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34,315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89,321</w:t>
            </w:r>
          </w:p>
        </w:tc>
        <w:tc>
          <w:tcPr>
            <w:tcW w:w="60" w:type="dxa"/>
            <w:vAlign w:val="bottom"/>
            <w:tcBorders>
              <w:bottom w:val="single" w:sz="8" w:color="CCEEFF"/>
            </w:tcBorders>
          </w:tcPr>
          <w:p>
            <w:pPr>
              <w:spacing w:after="0"/>
              <w:rPr>
                <w:sz w:val="15"/>
                <w:szCs w:val="15"/>
                <w:color w:val="auto"/>
              </w:rPr>
            </w:pPr>
          </w:p>
        </w:tc>
      </w:tr>
      <w:tr>
        <w:trPr>
          <w:trHeight w:val="176"/>
        </w:trPr>
        <w:tc>
          <w:tcPr>
            <w:tcW w:w="5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liquid funds</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123,941</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168,089</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On May 25, 2018, we completed an underwritten public offering of 12,500,000 shares of our common stock at a price to the public of $4.00 per share, that were purchased by the Underwriters from the Company at a price of $3.76 per share, and on June 25, 2018, we sold an additional 1,875,000 shares of our common stock at a price to the public of $4.00 per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share, that were purchased by the Underwriters from the Company at a price of $3.76 per share, following the full exercise of the underwriters’ option to purchase an additional shares of common stock. We received net proceeds from the offering of $53.8 million, after deducting the underwriting discounts, commissions and offering expenses.</w:t>
      </w:r>
    </w:p>
    <w:p>
      <w:pPr>
        <w:spacing w:after="0" w:line="163"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On August 9, 2018, we filed a prospectus supplement with the SEC pursuant to our previously filed shelf registration statement on Form S-3 (File No. 333-217441). The prospectus covers the offering, issuance and sale of up to $50.0 million of shares of common stock from time to time in “at the market” offerings pursuant to a Sales Agreement entered into with SVB Leerink (formerly known as Leerink Partners LLC), or Leerink, on August 9, 2018. As of June 30, 2019, no shares have been offered or issued or sold against the Sales Agreement with Leerink.</w:t>
      </w:r>
    </w:p>
    <w:p>
      <w:pPr>
        <w:spacing w:after="0" w:line="161"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Our primary sources of cash have been from the sale and issuance of common stock and convertible preferred stock, funds from our collaboration partnerships, and funds from our Loan Agreement with Solar Capital Ltd. and Western Alliance Bank.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62"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believe that our existing capital resources as of June 30, 2019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be able to secure additional collaboration partnerships with third-parties to participate in the development and commercialization of our potential products, our future funding requirements will depend on many factors, including the following:</w:t>
      </w:r>
    </w:p>
    <w:p>
      <w:pPr>
        <w:spacing w:after="0" w:line="163" w:lineRule="exact"/>
        <w:rPr>
          <w:sz w:val="20"/>
          <w:szCs w:val="20"/>
          <w:color w:val="auto"/>
        </w:rPr>
      </w:pPr>
    </w:p>
    <w:p>
      <w:pPr>
        <w:jc w:val="both"/>
        <w:ind w:left="660" w:hanging="333"/>
        <w:spacing w:after="0" w:line="232" w:lineRule="auto"/>
        <w:tabs>
          <w:tab w:leader="none" w:pos="66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ESRD patients on dialysis, and if our clinical program is successful, the submission of an NDA with the FDA to request marketing authorization for tenapanor for the treatment of hyperphosphatemia in ESRD patients on dialysis, as well as our decision whether or not to pursue other indications for tenapanor;</w:t>
      </w:r>
    </w:p>
    <w:p>
      <w:pPr>
        <w:spacing w:after="0" w:line="162" w:lineRule="exact"/>
        <w:rPr>
          <w:rFonts w:ascii="Arial" w:cs="Arial" w:eastAsia="Arial" w:hAnsi="Arial"/>
          <w:sz w:val="17"/>
          <w:szCs w:val="17"/>
          <w:color w:val="231F20"/>
        </w:rPr>
      </w:pPr>
    </w:p>
    <w:p>
      <w:pPr>
        <w:ind w:left="660" w:hanging="333"/>
        <w:spacing w:after="0"/>
        <w:tabs>
          <w:tab w:leader="none" w:pos="66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whether or not we receive approval from the FDA to market tenapanor for the treatment of patients with IBS-C;</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alone or with one or more collaboration partners;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29"/>
        </w:trPr>
        <w:tc>
          <w:tcPr>
            <w:tcW w:w="49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96"/>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used in operating activities</w:t>
            </w: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(44,733)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(24,819)</w:t>
            </w:r>
          </w:p>
        </w:tc>
        <w:tc>
          <w:tcPr>
            <w:tcW w:w="60" w:type="dxa"/>
            <w:vAlign w:val="bottom"/>
            <w:shd w:val="clear" w:color="auto" w:fill="CCEEFF"/>
          </w:tcPr>
          <w:p>
            <w:pPr>
              <w:spacing w:after="0"/>
              <w:rPr>
                <w:sz w:val="14"/>
                <w:szCs w:val="14"/>
                <w:color w:val="auto"/>
              </w:rPr>
            </w:pP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Cash (used in) provided by investing activities</w:t>
            </w: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55,386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(62,176)</w:t>
            </w:r>
          </w:p>
        </w:tc>
        <w:tc>
          <w:tcPr>
            <w:tcW w:w="60" w:type="dxa"/>
            <w:vAlign w:val="bottom"/>
          </w:tcPr>
          <w:p>
            <w:pPr>
              <w:spacing w:after="0"/>
              <w:rPr>
                <w:sz w:val="15"/>
                <w:szCs w:val="15"/>
                <w:color w:val="auto"/>
              </w:rPr>
            </w:pP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103,363</w:t>
            </w:r>
          </w:p>
        </w:tc>
        <w:tc>
          <w:tcPr>
            <w:tcW w:w="60" w:type="dxa"/>
            <w:vAlign w:val="bottom"/>
            <w:shd w:val="clear" w:color="auto" w:fill="CCEEFF"/>
          </w:tcPr>
          <w:p>
            <w:pPr>
              <w:spacing w:after="0"/>
              <w:rPr>
                <w:sz w:val="15"/>
                <w:szCs w:val="15"/>
                <w:color w:val="auto"/>
              </w:rPr>
            </w:pPr>
          </w:p>
        </w:tc>
      </w:tr>
      <w:tr>
        <w:trPr>
          <w:trHeight w:val="176"/>
        </w:trPr>
        <w:tc>
          <w:tcPr>
            <w:tcW w:w="4980" w:type="dxa"/>
            <w:vAlign w:val="bottom"/>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10,858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16,368</w:t>
            </w:r>
          </w:p>
        </w:tc>
        <w:tc>
          <w:tcPr>
            <w:tcW w:w="60" w:type="dxa"/>
            <w:vAlign w:val="bottom"/>
          </w:tcPr>
          <w:p>
            <w:pPr>
              <w:spacing w:after="0"/>
              <w:rPr>
                <w:sz w:val="15"/>
                <w:szCs w:val="15"/>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Net cash used in operating activities during the six months ended June 30, 2019 was approximately $44.7 million. The net loss of $51.6 million was adjusted for (i) non-cash charges of $2.5 million related to depreciation, amortization, non-cash interest expense and change in derivative liabilities and $3.8 million for stock-based compensation, (ii) a decrease of $5.1 million in accounts receivable primarily related to the unbilled license revenue payment received from KKC upon its milestone achievement, and (iii) a $3.2 million decrease in accrued and other liabilities primarily due to expenses for the clinical manufacturing, process development, and clinical development activities for tenapanor, and (iv) a $1.3 million decrease in accounts payable and accrued compensation and benefits primarily due to payment timing.</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Net cash used in operating activities during the six months ended June 30, 2018 was approximately $24.8 million. The net loss of $39.3 million was adjusted for non-cash charges of $1.3 million related to depreciation, amortization and non-cash interest expense and $5.0 million for stock-based compensation, and an increase to cash of $8.2 million related to other working capital items associated with changes in our net operating assets and liabilities primarily related to a decrease of receivables related to the Fosun Agreement, offset by working capital related to clinical development and manufacturing of tenapanor.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provided by investing activities was $55.4 million for the six months ended June 30, 2019, primarily due to maturities of investments of $86.5 million offset by purchases of investments of $30.9 million and purchases of property and equipment of $0.2 million.</w:t>
      </w:r>
    </w:p>
    <w:p>
      <w:pPr>
        <w:spacing w:after="0" w:line="16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used in investing activities was $62.2 million for the six months ended June 30, 2018, primarily due to purchases of investments of $119.0 million offset by maturities of investments of $56.0 million and redemptions of investments of $0.8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provided by financing activities for the six months ended June 30, 2019 was $0.2 million, primarily due to net proceeds of $0.2 million from issuance of common stock under the employee stock purchase plan, or ESPP, and exercise of options.</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Net cash provided by financing activities for the six months ended June 30, 2018 was $103.4 million, primarily due to net proceeds of $53.8 million, after deducting the underwriting discounts and commissions and offering expenses from an underwritten public offering of our common stock in May 2018, net proceeds of $49.3 million, after deducting the closing fee, legal expenses and issuance cost from the term loan provided by Solar Capital Ltd. and Western Alliance Bank, and net proceeds of $0.3 million from issuance of common stock under ESPP.</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324"/>
        <w:spacing w:after="0" w:line="194" w:lineRule="exact"/>
        <w:rPr>
          <w:sz w:val="20"/>
          <w:szCs w:val="20"/>
          <w:color w:val="auto"/>
        </w:rPr>
      </w:pPr>
      <w:r>
        <w:rPr>
          <w:rFonts w:ascii="Arial" w:cs="Arial" w:eastAsia="Arial" w:hAnsi="Arial"/>
          <w:sz w:val="18"/>
          <w:szCs w:val="18"/>
          <w:color w:val="auto"/>
        </w:rPr>
        <w:t>Refer to “Note 2. Summary Of Significant Accounting Policies” in the notes to our unaudited interim condensed consolidated financial statements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 discussion of recent accounting pronouncements.</w:t>
      </w:r>
    </w:p>
    <w:p>
      <w:pPr>
        <w:spacing w:after="0" w:line="1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i w:val="1"/>
          <w:iCs w:val="1"/>
          <w:color w:val="auto"/>
        </w:rPr>
        <w:t xml:space="preserve">Foreign Currency Risk. </w:t>
      </w:r>
      <w:r>
        <w:rPr>
          <w:rFonts w:ascii="Arial" w:cs="Arial" w:eastAsia="Arial" w:hAnsi="Arial"/>
          <w:sz w:val="17"/>
          <w:szCs w:val="17"/>
          <w:color w:val="auto"/>
        </w:rPr>
        <w:t>The majority of our transactions occur in U.S. dollars. However, we do have certain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preclinical and clinical activities. During March 2019, we settled a forward currency exchange contract denominated in Swiss francs, that was not designated as a cash flow hedge, and was to secure a foreign currency exchange rate when a contract is executed involving payment in a foreign currency in order to minimize cash flow exposure to fluctuating exchange rates.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counterparty to our forward foreign currency exchange contracts are creditworthy commercial banks, which minimizes the risk of counterparty nonperformance.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2019, we had no open forward foreign currency exchange contracts.</w:t>
      </w:r>
    </w:p>
    <w:p>
      <w:pPr>
        <w:spacing w:after="0" w:line="18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interest rate fluctuation exposure through our borrowings under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our investment in money market accounts which bear a variable interest rate. Borrowings under the Loan Agreement bear interest at a rate equal to one-month LIBOR plus 7.45% per annum. A hypothetical increase in one-month LIBOR of 100 basis points above the current one-month LIBOR rates would have increased our interest expense by approximately $0.1 million as of June 30, 2019. We had $49.6 million aggregate principal amount of loan outstanding as of June 30, 2019.</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subject to interest rate fluctuation exposure through our investments,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firstLine="324"/>
        <w:spacing w:after="0" w:line="182" w:lineRule="exact"/>
        <w:rPr>
          <w:sz w:val="20"/>
          <w:szCs w:val="20"/>
          <w:color w:val="auto"/>
        </w:rPr>
      </w:pPr>
      <w:r>
        <w:rPr>
          <w:rFonts w:ascii="Arial" w:cs="Arial" w:eastAsia="Arial" w:hAnsi="Arial"/>
          <w:sz w:val="17"/>
          <w:szCs w:val="17"/>
          <w:color w:val="auto"/>
        </w:rPr>
        <w:t>As required by Rule 13a</w:t>
      </w:r>
      <w:r>
        <w:rPr>
          <w:rFonts w:ascii="MS PGothic" w:cs="MS PGothic" w:eastAsia="MS PGothic" w:hAnsi="MS PGothic"/>
          <w:sz w:val="17"/>
          <w:szCs w:val="17"/>
          <w:color w:val="auto"/>
        </w:rPr>
        <w:t>‑</w:t>
      </w:r>
      <w:r>
        <w:rPr>
          <w:rFonts w:ascii="Arial" w:cs="Arial" w:eastAsia="Arial" w:hAnsi="Arial"/>
          <w:sz w:val="17"/>
          <w:szCs w:val="17"/>
          <w:color w:val="auto"/>
        </w:rPr>
        <w:t>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June 30, 2019.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June 30, 2019, our disclosure controls and procedures were not effective due to the material weakness in internal control over financial reporting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Our management assessed our internal control over financial reporting as of June 30, 2019, the end of the period covered by this Quarterly Report on Form 10-Q. Management based its assessment on criteria established in “Internal Control— Integrated Framework (2013)” issued by the Committee of Sponsoring Organizations of the Treadway Commission. Based on management’s assessment of our internal control over financial reporting, management concluded that, as of June 30, 2019, our internal control over financial reporting was not effective. Management and our independent registered public accounting firm identified a control deficiency that constitutes a material weakness. The material weakness was due to a failure in the design and implementation of controls over the evaluation of the terms of our clinical trial contracts for inclusion into our clinical financial model which estimates clinical trial expenses. Specifically, we failed to properly interpret an expense in our clinical trial contracts which resulted in the over accrual of our clinical trial expenses.</w:t>
      </w:r>
    </w:p>
    <w:p>
      <w:pPr>
        <w:spacing w:after="0" w:line="168"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A material weakness is a control deficiency, or a combination of control deficiencies in internal control over financial reporting, such that there is a reasonable possibility that a material misstatement of the annual or interim financial statements or related disclosures will not be prevented or detected on a timely basis. Based on management’s assessment of those criteria, management has concluded that the design and operating effectiveness of our internal control over financial reporting was not effective as of June 30, 2019, based on the material weakness noted above.</w:t>
      </w:r>
    </w:p>
    <w:p>
      <w:pPr>
        <w:spacing w:after="0" w:line="16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have developed a remediation plan to address the material weakness discussed above and to improve our internal control over financial reporting. The plan includes:</w:t>
      </w:r>
    </w:p>
    <w:p>
      <w:pPr>
        <w:spacing w:after="0" w:line="162" w:lineRule="exact"/>
        <w:rPr>
          <w:sz w:val="20"/>
          <w:szCs w:val="20"/>
          <w:color w:val="auto"/>
        </w:rPr>
      </w:pPr>
    </w:p>
    <w:p>
      <w:pPr>
        <w:jc w:val="both"/>
        <w:ind w:left="660" w:hanging="333"/>
        <w:spacing w:after="0" w:line="22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Designing and implementing an effective internal control related to internal communication and joint review between the clinical, legal and accounting groups in the establishment of new clinical financial models when clinical contracts are executed to ensure that clinical contracts are properly interpreted and that estimates of clinical expenses are based on appropriate drivers;</w:t>
      </w:r>
    </w:p>
    <w:p>
      <w:pPr>
        <w:spacing w:after="0" w:line="3" w:lineRule="exact"/>
        <w:rPr>
          <w:rFonts w:ascii="Arial" w:cs="Arial" w:eastAsia="Arial" w:hAnsi="Arial"/>
          <w:sz w:val="18"/>
          <w:szCs w:val="18"/>
          <w:color w:val="auto"/>
        </w:rPr>
      </w:pPr>
    </w:p>
    <w:p>
      <w:pPr>
        <w:jc w:val="both"/>
        <w:ind w:left="660" w:hanging="333"/>
        <w:spacing w:after="0" w:line="21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Enhancing the precision of an internal control related to the tracking of invoices and comparison to the clinical financial model to assure that clinical expenses within the clinical financial model are appropriately included and estimated; and</w:t>
      </w:r>
    </w:p>
    <w:p>
      <w:pPr>
        <w:jc w:val="both"/>
        <w:ind w:left="660" w:hanging="333"/>
        <w:spacing w:after="0" w:line="24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Implementing an ongoing review of the accrual models where assumptions and estimates built into the models are reassessed for reasonableness, considering any new information known as of that date that would challenge the</w:t>
      </w:r>
    </w:p>
    <w:p>
      <w:pPr>
        <w:ind w:left="660"/>
        <w:spacing w:after="0" w:line="220" w:lineRule="auto"/>
        <w:rPr>
          <w:sz w:val="20"/>
          <w:szCs w:val="20"/>
          <w:color w:val="auto"/>
        </w:rPr>
      </w:pPr>
      <w:r>
        <w:rPr>
          <w:rFonts w:ascii="Arial" w:cs="Arial" w:eastAsia="Arial" w:hAnsi="Arial"/>
          <w:sz w:val="18"/>
          <w:szCs w:val="18"/>
          <w:color w:val="auto"/>
        </w:rPr>
        <w:t>initial considerations made when the model was set up.</w:t>
      </w:r>
    </w:p>
    <w:p>
      <w:pPr>
        <w:ind w:firstLine="324"/>
        <w:spacing w:after="0" w:line="226" w:lineRule="auto"/>
        <w:rPr>
          <w:sz w:val="20"/>
          <w:szCs w:val="20"/>
          <w:color w:val="auto"/>
        </w:rPr>
      </w:pPr>
      <w:r>
        <w:rPr>
          <w:rFonts w:ascii="Arial" w:cs="Arial" w:eastAsia="Arial" w:hAnsi="Arial"/>
          <w:sz w:val="18"/>
          <w:szCs w:val="18"/>
          <w:color w:val="auto"/>
        </w:rPr>
        <w:t>There can be no assurance that the measures we take in response to the material weakness will be sufficient to remediate such material weakness or to avoid potential future material weakness or significant deficiencies.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June 30, 2019, there is no litigation pending that would reasonably be expected to have a material adverse effect on our results of operations and financial condition.</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firstLine="324"/>
        <w:spacing w:after="0" w:line="185"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June 30, 2019, we had an accumulated deficit of $417.1 million.</w:t>
      </w:r>
    </w:p>
    <w:p>
      <w:pPr>
        <w:spacing w:after="0" w:line="16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end stage renal disease, or ESRD, patients on dialysis, and if such Phase 3 development is successful, preparing the new drug application, or NDA, for submission to the U.S. Food and Drug Administration, or FDA, to request marketing authorization for tenapanor for the treatment of hyperphosphatemia in ESRD patients on dialysis, and continuing our discovery and research activities.</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6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one or more indications, either on our own, or with one or more collaboration partners. Even if we are successful in obtaining regulatory and marketing approval for tenapanor for the treatment of IBS-C, we may elect not to commercialize tenapanor for such indication in the United States if we do not identify a collaboration partner, or are unable to negotiate acceptable terms for a collaboration partnership for the commercialization of tenapanor for IBS-C in the United States. There can be no assurances that we will generate product revenue from sales of tenapanor for the treatment of IBS-C in the United States, either on our own, or with a collaboration partner. We do not currently anticipate generating revenue from product sales for the foreseeable future. Our ability to generate future revenue from product sales or pursuant to milestone payments depends heavily on many factors, including but not limited to:</w:t>
      </w:r>
    </w:p>
    <w:p>
      <w:pPr>
        <w:spacing w:after="0" w:line="167"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successful completion of nonclinical and clinical development of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7"/>
          <w:szCs w:val="17"/>
          <w:color w:val="231F20"/>
        </w:rPr>
      </w:pPr>
      <w:r>
        <w:rPr>
          <w:rFonts w:ascii="Arial" w:cs="Arial" w:eastAsia="Arial" w:hAnsi="Arial"/>
          <w:sz w:val="17"/>
          <w:szCs w:val="17"/>
          <w:color w:val="auto"/>
        </w:rPr>
        <w:t>obtaining regulatory approvals for tenapanor, either on our own, or with one or more collaboration partners;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our ability to identify a collaboration partnership and negotiate acceptable terms for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on our own, or with one or more collaboration partners;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if approved;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obtaining market acceptance of tenapanor, if approved, as a viable treatment option for the indications for which it is approved and commercialized;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18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cases where we are successful in obtaining regulatory approvals to market tenapanor for one or more indications, our revenue will be dependent, in part, upon the size of the markets in the territories for which regulatory approval is granted, our decision whether or not to commercialize tenapanor for the IBS-C indication in the United States,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12. COLLABORATION AND LICENSING AGREEMENTS for details on our obligations to AstraZeneca. If the number of patients suitable for tenapanor is not as significant as we estimate, the indications approved by regulatory authorities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are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0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On May 16, 2018, we entered into a loan and security agreement with Solar Capital, Ltd. and Western Alliance Bank, or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2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 xml:space="preserve">Additionally,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4"/>
          <w:szCs w:val="14"/>
          <w:color w:val="auto"/>
        </w:rPr>
        <w:t>the</w:t>
      </w:r>
      <w:r>
        <w:rPr>
          <w:rFonts w:ascii="Arial" w:cs="Arial" w:eastAsia="Arial" w:hAnsi="Arial"/>
          <w:sz w:val="16"/>
          <w:szCs w:val="16"/>
          <w:color w:val="auto"/>
        </w:rPr>
        <w:t xml:space="preserve"> Lenders to accelerate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ESRD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and commercialization or co-promotion of any of our product candidates. Our future funding requirements will depend on many factors, including, but not limited to:</w:t>
      </w:r>
    </w:p>
    <w:p>
      <w:pPr>
        <w:spacing w:after="0" w:line="162" w:lineRule="exact"/>
        <w:rPr>
          <w:sz w:val="20"/>
          <w:szCs w:val="20"/>
          <w:color w:val="auto"/>
        </w:rPr>
      </w:pPr>
    </w:p>
    <w:p>
      <w:pPr>
        <w:jc w:val="both"/>
        <w:ind w:left="660" w:hanging="333"/>
        <w:spacing w:after="0" w:line="232" w:lineRule="auto"/>
        <w:tabs>
          <w:tab w:leader="none" w:pos="660" w:val="left"/>
        </w:tabs>
        <w:numPr>
          <w:ilvl w:val="0"/>
          <w:numId w:val="18"/>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ESRD patients on dialysis, and if our clinical program is successful, the submission of an NDA with the FDA to request marketing authorization for tenapanor for the treatment of hyperphosphatemia in ESRD patients on dialysis, as well as our decision whether or not to pursue other indications for tenapanor;</w:t>
      </w:r>
    </w:p>
    <w:p>
      <w:pPr>
        <w:spacing w:after="0" w:line="162" w:lineRule="exact"/>
        <w:rPr>
          <w:rFonts w:ascii="Arial" w:cs="Arial" w:eastAsia="Arial" w:hAnsi="Arial"/>
          <w:sz w:val="17"/>
          <w:szCs w:val="17"/>
          <w:color w:val="231F20"/>
        </w:rPr>
      </w:pPr>
    </w:p>
    <w:p>
      <w:pPr>
        <w:ind w:left="660" w:hanging="333"/>
        <w:spacing w:after="0"/>
        <w:tabs>
          <w:tab w:leader="none" w:pos="660" w:val="left"/>
        </w:tabs>
        <w:numPr>
          <w:ilvl w:val="0"/>
          <w:numId w:val="18"/>
        </w:numPr>
        <w:rPr>
          <w:rFonts w:ascii="Arial" w:cs="Arial" w:eastAsia="Arial" w:hAnsi="Arial"/>
          <w:sz w:val="17"/>
          <w:szCs w:val="17"/>
          <w:color w:val="231F20"/>
        </w:rPr>
      </w:pPr>
      <w:r>
        <w:rPr>
          <w:rFonts w:ascii="Arial" w:cs="Arial" w:eastAsia="Arial" w:hAnsi="Arial"/>
          <w:sz w:val="17"/>
          <w:szCs w:val="17"/>
          <w:color w:val="auto"/>
        </w:rPr>
        <w:t>whether or not we receive approval from the FDA to market tenapanor for the treatment of patients with IBS-C;</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alone or with one or more collaboration partners;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8"/>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62"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be successful in further clinical trials, receive regulatory approval or be successfully commercialized.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63" w:lineRule="exact"/>
        <w:rPr>
          <w:sz w:val="20"/>
          <w:szCs w:val="20"/>
          <w:color w:val="auto"/>
        </w:rPr>
      </w:pPr>
    </w:p>
    <w:p>
      <w:pPr>
        <w:ind w:left="660" w:hanging="333"/>
        <w:spacing w:after="0" w:line="235"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1"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fully demonstrated, and to manufacture supplies of tenapanor and to develop, validate and maintain commercially viable manufacturing processes that are compliant with cGMP, requirements;</w:t>
      </w:r>
    </w:p>
    <w:p>
      <w:pPr>
        <w:spacing w:after="0" w:line="162"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whether the FDA or foreign regulatory authorities require us or our collaboration partners to conduct clinical trials in addition to those anticipated prior to approval to market tenapanor, which could delay the commercialization of tenapanor;</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whether or not the content of the label approved by the FDA or foreign regulatory authorities may materially and adversely impact our ability, or the ability of our collaboration partners to commercialize the product for the approved indication, or for any other indication;</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7"/>
          <w:szCs w:val="17"/>
          <w:color w:val="231F20"/>
        </w:rPr>
      </w:pPr>
      <w:r>
        <w:rPr>
          <w:rFonts w:ascii="Arial" w:cs="Arial" w:eastAsia="Arial" w:hAnsi="Arial"/>
          <w:sz w:val="17"/>
          <w:szCs w:val="17"/>
          <w:color w:val="auto"/>
        </w:rPr>
        <w:t>obtaining and sustaining an adequate level of coverage and reimbursement for tenapanor by third-party payors;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185" w:lineRule="exact"/>
        <w:rPr>
          <w:sz w:val="20"/>
          <w:szCs w:val="20"/>
          <w:color w:val="auto"/>
        </w:rPr>
      </w:pPr>
    </w:p>
    <w:p>
      <w:pPr>
        <w:ind w:right="100"/>
        <w:spacing w:after="0" w:line="220" w:lineRule="auto"/>
        <w:rPr>
          <w:sz w:val="20"/>
          <w:szCs w:val="20"/>
          <w:color w:val="auto"/>
        </w:rPr>
      </w:pPr>
      <w:r>
        <w:rPr>
          <w:rFonts w:ascii="Arial" w:cs="Arial" w:eastAsia="Arial" w:hAnsi="Arial"/>
          <w:sz w:val="17"/>
          <w:szCs w:val="17"/>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we will receive marketing authorization from FDA. Similarly, although tenapanor met the primary endpoint in the first Phase 3 clinical trial for the treatment of hyperphosphatemia in ESRD patients on dialysis, there can be no assurances that the second Phase 3 trial or any additional trials of tenapanor in this indication will achieve the primary endpoint. There can be no assurances that we will receive regulatory approval to market tenapanor for the treatment of hyperphosphatemia in ESRD patients on dialysis, either as monotherapy or as adjuvant therapy with phosphate binders.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We are currently conducting the PHREEDOM trial, our second Phase 3 clinical trial for tenapanor as monotherapy for the treatment of hyperphosphatemia in ESRD patients on dialysis, as well the AMPLIFY trial, a Phase 3 clinical trials evaluating tenapanor’s efficacy in combination with phosphate binders for hyperphosphatemia in ESRD patients who are on dialysis. Although tenapanor met the primary endpoint in the first Phase 3 clinical trial for the treatment of hyperphosphatemia in ESRD patients on dialysis, there can be no assurances that the second Phase 3 trial results or any additional trial results of tenapanor in that indication will show the desired safety and efficacy.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Phase 3 clinical development program for tenapanor for the treatment of hyperphosphatemia is completed, and despite the completion of our Phase 3 program for tenapanor for IBS-C, the results for indications sought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232"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Furthermore, we could encounter delays if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Further, if there are delays in the completion of, or termination of, our clinical trials for tenapanor for the treatment of hyperphosphatemia, the commercial prospects of tenapanor for such indication may be harmed, and our ability to generate revenue from product sales of tenapanor for such indication will be delayed. In addition, any delays in completing a clinical trial will increase costs, slow down our regulatory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either or both of our ongoing hyperphosphatemia clinical trials may also ultimately lead to the denial of regulatory approval.</w:t>
      </w:r>
    </w:p>
    <w:p>
      <w:pPr>
        <w:spacing w:after="0" w:line="16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Even if we successfully obtain regulatory approval for tenapanor for one or more indications, it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Even if we obtain FDA or other regulatory approvals required to market tenapanor, and it is ultimately commercialized for one or more indications, it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122" w:lineRule="exact"/>
        <w:rPr>
          <w:sz w:val="20"/>
          <w:szCs w:val="20"/>
          <w:color w:val="auto"/>
        </w:rPr>
      </w:pPr>
    </w:p>
    <w:p>
      <w:pPr>
        <w:jc w:val="both"/>
        <w:ind w:left="660" w:hanging="333"/>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demonstrated in clinical trials;</w:t>
      </w:r>
    </w:p>
    <w:p>
      <w:pPr>
        <w:spacing w:after="0" w:line="144"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tenapanor for hyperphosphatemia, whether tenapanor, along with other oral only medications, are included in the bundled prospective payment system for the treatment of ESRD patients, and the manner in which such transition is achieved;</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willingness to pay for tenapanor, if approved, on the part of physicians and patients;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4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If we are unable to enter collaborative relationships a timely manner, or on acceptable terms, and/or we fail or are delayed in the development of our internal sales, marketing and distribution capabilities, we may choose to delay the commercialization of our products and/or the commercialization of our products could be adversely impacted.</w:t>
      </w:r>
    </w:p>
    <w:p>
      <w:pPr>
        <w:spacing w:after="0" w:line="1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6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6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There is increased uncertainty related to insurance coverage and reimbursement for drugs, like tenapanor, which, if approved, will be marketed for the treatment of hyperphosphatemia in ESRD patients. 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absent further legislation on this matter, beginning in 2025, oral-only ESRD-related drugs may be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6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7" w:lineRule="exact"/>
        <w:rPr>
          <w:sz w:val="20"/>
          <w:szCs w:val="20"/>
          <w:color w:val="auto"/>
        </w:rPr>
      </w:pPr>
    </w:p>
    <w:p>
      <w:pPr>
        <w:ind w:right="160" w:firstLine="324"/>
        <w:spacing w:after="0" w:line="23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33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6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68"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62" w:lineRule="exact"/>
        <w:rPr>
          <w:sz w:val="20"/>
          <w:szCs w:val="20"/>
          <w:color w:val="auto"/>
        </w:rPr>
      </w:pPr>
    </w:p>
    <w:p>
      <w:pPr>
        <w:jc w:val="both"/>
        <w:ind w:left="660" w:hanging="333"/>
        <w:spacing w:after="0" w:line="224"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7"/>
          <w:szCs w:val="17"/>
          <w:color w:val="231F20"/>
        </w:rPr>
      </w:pPr>
      <w:r>
        <w:rPr>
          <w:rFonts w:ascii="Arial" w:cs="Arial" w:eastAsia="Arial" w:hAnsi="Arial"/>
          <w:sz w:val="17"/>
          <w:szCs w:val="17"/>
          <w:color w:val="auto"/>
        </w:rPr>
        <w:t>product candidates we develop may nevertheless be covered by third parties’ patents or other exclusive rights;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2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63"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17"/>
          <w:szCs w:val="17"/>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tenapanor or any of our other product candidates receives marketing approval and we or others later identify undesirable side effects caused by the product candidate, the ability to market the product candidates could be compromised.</w:t>
      </w:r>
    </w:p>
    <w:p>
      <w:pPr>
        <w:spacing w:after="0" w:line="15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0"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163"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44" w:lineRule="exact"/>
        <w:rPr>
          <w:rFonts w:ascii="Arial" w:cs="Arial" w:eastAsia="Arial" w:hAnsi="Arial"/>
          <w:sz w:val="18"/>
          <w:szCs w:val="18"/>
          <w:color w:val="231F20"/>
        </w:rPr>
      </w:pPr>
    </w:p>
    <w:p>
      <w:pPr>
        <w:jc w:val="both"/>
        <w:ind w:left="660" w:hanging="333"/>
        <w:spacing w:after="0" w:line="216"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7"/>
          <w:szCs w:val="17"/>
          <w:color w:val="231F20"/>
        </w:rPr>
      </w:pPr>
      <w:r>
        <w:rPr>
          <w:rFonts w:ascii="Arial" w:cs="Arial" w:eastAsia="Arial" w:hAnsi="Arial"/>
          <w:sz w:val="17"/>
          <w:szCs w:val="17"/>
          <w:color w:val="auto"/>
        </w:rPr>
        <w:t>we, or a collaboration partner, may be subject to fines, injunctions or the imposition of civil or criminal penalties;</w:t>
      </w:r>
    </w:p>
    <w:p>
      <w:pPr>
        <w:spacing w:after="0" w:line="155"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6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example, tenapanor will, if approved for the treatment of hyperphosphatemia in ESRD patients on dialysis, compete directly with phosphate binders for the treatment of hyperphosphatemia in ESRD patients on dialysis. The various types of phosphate binders commercialized in the United States include the following:</w:t>
      </w:r>
    </w:p>
    <w:p>
      <w:pPr>
        <w:spacing w:after="0" w:line="163"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Lanthanum carbonate (Fosrenol)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Sevelamer hydrochloride (Renagel)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Sevelamer carbonate (Renvela)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Sucroferric oxyhydroxide (Velphoro)</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Ferric citrate (Auryxia)</w:t>
      </w:r>
    </w:p>
    <w:p>
      <w:pPr>
        <w:spacing w:after="0" w:line="185"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hydrochloride form of sevelamer, Renagel, was launched in the United States by Genzyme Corporation in 1998 prior to its acquisition by Sanofi, and the carbonate form, Renvela, was launched in 2008. Sanofi booked €411 million ($470 million) in worldwide sales of sevelamer during 2018 and €145 million ($162 million) in the first half of 2019.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63" w:lineRule="exact"/>
        <w:rPr>
          <w:sz w:val="20"/>
          <w:szCs w:val="20"/>
          <w:color w:val="auto"/>
        </w:rPr>
      </w:pPr>
    </w:p>
    <w:p>
      <w:pPr>
        <w:jc w:val="both"/>
        <w:ind w:left="660" w:hanging="333"/>
        <w:spacing w:after="0" w:line="224" w:lineRule="auto"/>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manage our clinical trials effectively, including the Phase 3 trial of tenapanor and the clinical trials evaluating tenapanor as adjuvant therapy to, and in combination with, phosphate binders, all of which are being conducted at multiple trial sites;</w:t>
      </w:r>
    </w:p>
    <w:p>
      <w:pPr>
        <w:spacing w:after="0" w:line="163" w:lineRule="exact"/>
        <w:rPr>
          <w:rFonts w:ascii="Arial" w:cs="Arial" w:eastAsia="Arial" w:hAnsi="Arial"/>
          <w:sz w:val="18"/>
          <w:szCs w:val="18"/>
          <w:color w:val="231F20"/>
        </w:rPr>
      </w:pPr>
    </w:p>
    <w:p>
      <w:pPr>
        <w:ind w:left="640" w:hanging="286"/>
        <w:spacing w:after="0" w:line="235" w:lineRule="auto"/>
        <w:tabs>
          <w:tab w:leader="none" w:pos="640" w:val="left"/>
        </w:tabs>
        <w:numPr>
          <w:ilvl w:val="1"/>
          <w:numId w:val="26"/>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1" w:lineRule="exact"/>
        <w:rPr>
          <w:rFonts w:ascii="Arial" w:cs="Arial" w:eastAsia="Arial" w:hAnsi="Arial"/>
          <w:sz w:val="18"/>
          <w:szCs w:val="18"/>
          <w:color w:val="231F20"/>
        </w:rPr>
      </w:pPr>
    </w:p>
    <w:p>
      <w:pPr>
        <w:ind w:left="640" w:hanging="286"/>
        <w:spacing w:after="0"/>
        <w:tabs>
          <w:tab w:leader="none" w:pos="640" w:val="left"/>
        </w:tabs>
        <w:numPr>
          <w:ilvl w:val="1"/>
          <w:numId w:val="26"/>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07" w:lineRule="exact"/>
        <w:rPr>
          <w:rFonts w:ascii="Arial" w:cs="Arial" w:eastAsia="Arial" w:hAnsi="Arial"/>
          <w:sz w:val="16"/>
          <w:szCs w:val="16"/>
          <w:color w:val="231F20"/>
        </w:rPr>
      </w:pPr>
    </w:p>
    <w:p>
      <w:pPr>
        <w:ind w:left="640" w:hanging="286"/>
        <w:spacing w:after="0"/>
        <w:tabs>
          <w:tab w:leader="none" w:pos="640" w:val="left"/>
        </w:tabs>
        <w:numPr>
          <w:ilvl w:val="1"/>
          <w:numId w:val="26"/>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or comparable regulatory authorities, fail to provide us with sufficient quantities of drug, or fail to do so at acceptable quality levels or prices.</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must be approved by the FDA pursuant to inspections that will be conducted after an NDA is submitted to the FDA including the NDA we submitted in September 2018.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68"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2"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6"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are highly dependent on the services of our President and Chief Executive Officer, Michael Raab and our Chief Development Officer, David Rosenbaum, Ph.D. If we are not able to retain these members of our management team, or recruit additional management and clinical personnel, our business will suffer.</w:t>
      </w:r>
    </w:p>
    <w:p>
      <w:pPr>
        <w:spacing w:after="0" w:line="16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In particular, we are highly dependent upon Michael Raab, our President and Chief Executive Officer and David Rosenbaum, Ph.D., our Chief Development Officer. The loss of services of either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6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December 31, 2019.</w:t>
      </w:r>
    </w:p>
    <w:p>
      <w:pPr>
        <w:spacing w:after="0" w:line="16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June 30, 2019. If we fail to remediate this weakness and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55"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In accordance with Section 404, management assessed the effectiveness of our internal control over financial reporting as of June 30, 2019 and based on our management’s assessment using criteria established in “Internal Control—Integrated Framework (2013)” issued by the Committee of Sponsoring Organizations of the Treadway Commission, management concluded that our internal control over financial reporting was not effective as of June 30, 2019. Management and our independent registered public accounting firm identified a control deficiency that constitutes a material weakness. The material weakness was due to a failure in the design and implementation of controls over the evaluation of the terms of our clinical trial contracts for inclusion into our clinical financial model which estimates clinical trial expenses. Specifically, we failed to properly interpret an expense in our clinical trial contracts which resulted in the over accrual of our clinical trial expenses.</w:t>
      </w:r>
    </w:p>
    <w:p>
      <w:pPr>
        <w:spacing w:after="0" w:line="166"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We have developed a remediation plan for this material weakness. While we intend to implement this plan to remediate the material weakness, we have not completed the implementation of this plan, and we can give no assurance that our current and planned implementation will remediate this deficiency in our internal control or that additional 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 over financial reporting, investor confidence in the reliability of our financial reports may be adversely affected, which could have a material adverse effect on the trading price of our common stock.</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Kirin Co., Ltd., formerly known as, Kyowa Hakko Kirin Co., Ltd for commercialization of tenapanor for hyperphosphatemia in Japan, with Shanghai Fosun Pharmaceutical Industrial Development Co. Ltd. for commercialization of tenapanor for hyperphosphatemia and IBS-C in China and related territories, and in Canada with Knight Therapeutics Inc.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a collaboration partnership for tenapanor for IBS-C commercialization in the United States or for any future product candidates and programs on terms that are acceptable to us, or at all. With respect to tenapanor for IBS-C in the United States, this may be because third parties may not view tenapanor for the treatment of IBS-C as having sufficient potential to be successfully commercialized. Additionally, despite third party interest in the commercialization of tenapanor for IBS-C in the United States, we may decide that it is not in the best interests of the Company to enter into such a collaboration partnership. If we are unable to establish a collaboration partnership for the commercialization of IBS-C in the United States under acceptable terms, the commercialization of tenapanor for IBS-C, if approved,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63" w:lineRule="exact"/>
        <w:rPr>
          <w:sz w:val="20"/>
          <w:szCs w:val="20"/>
          <w:color w:val="auto"/>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 to pay for acquisitions;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7"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to Japan, China and Canada, 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61"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6"/>
          <w:szCs w:val="16"/>
          <w:color w:val="231F20"/>
        </w:rPr>
      </w:pPr>
      <w:r>
        <w:rPr>
          <w:rFonts w:ascii="Arial" w:cs="Arial" w:eastAsia="Arial" w:hAnsi="Arial"/>
          <w:sz w:val="16"/>
          <w:szCs w:val="16"/>
          <w:color w:val="auto"/>
        </w:rPr>
        <w:t>production shortages resulting from any events affecting raw material supply or manufacturing capabilities abroad;</w:t>
      </w:r>
    </w:p>
    <w:p>
      <w:pPr>
        <w:spacing w:after="0" w:line="207" w:lineRule="exact"/>
        <w:rPr>
          <w:rFonts w:ascii="Arial" w:cs="Arial" w:eastAsia="Arial" w:hAnsi="Arial"/>
          <w:sz w:val="16"/>
          <w:szCs w:val="16"/>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7"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68"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63"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63"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In September 2018, we submitted our first NDA to the FDA seeking marketing approval for tenapanor for IBS-C, and in February 2019, Knight, our collaboration partner in Canada, submitted a New Drug Submission, or NDS, seeking approval by Health Canada to market tenapanor for IBS-C in Canada. The NDS was accepted for review in June 2019. Neither we, nor our collaboration partners, have submitted any other applications or obtained marketing approval for any of our product candidates.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67"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4"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62" w:lineRule="exact"/>
        <w:rPr>
          <w:sz w:val="20"/>
          <w:szCs w:val="20"/>
          <w:color w:val="auto"/>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61"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31"/>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5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63" w:lineRule="exact"/>
        <w:rPr>
          <w:sz w:val="20"/>
          <w:szCs w:val="20"/>
          <w:color w:val="auto"/>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warning letters, fines or holds on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18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regulatory authority. If these executive actions impose constraints on FDA's ability to engage in oversight and implementation activities in the normal course, our business may be negatively impacted.</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7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63"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6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63"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163"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61"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and our collaboration partners may be subject to additional healthcare statutory and regulatory requirements and enforcement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by the federal government and the states and foreign governments in which we conduct our business. The laws that may affect our ability to operate as a commercial organization include:</w:t>
      </w:r>
    </w:p>
    <w:p>
      <w:pPr>
        <w:spacing w:after="0" w:line="162" w:lineRule="exact"/>
        <w:rPr>
          <w:sz w:val="20"/>
          <w:szCs w:val="20"/>
          <w:color w:val="auto"/>
        </w:rPr>
      </w:pPr>
    </w:p>
    <w:p>
      <w:pPr>
        <w:jc w:val="both"/>
        <w:ind w:left="660" w:hanging="333"/>
        <w:spacing w:after="0" w:line="232" w:lineRule="auto"/>
        <w:tabs>
          <w:tab w:leader="none" w:pos="660" w:val="left"/>
        </w:tabs>
        <w:numPr>
          <w:ilvl w:val="0"/>
          <w:numId w:val="33"/>
        </w:numPr>
        <w:rPr>
          <w:rFonts w:ascii="Arial" w:cs="Arial" w:eastAsia="Arial" w:hAnsi="Arial"/>
          <w:sz w:val="17"/>
          <w:szCs w:val="17"/>
          <w:color w:val="231F20"/>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62" w:lineRule="exact"/>
        <w:rPr>
          <w:rFonts w:ascii="Arial" w:cs="Arial" w:eastAsia="Arial" w:hAnsi="Arial"/>
          <w:sz w:val="17"/>
          <w:szCs w:val="17"/>
          <w:color w:val="231F20"/>
        </w:rPr>
      </w:pPr>
    </w:p>
    <w:p>
      <w:pPr>
        <w:jc w:val="both"/>
        <w:ind w:left="660" w:hanging="333"/>
        <w:spacing w:after="0" w:line="224"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63"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33"/>
        </w:numPr>
        <w:rPr>
          <w:rFonts w:ascii="Arial" w:cs="Arial" w:eastAsia="Arial" w:hAnsi="Arial"/>
          <w:sz w:val="17"/>
          <w:szCs w:val="17"/>
          <w:color w:val="231F20"/>
        </w:rPr>
      </w:pPr>
      <w:r>
        <w:rPr>
          <w:rFonts w:ascii="Arial" w:cs="Arial" w:eastAsia="Arial" w:hAnsi="Arial"/>
          <w:sz w:val="17"/>
          <w:szCs w:val="17"/>
          <w:color w:val="auto"/>
        </w:rPr>
        <w:t>the federal physician sunshine requirements under the Affordable Care Act, which requires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62"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3"/>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6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62" w:lineRule="exact"/>
        <w:rPr>
          <w:sz w:val="20"/>
          <w:szCs w:val="20"/>
          <w:color w:val="auto"/>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The Bipartisan Budget Act of 2018 increased this discount to 70% beginning in January 2019.</w:t>
      </w:r>
    </w:p>
    <w:p>
      <w:pPr>
        <w:spacing w:after="0" w:line="163"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currently expect that federal and state legislatures within the United States and foreign governments will continue to consider changes to existing healthcare legislation, and we currently expect that the current Presidential Administration will continue to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6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2027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66"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70"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5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67"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2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3"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63" w:lineRule="exact"/>
        <w:rPr>
          <w:sz w:val="20"/>
          <w:szCs w:val="20"/>
          <w:color w:val="auto"/>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clinical trials for tenapanor for hyperphosphatemia;</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61"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35"/>
        </w:numPr>
        <w:rPr>
          <w:rFonts w:ascii="Arial" w:cs="Arial" w:eastAsia="Arial" w:hAnsi="Arial"/>
          <w:sz w:val="17"/>
          <w:szCs w:val="17"/>
          <w:color w:val="231F20"/>
        </w:rPr>
      </w:pPr>
      <w:r>
        <w:rPr>
          <w:rFonts w:ascii="Arial" w:cs="Arial" w:eastAsia="Arial" w:hAnsi="Arial"/>
          <w:sz w:val="17"/>
          <w:szCs w:val="17"/>
          <w:color w:val="auto"/>
        </w:rPr>
        <w:t>announcements of regulatory approval, a complete response letter with respect to our NDA filed with the FDA in September 2018 seeking marketing approval for tenapanor for IBS-C, results of regulatory inspections of our facilities or those of our contract manufacturing organizations, or specific label restrictions or patient populations for tenapanor’s use, or changes or delays in the regulatory review process;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announcements relating to our current or future collaboration partnerships;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success of our testing and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failure to meet any of our projected timelines or goals with regard to the clinical development of any of our product candidates, including the ongoing Phase 3 clinical trials for tenapanor for hyperphosphatemia;</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success of our efforts to acquire or license or discover additional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success of our efforts to obtain adequate intellectual property protection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pharmaceutical industry in general;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United States equity markets;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One of our stockholders owns a significant percentage of our stock and, together with our management, will be able to exert significant control over matters subject to stockholder approval.</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Based on the number of shares outstanding as of June 30, 2019, our officers, directors and stockholders who hold at least 5% of our stock together beneficially own approximately 30.1%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 As of June 30, 2019, entities affiliated with New Enterprise Associates, or NEA, a venture capital fund associated with one of our directors, collectively beneficially owned approximately 26.1% of our common stock, including shares that NEA has the right to acquire within 60 days of June 30, 2019 upon exercise of warrants held by NEA.</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0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trading price of our common stock could decline. As of June 30, 2019, we had 62,800,869 shares of common stock outstanding. Of those shares, approximately 16.0 million were held by current directors, executive officers and other affiliates, or may otherwise be subject to Rule 144 under the Securities Act of 1933, or the Securities Act.</w:t>
      </w:r>
    </w:p>
    <w:p>
      <w:pPr>
        <w:spacing w:after="0" w:line="15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As of June 30, 2019, approximately 0.9 million shares of common stock issuable upon vesting of outstanding restricted stock units and approximately 7.4 million shares of common stock issuable upon exercise of outstanding options were eligible for sale in the public market to the extent permitted by the provisions of the applicable vesting schedules, and Rule 144 and Rule 701 under the Securities Act. In addition, as of June 30, 2019,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47" w:lineRule="exact"/>
        <w:rPr>
          <w:sz w:val="20"/>
          <w:szCs w:val="20"/>
          <w:color w:val="auto"/>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8"/>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47" w:lineRule="exact"/>
        <w:rPr>
          <w:sz w:val="20"/>
          <w:szCs w:val="20"/>
          <w:color w:val="auto"/>
        </w:rPr>
      </w:pPr>
    </w:p>
    <w:p>
      <w:pPr>
        <w:jc w:val="both"/>
        <w:ind w:left="660" w:hanging="333"/>
        <w:spacing w:after="0" w:line="229" w:lineRule="auto"/>
        <w:tabs>
          <w:tab w:leader="none" w:pos="660" w:val="left"/>
        </w:tabs>
        <w:numPr>
          <w:ilvl w:val="0"/>
          <w:numId w:val="39"/>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Effective May 16, 2018, we entered into a loan and security agreement pursuant to which the Lenders agreed to provide us a $50.0 million term loan facility. Covenants in the loan and security agreement limit our ability to pay dividends or make other distributions. For additional information refer to “Note 6. Borrowings” in the notes to our unaudited interim condensed consolidated financial statements in Part I, Item 1 of this Quarterly Report on Form 10 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76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-635</wp:posOffset>
            </wp:positionV>
            <wp:extent cx="28816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ind w:left="720" w:right="680" w:hanging="715"/>
        <w:spacing w:after="0" w:line="268"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5">
        <w:r>
          <w:rPr>
            <w:rFonts w:ascii="Arial" w:cs="Arial" w:eastAsia="Arial" w:hAnsi="Arial"/>
            <w:sz w:val="16"/>
            <w:szCs w:val="16"/>
            <w:u w:val="single" w:color="auto"/>
            <w:color w:val="0000EE"/>
          </w:rPr>
          <w:t>Certification of Chief Executive Officer Pursuant to</w:t>
        </w:r>
      </w:hyperlink>
      <w:r>
        <w:rPr>
          <w:rFonts w:ascii="Arial" w:cs="Arial" w:eastAsia="Arial" w:hAnsi="Arial"/>
          <w:sz w:val="16"/>
          <w:szCs w:val="16"/>
          <w:u w:val="single" w:color="auto"/>
          <w:color w:val="0000EE"/>
        </w:rPr>
        <w:t xml:space="preserve"> </w:t>
      </w:r>
      <w:hyperlink w:anchor="page75">
        <w:r>
          <w:rPr>
            <w:rFonts w:ascii="Arial" w:cs="Arial" w:eastAsia="Arial" w:hAnsi="Arial"/>
            <w:sz w:val="16"/>
            <w:szCs w:val="16"/>
            <w:u w:val="single" w:color="auto"/>
            <w:color w:val="0000EE"/>
          </w:rPr>
          <w:t>Section 302 of the Sarbanes-Oxley Act of 2002.</w:t>
        </w:r>
      </w:hyperlink>
    </w:p>
    <w:p>
      <w:pPr>
        <w:spacing w:after="0" w:line="100" w:lineRule="exact"/>
        <w:rPr>
          <w:sz w:val="20"/>
          <w:szCs w:val="20"/>
          <w:color w:val="auto"/>
        </w:rPr>
      </w:pPr>
    </w:p>
    <w:p>
      <w:pPr>
        <w:ind w:left="720" w:right="740" w:hanging="715"/>
        <w:spacing w:after="0" w:line="289"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6">
        <w:r>
          <w:rPr>
            <w:rFonts w:ascii="Arial" w:cs="Arial" w:eastAsia="Arial" w:hAnsi="Arial"/>
            <w:sz w:val="16"/>
            <w:szCs w:val="16"/>
            <w:u w:val="single" w:color="auto"/>
            <w:color w:val="0000EE"/>
          </w:rPr>
          <w:t>Certification of Chief Financial Officer Pursuant to</w:t>
        </w:r>
      </w:hyperlink>
      <w:r>
        <w:rPr>
          <w:rFonts w:ascii="Arial" w:cs="Arial" w:eastAsia="Arial" w:hAnsi="Arial"/>
          <w:sz w:val="16"/>
          <w:szCs w:val="16"/>
          <w:u w:val="single" w:color="auto"/>
          <w:color w:val="0000EE"/>
        </w:rPr>
        <w:t xml:space="preserve"> </w:t>
      </w:r>
      <w:hyperlink w:anchor="page76">
        <w:r>
          <w:rPr>
            <w:rFonts w:ascii="Arial" w:cs="Arial" w:eastAsia="Arial" w:hAnsi="Arial"/>
            <w:sz w:val="16"/>
            <w:szCs w:val="16"/>
            <w:u w:val="single" w:color="auto"/>
            <w:color w:val="0000EE"/>
          </w:rPr>
          <w:t>Section 302 of the Sarbanes-Oxley Act of 2002.</w:t>
        </w:r>
      </w:hyperlink>
    </w:p>
    <w:p>
      <w:pPr>
        <w:spacing w:after="0" w:line="84" w:lineRule="exact"/>
        <w:rPr>
          <w:sz w:val="20"/>
          <w:szCs w:val="20"/>
          <w:color w:val="auto"/>
        </w:rPr>
      </w:pPr>
    </w:p>
    <w:p>
      <w:pPr>
        <w:jc w:val="both"/>
        <w:ind w:left="720" w:hanging="715"/>
        <w:spacing w:after="0" w:line="224"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7">
        <w:r>
          <w:rPr>
            <w:rFonts w:ascii="Arial" w:cs="Arial" w:eastAsia="Arial" w:hAnsi="Arial"/>
            <w:sz w:val="18"/>
            <w:szCs w:val="18"/>
            <w:u w:val="single" w:color="auto"/>
            <w:color w:val="0000EE"/>
          </w:rPr>
          <w:t>Certification of Chief Executive Officer and Chief Financial</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Officer Pursuant to Section 906 of the Sarbanes-Oxley Act of</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2002.</w:t>
        </w:r>
      </w:hyperlink>
    </w:p>
    <w:p>
      <w:pPr>
        <w:spacing w:after="0" w:line="107" w:lineRule="exact"/>
        <w:rPr>
          <w:rFonts w:ascii="Arial" w:cs="Arial" w:eastAsia="Arial" w:hAnsi="Arial"/>
          <w:sz w:val="18"/>
          <w:szCs w:val="18"/>
          <w:u w:val="single" w:color="auto"/>
          <w:color w:val="0000EE"/>
        </w:rPr>
      </w:pPr>
    </w:p>
    <w:p>
      <w:pPr>
        <w:ind w:left="720" w:hanging="717"/>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financial statements, formatted in XBRL:</w:t>
      </w:r>
    </w:p>
    <w:p>
      <w:pPr>
        <w:ind w:left="720" w:right="20"/>
        <w:spacing w:after="0" w:line="236" w:lineRule="auto"/>
        <w:rPr>
          <w:rFonts w:ascii="Arial" w:cs="Arial" w:eastAsia="Arial" w:hAnsi="Arial"/>
          <w:sz w:val="18"/>
          <w:szCs w:val="18"/>
          <w:color w:val="auto"/>
        </w:rPr>
      </w:pPr>
      <w:r>
        <w:rPr>
          <w:rFonts w:ascii="Arial" w:cs="Arial" w:eastAsia="Arial" w:hAnsi="Arial"/>
          <w:sz w:val="16"/>
          <w:szCs w:val="16"/>
          <w:color w:val="auto"/>
        </w:rPr>
        <w:t>(i) Condensed Balance Sheets as of June 30, 2019 and December 31, 2018, (ii) Condensed Consolidated Statements of Operations and Comprehensive Loss for the three and six months ended June 30, 2019 and 2018, (iii) Condensed Consolidated Statements of Cash Flows for the six months ended June 30, 2019 and 2018, and (iv) Notes to Unaudited Condensed Consolidated Financial Statements.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52070</wp:posOffset>
            </wp:positionV>
            <wp:extent cx="14408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9" w:lineRule="exact"/>
        <w:rPr>
          <w:rFonts w:ascii="Arial" w:cs="Arial" w:eastAsia="Arial" w:hAnsi="Arial"/>
          <w:sz w:val="18"/>
          <w:szCs w:val="18"/>
          <w:u w:val="single" w:color="auto"/>
          <w:color w:val="0000EE"/>
        </w:rPr>
      </w:pPr>
    </w:p>
    <w:p>
      <w:pPr>
        <w:ind w:left="4440"/>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9" w:lineRule="exact"/>
        <w:rPr>
          <w:rFonts w:ascii="Arial" w:cs="Arial" w:eastAsia="Arial" w:hAnsi="Arial"/>
          <w:sz w:val="18"/>
          <w:szCs w:val="18"/>
          <w:u w:val="single" w:color="auto"/>
          <w:color w:val="0000EE"/>
        </w:rPr>
      </w:pPr>
    </w:p>
    <w:p>
      <w:pPr>
        <w:ind w:left="98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12"/>
        </w:trPr>
        <w:tc>
          <w:tcPr>
            <w:tcW w:w="94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02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7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rPr>
              <w:t>Filed</w:t>
            </w:r>
          </w:p>
        </w:tc>
        <w:tc>
          <w:tcPr>
            <w:tcW w:w="0" w:type="dxa"/>
            <w:vAlign w:val="bottom"/>
          </w:tcPr>
          <w:p>
            <w:pPr>
              <w:spacing w:after="0"/>
              <w:rPr>
                <w:sz w:val="1"/>
                <w:szCs w:val="1"/>
                <w:color w:val="auto"/>
              </w:rPr>
            </w:pPr>
          </w:p>
        </w:tc>
      </w:tr>
      <w:tr>
        <w:trPr>
          <w:trHeight w:val="162"/>
        </w:trPr>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w w:val="98"/>
              </w:rPr>
              <w:t>NumberHerewith</w:t>
            </w: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99"/>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27"/>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0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5140" w:space="300"/>
            <w:col w:w="362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060" w:type="dxa"/>
            <w:vAlign w:val="bottom"/>
            <w:gridSpan w:val="2"/>
          </w:tcPr>
          <w:p>
            <w:pPr>
              <w:ind w:left="1480"/>
              <w:spacing w:after="0"/>
              <w:rPr>
                <w:sz w:val="20"/>
                <w:szCs w:val="20"/>
                <w:color w:val="auto"/>
              </w:rPr>
            </w:pPr>
            <w:r>
              <w:rPr>
                <w:rFonts w:ascii="Arial" w:cs="Arial" w:eastAsia="Arial" w:hAnsi="Arial"/>
                <w:sz w:val="18"/>
                <w:szCs w:val="18"/>
                <w:b w:val="1"/>
                <w:bCs w:val="1"/>
                <w:color w:val="auto"/>
              </w:rPr>
              <w:t>Ardelyx, Inc.</w:t>
            </w:r>
          </w:p>
        </w:tc>
      </w:tr>
      <w:tr>
        <w:trPr>
          <w:trHeight w:val="500"/>
        </w:trPr>
        <w:tc>
          <w:tcPr>
            <w:tcW w:w="3000" w:type="dxa"/>
            <w:vAlign w:val="bottom"/>
          </w:tcPr>
          <w:p>
            <w:pPr>
              <w:spacing w:after="0"/>
              <w:rPr>
                <w:sz w:val="20"/>
                <w:szCs w:val="20"/>
                <w:color w:val="auto"/>
              </w:rPr>
            </w:pPr>
            <w:r>
              <w:rPr>
                <w:rFonts w:ascii="Arial" w:cs="Arial" w:eastAsia="Arial" w:hAnsi="Arial"/>
                <w:sz w:val="18"/>
                <w:szCs w:val="18"/>
                <w:color w:val="auto"/>
              </w:rPr>
              <w:t>Date: August 9, 2019</w:t>
            </w:r>
          </w:p>
        </w:tc>
        <w:tc>
          <w:tcPr>
            <w:tcW w:w="6060" w:type="dxa"/>
            <w:vAlign w:val="bottom"/>
            <w:gridSpan w:val="2"/>
          </w:tcPr>
          <w:p>
            <w:pPr>
              <w:ind w:left="1480"/>
              <w:spacing w:after="0"/>
              <w:rPr>
                <w:sz w:val="20"/>
                <w:szCs w:val="20"/>
                <w:color w:val="auto"/>
              </w:rPr>
            </w:pPr>
            <w:r>
              <w:rPr>
                <w:rFonts w:ascii="Arial" w:cs="Arial" w:eastAsia="Arial" w:hAnsi="Arial"/>
                <w:sz w:val="18"/>
                <w:szCs w:val="18"/>
                <w:color w:val="auto"/>
              </w:rPr>
              <w:t>By: /s/ Mark Kaufmann</w:t>
            </w:r>
          </w:p>
        </w:tc>
      </w:tr>
      <w:tr>
        <w:trPr>
          <w:trHeight w:val="142"/>
        </w:trPr>
        <w:tc>
          <w:tcPr>
            <w:tcW w:w="3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b w:val="1"/>
                <w:bCs w:val="1"/>
                <w:color w:val="auto"/>
              </w:rPr>
              <w:t>Mark Kaufmann</w:t>
            </w:r>
          </w:p>
        </w:tc>
      </w:tr>
      <w:tr>
        <w:trPr>
          <w:trHeight w:val="176"/>
        </w:trPr>
        <w:tc>
          <w:tcPr>
            <w:tcW w:w="3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80" w:type="dxa"/>
            <w:vAlign w:val="bottom"/>
          </w:tcPr>
          <w:p>
            <w:pPr>
              <w:spacing w:after="0" w:line="176" w:lineRule="exact"/>
              <w:rPr>
                <w:sz w:val="20"/>
                <w:szCs w:val="20"/>
                <w:color w:val="auto"/>
              </w:rPr>
            </w:pPr>
            <w:r>
              <w:rPr>
                <w:rFonts w:ascii="Arial" w:cs="Arial" w:eastAsia="Arial" w:hAnsi="Arial"/>
                <w:sz w:val="18"/>
                <w:szCs w:val="18"/>
                <w:b w:val="1"/>
                <w:bCs w:val="1"/>
                <w:color w:val="auto"/>
              </w:rPr>
              <w:t>Chief Financial Officer</w:t>
            </w:r>
          </w:p>
        </w:tc>
      </w:tr>
      <w:tr>
        <w:trPr>
          <w:trHeight w:val="234"/>
        </w:trPr>
        <w:tc>
          <w:tcPr>
            <w:tcW w:w="30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805"/>
        </w:trPr>
        <w:tc>
          <w:tcPr>
            <w:tcW w:w="3000" w:type="dxa"/>
            <w:vAlign w:val="bottom"/>
          </w:tcPr>
          <w:p>
            <w:pPr>
              <w:spacing w:after="0"/>
              <w:rPr>
                <w:sz w:val="24"/>
                <w:szCs w:val="24"/>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4280" w:type="dxa"/>
            <w:vAlign w:val="bottom"/>
          </w:tcPr>
          <w:p>
            <w:pPr>
              <w:spacing w:after="0"/>
              <w:rPr>
                <w:sz w:val="24"/>
                <w:szCs w:val="24"/>
                <w:color w:val="auto"/>
              </w:rPr>
            </w:pPr>
          </w:p>
        </w:tc>
      </w:tr>
      <w:tr>
        <w:trPr>
          <w:trHeight w:val="534"/>
        </w:trPr>
        <w:tc>
          <w:tcPr>
            <w:tcW w:w="30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380" w:val="left"/>
          <w:tab w:leader="none" w:pos="628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-635</wp:posOffset>
            </wp:positionV>
            <wp:extent cx="2735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476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76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Kaufmann,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600" w:val="left"/>
          <w:tab w:leader="none" w:pos="626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jc w:val="center"/>
        <w:ind w:left="490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0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2200" w:right="2180"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jc w:val="both"/>
        <w:ind w:firstLine="324"/>
        <w:spacing w:after="0" w:line="187" w:lineRule="exact"/>
        <w:rPr>
          <w:sz w:val="20"/>
          <w:szCs w:val="20"/>
          <w:color w:val="auto"/>
        </w:rPr>
      </w:pPr>
      <w:r>
        <w:rPr>
          <w:rFonts w:ascii="Arial" w:cs="Arial" w:eastAsia="Arial" w:hAnsi="Arial"/>
          <w:sz w:val="18"/>
          <w:szCs w:val="18"/>
          <w:color w:val="auto"/>
        </w:rPr>
        <w:t>In connection with the Quarterly Report of Ardelyx,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ending June 30, 2019,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62" w:lineRule="exact"/>
        <w:rPr>
          <w:sz w:val="20"/>
          <w:szCs w:val="20"/>
          <w:color w:val="auto"/>
        </w:rPr>
      </w:pPr>
    </w:p>
    <w:p>
      <w:pPr>
        <w:ind w:left="760" w:hanging="433"/>
        <w:spacing w:after="0" w:line="235"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760" w:hanging="433"/>
        <w:spacing w:after="0" w:line="235"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90" w:lineRule="exact"/>
        <w:rPr>
          <w:sz w:val="20"/>
          <w:szCs w:val="20"/>
          <w:color w:val="auto"/>
        </w:rPr>
      </w:pPr>
    </w:p>
    <w:p>
      <w:pPr>
        <w:spacing w:after="0"/>
        <w:tabs>
          <w:tab w:leader="none" w:pos="4600" w:val="left"/>
          <w:tab w:leader="none" w:pos="638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94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940"/>
        <w:spacing w:after="0"/>
        <w:rPr>
          <w:sz w:val="20"/>
          <w:szCs w:val="20"/>
          <w:color w:val="auto"/>
        </w:rPr>
      </w:pPr>
      <w:r>
        <w:rPr>
          <w:rFonts w:ascii="Arial" w:cs="Arial" w:eastAsia="Arial" w:hAnsi="Arial"/>
          <w:sz w:val="18"/>
          <w:szCs w:val="18"/>
          <w:b w:val="1"/>
          <w:bCs w:val="1"/>
          <w:color w:val="auto"/>
        </w:rPr>
        <w:t>(Principal Executive Officer)</w:t>
      </w:r>
    </w:p>
    <w:p>
      <w:pPr>
        <w:spacing w:after="0" w:line="302" w:lineRule="exact"/>
        <w:rPr>
          <w:sz w:val="20"/>
          <w:szCs w:val="20"/>
          <w:color w:val="auto"/>
        </w:rPr>
      </w:pPr>
    </w:p>
    <w:p>
      <w:pPr>
        <w:spacing w:after="0"/>
        <w:tabs>
          <w:tab w:leader="none" w:pos="4600" w:val="left"/>
          <w:tab w:leader="none" w:pos="628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4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Roman"/>
      <w:start w:val="2"/>
    </w:lvl>
  </w:abstractNum>
  <w:abstractNum w:abstractNumId="5">
    <w:nsid w:val="79838CB2"/>
    <w:multiLevelType w:val="hybridMultilevel"/>
    <w:lvl w:ilvl="0">
      <w:lvlJc w:val="left"/>
      <w:lvlText w:val="(%1)"/>
      <w:numFmt w:val="lowerRoman"/>
      <w:start w:val="4"/>
    </w:lvl>
  </w:abstractNum>
  <w:abstractNum w:abstractNumId="6">
    <w:nsid w:val="4353D0CD"/>
    <w:multiLevelType w:val="hybridMultilevel"/>
    <w:lvl w:ilvl="0">
      <w:lvlJc w:val="left"/>
      <w:lvlText w:val="%1."/>
      <w:numFmt w:val="decimal"/>
      <w:start w:val="6"/>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1."/>
      <w:numFmt w:val="upperLetter"/>
      <w:start w:val="3"/>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Roman"/>
      <w:start w:val="3"/>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quot;"/>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lvl w:ilvl="1">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0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2019-12-28T07:07:16Z</dcterms:created>
  <dcterms:modified xsi:type="dcterms:W3CDTF">2019-12-28T07:07:16Z</dcterms:modified>
</cp:coreProperties>
</file>