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UNITED STATES</w:t>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SECURITIES AND EXCHANGE COMMISSION</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120" w:after="283"/>
        <w:jc w:val="center"/>
        <w:rPr/>
      </w:pPr>
      <w:r>
        <w:rPr>
          <w:rFonts w:ascii="Times New Roman;serif" w:hAnsi="Times New Roman;serif"/>
          <w:b/>
          <w:color w:val="231F20"/>
          <w:sz w:val="24"/>
        </w:rPr>
        <w:t>FORM</w:t>
      </w:r>
      <w:r>
        <w:rPr>
          <w:color w:val="000000"/>
        </w:rPr>
        <w:t xml:space="preserve"> </w:t>
      </w:r>
      <w:r>
        <w:rPr>
          <w:rFonts w:ascii="Times New Roman;serif" w:hAnsi="Times New Roman;serif"/>
          <w:b/>
          <w:color w:val="231F20"/>
          <w:sz w:val="24"/>
        </w:rPr>
        <w:t>10-K</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8750" w:type="dxa"/>
        <w:jc w:val="center"/>
        <w:tblInd w:w="0" w:type="dxa"/>
        <w:tblLayout w:type="fixed"/>
        <w:tblCellMar>
          <w:top w:w="28" w:type="dxa"/>
          <w:left w:w="28" w:type="dxa"/>
          <w:bottom w:w="28" w:type="dxa"/>
          <w:right w:w="28" w:type="dxa"/>
        </w:tblCellMar>
      </w:tblPr>
      <w:tblGrid>
        <w:gridCol w:w="133"/>
        <w:gridCol w:w="116"/>
        <w:gridCol w:w="116"/>
        <w:gridCol w:w="2450"/>
        <w:gridCol w:w="2450"/>
        <w:gridCol w:w="3485"/>
      </w:tblGrid>
      <w:tr>
        <w:trPr/>
        <w:tc>
          <w:tcPr>
            <w:tcW w:w="1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87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2"/>
              </w:rPr>
            </w:pPr>
            <w:r>
              <w:rPr>
                <w:rFonts w:ascii="Times New Roman;serif" w:hAnsi="Times New Roman;serif"/>
                <w:b w:val="false"/>
                <w:color w:val="231F20"/>
                <w:sz w:val="12"/>
              </w:rPr>
              <w:t>(Mark One)</w:t>
            </w:r>
          </w:p>
        </w:tc>
      </w:tr>
      <w:tr>
        <w:trPr/>
        <w:tc>
          <w:tcPr>
            <w:tcW w:w="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16"/>
              </w:rPr>
              <w:t>ANNUAL REPORT PURSUANT TO SECTION 13 OR 15(D) OF THE SECURITIES</w:t>
            </w:r>
            <w:r>
              <w:rPr>
                <w:color w:val="000000"/>
              </w:rPr>
              <w:t xml:space="preserve"> </w:t>
            </w:r>
            <w:r>
              <w:rPr>
                <w:rFonts w:ascii="Times New Roman;serif" w:hAnsi="Times New Roman;serif"/>
                <w:b/>
                <w:color w:val="231F20"/>
                <w:sz w:val="16"/>
              </w:rPr>
              <w:t>EXCHANGE ACT OF 1934</w:t>
            </w:r>
          </w:p>
        </w:tc>
      </w:tr>
    </w:tbl>
    <w:p>
      <w:pPr>
        <w:pStyle w:val="TextBody"/>
        <w:bidi w:val="0"/>
        <w:spacing w:lineRule="auto" w:line="288" w:before="60" w:after="283"/>
        <w:jc w:val="center"/>
        <w:rPr/>
      </w:pPr>
      <w:r>
        <w:rPr>
          <w:rFonts w:ascii="Times New Roman;serif" w:hAnsi="Times New Roman;serif"/>
          <w:b/>
          <w:color w:val="231F20"/>
          <w:sz w:val="18"/>
        </w:rPr>
        <w:t>For the fiscal year ended</w:t>
      </w:r>
      <w:r>
        <w:rPr>
          <w:color w:val="000000"/>
        </w:rPr>
        <w:t xml:space="preserve"> </w:t>
      </w:r>
      <w:r>
        <w:rPr>
          <w:rFonts w:ascii="Times New Roman;serif" w:hAnsi="Times New Roman;serif"/>
          <w:b/>
          <w:color w:val="000000"/>
          <w:sz w:val="18"/>
        </w:rPr>
        <w:t>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041" w:type="dxa"/>
        <w:jc w:val="center"/>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231F20"/>
          <w:sz w:val="18"/>
        </w:rPr>
        <w:t>For the transition period from</w:t>
      </w:r>
      <w:r>
        <w:rPr>
          <w:color w:val="000000"/>
        </w:rPr>
        <w:t>               </w:t>
      </w:r>
      <w:r>
        <w:rPr>
          <w:rFonts w:ascii="Times New Roman;serif" w:hAnsi="Times New Roman;serif"/>
          <w:b/>
          <w:color w:val="231F20"/>
          <w:sz w:val="18"/>
        </w:rPr>
        <w:t>to                     </w:t>
      </w:r>
    </w:p>
    <w:p>
      <w:pPr>
        <w:pStyle w:val="TextBody"/>
        <w:bidi w:val="0"/>
        <w:spacing w:lineRule="auto" w:line="288" w:before="60" w:after="283"/>
        <w:jc w:val="center"/>
        <w:rPr/>
      </w:pPr>
      <w:r>
        <w:rPr>
          <w:rFonts w:ascii="Times New Roman;serif" w:hAnsi="Times New Roman;serif"/>
          <w:b/>
          <w:color w:val="231F20"/>
          <w:sz w:val="18"/>
        </w:rPr>
        <w:t>Commission file number:</w:t>
      </w:r>
      <w:r>
        <w:rPr>
          <w:color w:val="000000"/>
        </w:rPr>
        <w:t xml:space="preserve"> </w:t>
      </w:r>
      <w:r>
        <w:rPr>
          <w:rFonts w:ascii="Times New Roman;serif" w:hAnsi="Times New Roman;serif"/>
          <w:b/>
          <w:color w:val="231F20"/>
          <w:sz w:val="18"/>
        </w:rPr>
        <w:t>001-36485</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before="0" w:after="0"/>
        <w:jc w:val="center"/>
        <w:rPr/>
      </w:pPr>
      <w:r>
        <w:rPr/>
        <w:drawing>
          <wp:inline distT="0" distB="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231F20"/>
          <w:sz w:val="28"/>
        </w:rPr>
      </w:pPr>
      <w:r>
        <w:rPr>
          <w:rFonts w:ascii="Times New Roman;serif" w:hAnsi="Times New Roman;serif"/>
          <w:b/>
          <w:color w:val="231F20"/>
          <w:sz w:val="28"/>
        </w:rPr>
        <w:t>ARDELYX,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7438" w:type="dxa"/>
        <w:jc w:val="center"/>
        <w:tblInd w:w="0" w:type="dxa"/>
        <w:tblLayout w:type="fixed"/>
        <w:tblCellMar>
          <w:top w:w="28" w:type="dxa"/>
          <w:left w:w="28" w:type="dxa"/>
          <w:bottom w:w="28" w:type="dxa"/>
          <w:right w:w="28" w:type="dxa"/>
        </w:tblCellMar>
      </w:tblPr>
      <w:tblGrid>
        <w:gridCol w:w="1699"/>
        <w:gridCol w:w="1489"/>
        <w:gridCol w:w="1506"/>
        <w:gridCol w:w="799"/>
        <w:gridCol w:w="799"/>
        <w:gridCol w:w="1146"/>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26-1303944</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400 Fifth Avenue, Suite 210, Waltham, Massachusetts</w:t>
            </w:r>
          </w:p>
        </w:tc>
        <w:tc>
          <w:tcPr>
            <w:tcW w:w="2744" w:type="dxa"/>
            <w:gridSpan w:val="3"/>
            <w:tcBorders/>
            <w:tcMar>
              <w:top w:w="0" w:type="dxa"/>
              <w:left w:w="0" w:type="dxa"/>
              <w:bottom w:w="0" w:type="dxa"/>
              <w:right w:w="0" w:type="dxa"/>
            </w:tcMar>
            <w:vAlign w:val="center"/>
          </w:tcPr>
          <w:p>
            <w:pPr>
              <w:pStyle w:val="TableContents"/>
              <w:bidi w:val="0"/>
              <w:spacing w:lineRule="auto" w:line="288" w:before="120" w:after="283"/>
              <w:jc w:val="center"/>
              <w:rPr>
                <w:color w:val="000000"/>
              </w:rPr>
            </w:pPr>
            <w:r>
              <w:rPr>
                <w:color w:val="000000"/>
              </w:rPr>
              <w:t> </w:t>
            </w:r>
            <w:r>
              <w:rPr>
                <w:rFonts w:ascii="Times New Roman;serif" w:hAnsi="Times New Roman;serif"/>
                <w:b/>
                <w:color w:val="000000"/>
                <w:sz w:val="16"/>
              </w:rPr>
              <w:t>02451</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pPr>
      <w:r>
        <w:rPr>
          <w:rFonts w:ascii="Times New Roman;serif" w:hAnsi="Times New Roman;serif"/>
          <w:b/>
          <w:color w:val="231F20"/>
          <w:sz w:val="16"/>
        </w:rPr>
        <w:t>(510)</w:t>
      </w:r>
      <w:r>
        <w:rPr>
          <w:color w:val="000000"/>
        </w:rPr>
        <w:t xml:space="preserve"> </w:t>
      </w:r>
      <w:r>
        <w:rPr>
          <w:rFonts w:ascii="Times New Roman;serif" w:hAnsi="Times New Roman;serif"/>
          <w:b/>
          <w:color w:val="231F20"/>
          <w:sz w:val="16"/>
        </w:rPr>
        <w:t>745-1700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100" w:after="283"/>
        <w:jc w:val="center"/>
        <w:rPr>
          <w:rFonts w:ascii="Times New Roman;serif" w:hAnsi="Times New Roman;serif"/>
          <w:b/>
          <w:color w:val="231F20"/>
          <w:sz w:val="16"/>
        </w:rPr>
      </w:pPr>
      <w:r>
        <w:rPr>
          <w:rFonts w:ascii="Times New Roman;serif" w:hAnsi="Times New Roman;serif"/>
          <w:b/>
          <w:color w:val="231F2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84"/>
        <w:gridCol w:w="484"/>
        <w:gridCol w:w="48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Global Market</w:t>
            </w:r>
          </w:p>
        </w:tc>
      </w:tr>
    </w:tbl>
    <w:p>
      <w:pPr>
        <w:pStyle w:val="TextBody"/>
        <w:bidi w:val="0"/>
        <w:spacing w:lineRule="auto" w:line="288" w:before="120" w:after="283"/>
        <w:jc w:val="center"/>
        <w:rPr>
          <w:rFonts w:ascii="Times New Roman;serif" w:hAnsi="Times New Roman;serif"/>
          <w:b/>
          <w:color w:val="231F20"/>
          <w:sz w:val="16"/>
        </w:rPr>
      </w:pPr>
      <w:r>
        <w:rPr>
          <w:rFonts w:ascii="Times New Roman;serif" w:hAnsi="Times New Roman;serif"/>
          <w:b/>
          <w:color w:val="231F20"/>
          <w:sz w:val="16"/>
        </w:rPr>
        <w:t>Securities registered pursuant to Section 12(g) of the Act: None</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60" w:after="283"/>
        <w:jc w:val="left"/>
        <w:rPr/>
      </w:pPr>
      <w:r>
        <w:rPr>
          <w:rFonts w:ascii="Times New Roman;serif" w:hAnsi="Times New Roman;serif"/>
          <w:b w:val="false"/>
          <w:color w:val="231F20"/>
          <w:sz w:val="16"/>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231F20"/>
          <w:sz w:val="16"/>
        </w:rPr>
        <w:t>No</w:t>
      </w:r>
      <w:r>
        <w:rPr>
          <w:color w:val="000000"/>
        </w:rPr>
        <w:t xml:space="preserve"> ☐</w:t>
      </w:r>
    </w:p>
    <w:p>
      <w:pPr>
        <w:pStyle w:val="TextBody"/>
        <w:bidi w:val="0"/>
        <w:spacing w:lineRule="auto" w:line="288" w:before="60" w:after="283"/>
        <w:jc w:val="left"/>
        <w:rPr/>
      </w:pPr>
      <w:r>
        <w:rPr>
          <w:rFonts w:ascii="Times New Roman;serif" w:hAnsi="Times New Roman;serif"/>
          <w:b w:val="false"/>
          <w:color w:val="231F20"/>
          <w:sz w:val="16"/>
        </w:rPr>
        <w:t xml:space="preserve">Indicate by check mark if the Registrant is not required to file reports pursuant to Section 13 or 15(d) of the Act. Yes </w:t>
      </w:r>
      <w:r>
        <w:rPr>
          <w:color w:val="000000"/>
        </w:rPr>
        <w:t>☐ </w:t>
      </w:r>
      <w:r>
        <w:rPr>
          <w:rFonts w:ascii="Times New Roman;serif" w:hAnsi="Times New Roman;serif"/>
          <w:b w:val="false"/>
          <w:color w:val="231F20"/>
          <w:sz w:val="16"/>
        </w:rPr>
        <w:t>No</w:t>
      </w:r>
      <w:r>
        <w:rPr>
          <w:color w:val="000000"/>
        </w:rPr>
        <w:t xml:space="preserve"> ☒</w:t>
      </w:r>
    </w:p>
    <w:p>
      <w:pPr>
        <w:pStyle w:val="TextBody"/>
        <w:bidi w:val="0"/>
        <w:spacing w:lineRule="auto" w:line="288" w:before="60" w:after="283"/>
        <w:jc w:val="left"/>
        <w:rPr/>
      </w:pPr>
      <w:r>
        <w:rPr>
          <w:rFonts w:ascii="Times New Roman;serif" w:hAnsi="Times New Roman;serif"/>
          <w:b w:val="false"/>
          <w:color w:val="231F20"/>
          <w:sz w:val="16"/>
        </w:rPr>
        <w:t>Indicate by check mark whether the Registrant: (1) has filed all reports required to be filed by Section 13 or 15(d) of the Securities Exchange Act</w:t>
      </w:r>
      <w:r>
        <w:rPr>
          <w:color w:val="000000"/>
        </w:rPr>
        <w:t xml:space="preserve"> </w:t>
      </w:r>
      <w:r>
        <w:rPr>
          <w:rFonts w:ascii="Times New Roman;serif" w:hAnsi="Times New Roman;serif"/>
          <w:b w:val="false"/>
          <w:color w:val="231F20"/>
          <w:sz w:val="16"/>
        </w:rPr>
        <w:t>of 1934 during the preceding 12 months (or for such shorter period that the Registrant was required to file such reports), and (2) has been subject</w:t>
      </w:r>
      <w:r>
        <w:rPr>
          <w:color w:val="000000"/>
        </w:rPr>
        <w:t xml:space="preserve"> </w:t>
      </w:r>
      <w:r>
        <w:rPr>
          <w:rFonts w:ascii="Times New Roman;serif" w:hAnsi="Times New Roman;serif"/>
          <w:b w:val="false"/>
          <w:color w:val="231F20"/>
          <w:sz w:val="16"/>
        </w:rPr>
        <w:t>to such filing requirements for the past 90 days.</w:t>
      </w:r>
      <w:r>
        <w:rPr>
          <w:color w:val="000000"/>
        </w:rPr>
        <w:t xml:space="preserve"> </w:t>
      </w:r>
      <w:r>
        <w:rPr>
          <w:rFonts w:ascii="Times New Roman;serif" w:hAnsi="Times New Roman;serif"/>
          <w:b w:val="false"/>
          <w:color w:val="231F20"/>
          <w:sz w:val="16"/>
        </w:rPr>
        <w:t>Yes</w:t>
      </w:r>
      <w:r>
        <w:rPr>
          <w:color w:val="000000"/>
        </w:rPr>
        <w:t xml:space="preserve"> ☒ </w:t>
      </w:r>
      <w:r>
        <w:rPr>
          <w:rFonts w:ascii="Times New Roman;serif" w:hAnsi="Times New Roman;serif"/>
          <w:b w:val="false"/>
          <w:color w:val="231F20"/>
          <w:sz w:val="16"/>
        </w:rPr>
        <w:t>No</w:t>
      </w:r>
      <w:r>
        <w:rPr>
          <w:color w:val="000000"/>
        </w:rPr>
        <w:t xml:space="preserve"> ☐</w:t>
      </w:r>
    </w:p>
    <w:p>
      <w:pPr>
        <w:pStyle w:val="TextBody"/>
        <w:bidi w:val="0"/>
        <w:spacing w:lineRule="auto" w:line="288" w:before="60" w:after="283"/>
        <w:jc w:val="left"/>
        <w:rPr/>
      </w:pPr>
      <w:r>
        <w:rPr>
          <w:rFonts w:ascii="Times New Roman;serif" w:hAnsi="Times New Roman;serif"/>
          <w:b w:val="false"/>
          <w:color w:val="231F20"/>
          <w:sz w:val="16"/>
        </w:rPr>
        <w:t>Indicate by check mark whether the Registrant has submitted electronically every Interactive Data</w:t>
      </w:r>
      <w:r>
        <w:rPr>
          <w:color w:val="000000"/>
        </w:rPr>
        <w:t xml:space="preserve"> </w:t>
      </w:r>
      <w:r>
        <w:rPr>
          <w:rFonts w:ascii="Times New Roman;serif" w:hAnsi="Times New Roman;serif"/>
          <w:b w:val="false"/>
          <w:color w:val="231F20"/>
          <w:sz w:val="16"/>
        </w:rPr>
        <w:t>File required to be submitted pursuant to Rule 405 of Regulation S-T (§232.405 of this chapter) during the preceding 12 months (or for</w:t>
      </w:r>
      <w:r>
        <w:rPr>
          <w:color w:val="000000"/>
        </w:rPr>
        <w:t xml:space="preserve"> </w:t>
      </w:r>
      <w:r>
        <w:rPr>
          <w:rFonts w:ascii="Times New Roman;serif" w:hAnsi="Times New Roman;serif"/>
          <w:b w:val="false"/>
          <w:color w:val="231F20"/>
          <w:sz w:val="16"/>
        </w:rPr>
        <w:t>such shorter period that the Registrant was required to submit such files).</w:t>
      </w:r>
      <w:r>
        <w:rPr>
          <w:color w:val="000000"/>
        </w:rPr>
        <w:t xml:space="preserve"> </w:t>
      </w:r>
      <w:r>
        <w:rPr>
          <w:rFonts w:ascii="Times New Roman;serif" w:hAnsi="Times New Roman;serif"/>
          <w:b w:val="false"/>
          <w:color w:val="231F20"/>
          <w:sz w:val="16"/>
        </w:rPr>
        <w:t>Yes</w:t>
      </w:r>
      <w:r>
        <w:rPr>
          <w:color w:val="000000"/>
        </w:rPr>
        <w:t xml:space="preserve"> ☒ </w:t>
      </w:r>
      <w:r>
        <w:rPr>
          <w:rFonts w:ascii="Times New Roman;serif" w:hAnsi="Times New Roman;serif"/>
          <w:b w:val="false"/>
          <w:color w:val="231F20"/>
          <w:sz w:val="16"/>
        </w:rPr>
        <w:t>No</w:t>
      </w:r>
      <w:r>
        <w:rPr>
          <w:color w:val="000000"/>
        </w:rPr>
        <w:t xml:space="preserv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6"/>
              </w:rPr>
            </w:pPr>
            <w:r>
              <w:rPr>
                <w:rFonts w:ascii="Times New Roman;serif" w:hAnsi="Times New Roman;serif"/>
                <w:b w:val="false"/>
                <w:color w:val="231F2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6"/>
              </w:rPr>
            </w:pPr>
            <w:r>
              <w:rPr>
                <w:rFonts w:ascii="Times New Roman;serif" w:hAnsi="Times New Roman;serif"/>
                <w:b w:val="false"/>
                <w:color w:val="231F2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31F20"/>
              </w:rPr>
            </w:pPr>
            <w:r>
              <w:rPr>
                <w:color w:val="231F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6"/>
              </w:rPr>
            </w:pPr>
            <w:r>
              <w:rPr>
                <w:rFonts w:ascii="Times New Roman;serif" w:hAnsi="Times New Roman;serif"/>
                <w:b w:val="false"/>
                <w:color w:val="231F2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31F20"/>
              </w:rPr>
            </w:pPr>
            <w:r>
              <w:rPr>
                <w:color w:val="231F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6"/>
              </w:rPr>
            </w:pPr>
            <w:r>
              <w:rPr>
                <w:rFonts w:ascii="Times New Roman;serif" w:hAnsi="Times New Roman;serif"/>
                <w:b w:val="false"/>
                <w:color w:val="231F2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31F20"/>
              </w:rPr>
            </w:pPr>
            <w:r>
              <w:rPr>
                <w:color w:val="231F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6"/>
              </w:rPr>
            </w:pPr>
            <w:r>
              <w:rPr>
                <w:rFonts w:ascii="Times New Roman;serif" w:hAnsi="Times New Roman;serif"/>
                <w:b w:val="false"/>
                <w:color w:val="231F2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31F20"/>
              </w:rPr>
            </w:pPr>
            <w:r>
              <w:rPr>
                <w:color w:val="231F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283"/>
        <w:jc w:val="left"/>
        <w:rPr/>
      </w:pPr>
      <w:r>
        <w:rPr>
          <w:rFonts w:ascii="Times New Roman;serif" w:hAnsi="Times New Roman;serif"/>
          <w:b w:val="false"/>
          <w:color w:val="231F2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w:t>
      </w:r>
      <w:r>
        <w:rPr>
          <w:rFonts w:ascii="Times New Roman;serif" w:hAnsi="Times New Roman;serif"/>
          <w:b w:val="false"/>
          <w:color w:val="000000"/>
          <w:sz w:val="16"/>
        </w:rPr>
        <w:t>ort.</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erif" w:hAnsi="Times New Roman;serif"/>
          <w:b w:val="false"/>
          <w:color w:val="231F20"/>
          <w:sz w:val="16"/>
        </w:rPr>
        <w:t>Indicate by check mark whether the Registrant is a shell company (as defined in Rule 12b-2 of the Exchange Act). Yes</w:t>
      </w:r>
      <w:r>
        <w:rPr>
          <w:color w:val="000000"/>
        </w:rPr>
        <w:t xml:space="preserve"> ☐ </w:t>
      </w:r>
      <w:r>
        <w:rPr>
          <w:rFonts w:ascii="Times New Roman;serif" w:hAnsi="Times New Roman;serif"/>
          <w:b w:val="false"/>
          <w:color w:val="231F20"/>
          <w:sz w:val="16"/>
        </w:rPr>
        <w:t>No</w:t>
      </w:r>
      <w:r>
        <w:rPr>
          <w:color w:val="000000"/>
        </w:rPr>
        <w:t xml:space="preserve"> ☒</w:t>
      </w:r>
    </w:p>
    <w:p>
      <w:pPr>
        <w:pStyle w:val="TextBody"/>
        <w:bidi w:val="0"/>
        <w:spacing w:lineRule="auto" w:line="288" w:before="60" w:after="283"/>
        <w:jc w:val="left"/>
        <w:rPr/>
      </w:pPr>
      <w:r>
        <w:rPr>
          <w:rFonts w:ascii="Times New Roman;serif" w:hAnsi="Times New Roman;serif"/>
          <w:b w:val="false"/>
          <w:color w:val="231F20"/>
          <w:sz w:val="16"/>
        </w:rPr>
        <w:t>The aggregate market value of the Registrant’s common stock held by non-affiliates of the Registrant as of the last business day of the Registrant’s most recently completed second fiscal quarter, June 30, 2025, based on the last reported sales price of the Registrant’s common stock on the Nasdaq Global Market of $3.92 per share was</w:t>
      </w:r>
      <w:r>
        <w:rPr>
          <w:color w:val="000000"/>
        </w:rPr>
        <w:t xml:space="preserve"> </w:t>
      </w:r>
      <w:r>
        <w:rPr>
          <w:rFonts w:ascii="Times New Roman;serif" w:hAnsi="Times New Roman;serif"/>
          <w:b w:val="false"/>
          <w:color w:val="000000"/>
          <w:sz w:val="16"/>
        </w:rPr>
        <w:t>$923,706,456</w:t>
      </w:r>
      <w:r>
        <w:rPr>
          <w:rFonts w:ascii="Times New Roman;serif" w:hAnsi="Times New Roman;serif"/>
          <w:b w:val="false"/>
          <w:color w:val="231F20"/>
          <w:sz w:val="16"/>
        </w:rPr>
        <w:t>.</w:t>
      </w:r>
    </w:p>
    <w:p>
      <w:pPr>
        <w:pStyle w:val="TextBody"/>
        <w:bidi w:val="0"/>
        <w:spacing w:lineRule="auto" w:line="288" w:before="60" w:after="283"/>
        <w:jc w:val="left"/>
        <w:rPr/>
      </w:pPr>
      <w:r>
        <w:rPr>
          <w:rFonts w:ascii="Times New Roman;serif" w:hAnsi="Times New Roman;serif"/>
          <w:b w:val="false"/>
          <w:color w:val="231F20"/>
          <w:sz w:val="16"/>
        </w:rPr>
        <w:t xml:space="preserve">The number of shares of Registrant’s Common Stock outstanding as of February 12, 2026, was </w:t>
      </w:r>
      <w:r>
        <w:rPr>
          <w:rFonts w:ascii="Times New Roman;serif" w:hAnsi="Times New Roman;serif"/>
          <w:b w:val="false"/>
          <w:color w:val="000000"/>
          <w:sz w:val="16"/>
        </w:rPr>
        <w:t>245,247,427</w:t>
      </w:r>
      <w:r>
        <w:rPr>
          <w:rFonts w:ascii="Times New Roman;serif" w:hAnsi="Times New Roman;serif"/>
          <w:b w:val="false"/>
          <w:color w:val="231F20"/>
          <w:sz w:val="16"/>
        </w:rPr>
        <w:t>.</w:t>
      </w:r>
    </w:p>
    <w:p>
      <w:pPr>
        <w:pStyle w:val="TextBody"/>
        <w:bidi w:val="0"/>
        <w:spacing w:lineRule="auto" w:line="288" w:before="120" w:after="283"/>
        <w:jc w:val="center"/>
        <w:rPr>
          <w:rFonts w:ascii="Times New Roman;serif" w:hAnsi="Times New Roman;serif"/>
          <w:b/>
          <w:color w:val="231F20"/>
          <w:sz w:val="14"/>
        </w:rPr>
      </w:pPr>
      <w:r>
        <w:rPr>
          <w:rFonts w:ascii="Times New Roman;serif" w:hAnsi="Times New Roman;serif"/>
          <w:b/>
          <w:color w:val="231F20"/>
          <w:sz w:val="14"/>
        </w:rPr>
        <w:t>DOCUMENTS INCORPORATED BY REFERENCE:</w:t>
      </w:r>
    </w:p>
    <w:p>
      <w:pPr>
        <w:pStyle w:val="TextBody"/>
        <w:bidi w:val="0"/>
        <w:spacing w:lineRule="auto" w:line="288" w:before="120" w:after="283"/>
        <w:jc w:val="left"/>
        <w:rPr/>
      </w:pPr>
      <w:r>
        <w:rPr>
          <w:rFonts w:ascii="Times New Roman;serif" w:hAnsi="Times New Roman;serif"/>
          <w:b w:val="false"/>
          <w:color w:val="231F20"/>
          <w:sz w:val="16"/>
        </w:rPr>
        <w:t>Portions of the Registrant’s Definitive Proxy Statement for its 2026 Annual Meeting of Stockholders, which will be filed with the Commission within 120 days of December 31, 2025, the close of the Registrant’s 2025 fiscal year, are incorporated by reference into Part III of this Report</w:t>
      </w:r>
      <w:r>
        <w:rPr>
          <w:rFonts w:ascii="Times New Roman;serif" w:hAnsi="Times New Roman;serif"/>
          <w:b w:val="false"/>
          <w:color w:val="231F20"/>
          <w:sz w:val="14"/>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in this Annual Report on Form 10-K, the terms “Ardelyx,” “Company,” “we,” “us” and “our” refer to Ardelyx,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PRINCIPAL RISKS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losses in each year since our inception, and if we are unable to continue to increase revenue and/or, depending upon our pursuit of future business opportunities, we may not achieve expected cash flow positivity, and even if we do, we may not be able to sustain cash flow positivity quarter over quarter and year over year.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is no guarantee that we will achieve sufficient market acceptance for XPHOZAH, or that we will be able to secure and maintain adequate coverage and reimbursement for XPHOZAH, or generate sufficient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product sales of XPHOZAH. The inclusion of XPHOZAH in the ESRD PPS creates additional uncertainty as to the commercial opportunity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68" w:before="0" w:after="180"/>
        <w:ind w:left="0" w:right="0" w:hanging="360"/>
        <w:jc w:val="left"/>
        <w:rPr/>
      </w:pPr>
      <w:r>
        <w:rPr>
          <w:color w:val="000000"/>
        </w:rPr>
        <w:t>•</w:t>
      </w:r>
      <w:r>
        <w:rPr>
          <w:rFonts w:ascii="Times New Roman;serif" w:hAnsi="Times New Roman;serif"/>
          <w:b w:val="false"/>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below in the section titled “Risk Factors” and the other information set forth in this Annual Report on Form 10-K,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88" w:before="0" w:after="180"/>
        <w:ind w:left="0" w:right="0" w:firstLine="360"/>
        <w:jc w:val="left"/>
        <w:rPr/>
      </w:pPr>
      <w:r>
        <w:rPr>
          <w:rFonts w:ascii="Times New Roman;serif" w:hAnsi="Times New Roman;serif"/>
          <w:b w:val="false"/>
          <w:color w:val="000000"/>
          <w:sz w:val="20"/>
        </w:rPr>
        <w:t>ARDELYX</w:t>
      </w:r>
      <w:r>
        <w:rPr>
          <w:rFonts w:ascii="Times New Roman;serif" w:hAnsi="Times New Roman;serif"/>
          <w:b w:val="false"/>
          <w:color w:val="000000"/>
          <w:sz w:val="13"/>
        </w:rPr>
        <w:t>®</w:t>
      </w:r>
      <w:r>
        <w:rPr>
          <w:rFonts w:ascii="Times New Roman;serif" w:hAnsi="Times New Roman;serif"/>
          <w:b w:val="false"/>
          <w:color w:val="000000"/>
          <w:sz w:val="20"/>
        </w:rPr>
        <w: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XPHOZAH</w:t>
      </w:r>
      <w:r>
        <w:rPr>
          <w:rFonts w:ascii="Times New Roman;serif" w:hAnsi="Times New Roman;serif"/>
          <w:b/>
          <w:color w:val="000000"/>
          <w:sz w:val="13"/>
        </w:rPr>
        <w:t xml:space="preserve">® </w:t>
      </w:r>
      <w:r>
        <w:rPr>
          <w:rFonts w:ascii="Times New Roman;serif" w:hAnsi="Times New Roman;serif"/>
          <w:b w:val="false"/>
          <w:color w:val="000000"/>
          <w:sz w:val="20"/>
        </w:rPr>
        <w:t>are trademarks of Ardelyx. All other trademarks, trade names and service marks appearing in this Annual Report on Form 10-K are the property of their respective owners.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 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ENDED DECEMBER 31, 2025</w:t>
      </w:r>
    </w:p>
    <w:tbl>
      <w:tblPr>
        <w:tblW w:w="10205" w:type="dxa"/>
        <w:jc w:val="center"/>
        <w:tblInd w:w="0" w:type="dxa"/>
        <w:tblLayout w:type="fixed"/>
        <w:tblCellMar>
          <w:top w:w="28" w:type="dxa"/>
          <w:left w:w="28" w:type="dxa"/>
          <w:bottom w:w="28" w:type="dxa"/>
          <w:right w:w="28" w:type="dxa"/>
        </w:tblCellMar>
      </w:tblPr>
      <w:tblGrid>
        <w:gridCol w:w="293"/>
        <w:gridCol w:w="257"/>
        <w:gridCol w:w="261"/>
        <w:gridCol w:w="2844"/>
        <w:gridCol w:w="2821"/>
        <w:gridCol w:w="2854"/>
        <w:gridCol w:w="255"/>
        <w:gridCol w:w="255"/>
        <w:gridCol w:w="36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3">
              <w:r>
                <w:rPr>
                  <w:rStyle w:val="InternetLink"/>
                  <w:rFonts w:ascii="Times New Roman;serif" w:hAnsi="Times New Roman;serif"/>
                  <w:b/>
                  <w:color w:val="0000FF"/>
                  <w:sz w:val="20"/>
                  <w:u w:val="single"/>
                </w:rPr>
                <w:t>PART I</w:t>
              </w:r>
            </w:hyperlink>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6">
              <w:r>
                <w:rPr>
                  <w:rStyle w:val="InternetLink"/>
                  <w:rFonts w:ascii="Times New Roman;serif" w:hAnsi="Times New Roman;serif"/>
                  <w:b w:val="false"/>
                  <w:color w:val="0000FF"/>
                  <w:sz w:val="20"/>
                  <w:u w:val="single"/>
                </w:rPr>
                <w:t>Item 1.</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6">
              <w:r>
                <w:rPr>
                  <w:rStyle w:val="InternetLink"/>
                  <w:rFonts w:ascii="Times New Roman;serif" w:hAnsi="Times New Roman;serif"/>
                  <w:b w:val="false"/>
                  <w:color w:val="0000FF"/>
                  <w:sz w:val="20"/>
                  <w:u w:val="single"/>
                </w:rPr>
                <w:t>Business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
              <w:r>
                <w:rPr>
                  <w:rStyle w:val="InternetLink"/>
                  <w:rFonts w:ascii="Times New Roman;serif" w:hAnsi="Times New Roman;serif"/>
                  <w:b w:val="false"/>
                  <w:color w:val="0000FF"/>
                  <w:sz w:val="20"/>
                  <w:u w:val="single"/>
                </w:rPr>
                <w:t>Item 1A.</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
              <w:r>
                <w:rPr>
                  <w:rStyle w:val="InternetLink"/>
                  <w:rFonts w:ascii="Times New Roman;serif" w:hAnsi="Times New Roman;serif"/>
                  <w:b w:val="false"/>
                  <w:color w:val="0000FF"/>
                  <w:sz w:val="20"/>
                  <w:u w:val="single"/>
                </w:rPr>
                <w:t>Risk Factors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9">
              <w:r>
                <w:rPr>
                  <w:rStyle w:val="InternetLink"/>
                  <w:rFonts w:ascii="Times New Roman;serif" w:hAnsi="Times New Roman;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
              <w:r>
                <w:rPr>
                  <w:rStyle w:val="InternetLink"/>
                  <w:rFonts w:ascii="Times New Roman;serif" w:hAnsi="Times New Roman;serif"/>
                  <w:b w:val="false"/>
                  <w:color w:val="0000FF"/>
                  <w:sz w:val="20"/>
                  <w:u w:val="single"/>
                </w:rPr>
                <w:t>Item 1B.</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
              <w:r>
                <w:rPr>
                  <w:rStyle w:val="InternetLink"/>
                  <w:rFonts w:ascii="Times New Roman;serif" w:hAnsi="Times New Roman;serif"/>
                  <w:b w:val="false"/>
                  <w:color w:val="0000FF"/>
                  <w:sz w:val="20"/>
                  <w:u w:val="single"/>
                </w:rPr>
                <w:t>Unresolved Staff Comments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2">
              <w:r>
                <w:rPr>
                  <w:rStyle w:val="InternetLink"/>
                  <w:rFonts w:ascii="Times New Roman;serif" w:hAnsi="Times New Roman;serif"/>
                  <w:b w:val="false"/>
                  <w:color w:val="0000FF"/>
                  <w:sz w:val="20"/>
                  <w:u w:val="single"/>
                </w:rPr>
                <w:t>53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5">
              <w:r>
                <w:rPr>
                  <w:rStyle w:val="InternetLink"/>
                  <w:rFonts w:ascii="Times New Roman;serif" w:hAnsi="Times New Roman;serif"/>
                  <w:b w:val="false"/>
                  <w:color w:val="0000FF"/>
                  <w:sz w:val="20"/>
                  <w:u w:val="single"/>
                </w:rPr>
                <w:t>Item 1C.</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5">
              <w:r>
                <w:rPr>
                  <w:rStyle w:val="InternetLink"/>
                  <w:rFonts w:ascii="Times New Roman;serif" w:hAnsi="Times New Roman;serif"/>
                  <w:b w:val="false"/>
                  <w:color w:val="0000FF"/>
                  <w:sz w:val="20"/>
                  <w:u w:val="single"/>
                </w:rPr>
                <w:t>Cybersecurity</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5">
              <w:r>
                <w:rPr>
                  <w:rStyle w:val="InternetLink"/>
                  <w:rFonts w:ascii="Times New Roman;serif" w:hAnsi="Times New Roman;serif"/>
                  <w:b w:val="false"/>
                  <w:color w:val="0000FF"/>
                  <w:sz w:val="20"/>
                  <w:u w:val="single"/>
                </w:rPr>
                <w:t>53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8">
              <w:r>
                <w:rPr>
                  <w:rStyle w:val="InternetLink"/>
                  <w:rFonts w:ascii="Times New Roman;serif" w:hAnsi="Times New Roman;serif"/>
                  <w:b w:val="false"/>
                  <w:color w:val="0000FF"/>
                  <w:sz w:val="20"/>
                  <w:u w:val="single"/>
                </w:rPr>
                <w:t>Item 2.</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8">
              <w:r>
                <w:rPr>
                  <w:rStyle w:val="InternetLink"/>
                  <w:rFonts w:ascii="Times New Roman;serif" w:hAnsi="Times New Roman;serif"/>
                  <w:b w:val="false"/>
                  <w:color w:val="0000FF"/>
                  <w:sz w:val="20"/>
                  <w:u w:val="single"/>
                </w:rPr>
                <w:t>Properties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8">
              <w:r>
                <w:rPr>
                  <w:rStyle w:val="InternetLink"/>
                  <w:rFonts w:ascii="Times New Roman;serif" w:hAnsi="Times New Roman;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31">
              <w:r>
                <w:rPr>
                  <w:rStyle w:val="InternetLink"/>
                  <w:rFonts w:ascii="Times New Roman;serif" w:hAnsi="Times New Roman;serif"/>
                  <w:b w:val="false"/>
                  <w:color w:val="0000FF"/>
                  <w:sz w:val="20"/>
                  <w:u w:val="single"/>
                </w:rPr>
                <w:t>Item 3.</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31">
              <w:r>
                <w:rPr>
                  <w:rStyle w:val="InternetLink"/>
                  <w:rFonts w:ascii="Times New Roman;serif" w:hAnsi="Times New Roman;serif"/>
                  <w:b w:val="false"/>
                  <w:color w:val="0000FF"/>
                  <w:sz w:val="20"/>
                  <w:u w:val="single"/>
                </w:rPr>
                <w:t>Legal Proceedings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31">
              <w:r>
                <w:rPr>
                  <w:rStyle w:val="InternetLink"/>
                  <w:rFonts w:ascii="Times New Roman;serif" w:hAnsi="Times New Roman;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34">
              <w:r>
                <w:rPr>
                  <w:rStyle w:val="InternetLink"/>
                  <w:rFonts w:ascii="Times New Roman;serif" w:hAnsi="Times New Roman;serif"/>
                  <w:b w:val="false"/>
                  <w:color w:val="0000FF"/>
                  <w:sz w:val="20"/>
                  <w:u w:val="single"/>
                </w:rPr>
                <w:t>Item 4.</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34">
              <w:r>
                <w:rPr>
                  <w:rStyle w:val="InternetLink"/>
                  <w:rFonts w:ascii="Times New Roman;serif" w:hAnsi="Times New Roman;serif"/>
                  <w:b w:val="false"/>
                  <w:color w:val="0000FF"/>
                  <w:sz w:val="20"/>
                  <w:u w:val="single"/>
                </w:rPr>
                <w:t>Mine Safety Disclosures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34">
              <w:r>
                <w:rPr>
                  <w:rStyle w:val="InternetLink"/>
                  <w:rFonts w:ascii="Times New Roman;serif" w:hAnsi="Times New Roman;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37">
              <w:r>
                <w:rPr>
                  <w:rStyle w:val="InternetLink"/>
                  <w:rFonts w:ascii="Times New Roman;serif" w:hAnsi="Times New Roman;serif"/>
                  <w:b/>
                  <w:color w:val="0000FF"/>
                  <w:sz w:val="20"/>
                  <w:u w:val="single"/>
                </w:rPr>
                <w:t>PART II</w:t>
              </w:r>
            </w:hyperlink>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0">
              <w:r>
                <w:rPr>
                  <w:rStyle w:val="InternetLink"/>
                  <w:rFonts w:ascii="Times New Roman;serif" w:hAnsi="Times New Roman;serif"/>
                  <w:b w:val="false"/>
                  <w:color w:val="0000FF"/>
                  <w:sz w:val="20"/>
                  <w:u w:val="single"/>
                </w:rPr>
                <w:t>Item 5.</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40">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3">
              <w:r>
                <w:rPr>
                  <w:rStyle w:val="InternetLink"/>
                  <w:rFonts w:ascii="Times New Roman;serif" w:hAnsi="Times New Roman;serif"/>
                  <w:b w:val="false"/>
                  <w:color w:val="0000FF"/>
                  <w:sz w:val="20"/>
                  <w:u w:val="single"/>
                </w:rPr>
                <w:t>Item 6.</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3">
              <w:r>
                <w:rPr>
                  <w:rStyle w:val="InternetLink"/>
                  <w:rFonts w:ascii="Times New Roman;serif" w:hAnsi="Times New Roman;serif"/>
                  <w:b w:val="false"/>
                  <w:color w:val="0000FF"/>
                  <w:sz w:val="20"/>
                  <w:u w:val="single"/>
                </w:rPr>
                <w:t>[Reserved]</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43">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9">
              <w:r>
                <w:rPr>
                  <w:rStyle w:val="InternetLink"/>
                  <w:rFonts w:ascii="Times New Roman;serif" w:hAnsi="Times New Roman;serif"/>
                  <w:b w:val="false"/>
                  <w:color w:val="0000FF"/>
                  <w:sz w:val="20"/>
                  <w:u w:val="single"/>
                </w:rPr>
                <w:t>Item 7.</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49">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76">
              <w:r>
                <w:rPr>
                  <w:rStyle w:val="InternetLink"/>
                  <w:rFonts w:ascii="Times New Roman;serif" w:hAnsi="Times New Roman;serif"/>
                  <w:b w:val="false"/>
                  <w:color w:val="0000FF"/>
                  <w:sz w:val="20"/>
                  <w:u w:val="single"/>
                </w:rPr>
                <w:t>Item 7A.</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76">
              <w:r>
                <w:rPr>
                  <w:rStyle w:val="InternetLink"/>
                  <w:rFonts w:ascii="Times New Roman;serif" w:hAnsi="Times New Roman;serif"/>
                  <w:b w:val="false"/>
                  <w:color w:val="0000FF"/>
                  <w:sz w:val="20"/>
                  <w:u w:val="single"/>
                </w:rPr>
                <w:t>Quantitative and Qualitative Disclosures About Market Risk</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76">
              <w:r>
                <w:rPr>
                  <w:rStyle w:val="InternetLink"/>
                  <w:rFonts w:ascii="Times New Roman;serif" w:hAnsi="Times New Roman;serif"/>
                  <w:b w:val="false"/>
                  <w:color w:val="0000FF"/>
                  <w:sz w:val="20"/>
                  <w:u w:val="singl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79">
              <w:r>
                <w:rPr>
                  <w:rStyle w:val="InternetLink"/>
                  <w:rFonts w:ascii="Times New Roman;serif" w:hAnsi="Times New Roman;serif"/>
                  <w:b w:val="false"/>
                  <w:color w:val="0000FF"/>
                  <w:sz w:val="20"/>
                  <w:u w:val="single"/>
                </w:rPr>
                <w:t>Item 8.</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79">
              <w:r>
                <w:rPr>
                  <w:rStyle w:val="InternetLink"/>
                  <w:rFonts w:ascii="Times New Roman;serif" w:hAnsi="Times New Roman;serif"/>
                  <w:b w:val="false"/>
                  <w:color w:val="0000FF"/>
                  <w:sz w:val="20"/>
                  <w:u w:val="single"/>
                </w:rPr>
                <w:t>Financial Statements and Supplementary Data</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79">
              <w:r>
                <w:rPr>
                  <w:rStyle w:val="InternetLink"/>
                  <w:rFonts w:ascii="Times New Roman;serif" w:hAnsi="Times New Roman;serif"/>
                  <w:b w:val="false"/>
                  <w:color w:val="0000FF"/>
                  <w:sz w:val="20"/>
                  <w:u w:val="single"/>
                </w:rPr>
                <w:t>69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84">
              <w:r>
                <w:rPr>
                  <w:rStyle w:val="InternetLink"/>
                  <w:rFonts w:ascii="Times New Roman;serif" w:hAnsi="Times New Roman;serif"/>
                  <w:b w:val="false"/>
                  <w:color w:val="0000FF"/>
                  <w:sz w:val="20"/>
                  <w:u w:val="single"/>
                </w:rPr>
                <w:t>Item 9.</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8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84">
              <w:r>
                <w:rPr>
                  <w:rStyle w:val="InternetLink"/>
                  <w:rFonts w:ascii="Times New Roman;serif" w:hAnsi="Times New Roman;serif"/>
                  <w:b w:val="false"/>
                  <w:color w:val="0000FF"/>
                  <w:sz w:val="20"/>
                  <w:u w:val="single"/>
                </w:rPr>
                <w:t>99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87">
              <w:r>
                <w:rPr>
                  <w:rStyle w:val="InternetLink"/>
                  <w:rFonts w:ascii="Times New Roman;serif" w:hAnsi="Times New Roman;serif"/>
                  <w:b w:val="false"/>
                  <w:color w:val="0000FF"/>
                  <w:sz w:val="20"/>
                  <w:u w:val="single"/>
                </w:rPr>
                <w:t>Item 9A.</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87">
              <w:r>
                <w:rPr>
                  <w:rStyle w:val="InternetLink"/>
                  <w:rFonts w:ascii="Times New Roman;serif" w:hAnsi="Times New Roman;serif"/>
                  <w:b w:val="false"/>
                  <w:color w:val="0000FF"/>
                  <w:sz w:val="20"/>
                  <w:u w:val="single"/>
                </w:rPr>
                <w:t>Controls and Procedures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87">
              <w:r>
                <w:rPr>
                  <w:rStyle w:val="InternetLink"/>
                  <w:rFonts w:ascii="Times New Roman;serif" w:hAnsi="Times New Roman;serif"/>
                  <w:b w:val="false"/>
                  <w:color w:val="0000FF"/>
                  <w:sz w:val="20"/>
                  <w:u w:val="single"/>
                </w:rPr>
                <w:t>99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0">
              <w:r>
                <w:rPr>
                  <w:rStyle w:val="InternetLink"/>
                  <w:rFonts w:ascii="Times New Roman;serif" w:hAnsi="Times New Roman;serif"/>
                  <w:b w:val="false"/>
                  <w:color w:val="0000FF"/>
                  <w:sz w:val="20"/>
                  <w:u w:val="single"/>
                </w:rPr>
                <w:t>Item 9B.</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0">
              <w:r>
                <w:rPr>
                  <w:rStyle w:val="InternetLink"/>
                  <w:rFonts w:ascii="Times New Roman;serif" w:hAnsi="Times New Roman;serif"/>
                  <w:b w:val="false"/>
                  <w:color w:val="0000FF"/>
                  <w:sz w:val="20"/>
                  <w:u w:val="single"/>
                </w:rPr>
                <w:t>Other Information</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90">
              <w:r>
                <w:rPr>
                  <w:rStyle w:val="InternetLink"/>
                  <w:rFonts w:ascii="Times New Roman;serif" w:hAnsi="Times New Roman;serif"/>
                  <w:b w:val="false"/>
                  <w:color w:val="0000FF"/>
                  <w:sz w:val="20"/>
                  <w:u w:val="single"/>
                </w:rPr>
                <w:t>101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6">
              <w:r>
                <w:rPr>
                  <w:rStyle w:val="InternetLink"/>
                  <w:rFonts w:ascii="Times New Roman;serif" w:hAnsi="Times New Roman;serif"/>
                  <w:b w:val="false"/>
                  <w:color w:val="0000FF"/>
                  <w:sz w:val="20"/>
                  <w:u w:val="single"/>
                </w:rPr>
                <w:t>Item 9C.</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196">
              <w:r>
                <w:rPr>
                  <w:rStyle w:val="InternetLink"/>
                  <w:rFonts w:ascii="Times New Roman;serif" w:hAnsi="Times New Roman;serif"/>
                  <w:b w:val="false"/>
                  <w:color w:val="0000FF"/>
                  <w:sz w:val="20"/>
                  <w:u w:val="single"/>
                </w:rPr>
                <w:t>Disclosure Regarding Foreign Jurisdictions that Prevent Inspections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96">
              <w:r>
                <w:rPr>
                  <w:rStyle w:val="InternetLink"/>
                  <w:rFonts w:ascii="Times New Roman;serif" w:hAnsi="Times New Roman;serif"/>
                  <w:b w:val="false"/>
                  <w:color w:val="0000FF"/>
                  <w:sz w:val="20"/>
                  <w:u w:val="single"/>
                </w:rPr>
                <w:t>101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199">
              <w:r>
                <w:rPr>
                  <w:rStyle w:val="InternetLink"/>
                  <w:rFonts w:ascii="Times New Roman;serif" w:hAnsi="Times New Roman;serif"/>
                  <w:b/>
                  <w:color w:val="0000FF"/>
                  <w:sz w:val="20"/>
                  <w:u w:val="single"/>
                </w:rPr>
                <w:t>PART III</w:t>
              </w:r>
            </w:hyperlink>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Item 10.</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Directors, Executive Officers and Corporate Governance</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02">
              <w:r>
                <w:rPr>
                  <w:rStyle w:val="InternetLink"/>
                  <w:rFonts w:ascii="Times New Roman;serif" w:hAnsi="Times New Roman;serif"/>
                  <w:b w:val="false"/>
                  <w:color w:val="0000FF"/>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Item 11.</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Executive Compensation</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02">
              <w:r>
                <w:rPr>
                  <w:rStyle w:val="InternetLink"/>
                  <w:rFonts w:ascii="Times New Roman;serif" w:hAnsi="Times New Roman;serif"/>
                  <w:b w:val="false"/>
                  <w:color w:val="0000FF"/>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Item 12.</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02">
              <w:r>
                <w:rPr>
                  <w:rStyle w:val="InternetLink"/>
                  <w:rFonts w:ascii="Times New Roman;serif" w:hAnsi="Times New Roman;serif"/>
                  <w:b w:val="false"/>
                  <w:color w:val="0000FF"/>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Item 13.</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Certain Relationships and Related Transactions, and Director Independence</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02">
              <w:r>
                <w:rPr>
                  <w:rStyle w:val="InternetLink"/>
                  <w:rFonts w:ascii="Times New Roman;serif" w:hAnsi="Times New Roman;serif"/>
                  <w:b w:val="false"/>
                  <w:color w:val="0000FF"/>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Item 14.</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02">
              <w:r>
                <w:rPr>
                  <w:rStyle w:val="InternetLink"/>
                  <w:rFonts w:ascii="Times New Roman;serif" w:hAnsi="Times New Roman;serif"/>
                  <w:b w:val="false"/>
                  <w:color w:val="0000FF"/>
                  <w:sz w:val="20"/>
                  <w:u w:val="single"/>
                </w:rPr>
                <w:t>Principal Accounting Fees and Services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02">
              <w:r>
                <w:rPr>
                  <w:rStyle w:val="InternetLink"/>
                  <w:rFonts w:ascii="Times New Roman;serif" w:hAnsi="Times New Roman;serif"/>
                  <w:b w:val="false"/>
                  <w:color w:val="0000FF"/>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20">
              <w:r>
                <w:rPr>
                  <w:rStyle w:val="InternetLink"/>
                  <w:rFonts w:ascii="Times New Roman;serif" w:hAnsi="Times New Roman;serif"/>
                  <w:b/>
                  <w:color w:val="0000FF"/>
                  <w:sz w:val="20"/>
                  <w:u w:val="single"/>
                </w:rPr>
                <w:t>PART IV</w:t>
              </w:r>
            </w:hyperlink>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3">
              <w:r>
                <w:rPr>
                  <w:rStyle w:val="InternetLink"/>
                  <w:rFonts w:ascii="Times New Roman;serif" w:hAnsi="Times New Roman;serif"/>
                  <w:b w:val="false"/>
                  <w:color w:val="0000FF"/>
                  <w:sz w:val="20"/>
                  <w:u w:val="single"/>
                </w:rPr>
                <w:t>Item 15.</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3">
              <w:r>
                <w:rPr>
                  <w:rStyle w:val="InternetLink"/>
                  <w:rFonts w:ascii="Times New Roman;serif" w:hAnsi="Times New Roman;serif"/>
                  <w:b w:val="false"/>
                  <w:color w:val="0000FF"/>
                  <w:sz w:val="20"/>
                  <w:u w:val="single"/>
                </w:rPr>
                <w:t>Exhibits, Financial Statement Schedules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23">
              <w:r>
                <w:rPr>
                  <w:rStyle w:val="InternetLink"/>
                  <w:rFonts w:ascii="Times New Roman;serif" w:hAnsi="Times New Roman;serif"/>
                  <w:b w:val="false"/>
                  <w:color w:val="0000FF"/>
                  <w:sz w:val="20"/>
                  <w:u w:val="single"/>
                </w:rPr>
                <w:t>103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3">
              <w:r>
                <w:rPr>
                  <w:rStyle w:val="InternetLink"/>
                  <w:rFonts w:ascii="Times New Roman;serif" w:hAnsi="Times New Roman;serif"/>
                  <w:b w:val="false"/>
                  <w:color w:val="0000FF"/>
                  <w:sz w:val="20"/>
                  <w:u w:val="single"/>
                </w:rPr>
                <w:t>Item 16.</w:t>
              </w:r>
            </w:hyperlink>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3">
              <w:r>
                <w:rPr>
                  <w:rStyle w:val="InternetLink"/>
                  <w:rFonts w:ascii="Times New Roman;serif" w:hAnsi="Times New Roman;serif"/>
                  <w:b w:val="false"/>
                  <w:color w:val="0000FF"/>
                  <w:sz w:val="20"/>
                  <w:u w:val="single"/>
                </w:rPr>
                <w:t>Form 10-K Summary</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23">
              <w:r>
                <w:rPr>
                  <w:rStyle w:val="InternetLink"/>
                  <w:rFonts w:ascii="Times New Roman;serif" w:hAnsi="Times New Roman;serif"/>
                  <w:b w:val="false"/>
                  <w:color w:val="0000FF"/>
                  <w:sz w:val="20"/>
                  <w:u w:val="single"/>
                </w:rPr>
                <w:t>103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29">
              <w:r>
                <w:rPr>
                  <w:rStyle w:val="InternetLink"/>
                  <w:rFonts w:ascii="Times New Roman;serif" w:hAnsi="Times New Roman;serif"/>
                  <w:b w:val="false"/>
                  <w:color w:val="0000FF"/>
                  <w:sz w:val="20"/>
                  <w:u w:val="single"/>
                </w:rPr>
                <w:t>Signatures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29">
              <w:r>
                <w:rPr>
                  <w:rStyle w:val="InternetLink"/>
                  <w:rFonts w:ascii="Times New Roman;serif" w:hAnsi="Times New Roman;serif"/>
                  <w:b w:val="false"/>
                  <w:color w:val="0000FF"/>
                  <w:sz w:val="20"/>
                  <w:u w:val="single"/>
                </w:rPr>
                <w:t>108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232">
              <w:r>
                <w:rPr>
                  <w:rStyle w:val="InternetLink"/>
                  <w:rFonts w:ascii="Times New Roman;serif" w:hAnsi="Times New Roman;serif"/>
                  <w:b w:val="false"/>
                  <w:color w:val="0000FF"/>
                  <w:sz w:val="20"/>
                  <w:u w:val="single"/>
                </w:rPr>
                <w:t>Summary of Abbreviated Terms</w:t>
              </w:r>
            </w:hyperlink>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90095d1c4d4adbbfccc9a6198c2862_232">
              <w:r>
                <w:rPr>
                  <w:rStyle w:val="InternetLink"/>
                  <w:rFonts w:ascii="Times New Roman;serif" w:hAnsi="Times New Roman;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 sodium/hydrogen exchanger (NHE3) inhibitor that was discovered and developed by Ardelyx. NHE3 is an antiporter expressed on the apical surface of the small and large intestines. Tenapanor is a minimally absorbed, first-in-class, oral, small molecule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We believe that IBSRELA can bring meaningful benefit to the approximately 13 million Americans who suffer from the symptoms of IBS-C, many of whom continue to experience symptoms despite intervention with other therapies. We are seeking to further expand the IBSRELA eligible patient population to include patients with chronic idiopathic constipation (CIC), and have initiated a Phase 3 clinical trial evaluating tenapanor in adult CIC patients.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on dialysis as add-on therapy in patients who have an inadequate response to phosphate binders or who are intolerant of any dose of phosphate binder therapy. We believe XPHOZAH can bring meaningful relief to adult chronic kidney disease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commercializing IBSRELA and XPHOZAH, we are also developing a next-generation NHE3 inhibitor that we believe can have application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Annual Report on Form 10-K for definitions of terms used throughout the document.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our mission of developing and commercializing innovative medicines that address unmet patient needs. Our principal strategy is to continue our commercial momentum with our current products while advancing and expanding a portfolio of important medicines for patients with unmet medical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driving significant IBSRELA growth, (ii) maintaining XPHOZAH commercial momentum, (iii) further advancing our pipeline and portfolio and (iv) maintaining a solid financial foundation to support our future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commercialization, development and additional expenses related to our ongoing operations and pursuit of future business opportunities. We have historically funded our operations primarily from product sales, sales of our common stock, funds from our loan agreements with SLR, funds from our collaboration partnerships, as well as the sale of future royalties and commercialization milestones to HCR. We expect that we will increasingly rely on cash generated from our commercial operations to fund our operating plan while maintaining financial flexibility to source cash from future equity sales and debt financing.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Commercial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for IBS-C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IBSRELA is a first-in-class NHE3 inhibitor approved by the FDA for the treatment of IBS-C in adults. IBSRELA acts locally in the gut and is minimally absorbed. IBS-C is a gastrointestinal disorder characterized by both constipation and abdominal pain. IBS-C is associated with significantly impaired quality of life, reduced productivity and substantial economic burden. We recognized our first sales of IBSRELA in the U.S. in March 2022.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deploy a market-responsive commercial strategy for IBSRELA and have a commercial organization highly experienced in commercializing novel therapies in specialty areas. The dynamics of the IBS-C market reflect an established patient base, limited number of competitors all confined to a single mechanism of action (secretagogues), concentrated number of prescribers who see a large number of IBS-C patients, and recognized unmet need. These dynamics enable a targeted promotional focus on IBS-C patients currently being managed by high-writing healthcare providers. Central to our commercial strategy for IBSRELA has been our highly experienced specialty sales force, many with existing relationships across their gastrointestinal target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omnichannel digital initiatives and our patient services programs, including ArdelyxAssist, that support patient access to our therapies.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competition for IBSRELA comes largely from prescription products indicated for IBS-C: branded products, Linzess (linaclotide) and Trulance (plecanatide), as well as generic lubiprostone.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2026, we initiated ACCEL (ten-03-301), a Phase 3 clinical trial designed to assess the safety and efficacy of tenapanor for the treatment of CIC. Enrollment in ACCEL is expected throughout 2026, with topline data read out in the second half of 2027. CIC is characterized by difficult, infrequent or incomplete bowel movements, and is associated with significantly impaired quality of life, disrupted productivity and high healthcare-related costs and is estimated to affect more than 34 million Americans.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for Hyperphosphatemia in CKD Patients on Dialysis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was approved by the FDA in October 2023. XPHOZAH is a first-in-class phosphate absorption inhibitor approved in the U.S. to reduce serum phosphorus in adults with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In addition, approximately 70% of patients treated with phosphate binders to treat hyperphosphatemia were unable to consistently maintain phosphorous levels &lt;=5.5 mg/dL over a six-month period. XPHOZAH is the first therapy for phosphate management that blocks phosphate absorption at the primary site of uptake. We recognized our first sales of XPHOZAH in the U.S. in December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commercial organization highly experienced and knowledgeable of the nephrology market. The dynamics of the hyperphosphatemia market reflect an established patient base, limited number of competitors all confined to a single mechanism of action (phosphate binders), concentrated number of prescribers and significant unmet need. Central to our commercial strategy is our highly experienced specialty sales force, many with existing relationships across the nephrology target base, innovative omnichannel digital initiatives and our patient services programs, including ArdelyxAssist, that support patient access to our therapies.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 2025, XPHOZAH, along with other oral drugs for ESRD patients on dialysis without injectable or intravenous equivalents, became part of the ESRD Prospective Payment System and coverage for XPHOZAH and these other oral drugs under Medicare Part D was eliminated. We made the decision to preserve access to XPHOZAH for all appropriate patients. Although more patients had access to XPHOZAH and we increased the number of patients on treatment compared to 2024, the change in Medicare reimbursement coverage had a negative and material impact on our XPHOZAH revenue in 2025. Our strategy for XPHOZAH remains a targeted promotional focus on nephrology healthcare providers to preserve access for patients, regardless of insurance coverage, determined to be appropriate candidates for XPHOZAH by their healthcare provider.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VS-505, developed by Vidasym; TS-172, developed by Taisho Pharmaceutical; and OLC, developed by Unicycive Therapeutics. Additionally, Alebund is developing AP-306, an inhibitor of phosphate transporters NaPi-2b, PiT-1, and PiT-2.</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Commercial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a high-quality commercial organization, with capabilities, including marketing, market access, patient services and sales designed to support our commercialization of IBSRELA and XPHOZAH. We have executed collaborations with established industry leaders to efficiently bring XPHOZAH and IBSRELA to patients in specific territories outside of the U.S. We continue to evaluate our strategy for the commercialization of IBSRELA and XPHOZAH in ex-U.S.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Product Pipeline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Label Extension for IBSRELA to Treat Patients with CIC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we submitted an IND application to the FDA for IBSRELA to expand the IBSRELA eligible patient population to include patients with CIC. In January 2026, we initiated ACCEL (ten-03-301), a Phase 3 clinical trial designed to assess the safety and efficacy of tenapanor for the treatment of CIC. Enrollment in ACCEL is expected throughout 2026, with topline data read out in the second half of 2027. CIC is characterized by difficult, infrequent or incomplete bowel movements, and is associated with significantly impaired quality of life, disrupted productivity and high healthcare-related costs. CIC is estimated to affect more than 34 million Americans. Pending the outcome of the Phase 3 clinical trial, if successful, we intend to submit a supplemental NDA to the FDA for tenapanor for the CIC indication.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Discovery and Development Asset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2025, we announced a development program for RDX10531. We believe RDX10531 is a next-generation NHE3 inhibitor with potential application across multiple therapeutic areas. We are currently conducting activities to support an IND submission to the FDA for RDX10531 in the second half of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collaboration agreements with third parties for the development and commercialization of tenapanor for certain indications in their respective territories. In exchange for granting the respective licenses, we receive upfront payments upon contract execution, are eligible to receive development and regulatory milestones upon achievement of respective events and are eligible to receive sales-based royalties and commercialization milestones. We also enter into supply agreements with our partners to supply drug substance or finished product for a fee.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Knight for the development, commercialization and distribution of tenapanor in Canada for hyperphosphatemia and IBS-C. IBSRELA was launched in Canada in March 2021. We supply IBSRELA drug product packaged for the Canadian market to Knight to satisfy Knight’s commercial needs.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have an exclusive license agreement with Kyowa Kirin for the development, commercialization and distribution of tenapanor in Japan for cardiorenal indications. We supply tenapanor drug substance to satisfy Kyowa Kirin’s commercial needs. In February 2024, Kyowa Kirin announced the launch of tenapanor, marketed as PHOZEVEL</w:t>
      </w:r>
      <w:r>
        <w:rPr>
          <w:rFonts w:ascii="Times New Roman;serif" w:hAnsi="Times New Roman;serif"/>
          <w:b w:val="false"/>
          <w:color w:val="000000"/>
          <w:sz w:val="13"/>
        </w:rPr>
        <w:t>®</w:t>
      </w:r>
      <w:r>
        <w:rPr>
          <w:rFonts w:ascii="Times New Roman;serif" w:hAnsi="Times New Roman;serif"/>
          <w:b w:val="false"/>
          <w:color w:val="000000"/>
          <w:sz w:val="20"/>
        </w:rPr>
        <w:t xml:space="preserve">, for CKD patients with hyperphosphatemia in Japan. As discussed in </w:t>
      </w:r>
      <w:r>
        <w:rPr>
          <w:rFonts w:ascii="Times New Roman;serif" w:hAnsi="Times New Roman;serif"/>
          <w:b w:val="false"/>
          <w:i/>
          <w:color w:val="000000"/>
          <w:sz w:val="20"/>
        </w:rPr>
        <w:t>Note 8. Deferred Royalty Obligation Related to the Sale of Future Royalties</w:t>
      </w:r>
      <w:r>
        <w:rPr>
          <w:rFonts w:ascii="Times New Roman;serif" w:hAnsi="Times New Roman;serif"/>
          <w:b w:val="false"/>
          <w:color w:val="000000"/>
          <w:sz w:val="20"/>
        </w:rPr>
        <w:t>, the future royalties and commercialization milestone payments we may receive under the license, as amended, will be remitted to HCR pursuant to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Fosun Pharma for the development and commercialization of tenapanor in China for both hyperphosphatemia and IBS-C. In February 2025, we announced the approval of an NDA for tenapanor for the control of hyperphosphatemia in adult patients with CKD undergoing hemodialysis by China’s Center for Drug Evaluation of the NMPA.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METiS for the development and commercialization of a portfolio of TGR5 agonist compounds that we discovered and developed for all therapeutic areas.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Financings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2023, we entered into the 2023 Open Market Sales Agreement with Jefferies with respect to an “at-the-market offering” program, which was established under the Company’s shelf registration statement on Form S-3 and expired in January 2026. Under the 2023 Open Market Sales Agreement, we sold a total of 16.8 million shares of our common stock and received gross proceeds of $70.0 million at a weighted average sales price of approximately $4.17. During the year ended December 31, 2025, we did not sell any shares under the 2023 Open Market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price for shares of our common stock sold under the 2025 Open Market Sales Agreement. As of December 31, 2025, there have been no sales of our common stock under the 2025 Open Market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loan and security agreement (as amended, the 2022 Loan Agreement) with SLR. The 2022 Loan Agreement provides a total of $300.0 million, of which $200.0 million has been drawn and is outstanding as of December 31, 2025, including $50.0 million of the Term E Loan drawn during the 2025 second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short-term investments totaling $264.7 million, an increase of $14.6 million, or 5.8%, from our cash position as of December 31, 2024.</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proprietary protection for our products,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products or drug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U.S. that also claim technology or therapeutics to which we have rights, we may have to participate in interference proceedings in the USPTO to determine priority of invention, which would result in substantial costs to us even if the eventual outcome is favorable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 of individual patents depends upon the legal term of the patents in countries in which they are obtained. In most countries, including the U.S.,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U.S.,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Tenapanor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tenapanor patent portfolio includes seven issued U.S. patents, three issued patents in each of Israel and Mexico, two issued patents in each of the European Patent Organization, Japan, Korea and Hong Kong and one issued patent in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following territories: Australia, Brazil, China and India. These issued patents cover the composition and certain methods of using tenapanor, are wholly owned by us, and are predicted, without extension or adjustment, to expire in December 2029. The term of U.S. patent no. 8,541,448, which claims the composition of matter of tenapanor, was extended under the Hatch-Waxman Act to August 1, 2033. The portfolio further includes patents covering the use of tenapanor for controlling serum phosphorus that are wholly owned by us and have been issued in the U.S., Europe, Japan, China, Australia, Gulf Co-op countries, Hong Kong, Israel, Korea, Macao, Mexico, New Zealand, Russia, South Africa and Taiwan and are pending in other countries. These patents are predicted, without extension or adjustment, to expire in April 2034. On January 22, 2026, we received an Issue Notification from the USPTO indicating the issuance of U.S. Patent No. 12,539,299. The patent relates to the formulation of tenapanor and covers the commercial formulations of IBSRELA and XPHOZAH and has an expiration date of November 26, 2042.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U.S. and international patent applications are pending covering additional methods of treatment with tenapanor, and composition of matter and methods of using compounds that we believe may be follow on compounds to tenapanor.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relied upon third-party CMOs to manufacture both the API and final drug product dosage forms of our commercial products, as well as our clinical trial material, and we expect that we will continue to rely upon CMOs for the manufacture of commercial product for IBSRELA, commercial product for XPHOZAH and clinical trial materials. Our license agreements with Knight and Fosun Pharma currently require us to supply final drug product dosage forms of tenapanor for their use in the development and commercialization of tenapanor in each of their respective territories. We are further obligated to supply API to Kyowa Kirin to support their development and commercialization of tenapanor in Japan. We expect that we will continue to use CMOs to satisfy our supply obligations to our collaboration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products and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FDA regulates drug products under the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process required by the FDA before a drug may be marketed in the U.S. generally involves: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completion of extensive preclinical laboratory tests, preclinical animal studies and formulation studies, some performed in accordance with the FDA’s current GLP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submission to the FDA of an IND application which must become effective before human clinical trials in the U.S. may begin;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approval by an independent IRB or ethics committee at each clinical trial site before each trial may be initiated;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performance of adequate and well-controlled human clinical trials in accordance with GCP regulations to establish the safety and efficacy of the drug candidate for each proposed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submission to the FDA of an NDA for marketing approval of the new drug;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determination by the FDA within 60 days of its receipt of an NDA to accept and file the NDA for review;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satisfactory completion of an FDA inspection of the manufacturing facility or facilities at which the drug is produced to assess compliance with cGMP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satisfactory completion of a potential FDA audit of the non-clinical and/or clinical trial sites that generated the data in support of the NDA;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satisfactory completion of a potential review by an FDA advisory committee, if applicable;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payment of applicable user fees and FDA review and approval of the NDA prior to any commercial marketing, sale or commercial shipment of the drug.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preclinical and clinical testing and approval process requires substantial time, effort and financial resources, and we cannot be certain that any approvals for any product candidates that we may seek to advance, or any approvals for label expansions for existing marketed products that we may seek to obtain,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Additional preclinical testing may continue even after the IND is submitted. The IND automatically becomes effective 30 days after receipt by the FDA, unless the FDA, within the 30-day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clinical research to be performed in the U.S. in support of an NDA must be reviewed in advance by the FDA under the IND regulations and procedures described above. However, a sponsor who wishes to conduct a clinical trial outside the U.S. may, but need not, obtain FDA authorization to conduct the clinical trial under an IND. If a foreign clinical trial is not conducted under an IND, the sponsor may still submit data from the clinical trial in support of an NDA as long as the clinical trial is conducted in compliance with GCP and if the FDA is able to validate the data from the study through an onsite inspection, if necessary. GCP includes, among other things, review and approval by an independent ethics committee, such as an IRB, and obtaining and documenting the freely given informed consent of each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Clinical Trials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clinical investigation of a new drug is typically conducted in three or four phases, which may overlap or be combined, and generally proceed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Phase 1</w:t>
      </w:r>
      <w:r>
        <w:rPr>
          <w:rFonts w:ascii="Times New Roman;serif" w:hAnsi="Times New Roman;serif"/>
          <w:b w:val="false"/>
          <w:color w:val="000000"/>
          <w:sz w:val="20"/>
        </w:rPr>
        <w:t>: Clinical trials are initially conducted in a limited population of subjects to test the drug candidate for safety, dose tolerance, absorption, metabolism, distribution and excretion in healthy humans or, on occasion, in patients with severe problems or life-threatening diseases to gain an early indication of its effectiveness.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Phase 2</w:t>
      </w:r>
      <w:r>
        <w:rPr>
          <w:rFonts w:ascii="Times New Roman;serif" w:hAnsi="Times New Roman;serif"/>
          <w:b w:val="false"/>
          <w:color w:val="000000"/>
          <w:sz w:val="20"/>
        </w:rPr>
        <w:t>: Clinical trials are generally conducted in a limited patient population to evaluate dosage tolerance and appropriate dosage, identify possible adverse effects and safety risks and evaluate preliminarily the efficacy of the drug for specific targeted indications in patients with the disease or condition under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Phase 3</w:t>
      </w:r>
      <w:r>
        <w:rPr>
          <w:rFonts w:ascii="Times New Roman;serif" w:hAnsi="Times New Roman;serif"/>
          <w:b w:val="false"/>
          <w:color w:val="000000"/>
          <w:sz w:val="20"/>
        </w:rPr>
        <w:t xml:space="preserve">: Clinical trials are typically conducted when Phase 2 clinical trials demonstrate that a dose range of the 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 evidence of clinical efficacy and to further test for safety in an expanded and diverse patient population at multiple, geographically dispersed clinical trial sites.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Phase 4</w:t>
      </w:r>
      <w:r>
        <w:rPr>
          <w:rFonts w:ascii="Times New Roman;serif" w:hAnsi="Times New Roman;serif"/>
          <w:b w:val="false"/>
          <w:color w:val="000000"/>
          <w:sz w:val="20"/>
        </w:rPr>
        <w:t>: In some cases, the FDA may condition approval of an NDA for a product candidate on the sponsor’s 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FDA, the IRB or the clinical trial sponsor may suspend or terminate a clinical trial at any time on various grounds, including a finding that the research subjects are being exposed to an unacceptable health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suspend or terminate a clinical trial based on evolving business objectives and/or competitive climate.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New Drug Applications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Prescription Drug User Fee Act, the FDA has a goal of responding to standard review NDAs for new molecular entities within ten months after the 60-day filing review period, or six months after the 60-day filing review period for priority review NDAs. For non-new molecular entities, the FDA has a goal of responding within ten months of receipt of standard review NDAs and six months of receipt for priority review NDAs. These timeframes are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REMS if it determines that a REMS is necessary to ensure that the drug’s benefits outweigh its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 programs. Once the FDA approves an NDA, or any supplement thereto, the FDA may withdraw the approval if ongoing regulatory requirements are not met or if safety problems are identified after the drug reaches the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Drugs may be marketed only for the FDA-approved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 There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 no assurances that the FDA will approve any requested changes in indications, labeling or manufacturing processes or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Ongoing Regulatory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Hatch-Waxman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Price Competition and Patent Term Restoration Act, or Hatch-Waxman Act, Section 505 of the FFDCA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on published literature, in support of its application. Section 505(j) establishes an abbreviated approval process for a generic version of approved drug products through the submission of an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can often be substituted by pharmacists under prescriptions written for the reference listed drug. In seeking approval for a drug through an NDA, applicants are required to list with the FDA each patent that claims the applicant’s drug or a method of using the drug. Upon approval of a drug, each of the patents listed in the application for the drug is then published in the FDA’s publication Approved Drug Products with Therapeutic Equivalence Evaluations, commonly known as the Orange Book. Additional patents issued after NDA approval may be added to the Orange 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a product and any applicable patents are listed in the Orange Book, it can be referenced by potential competitors seeking approval of a follow-on version of the drug in either an ANDA or 505(b)(2) NDA. Upon submission of an ANDA or a 505(b)(2) NDA, the applicant must certify to the FDA, with respect to each patent listed in the Orange Book for the reference drug, that (1) no patent information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known as a Paragraph IV certification. If the applicant does not challenge the listed patents or indicates that it is not seeking approval of a patented method of use, the ANDA or 505(b)(2) NDA application will not be approved until all of the applicable listed patents claiming the referenced product have expired.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ANDA or 505(b)(2) NDA applicant has provided a Paragraph IV certification to the FDA, the applicant must send notice of the Paragraph IV certification to the NDA holder and patent owners once the application has been accepted for filing by the FDA. The NDA and patent holders may then initiate a patent infringement lawsuit in response to the notice of the Paragraph IV certification. If the NDA holder or the patent owner(s) bring such patent infringement lawsuit within 45 days of the ANDA or 505(b)(2) NDA applicant’s Paragraph IV certification notice, the FDA may not approve that application until 30 months from the receipt of the notice of the Paragraph IV certification or such shorter or longer period as may be ordered by a court, or if applicable, the date the infringement case concerning each such patent is favorably decided or settled in the applicant’s favor.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Hatch-Waxman Act establishes periods of regulatory exclusivity for certain approved drug products, during which the FDA cannot approve (or in some cases accept) an ANDA or 505(b)(2) NDA that relies on the reference drug. For example, the holder of an NDA, including a 505(b)(2) NDA, may obtain five years of exclusivity upon approval of a new drug containing an NCE that has not been previously approved by the FDA. A drug is an NCE if the FDA has not previously approved any other drug containing the same active moiety, which is the molecule or ion responsible for the therapeutic activity of the drug substance. During the exclusivity period, the FDA may not accept for review an ANDA or a 505(b)(2) NDA submitted by another company that contains the NCE active moiety. However, an ANDA or 505(b)(2) NDA may be submitted after four years if it contains a Paragraph IV certification of patent invalidity or non-infringement.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investigations (other than bioavailability or bioequivalence studies) was essential to the approval of the application and was conducted/sponsored by the applicant. This three-year exclusivity period protects against FDA approval of ANDAs and 505(b)(2) NDAs for the specific condition of the new drug’s approval. As a general matter, the three-year exclusivity does not prohibit the FDA from approving ANDAs or NDAs for generic versions of the original, unmodified drug product.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efficacy.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 and Abuse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research, manufacturing, distribution, sale and promotion of drug products and medical devices are subject to regulation by various federal, state and local authorities in addition to the FDA, including CMS and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statute or specific intent to violate it in order to have committed a violation.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do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federal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laws described above, the Physician Payments Sunshine Act requires certain drug manufacturers to report payments and other transfer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Third-Party Coverage and Reimbursement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of pharmaceutical products depend in significant part on the availability of coverage and adequate reimbursement by third-party payors, such as state and federal governments, including Medicare and Medicaid, and commercial managed care providers. In the U.S., no uniform policy of coverage and reimbursement for drug products exists among third-party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decisions regarding the extent of coverage and amount of reimbursement to be provided for our product candidates are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under the ESRD PPS, CMS generally makes a single bundled payment to the dialysis facility for each dialysis treatment that is intended to cover all items and services CMS has determined are routinely required for dialysis treatments furnished to Medicare beneficiaries in Medicare-certified ESRD facilities or at their home, including the cost of certain drugs required for treatment of ESRD patients on dialysis. On January 1, 2025, XPHOZAH, along with other oral drugs for ESRD patients on dialysis without injectable or intravenous equivalents, became part of the ESRD PPS and coverage for XPHOZAH and these other oral drugs under Medicare Part D was eliminated. We made the decision to preserve access to XPHOZAH for all appropriate patients. Although more patients had access to XPHOZAH and we increased the number of patients on treatment compared to 2024, the change in Medicare reimbursement coverage had a negative and material impact on our XPHOZAH revenue in 2025. Our strategy for XPHOZAH remains a targeted promotional focus on nephrology healthcare providers to preserve access for patients, regardless of insurance coverage, determined to be appropriate candidates for XPHOZAH by their healthcare provider.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ongoing efforts to implement legislative and regulatory changes regarding the healthcare system at the federal and state level, including with respect to the containment of healthcare costs. The significant interest by federal and state legislatures, as well as by foreign governments, in the adoption of drug price controls and other cost-containment measures, in addition to adoption of more restrictive policies in jurisdictions with existing controls and measures, could place additional downward pressure on the prices we or our collaborators may receive for our products and future product candidates, if approved, and may adversely affect our ability to achieve or maintain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the ACA, enacted in 2010, substantially changed the way healthcare is financed by both governmental and private insurers and contains a number of provisions that may affect our business, including those governing enrollment in federal healthcare programs, reimbursement changes, rules regarding prescription drug benefits under the health insurance exchanges, changes to the Medicaid Drug Rebate Program, expansion of the Public Health Service Act’s 340B drug pricing program, or 340B program, and fraud and abuse measures. These changes have impacted existing government healthcare programs and have resulted in the development of new programs, including Medicare payment for performance initiatives and improvements to the physician quality reporting system and feedback program. There have been ongoing changes to the implementation of the ACA since its adoption. For example, the availability of enhanced premium tax credits and other subsidies under the ACA expired as of December 31, 2025, and absent legislative action to reinstate or replace them, many individuals may experience higher out-of-pocket premium costs. These changes could result in an increase in uninsured or underinsured patients, which could negatively affect patients’ ability or willingness to start or continue treatment with our products or future product candidates, if successfully developed and approved, or may otherwise increase prescription abandonment rates or place greater pressure on drug pricing generally.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Congressional action is taken, additional specific reductions in Medicare payments to several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2022, the IRA was signed into law. This statute marks the most significant action by Congress with respect to the pharmaceutical industry since adoption of the ACA in 2010. Among other things, the IRA requires manufacturers of certain drugs to engage in price negotiations with Medicare,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went into effect in January 2026, and the subsequent 15 drugs, which will first be effective in 2027.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the pharmaceutical industry cannot yet be fully determined, it is likely to be significant.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and imposes requirements for recipients to work and/or participate in qualifying activities in order to receive Medicaid benefits. Such reductions and requirements are expected to decrease the number of persons enrolled in Medicaid and reduce the services covered by Medicaid, which could adversely affect sales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a two-fold strategy to reduce drug costs in the U.S. While it is unclear whether and how these proposals will be implemented, the current administration’s policies are likely to have a negative impact on the pharmaceutical industry and on our ability to receive adequate revenues for our products.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Government Price Reporting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Medicaid is a joint federal and state program for low-income and disabled beneficiaries. Medicare is a federal program covering individuals age 65 and over as well as those with certain disabilities. As a condition of having federal funds being made available for our covered outpatient drugs under Medicaid, we have enrolled in the MDRP, which requires us to pay a rebate to state Medicaid programs for each unit of our covered outpatient drugs dispensed to a Medicaid beneficiary and paid for by a state Medicaid program. Medicaid drug rebates are based on pricing data that we must report on a monthly and quarterly basis to the U.S.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Manufacturers who fail to provide information timely or are found to have knowingly submitted false information to the government may be subject to civil monetary penalties and other sanctions, including termination from the MDRP.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Federal law requires that a manufacturer that participates in the MDRP also participate in the 340B program in order for federal funds to be available for the manufacturer’s covered outpatient drugs under Medicaid and Medicare Part B. We participate in the 340B program, which is administered by HRSA, and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be eligible to have drug products paid for with federal funds under Medicaid and purchased by certain federal agencies and grantees, manufacturers must also participate in the U.S. VA FSS pricing program. Under the VA/FSS program, manufacturers must report the Non-FAMP for their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Manufacturers must also pay rebates on products purchased by military personnel and dependents through the TRICARE retail pharmacy program. Manufacturers who fail to provide timely information or are found to have knowingly submitted false information may be subject to civil monetary penalties.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Privacy and Security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that govern the collection, use, disclosure, and protection of health-related and other personal information could apply to our operations or the operations of our partners. Further, certain foreign laws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success of our company depends on our ability to attract, retain and further develop top talent. As we continually expand our organization to support our current and future growth opportunities, we have remained steadfastly committed to our values, including our goal to develop and maintain a professional, respectful and collaborative workplace with opportunities for our employees to grow and develop in their careers, supported by strong compensation and benefits.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489 full-time employees, 93 of whom were engaged directly in research, development and manufacturing, 305 in sales and marketing and 91 in general and administrative activities. During 2025, our employee base increased by 94, or approximately 24%.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Workforce Culture and Composition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culture is supported by an unwavering commitment to maintaining a professional, respectful and collaborative work environment that supports engagement and performance. As of December 31, 2025, approximately 63% of our workforce was female; 38% of our executive leadership team was female and 54% of our employees in managerial roles were female.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December 31, 2025, employees who self-identified as members of underrepresented groups represented 35% of our workforce and 37% of our employees in managerial roles. We strive to foster a culture where mutual respect, accountability, integrity and dignity are core to our individual expectations.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fostering an environment in which employees feel respected and supported enhances productivity, innovation and long-term organizational success.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Core Values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Fostering and maintaining a strong, healthy culture is a key strategic focus. Our core values reflect who we are and the way our employees interact with one another, our partners and our stockholders. We are committed to our core values, recognizing that they will foster an environment where we will be able to realize our vision of advancing patient care.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believe they help our culture stay strong and unique.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Health, Safety and Well-being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health, safety and well-being of our employees are priorities in which we have always invested and will continue to do so. We offer hybrid and remote working opportunities for our team members employed in areas within the organization where such flexible work options are possible. We will continue to adopt and align our policies to focus on the health, safety and wellness of our employees, and the needs of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quarterly incentives for our field based teams, stock awards, an Employee Stock Purchase Plan, 401(k) with company match contribution, healthcare and insurance benefits, health savings (funded by the Company) and flexible spending accounts, family leave, family care resources, and flexible work schedules, among many others.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October 2007 as a Delaware corporation under the name Nteryx. We changed our name to Ardelyx, Inc. in June 2008. We operate in one business segment, which is the development and commercialization of biopharmaceutical products. Our principal executive offices are located at 400 Fifth Avenue, Suite 210, Waltham, Massachusetts 02415, and our telephone number is (510) 745-1700. Our website address is www.ardelyx.com.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file electronically with the SEC our annual reports on Form 10-K, quarterly reports on Form 10-Q and current reports on Form 8-K pursuant to Section 13(a) or 15(d) of the Exchange Act. We make copies of these reports available on our website, www.ardelyx.com, free of charge,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losses in each year since our inception, and if we are unable to continue to increase revenue and/or, depending upon our pursuit of future business opportunities, we may not achieve expected cash flow positivity, and even if we do, we may not be able to sustain cash flow positivity quarter over quarter and year over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March 2022, we commenced the commercialization of our first product,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treatment of IBS-C in adult patients. In November 2023, we commenced the commercialization of XPHOZAH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commercialization, development and additional expenses related to our ongoing operations and pursuit of future business opportunities. As of December 31, 2025, we had an accumulated deficit of $946.9 million. Our prior losses, combined with any future losses, have had and will continue to have an adverse effect on our stockholders’ equity and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increase revenue for IBSRELA and XPHOZAH, and/or if we elect to pursue future business opportunities to strengthen our pipeline, we may not achieve expected cash flow positivity, and even if we do, we may not be able to sustain cash flow positivity quarter over quarter and year over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and sustain cash flow positivity quarter over quarter and year over year depends heavily on our ability to successfully commercialize IBSRELA and XPHOZAH and on the decisions we may make to expand our pipeline through internal investment and/or acquiring external assets. In addition, our cash flow positivity may be impacted by the costs of our ongoing development efforts, including our Phase 3 clinical trial evaluating tenapanor in CIC and our RDX10531 development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IBSRELA and XPHOZAH and continue to grow revenue received for both products depends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market acceptance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addressing any competing technological and market developments, including competing therapies that currently exist or that could be successfully developed and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0" w:after="180"/>
        <w:ind w:left="0" w:right="0" w:firstLine="360"/>
        <w:jc w:val="left"/>
        <w:rPr/>
      </w:pPr>
      <w:r>
        <w:rPr>
          <w:rFonts w:ascii="Times New Roman;serif" w:hAnsi="Times New Roman;serif"/>
          <w:b w:val="false"/>
          <w:color w:val="000000"/>
          <w:sz w:val="20"/>
        </w:rPr>
        <w:t>With respect to our commercialization of IBSRELA and XPHOZAH, our revenue, and therefore, our ability to achieve and sustain cash flow positivity will be dependent, in part, upon the size of the markets in the U.S., the label for which approval was granted, accepted price for the product, and the ability to secure and maintain adequate reimbursement. On January 1, 2025, XPHOZAH, along with other oral drugs for ESRD patients on dialysis without injectable or intravenous equivalents, became part of the ESRD PPS and coverage for XPHOZAH and these other oral drugs under Medicare Part D was eliminated. The inclusion of XPHOZAH in the ESRD PPS creates additional uncertainty as to the commercial opportunity for XPHOZAH.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current cash, cash equivalents and short-term investments as well as our plans to meet our operating cash flow requirements are not sufficient to fund investments we may elect to make in building our pipeline, we will not be able achieve or, if achieved, to sustain cash flow positivity, and our liquidity, financial condition, and business prospects may be materially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will continue to expend substantial resources for the foreseeable future, including costs associated with our efforts to commercialize IBSRELA and XPHOZAH; conducting pediatric clinical trials for IBSRELA; our ongoing efforts to evaluate and seek approval of tenapanor for the treatment of CIC, including our ongoing Phase 3 clinical trial in this indication; manufacturing for IBSRELA and XPHOZAH; investments to build a pipeline; and research and development related to potential new product candidates, including development costs related to RDX10531, a next-generation sodium/hydrogen exchanger 3 (NHE3) inhibitor. The inability to access necessary capital when needed on acceptable terms, or at all, could force us to delay or limit our development of potential new products, or our pursuit of future business opportunities. Our future funding requirements will depend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are able to continue to generate and increase product revenue from sales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adequate third-party reimbursement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manufacturing, selling and marketing costs associated with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receipt and amount of milestones or royalties from our collaboration partners,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necessary to expand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cash requirements for our ongoing efforts to evaluate and seek approval of tenapanor for the treatment of CIC, including our ongoing Phase 3 clinical trial in this indication;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the discovery and/or development of other potential product candidates, including RDX10531;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funds may not be available when we need them on terms that are acceptable to us, or at all. If adequate funds are not available to us on a timely basis, we may be required to delay or limit additional clinical trials for tenapanor, or delay or limit our pursuit of other future business opportunities.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IBSRELA in the U.S. in March 2022. The overall commercial success of IBSRELA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IBSRELA as a treatment for adult patients with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treatable patient population;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expand the IBSRELA eligible patient population, including with respect to our ongoing efforts to evaluate and seek approval of tenapanor for the treatment of CIC;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sales, market access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physicians view IBSRELA as a safe and effective treatment for adult patients with IBS-C, which will impact the adoption of IBSRELA by physicians for the treatment of IBS-C;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IBSRELA following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if we are not able to continue to secure and maintain physician and patient acceptance of IBSRELA or adequate coverage and reimbursement for IBSRELA, or if we are not successful in our efforts to develop and obtain regulatory approval for IBSRELA for CIC patients in the time frame we expect, or at all, we may not generate sufficient revenue from sales of IBSRELA to achieve our business goals.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content and breadth of the label that has been approved by the FDA for XPHOZAH will materially and adversely impact our ability to commercialize the product for the approved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acceptance of XPHOZAH as safe, effective and well-tolerated by patients and the medical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XPHOZAH following approval.</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2011,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eliminating coverage for XPHOZAH for Medicare beneficiaries under Medicare Part D. The change in Medicare reimbursement coverage had a negative and material impact on our XPHOZAH revenue in 2025. We anticipate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to which the inclusion of XPHOZAH in the ESRD PPS will continue to materially and adversely impact our XPHOZAH business is dependent 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extent to which this change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their approval of the product or seize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required to recall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sued and held liable for harm caused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U.S., CMS decides whether and to what extent a new drug will be covered and reimbursed under Medicare. Private payors tend to follow the coverage reimbursement policies established by CMS to a substantial degree. On January 1, 2025, XPHOZAH, along with other oral drugs for ESRD patients on dialysis without injectable or intravenous equivalents, became part of the ESRD PPS and coverage for XPHOZAH and these other oral drugs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facilities used by our CMOs to manufacture our drug supply are subject to inspection by the FDA. Our ability to control the manufacturing process of our product candidates is limited to the contractual requirements and obligations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rely on foreign CROs and CMOs, which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future business prospects may depend on our ability, alone or through our current or future collaborations, to successfully develop, gain regulatory approval of and commercialize our current and future product candidates.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including new uses for currently approved products, we must conduct extensive clinical studies to demonstrate the safety and efficacy of the product candidates in humans. The drug development process, including obtaining regulatory approval for a product, is a long, expensive and uncertain process, involving a high degree of risk. We cannot be certain that we will be able to complete ongoing clinical trials or to announce results of such trials with respect to any of our product candidates, on the timelines we expect or at all, or that the results of our clinical trials or other activities under our development programs will be positive. We cannot be certain that we will be able to advance such product candidates into additional trials or to successfully develop, obtain regulatory approval for, or successfully commercialize any of our product candidates, if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October 2025, we announced the initiation of a development program for RDX10531, a next-generation NHE3 inhibitor with potential application across multiple therapeutic areas. In January 2026, we initiated ACCEL (ten-03-301), a Phase 3 clinical trial designed to assess the safety and efficacy of tenapanor for the treatment of CIC. Enrollment in ACCEL is expected throughout 2026, with topline data read out in the second half of 2027. We may not be able to demonstrate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efficacy and safety of these or any future product candidates, or we may encounter other issues with any clinical trials or non-clinical studies required for regulatory submissions of our product candidates. The results of clinical trials or non-clinical studies of our product candidates at any stage may not support further development or may not be sufficient to file for and obtain regulatory approval on the timelines we expect or at all. The FDA or other regulatory authorities may not agree with our interpretation of the results of clinical trials or non-clinical studies. Other decisions or actions of the FDA or other regulatory authorities may affect our plans, progress, results, timing or next steps, including whether to proceed with further development. Some or all of our current or future non-clinical studies or clinical trials may fail to meet their primary or key secondary endpoints, raise safety issues or generate mixed results, resulting in delays to or discontinuation of certain development efforts and/or additional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conduct of clinical trials, we could encounter delays in our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ongoing and planned development activities may be negatively impacted by a number of factors. Widespread healthcare and vendor staffing shortages and increased competition for patients and clinical sites may make it difficult to enroll patients in our non-clinical studies and/or clinical trials and/or identify and activate participating clinical sites for our trials, may cause other delays at clinical trial sites and/or vendors, and may increase the rates of patients withdrawing from our clinical trials following enrollment. Some clinical sites may decline or delay participation in our trials due to capacity and resource constraints. These or other factors may substantially slow clinical site identification and activation and enrollment in our clinical trials, or cause us to pause trials, which may, in each case, significantly impact our ability to meet our expected timelines, budgets, or other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limitations or modifications to study procedures, study visits or data collection, restrictions on key clinical trial activities such as monitoring or auditing, or other restrictions that may affect data analysis activities may require additional assessment and evaluation from IRBs, negatively impact the integrity or completeness of our trial data, the powering of a trial, the integrity or relevance of clinical study endpoints, or impact the timing of availability of results. Any of these factors could delay or increase the expense of our ongoing or future development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Accordingly, even if we have the requisite financial resources, when needed, to continue to fund our development efforts, our current or future product candidates may never be successfully developed or commercialized. Even if we conduct the trials required by the FDA, the FDA may ultimately decide that the design, number and type of trials, number of patients studied or results, even if positive, are not sufficient to file for or gain regulatory approval of any of our product candidates in the indications we study, or do not support the safety or efficacy or our intended profile for the product. Any of these negative outcomes could materially impact our ongoing or future development programs and adversely affect our business, results of operations, financial condition and prospects and could lead us to make significant further changes to the scope and nature of our development efforts.</w:t>
      </w:r>
    </w:p>
    <w:p>
      <w:pPr>
        <w:pStyle w:val="TextBody"/>
        <w:bidi w:val="0"/>
        <w:spacing w:lineRule="auto" w:line="288" w:before="0" w:after="180"/>
        <w:jc w:val="left"/>
        <w:rPr/>
      </w:pPr>
      <w:r>
        <w:rPr>
          <w:rFonts w:ascii="Times New Roman;serif" w:hAnsi="Times New Roman;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tariffs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would be time consuming and costly. Furthermore, any new CMO would need to complete validation batches and be approved by regulatory authorities as our manufacturer, including passing any required inspections, before we would be able to utilize the drug product or drug substance they manufacture for commercial purposes, which could result in significant costs and delays in product availability.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23, 2022, we entered into a loan and security agreement (the 2022 Loan Agreement) with SLR as collateral agent and the lenders listed in the 2022 Loan Agreement (collectively, the 2022 Lenders). The 2022 Loan Agreement was subsequently amended in August 2022 (the First Amendment), February 2023 (the Second Amendment), October 2023 (the Third Amendment), October 2024 (Fourth Amendment), and June 2025 (Fifth Amendment). The loan was funded in the amount of $27.5 million on February 23, 2022 and additional amounts of $22.5 million, $50.0 million, $50.0 million and $50.0 million were drawn on October 19, 2023, March 1, 2024, October 29, 2024 and June 30, 2025, respectively. In addition, we have the option to draw up to an additional $100.0 million, consisting of two separate term loans, each in a principal amount of $50.0 million: (a) the first of which is available at the Company’s election through June 30, 2026 and (b) the second of which is available at the Company’s election through December 20,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 In addition, if successfully developed and approved for the treatment of CIC, we believe IBSRELA will also face competition from branded products Linzess (linaclotide) and Trulance (plecanatide) as well as generic lubiprostone and prucalopride.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 and currently in Phase 3; and OLC, developed by Unicycive Therapeutics, which has resubmitted its NDA to the FDA for approval via the 505(b)(2) pathway. Additionally, Alebund is developing AP-306, an inhibitor of phosphate transporters NaPi-2b, PiT-1, and PiT-2, thus far studied in a Phase 2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commercialization activities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clinical trials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retain and motivate our remaining employees and potentially identify, recruit and integrate additional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exposure to unknown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incurrence of substantial debt or dilutive issuances of equity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higher-than-expected acquisition and integration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write-downs of assets or goodwill or impairment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amortization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and cost in combining the operations and personnel of any acquired businesses with our operations and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inability to retain key employees of any acquired businesses.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our commercialization of IBSRELA and XPHOZAH.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decreased demand for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commercialize or co-promote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retain and motivate our executives, senior management and key personnel, our business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or may become subject to rapidly evolving data protection laws, rules and regulations in foreign jurisdictions.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EEA and UK. Companies that must comply with the GDPR face increased compliance obligations and risk, including more robust regulatory enforcement of data protection requirements and potential fines for noncompliance of up to €20 million/£17.5 million or four percent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diverse threat vectors, such as 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certain of our service providers are from time to time subject to cyberattacks and security incidents. The risk of a security breach or disruption or data loss, particularly through cyberattacks or cyber intrusion, including by computer hackers,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Additionally, any integration of artificial intelligence in our or any third party’s operations, products or services is expected to pose new or unknown cybersecurity risks and challenges.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in Canada with Knight for commercialization of tenapanor for IBS-C and hyperphosphatemia; and with METiS for the development and commercialization of a portfolio of TGR5 agonist compounds for all therapeutic areas. 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In addition, current or future collaborations or partnerships with ex-U.S. parties and the expected benefits therefrom could be materially and adversely impacted by current or future healthcare reform legislation and initiatives (including evolving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favored nation” pricing proposals) that may require U.S. pricing for our products to be tied to, or otherwise impacted by, ex-U.S. prices obtained by collaborators or partners.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regulatory requirements for drug approvals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U.S. and foreign drug import and export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reimbursement systems, and different competitive drugs;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U.S. and international trade policies may adversely impact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rely on both U.S. and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severe weather, public health emergencies and other catastrophic events, and our business continuity and disaster recovery plans may not adequately protect us from a serious disaster.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Events outside of our control, including natural disasters, severe or inclement weather (such as extreme snow and ice, extreme heat, tornados and flooding), public health emergencies, power outages, cyber or telecommunications disruptions, transportation incidents or other catastrophic events, could severely disrupt our operations and have a material adverse effect on our business, operating results, prospects or financial condition. Such events could disrupt our sales efforts, ongoing clinical trials and/or other operations by damaging or limiting access to critical infrastructure and facilities, including those operated by third parties on whom we rely, such as contract research organizations, contract manufacturing organizations, suppliers, specialty pharmacies and logistics and distribution providers, or by restricting travel, staffing availability or site access. If any such event prevents or materially impairs our ability, or the ability of these third parties, to manufacture or ship product or product candidates, conduct clinical trial activities, perform quality testing and release, or otherwise operate in the ordinary course, it may be difficult or, in certain cases, impossible for us to continue our business as currently planned.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shipment of product and product candidates, active pharmaceutical ingredients and other materials may be delayed, diverted or disrupted by severe weather or other events in any location where our third-party service providers operate or through which shipments must travel, including as a result of extreme snow or ice, extreme heat, tornados, flooding, transportation accidents or carrier interruptions. These disruptions could result in missed or delayed patient deliveries, delayed site resupply, inventory constraints, product loss or spoilage (including due to temperature excursions), increased shipping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handling costs, and delays in manufacturing, release or crucial business timelines, any of which could materially impact our sales, financial results, patient fulfillment efforts and reputation.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may prove inadequate in the event of a serious disaster or similar event, including because we may not have sufficient redundancies, alternative suppliers, alternative distribution channels, backup manufacturing capacity or additional inventory to mitigate the impact of such disruptions. We may incur substantial expenses in connection with responding to and recovering from these events, and any of the foregoing could have a material adverse effect on our business, operating results, prospects or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a number of legislative and regulatory changes and proposed changes regarding the healthcare system that could, among other things, restrict or regulate post approval activities with respect to our approved products and affect our ability to profitably sell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ACA was enacted in 2010 with a goal of reducing the cost of healthcare and substantially changing the way healthcare is financed by both government and private insurers. The ACA, among other things, increased the minimum Medicaid rebates owed by manufacturers under the MDRP, extended manufacturer rebate liability from fee-for-service Medicaid utilization to include the utilization of Medicaid managed care organizations and established annual fees and taxes on manufacturers of certain branded prescription drugs. Since its enactment, certain provisions of the ACA have been subject to judicial, executive, and legislative challenges. For example, on June 17, 2021, the U.S. Supreme Court dismissed the most recent judicial challenge to the ACA brought by several states without specifically ruling on the constitutionality of the ACA. There have also been ongoing changes to the implementation of the ACA since its adoption. For example, the availability of enhanced premium tax credits and other subsidies under the ACA expired as of December 31, 2025, and absent legislative action to reinstate or replace them, many individuals may experience higher out-of-pocket premium costs. These changes could result in an increase in uninsured or underinsured patients, which could negatively affect patients’ ability or willingness to start or continue treatment with our products or future product candidates, if successfully developed and approved, or may otherwise increase prescription abandonment rates or place greater downward pressure on drug pricing generally.</w:t>
      </w:r>
    </w:p>
    <w:p>
      <w:pPr>
        <w:pStyle w:val="TextBody"/>
        <w:bidi w:val="0"/>
        <w:spacing w:lineRule="auto" w:line="288" w:before="0" w:after="180"/>
        <w:ind w:left="0" w:right="0" w:firstLine="360"/>
        <w:jc w:val="left"/>
        <w:rPr/>
      </w:pPr>
      <w:r>
        <w:rPr>
          <w:rFonts w:ascii="Times New Roman;serif" w:hAnsi="Times New Roman;serif"/>
          <w:b w:val="false"/>
          <w:color w:val="000000"/>
          <w:sz w:val="20"/>
        </w:rPr>
        <w:t>Moreover, on January 1, 2025, XPHOZAH, along with other oral drugs for ESRD patients on dialysis without injectable or intravenous equivalents, became part of the ESRD PPS and coverage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2022, the IRA was signed into law in August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went into effect in January 2026, and the subsequent 15 drugs, which will first be effective in 2027.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us and the pharmaceutical industry cannot yet be fully determined, it is likely to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our partner’s products or of any product candidate that we commercialize.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a two-fold strategy to reduce drug costs in the U.S. While it is unclear whether and how these proposals will be implemented, the current administration’s policies are likely to have a negative impact on the pharmaceutical industry and on our ability to receive adequate revenues for IBSRELA and XPHOZAH.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after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agency or other requirements, may result in,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warning or untitled letters or fines;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or revocation of existing regulatory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of any of our ongoing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our or our CMOs’ operations;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For example, over the last several years, the U.S. government has shut down several times, including the most recent U.S. government shutdown which began on October 1, 2025 and ended on November 12, 2025, and certain regulatory agencies, such as the FDA, have had to furlough FDA employees and suspend certain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If a prolonged government shutdown occurs or continues,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In addition, before approving an NDA, the facilities and quality systems of some, or all, of the relevant CMOs must pass a pre-approval inspection for compliance with the applicable regulations as a condition of regulatory approval of our product candidates. The FDA will not approve a product candidate unless it determines that the manufacturing processes and facilities are in compliance with cGMP requirements and are adequate to assure consistent production of the product within required specifications. In addition, the regulatory authorities may, at any time, audit or inspect a manufacturing facility involved with the manufacture of our product or the associated quality systems for compliance with the regulations applicable to the activities being conducted. We enter into quality agreements with our CMOs, pursuant to which we expect our CMOs to comply with cGMPs and applicable regulatory requirements.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direct control over the ability of our CMOs to maintain adequate quality control, quality assurance and qualified personnel. If our CMOs cannot successfully manufacture material that conforms to our specifications and the strict requirements of relevant regulatory authorities, and pass regulatory inspections, on the timelines we expect or at all, they will not be able to secure and/or maintain regulatory approval for their manufacturing facilities with respect to our products, which could materially impact our ability to supply product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may result in delays to our desired clinical and commercial timelines.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or are found to have failed to comply with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and the design and implementation of patient assistance programs are complex and subject to substantial interpretation by the FDA and other government agencies. With respect to the commercialization of IBSRELA and/or XPHOZAH, we are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FDA or any other governmental agency initiates an enforcement action against us or if we are the subject of a qui tam suit and it is determined that we violated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regulatory approvals in foreign jurisdictions would prevent us from marketing our products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clinical trials to be conducted prior to obtaining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manufacturing methods;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 replacement, or discontinuance of one or more of our products;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record keeping.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HHS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and Medicare Part B. Failure to make necessary disclosures and/or to identify overpayments could result in allegations against us under the Federal False Claims Act and other laws and regulations.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IRA imposes rebates under Medicare Part B and Medicare Part D that are triggered by price increases that outpace inflation (first due in 2023), as described under “—</w:t>
      </w:r>
      <w:r>
        <w:rPr>
          <w:rFonts w:ascii="Times New Roman;serif" w:hAnsi="Times New Roman;serif"/>
          <w:b w:val="false"/>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r>
        <w:rPr>
          <w:rFonts w:ascii="Times New Roman;serif" w:hAnsi="Times New Roman;serif"/>
          <w:b w:val="false"/>
          <w:color w:val="000000"/>
          <w:sz w:val="20"/>
        </w:rPr>
        <w:t>.” The Medicare Part D rebate, if applicable, will be calculated on the basis of the AMP figures we report pursuant to the MDRP.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that participates in the MDRP also participate in the 340B program in order for federal funds to be available for the manufacturer’s covered outpatient drugs under Medicaid and Medicare Part B. We participate in the 340B program, which is administered by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be eligible to have drug products paid for with federal funds under Medicaid and Medicare Part B and purchased by certain federal agencies and grantees, we also participate in the U.S. VA/FSS pricing program. Under the VA/FSS program, we are obligated to report the Non-FAMP for our covered drugs to the VA and charge certain federal agencies no more than the Federal Ceiling Price (FCP), which is calculated based on Non-FAMP using a statutory formula. These four agencies are the VA, the U.S. Department of Defense, the U.S. Coast Guard and the U.S. Public Health Service (including the Indian Health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If we fail to provide timely information or are found to have knowingly submitted false information, we may be subject to civil monetary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will depend on our ability to obtain, maintain and protect our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infringement claims against us, third parties may also raise similar claims before administrative bodies in the U.S. or abroad. Such mechanisms include reexamination, post grant review, inter partes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composition and use of IBSRELA and XPHOZAH are currently claimed by seven issued patents each that are listed in the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XPHOZAH or any of our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Hatch-Waxman Act provides non-patent regulatory exclusivity for five years from the date of the first FDA approval of a drug containing an NCE. The FDA is prohibited during those five years from approving an ANDA or 505(b)(2)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NDA that references the NDA that has been granted NCE exclusivity. However, if any patents are listed in the FDA Orange Book for such NCE-containing drug, a follow-on product manufacturer may file an ANDA or 505(b)(2) NDA that references an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FDA from approving, another full 505(b)(1) 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cases where NCE exclusivity has been granted for an NDA, as in the case of IBSRELA and XPHOZAH, if an ANDA or 505(b)(2) sponsor has provided a Paragraph IV certification to the FDA when filing its application, the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FDA from approving the ANDA or 505(b)(2) NDA until the earlier of 30 months after the NCE NDA owner’s receipt of the Paragraph IV certification notice, a final decision in the infringement case in favor of the ANDA or 505(b)(2) sponsor, or another date established by the court. There can be no assurances that an ANDA or 505(b)(2) NDA that references our IBSRELA or XPHOZAH NDAs and includes a Paragraph IV certification will not be filed, or that we will be successful in enforcing our Orange Book listed patents against such follow-on product sponsor.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Patent No. 8,541,448 covering tenapanor was subject to patent term adjustment under the American Inventors Protection Act for delays by the USPTO in granting the patent. Additionally, following the approval by the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There could also be delays at the USPTO caused by staffing cuts and other U.S. government actions as a result of the U.S. Department of Government Efficiency or other executive actions to reduce the size of the U.S. government. In such an event, competitors might be able to enter the market earlier than would otherwise have been the case.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any name we have proposed to use with our product candidates in the United States must be approved by the FDA, regardless of whether we have registered it, or applied to register it, as a trademark. Similar requirements exist in Europe.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coverage and reimbursement for XPHOZAH alone or with other oral ESRD-related drugs without injectable or intravenous equivalents;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regarding the results of clinical trials we may run evaluating tenapanor for CIC; RDX10531 or any other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relating to our current or future collaboration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any of our projected timelines or goals with regard to the commercialization of IBSRELA and XPHOZAH, or the clinical development and commercialization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obtain adequate intellectual property protection for our products and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manufacture, supply or distribution shortages;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FDA or other U.S. or foreign regulatory actions affecting us or our industry or other healthcare reform measures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debt securities and sales or licensing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of any of our key scientific or management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the global economic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comprehensive cybersecurity risk management program designed to protect the confidentiality, integrity and availability of our systems and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design, assess and benchmark our program based on the National Institute of Standards and Technology (NIST) Cybersecurity Framework. This does not imply that we meet any particular technical standards, specifications or requirements, only that we use NIST as a guide to help us identify, assess and manage cybersecurity risks relevant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risk management program, and shares common methodologies, reporting channels and governance processes that apply across the risk management program, in areas such as legal, compliance, strategic, operational and financial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elements of our cybersecurity program include but are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assessments designed to help identify material risks from cybersecurity threats to our critical systems and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processes;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cybersecurity awareness training of our employees, including incident response personnel and senior management;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cybersecurity incident response plan that includes procedures for responding to cybersecurity incidents;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third-party risk management process for key service providers based on our assessment of their criticality to our operations and respective risk profile, suppliers and vendors that have access to our critical systems and information based on our assessment of their criticality to our operations and respective risk profile.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not experienced any cybersecurity incidents that have materially affected our operations, business strategy, financial condition or results of operations. We face risks from cybersecurity threats that, if realized are reasonably likely to materially affect us, including our operations, business strategy, results of operations or financial condition. For more information, see the section titled “Risk Factors— </w:t>
      </w:r>
      <w:r>
        <w:rPr>
          <w:rFonts w:ascii="Times New Roman;serif" w:hAnsi="Times New Roman;serif"/>
          <w:b w:val="false"/>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considers cybersecurity risk as part of its risk oversight function and has delegated to the Audit and Compliance Committee (Audit Committee) oversight of cybersecurity risks, including oversight of management’s implementation of our cybersecurity risk management program, maintains a strategic role in coordinating cyber risk initiatives and policies, and confirming their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Audit Committee receives annual reports from management on our cybersecurity posture. In addition, management updates the Committee where it deems appropriate regarding any cybersecurity incidents it considers to be significant or potentially significant.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Audit Committee reports to the full board of directors regarding its activities, including those related to cybersecurity. The board of directors also receives periodic briefings from management on our cybersecurity program. The board members receive presentations on cybersecurity topics from our Chief Information Officer, internal security personnel or external experts as part of the board of directors’ continuing education on topics that impact public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operates through a structured governance framework with oversight at multiple organizational levels. The IT Steering Committee, comprised of our Chief Information Officer, Chief Financial Officer and other members of management, meets quarterly to provide strategic oversight on technology investments, risk management and cybersecurity initiatives. The Audit Committee maintains independent oversight through quarterly reviews of security maturity, incidents and strategic investments. Ongoing governance includes monthly executive dashboards, Sarbanes-Oxley IT controls monitoring and annual security tabletop exercises. Our Chief Information Officer leads the program day-to-day, supervising internal cybersecurity personnel and external consultants, supported by cross-functional leadership with decades of combined experience in cybersecurity and risk management across commercial biotechnology organizations. Our Chief Information Officer has over 25 years of experience in overseeing cybersecurity and risk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own any real estate or other physical properties materially important to our operations. Our Waltham, Massachusetts headquarters is leased for four suites, all of which expire in July 2029. In addition, we have lease agreements to lease office spaces in Milwaukee, Wisconsin and Newark, California which expire in February 2029 and May 2028,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pPr>
      <w:r>
        <w:rPr>
          <w:rFonts w:ascii="Times New Roman;serif" w:hAnsi="Times New Roman;serif"/>
          <w:b w:val="false"/>
          <w:color w:val="000000"/>
          <w:sz w:val="20"/>
        </w:rPr>
        <w:t>See information under the “Legal Proceedings and Claims</w:t>
      </w:r>
      <w:r>
        <w:rPr>
          <w:color w:val="000000"/>
        </w:rPr>
        <w:t xml:space="preserve">” </w:t>
      </w:r>
      <w:r>
        <w:rPr>
          <w:rFonts w:ascii="Times New Roman;serif" w:hAnsi="Times New Roman;serif"/>
          <w:b w:val="false"/>
          <w:color w:val="000000"/>
          <w:sz w:val="20"/>
        </w:rPr>
        <w:t xml:space="preserve">caption in </w:t>
      </w:r>
      <w:r>
        <w:rPr>
          <w:rFonts w:ascii="Times New Roman;serif" w:hAnsi="Times New Roman;serif"/>
          <w:b w:val="false"/>
          <w:i/>
          <w:color w:val="000000"/>
          <w:sz w:val="20"/>
        </w:rPr>
        <w:t>Note 19. Commitments and Contingencies</w:t>
      </w:r>
      <w:r>
        <w:rPr>
          <w:color w:val="000000"/>
        </w:rPr>
        <w:t xml:space="preserve"> </w:t>
      </w:r>
      <w:r>
        <w:rPr>
          <w:rFonts w:ascii="Times New Roman;serif" w:hAnsi="Times New Roman;serif"/>
          <w:b w:val="false"/>
          <w:color w:val="000000"/>
          <w:sz w:val="20"/>
        </w:rPr>
        <w:t>which we incorporated here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and Stockholder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Market under the symbol “ARDX.” As of December 31, 2025, there were 23 holders of record of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retain any future earnings to finance the growth and development of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on our common stock from December 31, 2020 to the end of fiscal year 2025 with the cumulative total return of (i) the Nasdaq Composite Index and (ii) the Nasdaq Biotechnology Index. The graph assumes an initial investment value of $100 on December 31, 2020 and reinvestment of dividends.</w:t>
      </w:r>
    </w:p>
    <w:p>
      <w:pPr>
        <w:pStyle w:val="TextBody"/>
        <w:bidi w:val="0"/>
        <w:spacing w:before="0" w:after="0"/>
        <w:ind w:left="0" w:right="0" w:firstLine="360"/>
        <w:jc w:val="center"/>
        <w:rPr/>
      </w:pPr>
      <w:r>
        <w:rPr/>
        <w:drawing>
          <wp:inline distT="0" distB="0" distL="0" distR="0">
            <wp:extent cx="6581775" cy="4476750"/>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3"/>
                    <a:stretch>
                      <a:fillRect/>
                    </a:stretch>
                  </pic:blipFill>
                  <pic:spPr bwMode="auto">
                    <a:xfrm>
                      <a:off x="0" y="0"/>
                      <a:ext cx="6581775" cy="4476750"/>
                    </a:xfrm>
                    <a:prstGeom prst="rect">
                      <a:avLst/>
                    </a:prstGeom>
                  </pic:spPr>
                </pic:pic>
              </a:graphicData>
            </a:graphic>
          </wp:inline>
        </w:drawing>
      </w:r>
      <w:bookmarkStart w:id="1" w:name="i-2"/>
      <w:bookmarkEnd w:id="1"/>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Value of $100 invested on December 31, 2020 in stock or index, including reinvestment of dividends, for fiscal years ended December 31:</w:t>
      </w:r>
    </w:p>
    <w:tbl>
      <w:tblPr>
        <w:tblW w:w="10205" w:type="dxa"/>
        <w:jc w:val="left"/>
        <w:tblInd w:w="0" w:type="dxa"/>
        <w:tblLayout w:type="fixed"/>
        <w:tblCellMar>
          <w:top w:w="28" w:type="dxa"/>
          <w:left w:w="28" w:type="dxa"/>
          <w:bottom w:w="28" w:type="dxa"/>
          <w:right w:w="28" w:type="dxa"/>
        </w:tblCellMar>
      </w:tblPr>
      <w:tblGrid>
        <w:gridCol w:w="891"/>
        <w:gridCol w:w="746"/>
        <w:gridCol w:w="7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9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Biotechnology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You should read the following discussion and analysis of our financial condition and results of operations in conjunction with our financial statements and related notes included elsewhere in this report. This discussion and other parts of this report contain forward-looking statements that involve risk and uncertainties, such as statements of our plans, objectives, expectations</w:t>
      </w:r>
      <w:r>
        <w:rPr>
          <w:color w:val="000000"/>
        </w:rPr>
        <w:t xml:space="preserve"> </w:t>
      </w:r>
      <w:r>
        <w:rPr>
          <w:rFonts w:ascii="Times New Roman;serif" w:hAnsi="Times New Roman;serif"/>
          <w:b w:val="false"/>
          <w:i/>
          <w:color w:val="000000"/>
          <w:sz w:val="20"/>
        </w:rPr>
        <w:t>and intentions. Our actual results could differ materially from those discussed in these forward-looking statements. Factors that could cause or contribute to such differences include, but are not limited to, those discussed in the section of this report titled “Risk Factors</w:t>
      </w:r>
      <w:r>
        <w:rPr>
          <w:rFonts w:ascii="Times New Roman;serif" w:hAnsi="Times New Roman;serif"/>
          <w:b w:val="false"/>
          <w:color w:val="000000"/>
          <w:sz w:val="20"/>
        </w:rPr>
        <w:t xml:space="preserve">.” </w:t>
      </w:r>
      <w:r>
        <w:rPr>
          <w:rFonts w:ascii="Times New Roman;serif" w:hAnsi="Times New Roman;serif"/>
          <w:b w:val="false"/>
          <w:i/>
          <w:color w:val="000000"/>
          <w:sz w:val="20"/>
        </w:rPr>
        <w:t>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 AND FINANCIAL HIGHLIGHTS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an NHE3 inhibitor that was discovered and developed by Ardelyx. NHE3 is an antiporter expressed on the apical surface of the small and large intestines. Tenapanor is a minimally absorbed, first-in-class, oral, small molecule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We believe that IBSRELA can bring meaningful benefit to the approximately 13 million Americans who suffer from the symptoms of IBS-C, many of whom continue to experience symptoms despite intervention with other therapies. We are seeking to further expand the IBSRELA eligible patient population to include patients with CIC, and have initiated a Phase 3 clinical trial evaluating tenapanor in adult CIC patients.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on dialysis as add-on therapy in patients who have an inadequate response to phosphate binders or who are intolerant of any dose of phosphate binder therapy. We believe XPHOZAH can bring meaningful relief to adult chronic kidney disease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commercializing IBSRELA and XPHOZAH, we are also developing a next-generation NHE3 inhibitor that we believe can have application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Annual Report on Form 10-K for definitions of terms used throughout the document.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our mission of developing and commercializing innovative medicines that address unmet patient needs. Our principal strategy is to continue our commercial momentum with our current products while advancing and expanding a portfolio of important medicines for patients with unmet medical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driving significant IBSRELA growth, (ii) maintaining XPHOZAH commercial momentum, (iii) further advancing our pipeline and portfolio and (iv) maintaining a solid financial foundation to support our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NDA approval by China’s Center for Drug Evaluation of the NMPA for tenapanor in the control of serum phosphorus in adult patients with CKD on hemodialysis. This approval triggered a $5.0 million milestone to us under the terms of the Fosun Agreement, which was recorded as licensing revenue on our statements of operations and comprehensive loss when earned during the 2025 first quarter and was received in April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2025 second quarter, we had fully recognized the maximum $75.0 million royalty obligation, which had been fully remitted as of the end of the 2025 third quarter under the AstraZeneca Termination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30, 2025, we entered into an amendment to our 2022 Loan Agreement (the Fifth Amendment), by and among the Company, as borrower, SLR, as collateral agent and the lenders party thereto. The Fifth Amendment, among other things, (i) provided for the immediate draw of $50.0 million of the Term E Loan on the closing date of the Fifth Amendment; and (ii) provides us with the option to draw an additional $100.0 million of committed senior secured term loans, consisting of the Term F Loan and the Term G Loan, each in the amount of $50.0 million. The Term F Loan and the Term G Loan may be drawn at the Company’s election by June 30, 2026 and December 20, 2026,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we submitted an IND application to the FDA for IBSRELA to expand the IBSRELA eligible patient population to include patients with CIC. In January 2026, we initiated ACCEL (ten-03-301), a Phase 3 clinical trial designed to assess the safety and efficacy of tenapanor for the treatment of CIC. Enrollment in ACCEL is expected throughout 2026, with topline data read out in the second half of 2027. CIC is characterized by difficult, infrequent or incomplete bowel movements, and is associated with significantly impaired quality of life, disrupted productivity and high healthcare-related costs. CIC is estimated to affect more than 34 million Americans. Pending the outcome of the Phase 3 clinical trial, if successful, we intend to submit a supplemental NDA to the FDA for tenapanor for the CIC indication.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2025, we announced a development program for RDX10531. We believe RDX10531 is a next-generation NHE3 inhibitor with potential application across multiple therapeutic areas. We are currently conducting activities to support an IND submission to the FDA for RDX10531 in the second half of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2023 Open Market Sales Agreement with Jefferies with respect to an “at-the-market offering” program which was established under the Company’s prior shelf registration statement on Form S-3 expired in January 2026. In November 2025, we filed an automatic shelf registration statement on Form S-3ASR, along with a prospectus supplement relating to the offering and sale of up to $100.0 million of our common stock pursuant to the 2025 Open Market Sales Agreement with Jefferies, deemed to be “at-the-market offerings.” During the year ended December 31, 2025, we did not sell any shares under the 2023 or 2025 Open Market Sales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22, 2026, we received an Issue Notification from the USPTO indicating the issuance of U.S. Patent No. 12,539,299. The patent relates to the formulation of tenapanor and covers the commercial formulations of IBSRELA and XPHOZAH and has an expiration date of November 26, 2042.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 for the years ended December 31 and total cash, cash equivalents and short-term investments as of December 31:</w:t>
      </w:r>
    </w:p>
    <w:tbl>
      <w:tblPr>
        <w:tblW w:w="6864" w:type="dxa"/>
        <w:jc w:val="center"/>
        <w:tblInd w:w="0" w:type="dxa"/>
        <w:tblLayout w:type="fixed"/>
        <w:tblCellMar>
          <w:top w:w="28" w:type="dxa"/>
          <w:left w:w="28" w:type="dxa"/>
          <w:bottom w:w="28" w:type="dxa"/>
          <w:right w:w="28" w:type="dxa"/>
        </w:tblCellMar>
      </w:tblPr>
      <w:tblGrid>
        <w:gridCol w:w="1519"/>
        <w:gridCol w:w="1338"/>
        <w:gridCol w:w="1343"/>
        <w:gridCol w:w="211"/>
        <w:gridCol w:w="826"/>
        <w:gridCol w:w="109"/>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IBSRELA 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XPHOZAH product sales,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 summary of recent accounting pronouncements that we have adopted or expect to adopt is included in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in the notes to our financial statements,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 detailed discussion of our significant accounting policies can be found in </w:t>
      </w:r>
      <w:r>
        <w:rPr>
          <w:rFonts w:ascii="Times New Roman;serif" w:hAnsi="Times New Roman;serif"/>
          <w:b w:val="false"/>
          <w:i/>
          <w:color w:val="000000"/>
          <w:sz w:val="20"/>
        </w:rPr>
        <w:t>Note 2. Summary of Significant Accounting Policies</w:t>
      </w:r>
      <w:r>
        <w:rPr>
          <w:rFonts w:ascii="Times New Roman;serif" w:hAnsi="Times New Roman;serif"/>
          <w:b w:val="false"/>
          <w:color w:val="000000"/>
          <w:sz w:val="20"/>
        </w:rPr>
        <w:t xml:space="preserve">, in the notes to our financial statements, included in Part II, Item 8, of this Annual Report on Form 10-K. The preparation of financial statements requires the use of estimates and assumptions that affect the reported amounts of assets and liabilities and the reported amounts of revenues and expenses. Our critical accounting policies are those that significantly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results of operations and require the most difficult, subjective or complex judgments, often because of the need to make estimates about the effect of matters that are inherently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believe that our estimates, assumptions and judgments are reasonable, they are based on information presently available. Actual results may differ significantly from these estimates due to changes in judgments, assumptions or conditions as a result of unforeseen events or otherwise, which could have a material impact on our financial position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application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substantially impacts our reported results, particularly product sales, net, which requires certain estimates in determining the transaction price. Total revenues are recognized following a five-step model: (i) identify the customer contract, (ii) identify the contract’s performance obligations, (iii) determine the transaction price, (iv) allocate the transaction price to the performance obligations and (v) recognize revenue when or as a performance obligation is satisfied.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revenue is recognized when Customers take control of the product, which typically occurs upon delivery to the Customers. The transaction price for product sales is reduced for estimates of variable consideration related to (i) discounts and chargebacks, (ii) rebates, wholesaler and GPO fees, and (iii) copay assistance and returns (collectively, gross-to-net adjustments or GTN adjustments). Except for certain wholesaler and GPO fees and discounts, which are based on contracts, our estimates of GTN adjustments involve assumptions and judgments. Our estimates of GTN adjustments for rebates, copay assistance and chargebacks require significant assumptions and judgments, considering factors such as legal interpretations of applicable laws and regulations, historical experience, payor mix (e.g., Medicare or Medicaid), current contract prices under applicable programs, unbilled claims, processing time lags and inventory levels in the distribution channel. Estimates are assessed each period and adjusted as required to revise information or actual experience.</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Discounts and Chargebacks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U.S. business participates in programs with government entities, the most significant of which are the U.S. Department of Defense, the U.S. VA, and other parties, including covered entities under the 340B program, whereby pricing on products is extended below wholesale acquisition cost (lower program price) for qualified government providers when products are purchased through wholesalers. The chargeback represents the difference between the wholesale acquisition cost and this lower program price that the wholesalers charge us. In such sales, accounts receivable is reduced for the estimated amount of unprocessed chargeback claims (typically within a two- to four-week time lag).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may receive prompt pay discounts for payment within a specified period, generally approximating two percent of the invoiced sales price. Our payment terms are generally 30 to 60 days. We expect discounts to be earned when offered and therefore deduct the full amount of these discounts from product sales when revenue is recognized. Accordingly, accounts receivable is reduced for the estimated amount of these discounts.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Rebates, Wholesaler and GPO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U.S. business participates in state government Medicaid and Medicare programs and other qualifying federal and state government programs requiring discounts and rebates to participating federal, state and local government entities. For Medicaid and Medicare programs, we estimate the portion of sales attributed to such programs’ patients as rebates to be paid to the respective participating entities, which requires significant judgment.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IRA, among other things, imposes financial penalties for price increases that outpace inflation (first due in 2023) and replaces the Medicare Part D coverage gap discount program with a new discounting program (which began in 2025).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Beginning in 2025, we estimate the percentage of products sold to patients in the initial coverage and catastrophic coverage phases and adjust the transaction price for such discount at the time of sale. Under the redesigned Medicare Part D, we are a specified manufacturer whose applicable drugs for Low Income Subsidy-eligible beneficiaries under section 1860D-14(a) of the Social Security Act are subject to lower applicable discounts during the phase-in period. Prior to 2025, we paid a 70% discount to CMS when the Medicare Part D beneficiaries were in the coverage gap.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unpaid or unbilled discounts and rebates provided through these programs are recorded in accrued expenses and other current liabilities on the balance sheets. Settlement of these accruals can lag for multiple quarters due to extensive time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between recording an accrual and subsequent receipt of an invoice. Due to this lag, adjustments can incorporate revision of several prior quarters.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pay wholesaler and GPO fees for distribution and related services, which are a significant portion of our GTN adjustments; however, since they are based on contracts, they require inherently less estimation.</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Copay Assistance and Returns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financial assistance to qualified commercially-insured patients for the portion of their prescription cost that is not covered by payors. We estimate the amount of copay assistance provided to qualified patients based on the terms of the program and redemption information provided by third-party claims processing organizations. We also estimate the amount of copay assistance that we will provide associated with product we have sold but has not yet been dispensed to patients, which requires significant assumption and judgment. Our estimates are recorded in accrued expenses and other current liabilities on the balance sheets.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primarily rely on our products’ actual returns history and other factors, including levels of our inventory in the distribution channel and estimated shelf life, to estimate our products’ returns. We also consider historical sales returns of similar products, such as those within the same product line, similar therapeutic area, similar distribution model, estimated levels of inventory in the distribution channel and projected demand. Our estimates of products’ returns reduce accounts receivable.</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Information from External 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from external sources is used to estimate GTN adjustments. Our estimate of inventory at the wholesalers is based on historical inventory experience, as well as our analysis of third-party information, including written and oral information obtained from certain wholesalers with respect to their inventory levels and sell-through to customers and our internal information. The inventory information received from wholesalers is a product of their recordkeeping process and excludes inventory held by intermediaries to whom they sell, such as retailers and hospitals. We also use information from external sources to identify prescription trends, patient demand and average selling prices. Our estimates are subject to inherent limitations of relying on third-party information, as certain third-party information is itself in the form of estimates and reflects other limitations, including lags between the date third-party information is generated and the date we receive 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through a combination of product sales and payments in connection with our current collaboration partnerships with various external partners. In the future, we may generate revenue from a combination of our own product sales and payments in connection with our current or future collaboration partnerships, including license fees, other upfront payments, milestone payments, royalties and payments for drug product and/or drug substance. We expect that any revenue we generate will fluctuate in future periods as a result of many factors as described in Part I, Item 1A, “Risk Factors,” of this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total revenues:</w:t>
      </w:r>
    </w:p>
    <w:tbl>
      <w:tblPr>
        <w:tblW w:w="10205" w:type="dxa"/>
        <w:jc w:val="center"/>
        <w:tblInd w:w="0" w:type="dxa"/>
        <w:tblLayout w:type="fixed"/>
        <w:tblCellMar>
          <w:top w:w="28" w:type="dxa"/>
          <w:left w:w="28" w:type="dxa"/>
          <w:bottom w:w="28" w:type="dxa"/>
          <w:right w:w="28" w:type="dxa"/>
        </w:tblCellMar>
      </w:tblPr>
      <w:tblGrid>
        <w:gridCol w:w="391"/>
        <w:gridCol w:w="343"/>
        <w:gridCol w:w="3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32"/>
        <w:gridCol w:w="234"/>
        <w:gridCol w:w="271"/>
        <w:gridCol w:w="109"/>
        <w:gridCol w:w="109"/>
        <w:gridCol w:w="109"/>
        <w:gridCol w:w="211"/>
        <w:gridCol w:w="826"/>
        <w:gridCol w:w="109"/>
        <w:gridCol w:w="109"/>
        <w:gridCol w:w="109"/>
        <w:gridCol w:w="109"/>
        <w:gridCol w:w="240"/>
        <w:gridCol w:w="241"/>
        <w:gridCol w:w="32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Percent change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w:t>
      </w:r>
    </w:p>
    <w:tbl>
      <w:tblPr>
        <w:tblW w:w="10205" w:type="dxa"/>
        <w:jc w:val="center"/>
        <w:tblInd w:w="0" w:type="dxa"/>
        <w:tblLayout w:type="fixed"/>
        <w:tblCellMar>
          <w:top w:w="28" w:type="dxa"/>
          <w:left w:w="28" w:type="dxa"/>
          <w:bottom w:w="28" w:type="dxa"/>
          <w:right w:w="28" w:type="dxa"/>
        </w:tblCellMar>
      </w:tblPr>
      <w:tblGrid>
        <w:gridCol w:w="459"/>
        <w:gridCol w:w="359"/>
        <w:gridCol w:w="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91"/>
        <w:gridCol w:w="193"/>
        <w:gridCol w:w="271"/>
        <w:gridCol w:w="109"/>
        <w:gridCol w:w="109"/>
        <w:gridCol w:w="109"/>
        <w:gridCol w:w="211"/>
        <w:gridCol w:w="826"/>
        <w:gridCol w:w="109"/>
        <w:gridCol w:w="109"/>
        <w:gridCol w:w="109"/>
        <w:gridCol w:w="109"/>
        <w:gridCol w:w="232"/>
        <w:gridCol w:w="234"/>
        <w:gridCol w:w="319"/>
      </w:tblGrid>
      <w:tr>
        <w:trPr/>
        <w:tc>
          <w:tcPr>
            <w:tcW w:w="4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Percent change is not meaningful.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IBSRELA product sales, net in 2025 and 2024 primarily reflected higher demand, driven by continued increase in awareness and prescriber experience. To a lesser extent, the increase in 2025 also reflected higher net price.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XPHOZAH product sales, net in 2025 primarily reflected lower demand and lower net price, both driven by the loss of XPHOZAH Medicare Part D reimbursement. On January 1, 2025, CMS officially transitioned oral only therapies for ESRD patients on dialysis, including XPHOZAH, into the ESRD Prospective Payment System. This decrease was partially offset by continued growth in other channels.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XPHOZAH product sales, net in 2024 primarily reflected higher demand since its commercial launch in November 2023.</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supply revenue is primarily impacted by the timing of product supply shipments to our collaboration partners under our product supply agreements in support of the development and commercialization of our products ex-U.S. by our collaboration partners. The product supply revenue was primarily attributable to Kyowa Kirin for all years presented.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Licensing revenue is primarily impacted by the timing of regulatory and commercialization milestone achievements from our collaboration partners, as well as sales-based royalties received from Knight.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in 2025 was primarily attributable to a $5.0 million milestone earned during the 2025 first quarter under the terms of the Fosun Agreement, following the NDA approval by China’s Center for Drug Evaluation of the NMPA for tenapanor in the control of serum phosphorus in adult patients with CKD on hemodialysis.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in 2023 was primarily attributable to $30.0 million in payments received under the Kyowa Kirin Agreement, following Kyowa Kirin’s submission to the Japanese MHLW for the NDA for tenapanor in the improvement of hyperphosphatemia in adult patients with CKD on dialysis; and a $5.0 million milestone payment under the Fosun Agreement, following the NDA acceptance by China’s Center for Drug Evaluation of the NMPA for tenapanor in the control of serum phosphorus in adult patients with CKD on hemodialysis and the FDA approval of XPHOZAH to reduce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Non-cash royalty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Non-cash royalty revenue reflects royalties and commercialization milestones from Kyowa Kirin for sales of PHOZEVEL in Japan, which was launched in February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Non-cash royalty revenue in 2025 included approximately $3.4 million related to a commercialization milestone earned during the 2025 third quarter under the terms of the Kyowa Kirin Agreement. The payment was remitted to HCR upon receipt in accordance with the HCR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recognize product sales net of GTN adjustments, as further described in </w:t>
      </w:r>
      <w:r>
        <w:rPr>
          <w:rFonts w:ascii="Times New Roman;serif" w:hAnsi="Times New Roman;serif"/>
          <w:b w:val="false"/>
          <w:i/>
          <w:color w:val="000000"/>
          <w:sz w:val="20"/>
        </w:rPr>
        <w:t xml:space="preserve">Note 6. Revenue </w:t>
      </w:r>
      <w:r>
        <w:rPr>
          <w:rFonts w:ascii="Times New Roman;serif" w:hAnsi="Times New Roman;serif"/>
          <w:b w:val="false"/>
          <w:color w:val="000000"/>
          <w:sz w:val="20"/>
        </w:rPr>
        <w:t>and the “Critical Accounting Policies and Estimates” caption in Part II, Item 7, “Management’s Discussion and Analysis of Financial Condition and Results of Operations.” Reconciliation of gross product sales to product sales, net is as follows:</w:t>
      </w:r>
    </w:p>
    <w:tbl>
      <w:tblPr>
        <w:tblW w:w="10688" w:type="dxa"/>
        <w:jc w:val="center"/>
        <w:tblInd w:w="0" w:type="dxa"/>
        <w:tblLayout w:type="fixed"/>
        <w:tblCellMar>
          <w:top w:w="28" w:type="dxa"/>
          <w:left w:w="28" w:type="dxa"/>
          <w:bottom w:w="28" w:type="dxa"/>
          <w:right w:w="28" w:type="dxa"/>
        </w:tblCellMar>
      </w:tblPr>
      <w:tblGrid>
        <w:gridCol w:w="483"/>
        <w:gridCol w:w="306"/>
        <w:gridCol w:w="30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271"/>
        <w:gridCol w:w="109"/>
        <w:gridCol w:w="109"/>
        <w:gridCol w:w="109"/>
        <w:gridCol w:w="211"/>
        <w:gridCol w:w="826"/>
        <w:gridCol w:w="109"/>
        <w:gridCol w:w="109"/>
        <w:gridCol w:w="109"/>
        <w:gridCol w:w="109"/>
        <w:gridCol w:w="233"/>
        <w:gridCol w:w="233"/>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 percentage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GTN adjustments are primarily a function of sales volume, payor mix, contractual or legislative discounts and rebates.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2025 reflected the unfavorable payor mix shifts, primarily associated with loss of XPHOZAH Medicare Part D reimbursement.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GTN adjustment percentage in 2024 was primarily due to a more favorable payor mix and lower sales subjected to copay assistance.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2"/>
        <w:gridCol w:w="648"/>
        <w:gridCol w:w="650"/>
        <w:gridCol w:w="432"/>
        <w:gridCol w:w="1262"/>
        <w:gridCol w:w="223"/>
        <w:gridCol w:w="109"/>
        <w:gridCol w:w="109"/>
        <w:gridCol w:w="109"/>
        <w:gridCol w:w="449"/>
        <w:gridCol w:w="1536"/>
        <w:gridCol w:w="232"/>
        <w:gridCol w:w="109"/>
        <w:gridCol w:w="109"/>
        <w:gridCol w:w="109"/>
        <w:gridCol w:w="437"/>
        <w:gridCol w:w="1275"/>
        <w:gridCol w:w="226"/>
        <w:gridCol w:w="109"/>
        <w:gridCol w:w="109"/>
        <w:gridCol w:w="109"/>
        <w:gridCol w:w="211"/>
        <w:gridCol w:w="721"/>
        <w:gridCol w:w="160"/>
      </w:tblGrid>
      <w:tr>
        <w:trPr/>
        <w:tc>
          <w:tcPr>
            <w:tcW w:w="76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Provisions included approximately $4.4 million of net favorable adjustment resulting from changes in prior periods’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costs and operating expenses, interest expense, non-cash interest expense related to the sale of future royalties and other income, net:</w:t>
      </w:r>
    </w:p>
    <w:tbl>
      <w:tblPr>
        <w:tblW w:w="10322" w:type="dxa"/>
        <w:jc w:val="center"/>
        <w:tblInd w:w="0" w:type="dxa"/>
        <w:tblLayout w:type="fixed"/>
        <w:tblCellMar>
          <w:top w:w="28" w:type="dxa"/>
          <w:left w:w="28" w:type="dxa"/>
          <w:bottom w:w="28" w:type="dxa"/>
          <w:right w:w="28" w:type="dxa"/>
        </w:tblCellMar>
      </w:tblPr>
      <w:tblGrid>
        <w:gridCol w:w="626"/>
        <w:gridCol w:w="358"/>
        <w:gridCol w:w="3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188"/>
        <w:gridCol w:w="188"/>
        <w:gridCol w:w="271"/>
        <w:gridCol w:w="109"/>
        <w:gridCol w:w="109"/>
        <w:gridCol w:w="109"/>
        <w:gridCol w:w="211"/>
        <w:gridCol w:w="826"/>
        <w:gridCol w:w="109"/>
        <w:gridCol w:w="109"/>
        <w:gridCol w:w="109"/>
        <w:gridCol w:w="109"/>
        <w:gridCol w:w="233"/>
        <w:gridCol w:w="233"/>
        <w:gridCol w:w="316"/>
      </w:tblGrid>
      <w:tr>
        <w:trPr/>
        <w:tc>
          <w:tcPr>
            <w:tcW w:w="6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Cost of sales consists of (i) cost of product sales and (ii) other cost of revenue. Cost of product sales includes the cost of commercial goods sold to our Customers, such as the cost of materials, third-party contract manufacturing, third-party packaging services, freight, labor costs for personnel involved in the manufacturing process and indirect overhead costs. Other cost of revenue includes the cost of materials sold to our collaboration partners under product supply agreements, certain costs related to capacity expansion at current and future CMOs, as well as payments due to AstraZeneca based on sales of tenapanor, as discussed further under the “AstraZeneca” caption in </w:t>
      </w:r>
      <w:r>
        <w:rPr>
          <w:rFonts w:ascii="Times New Roman;serif" w:hAnsi="Times New Roman;serif"/>
          <w:b w:val="false"/>
          <w:i/>
          <w:color w:val="000000"/>
          <w:sz w:val="20"/>
        </w:rPr>
        <w:t>Note 7. Collaboration and Licensing Agreements</w:t>
      </w:r>
      <w:r>
        <w:rPr>
          <w:rFonts w:ascii="Times New Roman;serif" w:hAnsi="Times New Roman;serif"/>
          <w:b w:val="false"/>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costs of sales:</w:t>
      </w:r>
    </w:p>
    <w:tbl>
      <w:tblPr>
        <w:tblW w:w="10205" w:type="dxa"/>
        <w:jc w:val="center"/>
        <w:tblInd w:w="0" w:type="dxa"/>
        <w:tblLayout w:type="fixed"/>
        <w:tblCellMar>
          <w:top w:w="28" w:type="dxa"/>
          <w:left w:w="28" w:type="dxa"/>
          <w:bottom w:w="28" w:type="dxa"/>
          <w:right w:w="28" w:type="dxa"/>
        </w:tblCellMar>
      </w:tblPr>
      <w:tblGrid>
        <w:gridCol w:w="532"/>
        <w:gridCol w:w="467"/>
        <w:gridCol w:w="4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2"/>
        <w:gridCol w:w="774"/>
        <w:gridCol w:w="109"/>
        <w:gridCol w:w="109"/>
        <w:gridCol w:w="109"/>
        <w:gridCol w:w="109"/>
        <w:gridCol w:w="203"/>
        <w:gridCol w:w="206"/>
        <w:gridCol w:w="272"/>
        <w:gridCol w:w="109"/>
        <w:gridCol w:w="109"/>
        <w:gridCol w:w="109"/>
        <w:gridCol w:w="216"/>
        <w:gridCol w:w="741"/>
        <w:gridCol w:w="111"/>
        <w:gridCol w:w="111"/>
        <w:gridCol w:w="111"/>
        <w:gridCol w:w="111"/>
        <w:gridCol w:w="233"/>
        <w:gridCol w:w="233"/>
        <w:gridCol w:w="335"/>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increase in cost of product sales in 2025 and 2024 reflected higher product sales. A portion of the costs of IBSRELA and XPHOZAH units recognized as revenue during 2025 and 2024 was expensed as research and development expense in periods prior to the commencement of capitalization of inventory costs for each respective product as discussed in </w:t>
      </w:r>
      <w:r>
        <w:rPr>
          <w:rFonts w:ascii="Times New Roman;serif" w:hAnsi="Times New Roman;serif"/>
          <w:b w:val="false"/>
          <w:i/>
          <w:color w:val="000000"/>
          <w:sz w:val="20"/>
        </w:rPr>
        <w:t xml:space="preserve">Note 2. Summary of Significant Accounting Policies. </w:t>
      </w:r>
      <w:r>
        <w:rPr>
          <w:rFonts w:ascii="Times New Roman;serif" w:hAnsi="Times New Roman;serif"/>
          <w:b w:val="false"/>
          <w:color w:val="000000"/>
          <w:sz w:val="20"/>
        </w:rPr>
        <w:t>The cost associated with inventory sold but previously expensed as research and development was $3.2 million, $6.3 million and $4.4 million in 2025, 2024 and 2023, respectively. The value of inventory on hand as of December 31, 2025 and 2024 that was previously expensed as research and development was approximately $10.9 million and $15.6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in 2025 primarily reflected the full recognition of the maximum $75.0 million royalty obligation under the AstraZeneca Termination Agreement as of the end of the 2025 second quarter, partially offset by higher costs associated with 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cost of revenue in 2024 primarily reflected higher AstraZeneca royalties, driven by higher product sales, net of tenapanor, as well as higher costs associated with 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cost of revenue related to the AstraZeneca Termination Agreement was $12.7 million, $34.7 million and $12.4 million in 2025, 2024 and 2023, respectively. As of the end of the 2025 second quarter, the maximum $75.0 million royalty obligation under the AstraZeneca Termination Agreement had been fully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include research and early discovery, preclinical and clinical development, drug formulation and medical support to marketed products. External R&amp;D and other expenses include research and development expenses incurred under agreements with outside consultants, third-party CROs and investigative sites where a substantial portion of our clinical studies are conducted, and with CMOs where our clinical supplies are produced. Employee-related expenses include salaries, bonuses, benefits, travel and stock-based compensation. Facilities, equipment, depreciation and other expenses include supplies and materials consumed in connection with our research operations, direct and allocated expenses for rent and maintenance of facilities, depreciation and amortization expense, information technology expense and other supplies.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research and development expenses:</w:t>
      </w:r>
    </w:p>
    <w:tbl>
      <w:tblPr>
        <w:tblW w:w="10205" w:type="dxa"/>
        <w:jc w:val="center"/>
        <w:tblInd w:w="0" w:type="dxa"/>
        <w:tblLayout w:type="fixed"/>
        <w:tblCellMar>
          <w:top w:w="28" w:type="dxa"/>
          <w:left w:w="28" w:type="dxa"/>
          <w:bottom w:w="28" w:type="dxa"/>
          <w:right w:w="28" w:type="dxa"/>
        </w:tblCellMar>
      </w:tblPr>
      <w:tblGrid>
        <w:gridCol w:w="985"/>
        <w:gridCol w:w="367"/>
        <w:gridCol w:w="36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2"/>
        <w:gridCol w:w="109"/>
        <w:gridCol w:w="109"/>
        <w:gridCol w:w="109"/>
        <w:gridCol w:w="109"/>
        <w:gridCol w:w="180"/>
        <w:gridCol w:w="181"/>
        <w:gridCol w:w="271"/>
        <w:gridCol w:w="109"/>
        <w:gridCol w:w="109"/>
        <w:gridCol w:w="109"/>
        <w:gridCol w:w="211"/>
        <w:gridCol w:w="722"/>
        <w:gridCol w:w="109"/>
        <w:gridCol w:w="109"/>
        <w:gridCol w:w="109"/>
        <w:gridCol w:w="109"/>
        <w:gridCol w:w="180"/>
        <w:gridCol w:w="181"/>
        <w:gridCol w:w="323"/>
      </w:tblGrid>
      <w:tr>
        <w:trPr/>
        <w:tc>
          <w:tcPr>
            <w:tcW w:w="9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2024 vs. 2023</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R&amp;D and other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Facilities, equipment, depreciation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expenses in 2025 reflected higher external R&amp;D and other expenses primarily associated with clinical trial activities. The increase in R&amp;D expenses was also due to increased employee-related expenses primarily driven by higher headcount to support clinical trial activities and medical engagement with scientific communities in the areas of gastroenterology and nephrology related to our marketed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expenses in 2024 reflected increased employee-related expenses primarily driven by higher headcount to support medical engagement with scientific communities in the areas of gastroenterology and nephrology related to our marketed products and higher external R&amp;D and other expenses attributable to clinical trial and pharmacovigilance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increases in employee-related expenses in 2025 and 2024 included incremental stock-based compensation expenses of $0.7 million and $6.0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relate to sales and marketing, finance, human resources, legal and other administrative activities, including information technology.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 2025 and 2024 primarily reflected increased commercialization and administrative costs to support net sales growth of IBSRELA and XPHOZAH. The increases consisted of external spending for disease awareness initiatives, patient affordability, access support and related patient awareness, as well as increased commercial infrastructure. In addition, these increases were attributable to increases in headcount and related personnel costs, including incremental stock-based compensation expenses of $10.9 million and $17.8 million in 2025 and 2024,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represents the interest associated with our 2022 Loan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in 2025 and 2024 primarily reflected a higher outstanding loan balance resulting from the term loan draws in each respective year: $50.0 million for the Term E Loan in June 2025, $50.0 million for the Term D Loan in October 2024 and $50.0 million for the Term C Loan in March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Non-Cash Interest Expense Related to the Sale of Future Royalties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Non-cash interest expense consists of imputed interest on the carrying value of our deferred royalty obligation, which is impacted by the imputed interest rate derived from estimated amounts and timing of future royalties and commercialization payments to be received by HCR. The carrying value of the deferred royalty obligation increases from proceeds received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pPr>
      <w:r>
        <w:rPr>
          <w:rFonts w:ascii="Times New Roman;serif" w:hAnsi="Times New Roman;serif"/>
          <w:b w:val="false"/>
          <w:color w:val="000000"/>
          <w:sz w:val="20"/>
        </w:rPr>
        <w:t xml:space="preserve">HCR and recorded non-cash interest expense, and decreases as royalties and commercialization milestone payments received from Kyowa Kirin from sales of tenapanor in Japan are remitted to HCR. Refer to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for further detail.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non-cash interest expense related to the sale of future royalties in 2025 and 2024 primarily reflected the imputed interest accrued on the increasing carrying value of the deferred royalty obligation, partially offset by royalties and commercialization milestones received from Kyowa Kirin related to the sale of PHOZEVEL, which were remitted to HCR.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consists of interest income earned on our cash, cash equivalents and short-term investments, the periodic revaluation of previously outstanding exit fees, as well as currency exchange gains and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net in 2025 primarily reflected lower income on our investments resulting from lower interest rates throughout the period, partially offset by larger investment balances and higher currency exchange gains.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increase in other income, net in 2024 primarily reflected higher income on our investments resulting from both higher interest rates and larger investment balances throughout the period. In 2024 and 2023, other income, net included the periodic revaluations of our previously outstanding 2022 Exit Fee and 2018 Exit Fee, as discussed in </w:t>
      </w:r>
      <w:r>
        <w:rPr>
          <w:rFonts w:ascii="Times New Roman;serif" w:hAnsi="Times New Roman;serif"/>
          <w:b w:val="false"/>
          <w:i/>
          <w:color w:val="000000"/>
          <w:sz w:val="20"/>
        </w:rPr>
        <w:t xml:space="preserve">Note 10. Derivative Liabilities, </w:t>
      </w:r>
      <w:r>
        <w:rPr>
          <w:rFonts w:ascii="Times New Roman;serif" w:hAnsi="Times New Roman;serif"/>
          <w:b w:val="false"/>
          <w:color w:val="000000"/>
          <w:sz w:val="20"/>
        </w:rPr>
        <w:t>which were settled in October 2024 and October 2023,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includes current and deferred tax, including foreign withholding taxes paid on payments received from certain collaboration partners. Deferred income tax balances reflect the effects of temporary differences between the carrying amounts of assets and liabilities and their income tax bases, as well as from net operating loss and tax credit carryforwards. Our deferred tax assets continue to be fully offset by a valuation allowance, including deferred tax assets related to our net operating loss and tax credit carryforwards, which may be subject to annual limitations as a result of ownership changes that may have occurred or could occur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for further discussion of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cash, cash equivalents and short-term investments:</w:t>
      </w:r>
    </w:p>
    <w:tbl>
      <w:tblPr>
        <w:tblW w:w="7448" w:type="dxa"/>
        <w:jc w:val="center"/>
        <w:tblInd w:w="0" w:type="dxa"/>
        <w:tblLayout w:type="fixed"/>
        <w:tblCellMar>
          <w:top w:w="28" w:type="dxa"/>
          <w:left w:w="28" w:type="dxa"/>
          <w:bottom w:w="28" w:type="dxa"/>
          <w:right w:w="28" w:type="dxa"/>
        </w:tblCellMar>
      </w:tblPr>
      <w:tblGrid>
        <w:gridCol w:w="820"/>
        <w:gridCol w:w="721"/>
        <w:gridCol w:w="724"/>
        <w:gridCol w:w="211"/>
        <w:gridCol w:w="826"/>
        <w:gridCol w:w="109"/>
        <w:gridCol w:w="109"/>
        <w:gridCol w:w="109"/>
        <w:gridCol w:w="109"/>
        <w:gridCol w:w="211"/>
        <w:gridCol w:w="826"/>
        <w:gridCol w:w="109"/>
        <w:gridCol w:w="109"/>
        <w:gridCol w:w="109"/>
        <w:gridCol w:w="109"/>
        <w:gridCol w:w="221"/>
        <w:gridCol w:w="757"/>
        <w:gridCol w:w="114"/>
        <w:gridCol w:w="114"/>
        <w:gridCol w:w="114"/>
        <w:gridCol w:w="114"/>
        <w:gridCol w:w="128"/>
        <w:gridCol w:w="128"/>
        <w:gridCol w:w="284"/>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 funds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our cash position and our working capital needs to execute our strategy. We have historically funded our operations primarily from product sales, sales of our common stock, funds from our loan agreements with SLR, funds from our collaboration partnerships, as well as the sale of future royalties and commercialization milestones to HCR. We expect that we will increasingly rely on cash generated from our commercial operations to fund our operating plan while maintaining financial flexibility to source cash from future equity sales and debt financing.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2023, we entered into the 2023 Open Market Sales Agreement with Jefferies with respect to an “at-the-market offering” program, which was established under the Company’s shelf registration statement on Form S-3 and expired in January 2026. Under the 2023 Open Market Sales Agreement, we sold a total of 16.8 million shares of our common stock and received gross proceeds of $70.0 million at a weighted average sales price of approximately $4.17. During the year ended December 31, 2025, we did not sell any shares under the 2023 Open Market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2025 Open Market Sales Agreement, Jefferies, as sales agent, may receive a commission of up to three percent of the gross sales price for shares of our common stock sold under the 2025 Open Market Sales Agreement. As of December 31, 2025, there have been no sales of our common stock under the 2025 Open Market Sales Agreement.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a loan and security agreement (as amended, the 2022 Loan Agreement) with SLR. The 2022 Loan Agreement provides a total of $300.0 million, of which $200.0 million has been drawn and is outstanding as of December 31, 2025, including $50.0 million of the Term E Loan drawn during the 2025 second quarter. The additional available borrowings of $100.0 million consist of the Term F Loan and the Term G Loan, each in the amount of $50.0 million. The Term F Loan and the Term G Loan may be drawn at the Company’s election by June 30, 2026 and December 20, 2026, respectively.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activities:</w:t>
      </w:r>
    </w:p>
    <w:tbl>
      <w:tblPr>
        <w:tblW w:w="9597" w:type="dxa"/>
        <w:jc w:val="center"/>
        <w:tblInd w:w="0" w:type="dxa"/>
        <w:tblLayout w:type="fixed"/>
        <w:tblCellMar>
          <w:top w:w="28" w:type="dxa"/>
          <w:left w:w="28" w:type="dxa"/>
          <w:bottom w:w="28" w:type="dxa"/>
          <w:right w:w="28" w:type="dxa"/>
        </w:tblCellMar>
      </w:tblPr>
      <w:tblGrid>
        <w:gridCol w:w="1255"/>
        <w:gridCol w:w="1103"/>
        <w:gridCol w:w="1107"/>
        <w:gridCol w:w="211"/>
        <w:gridCol w:w="796"/>
        <w:gridCol w:w="109"/>
        <w:gridCol w:w="109"/>
        <w:gridCol w:w="109"/>
        <w:gridCol w:w="109"/>
        <w:gridCol w:w="211"/>
        <w:gridCol w:w="796"/>
        <w:gridCol w:w="109"/>
        <w:gridCol w:w="109"/>
        <w:gridCol w:w="137"/>
        <w:gridCol w:w="137"/>
        <w:gridCol w:w="137"/>
        <w:gridCol w:w="137"/>
        <w:gridCol w:w="265"/>
        <w:gridCol w:w="1000"/>
        <w:gridCol w:w="137"/>
        <w:gridCol w:w="109"/>
        <w:gridCol w:w="109"/>
        <w:gridCol w:w="109"/>
        <w:gridCol w:w="216"/>
        <w:gridCol w:w="219"/>
        <w:gridCol w:w="271"/>
        <w:gridCol w:w="109"/>
        <w:gridCol w:w="109"/>
        <w:gridCol w:w="109"/>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represent the cash receipts and payments related to all of our activities other than investing and financing activities. Net operating cash flow is derived by adjusting our net loss for non-cash operating items and changes in operating assets and liabilities resulting from timing differences between the cash receipts and payments and when the transactions are recognized in our result of operations. As a result, changes in net operating cash flow reflect, among other things, the timing of (i) cash collections from our Customers and (ii) payments made in the normal course of business such as payments to suppliers, including our CMOs, CROs and government agencies.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 2025 was materially unchanged compared to 2024, primarily due to the increased cash inflows generated from our product sales and timing of cash collections from our Customers exceeded the increased payments made in the normal course of business to support our commercial growth and research and development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include cash used for capital expenditures and purchases of short-term investments as well as net proceeds from asset dispositions and maturities of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2025 primarily reflected our short-term investment maturities and purchases.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 include net proceeds associated with our loan agreements, sales of our common stock with respect to the “at-the-market offering” programs and issuances of our common stock under our 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2025 included $48.7 million received from the Term E Loan, net of costs and $5.8 million received from the issuance of our common stock under our equity incentive plans, which was lower than $99.5 million received from the Term C Loan and Term D Loan, net of costs and $8.1 million received from the issuance of our common stock under our equity incentive plans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current operating model, we believe our available cash, cash equivalents and short-term investments as of December 31, 2025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as described in Part I, Item 1A, “Risk Factors,” of this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Obligations and Commitments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2025, our total future payment obligation related to the outstanding balance of the term loans, excluding interest payments, was $209.9 million, which is due on July 1, 2028.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for further information on our long-term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entered into various operating leases for our offices. As of December 31, 2025, our total undiscounted obligation for operating leases was $5.6 million, with maturities ranging up through July 2029. See </w:t>
      </w:r>
      <w:r>
        <w:rPr>
          <w:rFonts w:ascii="Times New Roman;serif" w:hAnsi="Times New Roman;serif"/>
          <w:b w:val="false"/>
          <w:i/>
          <w:color w:val="000000"/>
          <w:sz w:val="20"/>
        </w:rPr>
        <w:t>Note 11. Leases</w:t>
      </w:r>
      <w:r>
        <w:rPr>
          <w:color w:val="000000"/>
        </w:rPr>
        <w:t xml:space="preserve"> </w:t>
      </w:r>
      <w:r>
        <w:rPr>
          <w:rFonts w:ascii="Times New Roman;serif" w:hAnsi="Times New Roman;serif"/>
          <w:b w:val="false"/>
          <w:color w:val="000000"/>
          <w:sz w:val="20"/>
        </w:rPr>
        <w:t>for further information on our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a variety of contracts in the normal course of business. These contracts generally allow us to terminate on notice, reschedule or adjust our requirements based on our business needs prior to the delivery of goods or performance of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short-term investments of $264.7 million, which consisted of bank deposits and money market funds, as well as high quality fixed income instruments, including commercial paper, U.S. government-sponsored agency bonds, U.S. treasury securities, corporate bonds, Yankee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outstanding under our 2022 Loan Agreement is subject to a variable interest rate, which fluctuates with changes in one-month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$1.8 million for the year ended December 31, 2025. As of December 31, 2025, we had an aggregate principal amount of $200.0 million outstanding pursuant to our 2022 Loan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of expenses, non-cash royalty revenue related to the sale of future royalties, assets and liabilities associated with a limited number of manufacturing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December 31, 2025,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6596" w:type="dxa"/>
        <w:jc w:val="center"/>
        <w:tblInd w:w="0" w:type="dxa"/>
        <w:tblLayout w:type="fixed"/>
        <w:tblCellMar>
          <w:top w:w="28" w:type="dxa"/>
          <w:left w:w="28" w:type="dxa"/>
          <w:bottom w:w="28" w:type="dxa"/>
          <w:right w:w="28" w:type="dxa"/>
        </w:tblCellMar>
      </w:tblPr>
      <w:tblGrid>
        <w:gridCol w:w="2253"/>
        <w:gridCol w:w="1980"/>
        <w:gridCol w:w="1991"/>
        <w:gridCol w:w="109"/>
        <w:gridCol w:w="109"/>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82">
              <w:r>
                <w:rPr>
                  <w:rStyle w:val="InternetLink"/>
                  <w:rFonts w:ascii="Times New Roman;serif" w:hAnsi="Times New Roman;serif"/>
                  <w:b w:val="false"/>
                  <w:color w:val="0000FF"/>
                  <w:sz w:val="20"/>
                  <w:u w:val="single"/>
                </w:rPr>
                <w:t>Report of Independent Registered Public Accounting Firm (PCAOB ID</w:t>
              </w:r>
            </w:hyperlink>
            <w:hyperlink w:anchor="id790095d1c4d4adbbfccc9a6198c2862_8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42</w:t>
            </w:r>
            <w:hyperlink w:anchor="id790095d1c4d4adbbfccc9a6198c2862_82">
              <w:r>
                <w:rPr>
                  <w:rStyle w:val="InternetLink"/>
                  <w:rFonts w:ascii="Times New Roman;serif" w:hAnsi="Times New Roman;serif"/>
                  <w:b w:val="false"/>
                  <w:color w:val="0000FF"/>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82">
              <w:r>
                <w:rPr>
                  <w:rStyle w:val="InternetLink"/>
                  <w:rFonts w:ascii="Times New Roman;serif" w:hAnsi="Times New Roman;serif"/>
                  <w:b w:val="false"/>
                  <w:color w:val="0000FF"/>
                  <w:sz w:val="20"/>
                  <w:u w:val="single"/>
                </w:rPr>
                <w:t>70</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85">
              <w:r>
                <w:rPr>
                  <w:rStyle w:val="InternetLink"/>
                  <w:rFonts w:ascii="Times New Roman;serif" w:hAnsi="Times New Roman;serif"/>
                  <w:b w:val="false"/>
                  <w:color w:val="0000FF"/>
                  <w:sz w:val="20"/>
                  <w:u w:val="single"/>
                </w:rPr>
                <w:t>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85">
              <w:r>
                <w:rPr>
                  <w:rStyle w:val="InternetLink"/>
                  <w:rFonts w:ascii="Times New Roman;serif" w:hAnsi="Times New Roman;serif"/>
                  <w:b w:val="false"/>
                  <w:color w:val="0000FF"/>
                  <w:sz w:val="20"/>
                  <w:u w:val="single"/>
                </w:rPr>
                <w:t>72</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88">
              <w:r>
                <w:rPr>
                  <w:rStyle w:val="InternetLink"/>
                  <w:rFonts w:ascii="Times New Roman;serif" w:hAnsi="Times New Roman;serif"/>
                  <w:b w:val="false"/>
                  <w:color w:val="0000FF"/>
                  <w:sz w:val="20"/>
                  <w:u w:val="single"/>
                </w:rPr>
                <w:t>Statements of Operations and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88">
              <w:r>
                <w:rPr>
                  <w:rStyle w:val="InternetLink"/>
                  <w:rFonts w:ascii="Times New Roman;serif" w:hAnsi="Times New Roman;serif"/>
                  <w:b w:val="false"/>
                  <w:color w:val="0000FF"/>
                  <w:sz w:val="20"/>
                  <w:u w:val="single"/>
                </w:rPr>
                <w:t>73</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91">
              <w:r>
                <w:rPr>
                  <w:rStyle w:val="InternetLink"/>
                  <w:rFonts w:ascii="Times New Roman;serif" w:hAnsi="Times New Roman;serif"/>
                  <w:b w:val="false"/>
                  <w:color w:val="0000FF"/>
                  <w:sz w:val="20"/>
                  <w:u w:val="single"/>
                </w:rPr>
                <w:t>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91">
              <w:r>
                <w:rPr>
                  <w:rStyle w:val="InternetLink"/>
                  <w:rFonts w:ascii="Times New Roman;serif" w:hAnsi="Times New Roman;serif"/>
                  <w:b w:val="false"/>
                  <w:color w:val="0000FF"/>
                  <w:sz w:val="20"/>
                  <w:u w:val="single"/>
                </w:rPr>
                <w:t>74</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94">
              <w:r>
                <w:rPr>
                  <w:rStyle w:val="InternetLink"/>
                  <w:rFonts w:ascii="Times New Roman;serif" w:hAnsi="Times New Roman;serif"/>
                  <w:b w:val="false"/>
                  <w:color w:val="0000FF"/>
                  <w:sz w:val="20"/>
                  <w:u w:val="single"/>
                </w:rPr>
                <w:t>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94">
              <w:r>
                <w:rPr>
                  <w:rStyle w:val="InternetLink"/>
                  <w:rFonts w:ascii="Times New Roman;serif" w:hAnsi="Times New Roman;serif"/>
                  <w:b w:val="false"/>
                  <w:color w:val="0000FF"/>
                  <w:sz w:val="20"/>
                  <w:u w:val="single"/>
                </w:rPr>
                <w:t>75</w:t>
              </w:r>
            </w:hyperlink>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90095d1c4d4adbbfccc9a6198c2862_97">
              <w:r>
                <w:rPr>
                  <w:rStyle w:val="InternetLink"/>
                  <w:rFonts w:ascii="Times New Roman;serif" w:hAnsi="Times New Roman;serif"/>
                  <w:b w:val="false"/>
                  <w:color w:val="0000FF"/>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90095d1c4d4adbbfccc9a6198c2862_97">
              <w:r>
                <w:rPr>
                  <w:rStyle w:val="InternetLink"/>
                  <w:rFonts w:ascii="Times New Roman;serif" w:hAnsi="Times New Roman;serif"/>
                  <w:b w:val="false"/>
                  <w:color w:val="0000FF"/>
                  <w:sz w:val="20"/>
                  <w:u w:val="singl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Ardelyx,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balance sheets of Ardelyx, Inc. (the “Company”) as of December 31, 2025 and 2024, the related statements of operations and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498"/>
        <w:gridCol w:w="438"/>
        <w:gridCol w:w="440"/>
        <w:gridCol w:w="2641"/>
        <w:gridCol w:w="2559"/>
        <w:gridCol w:w="3629"/>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i/>
                <w:color w:val="000000"/>
                <w:sz w:val="20"/>
              </w:rPr>
              <w:t>Description of the Matter</w:t>
            </w:r>
          </w:p>
        </w:tc>
        <w:tc>
          <w:tcPr>
            <w:tcW w:w="88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i/>
                <w:color w:val="000000"/>
                <w:sz w:val="20"/>
              </w:rPr>
            </w:pPr>
            <w:r>
              <w:rPr>
                <w:rFonts w:ascii="Times New Roman;serif" w:hAnsi="Times New Roman;serif"/>
                <w:b/>
                <w:i/>
                <w:color w:val="000000"/>
                <w:sz w:val="20"/>
              </w:rPr>
              <w:t>Estimates of Reserves for Variable Consideration Impacted by Estimated Payor Mix</w:t>
            </w:r>
          </w:p>
        </w:tc>
      </w:tr>
      <w:tr>
        <w:trPr/>
        <w:tc>
          <w:tcPr>
            <w:tcW w:w="137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 2 and 6 to the financial statements, the transaction price for product sales, net is reduced for estimates of variable consideration related to gross-to-net (“GTN”) adjustments for discounts and chargebacks, rebates, wholesaler and group purchasing organization (“GPO”) fees, copay assistance and returns. Except for certain wholesaler and GPO fees and discounts, which are based on contracts, these adjustments involve estimation and judgment. The GTN adjustments for rebates, copay assistance and chargebacks are impacted by the Company’s estimate of payor mix, which requires significant judgment. The Company’s total estimate of reserves for variable consideration was $45.4 million as of December 31, 2025. During 2025, the Company recorded $163.6 million in total reductions to gross product sales for variable consideration.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Company’s estimates of reserves for variable consideration relating to rebates, copay assistance and chargebacks was especially challenging as it involved evaluation of management’s subjective judgments with respect to payor mix that considers various data sources. The Company has a limited history upon which to base its assumptions, and changes in these assumptions could have a material impact on the reserves recorded for variable consideration.</w:t>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internal controls over the Company’s process to determine the reserves for variable consideration that are impacted by the payor mix. For example, we tested controls over management’s review of the completeness and accuracy of the data used to determine the estimate.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test the Company’s estimates of reserves for variable consideration relating to rebates, copay assistance and chargebacks, our audit procedures included, among others, evaluating the methodologies and assumptions used and testing the accuracy and completeness of the underlying data used in the Company’s payor mix analysis and the related reserves. We compared the assumptions used by management to third-party industry data and evaluated trends in the data. We also evaluated the reasonableness of changes in estimated reserves during the year and assessed the accuracy of the Company’s estimates against actual results. We also performed sensitivity analyses to determine the effect of changes in management’s payor mix assumptions on the reserves recorded for variable consideration impacted by the payor mix. Further, we evaluated the appropriateness of classification and disclosure of the Company’s reserves for variable consideration in the financial statements.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2009.</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SHEETS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0"/>
        <w:gridCol w:w="2369"/>
        <w:gridCol w:w="2310"/>
        <w:gridCol w:w="211"/>
        <w:gridCol w:w="826"/>
        <w:gridCol w:w="109"/>
        <w:gridCol w:w="109"/>
        <w:gridCol w:w="109"/>
        <w:gridCol w:w="109"/>
        <w:gridCol w:w="211"/>
        <w:gridCol w:w="826"/>
        <w:gridCol w:w="156"/>
      </w:tblGrid>
      <w:tr>
        <w:trPr/>
        <w:tc>
          <w:tcPr>
            <w:tcW w:w="2860"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500,000,000 shares authorized; 244,351,501 and 238,015,825 shares issued and outstanding as of December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OPERATIONS AND COMPREHENSIVE LOSS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9773" w:type="dxa"/>
        <w:jc w:val="center"/>
        <w:tblInd w:w="0" w:type="dxa"/>
        <w:tblLayout w:type="fixed"/>
        <w:tblCellMar>
          <w:top w:w="28" w:type="dxa"/>
          <w:left w:w="28" w:type="dxa"/>
          <w:bottom w:w="28" w:type="dxa"/>
          <w:right w:w="28" w:type="dxa"/>
        </w:tblCellMar>
      </w:tblPr>
      <w:tblGrid>
        <w:gridCol w:w="1881"/>
        <w:gridCol w:w="1649"/>
        <w:gridCol w:w="1659"/>
        <w:gridCol w:w="241"/>
        <w:gridCol w:w="945"/>
        <w:gridCol w:w="109"/>
        <w:gridCol w:w="109"/>
        <w:gridCol w:w="109"/>
        <w:gridCol w:w="109"/>
        <w:gridCol w:w="241"/>
        <w:gridCol w:w="945"/>
        <w:gridCol w:w="109"/>
        <w:gridCol w:w="109"/>
        <w:gridCol w:w="109"/>
        <w:gridCol w:w="109"/>
        <w:gridCol w:w="264"/>
        <w:gridCol w:w="922"/>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241,033,750 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235,232,927 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219,331,253 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STOCKHOLDERS’ EQUITY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829"/>
        <w:gridCol w:w="358"/>
        <w:gridCol w:w="359"/>
        <w:gridCol w:w="525"/>
        <w:gridCol w:w="526"/>
        <w:gridCol w:w="211"/>
        <w:gridCol w:w="109"/>
        <w:gridCol w:w="109"/>
        <w:gridCol w:w="109"/>
        <w:gridCol w:w="231"/>
        <w:gridCol w:w="390"/>
        <w:gridCol w:w="130"/>
        <w:gridCol w:w="109"/>
        <w:gridCol w:w="109"/>
        <w:gridCol w:w="109"/>
        <w:gridCol w:w="206"/>
        <w:gridCol w:w="917"/>
        <w:gridCol w:w="114"/>
        <w:gridCol w:w="109"/>
        <w:gridCol w:w="109"/>
        <w:gridCol w:w="109"/>
        <w:gridCol w:w="214"/>
        <w:gridCol w:w="824"/>
        <w:gridCol w:w="121"/>
        <w:gridCol w:w="109"/>
        <w:gridCol w:w="109"/>
        <w:gridCol w:w="109"/>
        <w:gridCol w:w="378"/>
        <w:gridCol w:w="814"/>
        <w:gridCol w:w="211"/>
        <w:gridCol w:w="109"/>
        <w:gridCol w:w="109"/>
        <w:gridCol w:w="109"/>
        <w:gridCol w:w="216"/>
        <w:gridCol w:w="816"/>
        <w:gridCol w:w="180"/>
      </w:tblGrid>
      <w:tr>
        <w:trPr/>
        <w:tc>
          <w:tcPr>
            <w:tcW w:w="8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198,575,016 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(780,137)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services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855,642 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at-the-market offering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32,274,741 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232,453,190 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1,012,773 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(846,204)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166,816 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479,609 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services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2,654,370 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2,388,107 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238,015,825 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services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1,880,472 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3,982,355 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244,351,501 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(946,939)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166,949 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CASH FLOWS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87"/>
        <w:gridCol w:w="1944"/>
        <w:gridCol w:w="1957"/>
        <w:gridCol w:w="211"/>
        <w:gridCol w:w="785"/>
        <w:gridCol w:w="109"/>
        <w:gridCol w:w="109"/>
        <w:gridCol w:w="109"/>
        <w:gridCol w:w="109"/>
        <w:gridCol w:w="211"/>
        <w:gridCol w:w="785"/>
        <w:gridCol w:w="109"/>
        <w:gridCol w:w="109"/>
        <w:gridCol w:w="109"/>
        <w:gridCol w:w="109"/>
        <w:gridCol w:w="211"/>
        <w:gridCol w:w="785"/>
        <w:gridCol w:w="157"/>
      </w:tblGrid>
      <w:tr>
        <w:trPr/>
        <w:tc>
          <w:tcPr>
            <w:tcW w:w="228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investments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at the market offering, net of issuance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2022 Loan Agreement, net of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future royalties, net of issuance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equity incentive plans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the previously outstanding exit fees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 of cash flow information</w:t>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 of non-cash activities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1.</w:t>
      </w:r>
      <w:r>
        <w:rPr>
          <w:color w:val="000000"/>
        </w:rPr>
        <w:t xml:space="preserve"> </w:t>
      </w:r>
      <w:r>
        <w:rPr>
          <w:rFonts w:ascii="Times New Roman;serif" w:hAnsi="Times New Roman;serif"/>
          <w:b/>
          <w:color w:val="000000"/>
          <w:sz w:val="20"/>
        </w:rPr>
        <w:t>NATURE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an NHE3 inhibitor that was discovered and developed by Ardelyx. NHE3 is an antiporter expressed on the apical surface of the small and large intestines. Tenapanor is a minimally absorbed, first-in-class, oral, small molecule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We believe that IBSRELA can bring meaningful benefit to the approximately 13 million Americans who suffer from the symptoms of IBS-C, many of whom continue to experience symptoms despite intervention with other therapies. We are seeking to further expand the IBSRELA eligible patient population to include patients with CIC, and have initiated a Phase 3 clinical trial evaluating tenapanor in adult CIC patients.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on dialysis as add-on therapy in patients who have an inadequate response to phosphate binders or who are intolerant of any dose of phosphate binder therapy. We believe XPHOZAH can bring meaningful relief to adult chronic kidney disease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commercializing IBSRELA and XPHOZAH, we are also developing a next-generation NHE3 inhibitor that we believe can have application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one business segment, which is the development and commercialization of biopharmaceutical products. Refer to </w:t>
      </w:r>
      <w:r>
        <w:rPr>
          <w:rFonts w:ascii="Times New Roman;serif" w:hAnsi="Times New Roman;serif"/>
          <w:b w:val="false"/>
          <w:i/>
          <w:color w:val="000000"/>
          <w:sz w:val="20"/>
        </w:rPr>
        <w:t>Note 17. Segment Reporting</w:t>
      </w:r>
      <w:r>
        <w:rPr>
          <w:color w:val="000000"/>
        </w:rPr>
        <w:t xml:space="preserve"> </w:t>
      </w:r>
      <w:r>
        <w:rPr>
          <w:rFonts w:ascii="Times New Roman;serif" w:hAnsi="Times New Roman;serif"/>
          <w:b w:val="false"/>
          <w:color w:val="000000"/>
          <w:sz w:val="20"/>
        </w:rPr>
        <w:t>for further segment reporting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in accordance with U.S. GAAP. Certain prior year amounts have been reclassified to conform to the current year presentation on the statements of operations and comprehensive loss to include the “cost of product sales” and the “other cost of revenue” captions within the “cost of sales” caption. This reclassification had no effect on the previously reported results of operations. Prior to the end of the 2025 second quarter, the “other cost of revenue” caption was primarily comprised of royalty expenses recognized under the AstraZeneca Termination Agreement. As of the end of the 2025 second quarter, the maximum $75.0 million royalty obligation under this agreement had been fully recognized.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Annual Report on Form 10-K for definitions of terms used throughout the document.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Significant estimates include those used in our revenue gross-to-net adjustments and other estimates. Management bases its estimates on historical experience and on various relevant assumptions that management believes to be reasonable under the circumstances. Actual results could materially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equivalents consist of highly liquid investments purchased with an original maturity date of 90 days or less and are recognized at cost, which approximates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investments consist of debt securities classified as available-for-sale and have maturities greater than 90 days, but less than one year, from the date of acquisition. Short-term investments are carried at fair value based upon quoted market prices or other observable market data. Unrealized gains (losses) on available-for-sale securities are included in accumulated other comprehensive income on our balance sheets. The cost of available-for-sale securities sold is based on the specific-identification method.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Marketable debt securities are reviewed for impairment by determining whether the decline in their market value below carrying value is other-than-temporary. This assessment considers the intent and ability to retain the investment for a period of time sufficient for an anticipated recovery in market value; the duration and extent that the market value has been below cost; and the investee’s financial condition. Other-than-temporary impairments and credit losses are recorded in the statements of operations and comprehensive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balance sheets. Cash, cash equivalents and short-term investments are invested through banks and other financial institutions in the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conducted in U.S. dollars; however, a portion of our expense and capital activities are transacted in foreign currencies which are subject to exchange rate fluctuations that can affect cash or earnings. Foreign currency transactions are translated into the functional currency using exchange rates prevailing at the dates of the transactions. At the end of each reporting period, monetary assets and liabilities that are denominated in foreign currencies are translated at the rates prevailing at that date. All gains and losses on these foreign currency transactions are recorded as other income, net on our statements of operations and comprehensive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 are capitalized at cost. Depreciation is computed using the straight-line method over the estimated useful lives of the respective assets, ranging from three to five years for laboratory equipment and office equipment and furniture. Leasehold improvements are amortized over the lesser of the estimated useful lives or the related remaining lease term.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is less than the asset’s carrying amount. Impairment, if any, would be assessed using discounted cash flows or other appropriate measures of fair value.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asset and liability method of accounting is used for income taxes. Deferred tax assets and liabilities are determined based on the differences between the financial reporting and the tax basis of assets and liabilities and are measured using the enacted tax rates and laws that will be in effect when the differences are expected to be reversed. A valuation allowance is provided when it is more likely than not that a portion or all of a deferred tax asset will not be realized.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stated at amortized cost less allowance for credit losses. An allowance for credit losses reflects our best estimate of future credit losses over the contractual life of outstanding accounts receivable under the assumption that the current conditions as of the balance sheet date do not change for the remaining life of the asset. An allowance for credit losses is determined based on various factors, such as historical experience, specific allowances for known troubled accounts, customers’ financial condition and both current and forecasted economic conditions. To date, we have determined that an allowance for doubtful accounts is not required. As of December 31, 2025, our accounts receivable balance was comprised of $66.4 million from commercial customers and $5.4 million from our collaboration partners. As of December 31, 2024, our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receivable balance was comprised of $56.7 million from commercial customers and $1.0 million from our collaboration partners.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costs incurred are capitalized after regulatory approval, or if based on management’s judgment, future commercialization is considered probable and future economic benefit is expected to be realized. We began to capitalize inventory costs associated with IBSRELA during the 2021 fourth quarter, when our intent to commercialize IBSRELA was established and we commenced preparation for the launch of IBSRELA. We began to capitalize inventory costs associated with XPHOZAH during the 2023 fourth quarter, following approval by the FDA to market XPHOZAH in the U.S. Inventory costs incurred prior to regulatory approval were expensed as 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estimated net realizable value with cost determined under the specific identification method. A portion of inventory that represents product that is not expected to be sold or used within the next 12 months is classified as non-current assets in our balance sheets.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application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substantially impacts our reported results, particularly product sales, net, which requires certain estimates in determining the transaction price. Total revenues are recognized following a five-step model: (i) identify the customer contract, (ii) identify the contract’s performance obligations, (iii) determine the transaction price, (iv) allocate the transaction price to the performance obligations and (v) recognize revenue when or as a performance obligation is satisfied.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apply the ASC 606 five-step process above to the contracts with our Customers. Product revenue is recognized when Customers take control of the product, which typically occurs upon delivery to the Customers. The transaction price for product sales is reduced for estimates of variable consideration related to (i) discounts and chargebacks, (ii) rebates, wholesaler and GPO fees, and (iii) copay assistance and returns (collectively, gross-to-net adjustments or GTN adjustments). Except for certain wholesaler and GPO fees and discounts, which are based on contracts, our estimates of GTN adjustments involve assumptions and judgments. Our estimates of GTN adjustments for rebates, copay assistance and chargebacks require significant assumptions and judgments, considering factors such as legal interpretations of applicable laws and regulations, historical experience, payor mix (e.g., Medicare or Medicaid), current contract prices under applicable programs, unbilled claims, processing time lags and inventory levels in the distribution channel.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are assessed each period and adjusted as required to revise information or actual experience.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Collaboration and 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and licensing arrangements may include the grant of licenses for use of our intellectual property and manufacturing supply services. Considerations for such arrangements may include non-refundable upfront license fees; payments based upon the achievement of development, regulatory, or commercialization milestones; payments for manufacturing supply services; and future royalties on net sales of licensed products. We perform the ASC 606 five-step process above to determine the appropriate amount of revenue to be recognized under our collaboration and licensing arrangements. For performance obligations that are satisfied over time, we recognize revenue using an input or output measure of progress that best depicts the satisfaction of the relevant performance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evaluate performance obligations by assessing whether promised goods or services are both (i) capable of being distinct and (ii) distinct in the context of the arrangement. Goods or services that meet these criteria are considered distinct performance obligations. Judgment is required to determine whether promised goods or services represent distinct performance obligations. We estimate the transaction price based on expected consideration, which may include fixed or variable consideration. At the inception of each arrangement that includes variable consideration, we evaluate the amount of potential transaction price and the likelihood that the transaction price will be received. The amount of variable consideration that is included in the transaction price only to the extent that it is probable that a significant reversal in the amount of the cumulative revenue recognized will not occur in a future period. After contract inception, the transaction price is reassessed at every period end and updated for changes such as resolution of uncertain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u w:val="single"/>
        </w:rPr>
        <w:t>Licensing Revenue</w:t>
      </w:r>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Non-refundable upfront license fees: For arrangements that include a license of intellectual property, and it is determined to be distinct from the other performance obligations identified in the arrangement, we recognize the transaction price allocated to the license as licensing revenue upon transfer of control of the license.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Milestone payments: Contingent milestones at contract inception are estimated at the amount which is not probable of a material reversal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At the end of each subsequent reporting period, we re-evaluate the probability of achievement of such contingent milestones and any related constraints, and if necessary, adjust our estimate of the overall transaction price. Any such adjustments are recorded on a cumulative catch-up basis, which would affect earnings in the period of adjustment.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 To date, royalty revenue resulting from licensing arrangements has not been material.</w:t>
      </w:r>
    </w:p>
    <w:p>
      <w:pPr>
        <w:pStyle w:val="TextBody"/>
        <w:bidi w:val="0"/>
        <w:spacing w:lineRule="auto" w:line="288" w:before="0" w:after="180"/>
        <w:ind w:left="0" w:right="0" w:firstLine="360"/>
        <w:jc w:val="left"/>
        <w:rPr/>
      </w:pPr>
      <w:r>
        <w:rPr>
          <w:rFonts w:ascii="Times New Roman;serif" w:hAnsi="Times New Roman;serif"/>
          <w:b w:val="false"/>
          <w:color w:val="000000"/>
          <w:sz w:val="20"/>
          <w:u w:val="single"/>
        </w:rPr>
        <w:t>Product Supply Revenue</w:t>
      </w:r>
      <w:r>
        <w:rPr>
          <w:rFonts w:ascii="Times New Roman;serif" w:hAnsi="Times New Roman;serif"/>
          <w:b w:val="false"/>
          <w:color w:val="000000"/>
          <w:sz w:val="20"/>
        </w:rPr>
        <w:t>: For arrangements that include a promise for the future supply of drug substance or drug product for either clinical development or commercial supply at the customer’s discretion (manufacturing supply services), and it is determined to be distinct from the other performance obligations identified in the arrangement, we recognize the transaction price allocated to the manufacturing supply services as product supply revenue upon transfer of control of the product to the customer, which is upon delivery. Advanced payments from customers for the manufacturing of drug substance are recognized as deferred revenue until delivery.</w:t>
      </w:r>
    </w:p>
    <w:p>
      <w:pPr>
        <w:pStyle w:val="TextBody"/>
        <w:bidi w:val="0"/>
        <w:spacing w:lineRule="auto" w:line="288" w:before="0" w:after="180"/>
        <w:ind w:left="0" w:right="0" w:firstLine="360"/>
        <w:jc w:val="left"/>
        <w:rPr/>
      </w:pPr>
      <w:r>
        <w:rPr>
          <w:rFonts w:ascii="Times New Roman;serif" w:hAnsi="Times New Roman;serif"/>
          <w:b w:val="false"/>
          <w:color w:val="000000"/>
          <w:sz w:val="20"/>
          <w:u w:val="single"/>
        </w:rPr>
        <w:t>Non-Cash Royalty Revenue Related to the Sale of Future Royalties:</w:t>
      </w:r>
      <w:r>
        <w:rPr>
          <w:color w:val="000000"/>
        </w:rPr>
        <w:t xml:space="preserve"> </w:t>
      </w:r>
      <w:r>
        <w:rPr>
          <w:rFonts w:ascii="Times New Roman;serif" w:hAnsi="Times New Roman;serif"/>
          <w:b w:val="false"/>
          <w:color w:val="000000"/>
          <w:sz w:val="20"/>
        </w:rPr>
        <w:t xml:space="preserve">Royalties and commercialization milestones earned from Kyowa Kirin are recorded as non-cash royalty revenue. As discussed in </w:t>
      </w:r>
      <w:r>
        <w:rPr>
          <w:rFonts w:ascii="Times New Roman;serif" w:hAnsi="Times New Roman;serif"/>
          <w:b w:val="false"/>
          <w:i/>
          <w:color w:val="000000"/>
          <w:sz w:val="20"/>
        </w:rPr>
        <w:t>Note 8. Deferred Royalty Obligation Related to the Sale of Future Royalties</w:t>
      </w:r>
      <w:r>
        <w:rPr>
          <w:rFonts w:ascii="Times New Roman;serif" w:hAnsi="Times New Roman;serif"/>
          <w:b w:val="false"/>
          <w:color w:val="000000"/>
          <w:sz w:val="20"/>
        </w:rPr>
        <w:t>, future royalties and commercialization milestone payments we may receive under the Kyowa Kirin Agreement will be remitted to HCR pursuant to the HCR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financial statements, we are required to estimate our accrued expenses, which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estimate our accrued expenses as of each balance sheet date based on facts and circumstances known to us at that time. We periodically confirm the accuracy of our estimates with our service providers and make adjustments if necessary.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Service fee accruals are estimated based on the period over which each component of service will be performed, with vendor input if appropriate. If the actual timing of the performance of services or the level of effort varies from our estimate, we adjust the accrued or prepaid expense balance accordingly. Although we do not expect our estimates to be materially different from amounts actually incurred, our estimates of the status and timing may differ from the actual status and timing of services performed.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Retirement Savings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retirement saving plans through our 401(k) plan, which is available to all full-time employees. In June 2023, we expanded the benefit with the inclusion of a company matching contribution. We contribute to tax-qualified retirement plans for the benefit of employees who meet certain eligibility requirements and choose to participate in the plans. Participating employees specify the percentage of salary they wish to contribute from their compensation, and we make matching contributions. We recognized compensation costs from our contributions of $1.4 million, $1.1 million and $0.2 million in 2025, 2024 and 2023,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is recognized for all stock-based payment awards made to employees, non-employees and directors based on estimated fair values. The grant date fair value of the awards is determined using the Black-Scholes option-pricing model. Stock-based compensation expense is recognized on a straight-line basis over the requisite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is reduced for estimated forfeitures at the date of grant and revised, if necessary, in subsequent periods if actual forfeitures differ from those estimates.</w:t>
      </w:r>
    </w:p>
    <w:p>
      <w:pPr>
        <w:pStyle w:val="TextBody"/>
        <w:bidi w:val="0"/>
        <w:spacing w:lineRule="auto" w:line="288" w:before="0" w:after="180"/>
        <w:jc w:val="left"/>
        <w:rPr/>
      </w:pPr>
      <w:r>
        <w:rPr>
          <w:rFonts w:ascii="Times New Roman;serif" w:hAnsi="Times New Roman;serif"/>
          <w:b/>
          <w:i/>
          <w:color w:val="000000"/>
          <w:sz w:val="20"/>
        </w:rPr>
        <w:t>Non-Cash Interest Expense on Deferred Royalty Obligation</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connection with the HCR Agreement, as discussed further in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we recorded a liability related to the sale of future royalties and commercialization milestones that is amortized using the effective interest method over the estimated life of the HCR Agreement. As a result, we impute interest on proceeds received from HCR and record non-cash interest expense at the effective interest rate derived from estimated amounts and timing of future royalties and commercialization payments expected to be received by HCR.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leases are included in right-of-use assets, current portion of operating lease liability and operating lease liability, net of current portion on our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information available at the lease commencement date. Operating lease right-of-use assets also include any lease payments made and exclude lease incentives. Our lease terms may include options to extend or terminate a lease when it is reasonably certain that we will exercise any such option. Leases with an initial term of 12 months or less are not recorded on the balance sheets. Lease expense is recognized on a straight-line basis over the expected lease term. We have elected not to separate lease and non-lease components, such as common area maintenance charges, and instead account for these as a single lease component.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weighted-average number of shares of common stock outstanding during the period, without consideration of potential shares of common stock. Diluted net loss per common share in the periods presented is the same as basic net loss per common share because the effects of potentially dilutive securities are antidilutive due to net losses recognized for each period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Recently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2023, the FASB issued ASU No. 2023-09, Income Taxes (Topic 740) -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xml:space="preserve">. The ASU provides additional transparency within the income tax disclosures, primarily related to the rate reconciliation and income taxes paid information. We adopted ASU 2023-09 retrospectively in the 2025 fourth quarter and determined that the adoption did not have a material impact on our financial statements. Refer to the related disclosures presented in </w:t>
      </w:r>
      <w:r>
        <w:rPr>
          <w:rFonts w:ascii="Times New Roman;serif" w:hAnsi="Times New Roman;serif"/>
          <w:b w:val="false"/>
          <w:i/>
          <w:color w:val="000000"/>
          <w:sz w:val="20"/>
        </w:rPr>
        <w:t>Note 16. Income Taxes</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No. 2024-03, Income Statement (Topic 220) - </w:t>
      </w:r>
      <w:r>
        <w:rPr>
          <w:rFonts w:ascii="Times New Roman;serif" w:hAnsi="Times New Roman;serif"/>
          <w:b w:val="false"/>
          <w:i/>
          <w:color w:val="000000"/>
          <w:sz w:val="20"/>
        </w:rPr>
        <w:t>Reporting Comprehensive Income - Expense Disaggregation Disclosures, Disaggregation of Income Statement Expenses</w:t>
      </w:r>
      <w:r>
        <w:rPr>
          <w:rFonts w:ascii="Times New Roman;serif" w:hAnsi="Times New Roman;serif"/>
          <w:b w:val="false"/>
          <w:color w:val="000000"/>
          <w:sz w:val="20"/>
        </w:rPr>
        <w:t>, which requires public companies to disclose, in interim and annual reporting periods, additional information about certain expenses in the financial statements. The new disclosure requirements are effective for our annual periods beginning January 1, 2027, and interim periods beginning January 1, 2028, with early adoption permitted, and may be applied either prospectively or retrospectively. We are in the process of evaluating the impact of this new guidance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pPr>
      <w:r>
        <w:rPr>
          <w:rFonts w:ascii="Times New Roman;serif" w:hAnsi="Times New Roman;serif"/>
          <w:b/>
          <w:color w:val="000000"/>
          <w:sz w:val="20"/>
        </w:rPr>
        <w:t>NOTE 3.</w:t>
      </w:r>
      <w:r>
        <w:rPr>
          <w:color w:val="000000"/>
        </w:rPr>
        <w:t xml:space="preserve"> </w:t>
      </w:r>
      <w:r>
        <w:rPr>
          <w:rFonts w:ascii="Times New Roman;serif" w:hAnsi="Times New Roman;serif"/>
          <w:b/>
          <w:color w:val="000000"/>
          <w:sz w:val="20"/>
        </w:rPr>
        <w:t>CASH, CASH EQUIVALENTS AND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short-term investments:</w:t>
      </w:r>
    </w:p>
    <w:tbl>
      <w:tblPr>
        <w:tblW w:w="11923"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or losses have not been significant and are included in other income, net on our statements of operations and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losses in 2025 and 2024 were not material. All of the short-term available-for-sale securities held as of December 31, 2025 and 2024 had contractual maturities of less than one year. We determined that none of our available-for-sale securities were other-than-temporarily impaired as of December 31, 2025 and 2024, and no investment was in a continuous unrealized loss position for more than one year. Therefore, we believe that it is more likely than not that the investments will be held until maturity or a forecasted recovery of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unobservable inputs for which there is little or no market data, which require us to develop our own assumptions.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887"/>
        <w:gridCol w:w="545"/>
        <w:gridCol w:w="54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88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principal outstanding under our 2022 Loan Agreement is subject to a variable interest rate and therefore, we believe the carrying amount of the term loan approximates fair value as of December 31, 2025 and 2024.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for a description of the Level 2 inputs used to estimate the fair value of the liability.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carrying value of the deferred royalty obligation related to the sale of future royalties approximates its fair value as of December 31, 2025 and 2024 and is based on our current estimate of future royalties and commercialization milestones expected to be received by HCR over the life of the HCR Agreement. See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for a description of the Level 3 inputs used to estimate the fair value of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508" w:type="dxa"/>
        <w:jc w:val="center"/>
        <w:tblInd w:w="0" w:type="dxa"/>
        <w:tblLayout w:type="fixed"/>
        <w:tblCellMar>
          <w:top w:w="28" w:type="dxa"/>
          <w:left w:w="28" w:type="dxa"/>
          <w:bottom w:w="28" w:type="dxa"/>
          <w:right w:w="28" w:type="dxa"/>
        </w:tblCellMar>
      </w:tblPr>
      <w:tblGrid>
        <w:gridCol w:w="706"/>
        <w:gridCol w:w="621"/>
        <w:gridCol w:w="622"/>
        <w:gridCol w:w="211"/>
        <w:gridCol w:w="826"/>
        <w:gridCol w:w="109"/>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with third-party CMOs not included in inventory was $14.5 million and $16.4 million as of December 31, 2025 and 2024, respectively. There were no prepayments expected to be converted into inventory after 12 months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Disaggregation of total revenues by nature is as follows:</w:t>
      </w:r>
    </w:p>
    <w:tbl>
      <w:tblPr>
        <w:tblW w:w="10168" w:type="dxa"/>
        <w:jc w:val="center"/>
        <w:tblInd w:w="0" w:type="dxa"/>
        <w:tblLayout w:type="fixed"/>
        <w:tblCellMar>
          <w:top w:w="28" w:type="dxa"/>
          <w:left w:w="28" w:type="dxa"/>
          <w:bottom w:w="28" w:type="dxa"/>
          <w:right w:w="28" w:type="dxa"/>
        </w:tblCellMar>
      </w:tblPr>
      <w:tblGrid>
        <w:gridCol w:w="1869"/>
        <w:gridCol w:w="1644"/>
        <w:gridCol w:w="164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Products are primarily sold to wholesalers, GPOs and specialty pharmacies, and to a lesser extent, directly to retailers, hospitals, clinics and government agencies. Customer orders are generally fulfilled within a few days from receipt. Contractual performance obligations are fulfilled once our Customers receive the product and obtain legal title, at which point, they are able to direct the use of and obtain substantially all of the remaining benefits of the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product sales, net was as follows:</w:t>
      </w:r>
    </w:p>
    <w:tbl>
      <w:tblPr>
        <w:tblW w:w="9590" w:type="dxa"/>
        <w:jc w:val="center"/>
        <w:tblInd w:w="0" w:type="dxa"/>
        <w:tblLayout w:type="fixed"/>
        <w:tblCellMar>
          <w:top w:w="28" w:type="dxa"/>
          <w:left w:w="28" w:type="dxa"/>
          <w:bottom w:w="28" w:type="dxa"/>
          <w:right w:w="28" w:type="dxa"/>
        </w:tblCellMar>
      </w:tblPr>
      <w:tblGrid>
        <w:gridCol w:w="1522"/>
        <w:gridCol w:w="1338"/>
        <w:gridCol w:w="1340"/>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 as a percentage of total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revenue from product sales at the net sales price which includes estimates of variable consideration related to the following GTN adjustments: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Discounts and chargebacks: We offer prompt pay discounts to our Customers for payment within a specified period, generally approximating two percent of the invoiced sales price. Our payment terms are generally 30 to 60 days. Chargebacks represent the estimated liability to wholesalers resulting from the difference between the wholesale acquisition cost and the lower program price offered to qualified government healthcare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Rebates, wholesaler and GPO fees: We are subject to discount obligations under governmental programs, such as Medicare and Medicaid. For the Medicaid program, we estimate the portion of sales attributed to Medicaid patients as rebates to be paid to the respective state. For the Medicare Part D program, beginning in 2025, we estimate the percentage of products sold to patients in the initial coverage and catastrophic coverage phases and adjust the transaction price for such discount at the time of sale. Prior to 2025, we paid a 70% discount to CMS when the Medicare Part D beneficiaries were in the coverage gap. Wholesaler and GPO fees are based on contracts and therefore require less estimation.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Copay assistance and returns: We estimate the expected cost under the copay assistance program for qualified commercially-insured patients based on the terms of the program and redemption information provided by third-party claims processing organizations. We estimate products’ returns based on products’ actual returns history and other factors, including levels of our inventory in the distribution channel, estimated shelf life and historical sales returns of similar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Discounts, chargebacks, returns and wholesaler and GPO fees are reflected as reductions to receivables and are typically settled within contractual terms through credits to our Customers. All other GTN adjustments are reflected as a liability and settled through cash payments to our Customers or governmental payor programs, typically over various time periods that may span for multiple 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2"/>
        <w:gridCol w:w="648"/>
        <w:gridCol w:w="650"/>
        <w:gridCol w:w="432"/>
        <w:gridCol w:w="1262"/>
        <w:gridCol w:w="223"/>
        <w:gridCol w:w="109"/>
        <w:gridCol w:w="109"/>
        <w:gridCol w:w="109"/>
        <w:gridCol w:w="449"/>
        <w:gridCol w:w="1536"/>
        <w:gridCol w:w="232"/>
        <w:gridCol w:w="109"/>
        <w:gridCol w:w="109"/>
        <w:gridCol w:w="109"/>
        <w:gridCol w:w="437"/>
        <w:gridCol w:w="1275"/>
        <w:gridCol w:w="226"/>
        <w:gridCol w:w="109"/>
        <w:gridCol w:w="109"/>
        <w:gridCol w:w="109"/>
        <w:gridCol w:w="211"/>
        <w:gridCol w:w="721"/>
        <w:gridCol w:w="160"/>
      </w:tblGrid>
      <w:tr>
        <w:trPr/>
        <w:tc>
          <w:tcPr>
            <w:tcW w:w="76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Provisions included approximately $4.4 million of net favorable adjustment resulting from changes in prior periods’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Geographic Information and Concentrations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are attributed to geographical areas based on the location at which we earned revenue for product sales of IBSRELA and XPHOZAH or the domicile of our collaboration partners. A summary of our revenues by geographic area is as follows:</w:t>
      </w:r>
    </w:p>
    <w:tbl>
      <w:tblPr>
        <w:tblW w:w="5606" w:type="dxa"/>
        <w:jc w:val="center"/>
        <w:tblInd w:w="0" w:type="dxa"/>
        <w:tblLayout w:type="fixed"/>
        <w:tblCellMar>
          <w:top w:w="28" w:type="dxa"/>
          <w:left w:w="28" w:type="dxa"/>
          <w:bottom w:w="28" w:type="dxa"/>
          <w:right w:w="28" w:type="dxa"/>
        </w:tblCellMar>
      </w:tblPr>
      <w:tblGrid>
        <w:gridCol w:w="532"/>
        <w:gridCol w:w="468"/>
        <w:gridCol w:w="469"/>
        <w:gridCol w:w="211"/>
        <w:gridCol w:w="826"/>
        <w:gridCol w:w="109"/>
        <w:gridCol w:w="109"/>
        <w:gridCol w:w="109"/>
        <w:gridCol w:w="109"/>
        <w:gridCol w:w="211"/>
        <w:gridCol w:w="826"/>
        <w:gridCol w:w="109"/>
        <w:gridCol w:w="109"/>
        <w:gridCol w:w="109"/>
        <w:gridCol w:w="109"/>
        <w:gridCol w:w="211"/>
        <w:gridCol w:w="82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United States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Revenues from the United States were comprised of amounts earned from sales of IBSRELA and XPHOZAH.</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Revenues from Asia Pacific were comprised of amounts earned in accordance with the Kyowa Kirin Agreement and the Fosun Agreement.</w:t>
      </w:r>
    </w:p>
    <w:p>
      <w:pPr>
        <w:pStyle w:val="TextBody"/>
        <w:bidi w:val="0"/>
        <w:spacing w:lineRule="auto" w:line="288" w:before="0" w:after="18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Revenues from North America were comprised of amounts earned from Canada in accordance with the Knight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product sales from Customers and revenues from collaboration partners, each accounting for more than 10% of total revenues, were as follows:</w:t>
      </w:r>
    </w:p>
    <w:tbl>
      <w:tblPr>
        <w:tblW w:w="7957" w:type="dxa"/>
        <w:jc w:val="center"/>
        <w:tblInd w:w="0" w:type="dxa"/>
        <w:tblLayout w:type="fixed"/>
        <w:tblCellMar>
          <w:top w:w="28" w:type="dxa"/>
          <w:left w:w="28" w:type="dxa"/>
          <w:bottom w:w="28" w:type="dxa"/>
          <w:right w:w="28" w:type="dxa"/>
        </w:tblCellMar>
      </w:tblPr>
      <w:tblGrid>
        <w:gridCol w:w="1733"/>
        <w:gridCol w:w="1525"/>
        <w:gridCol w:w="1527"/>
        <w:gridCol w:w="255"/>
        <w:gridCol w:w="256"/>
        <w:gridCol w:w="294"/>
        <w:gridCol w:w="118"/>
        <w:gridCol w:w="118"/>
        <w:gridCol w:w="118"/>
        <w:gridCol w:w="255"/>
        <w:gridCol w:w="256"/>
        <w:gridCol w:w="294"/>
        <w:gridCol w:w="118"/>
        <w:gridCol w:w="118"/>
        <w:gridCol w:w="118"/>
        <w:gridCol w:w="255"/>
        <w:gridCol w:w="256"/>
        <w:gridCol w:w="343"/>
      </w:tblGrid>
      <w:tr>
        <w:trPr/>
        <w:tc>
          <w:tcPr>
            <w:tcW w:w="173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Customers</w:t>
            </w:r>
            <w:r>
              <w:rPr>
                <w:rFonts w:ascii="Times New Roman;serif" w:hAnsi="Times New Roman;serif"/>
                <w:b w:val="false"/>
                <w:color w:val="000000"/>
                <w:sz w:val="13"/>
              </w:rPr>
              <w:t>(1)</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BioRidge Pharma, LLC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Cencora (formerly AmerisourceBergen Drug Corporation)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partners</w:t>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total of the above percentages exceeds 100% as the numerators used in the calculations represent gross product sales for each Customer, as opposed to product sales, net as presented on our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COLLABORATION AND LICENSING AGREEMENTS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out-licensed to external partners for the development and commercialization of tenapanor outside of the U.S. We recognize revenue from our agreements with Kyowa Kirin, Fosun Pharma and Knight as licensing revenue, product supply revenue or non-cash royalty revenue related to the sale of future royalties. Refer to </w:t>
      </w:r>
      <w:r>
        <w:rPr>
          <w:rFonts w:ascii="Times New Roman;serif" w:hAnsi="Times New Roman;serif"/>
          <w:b w:val="false"/>
          <w:i/>
          <w:color w:val="000000"/>
          <w:sz w:val="20"/>
        </w:rPr>
        <w:t xml:space="preserve">Note 2. Summary of Significant Accounting Policies </w:t>
      </w:r>
      <w:r>
        <w:rPr>
          <w:rFonts w:ascii="Times New Roman;serif" w:hAnsi="Times New Roman;serif"/>
          <w:b w:val="false"/>
          <w:color w:val="000000"/>
          <w:sz w:val="20"/>
        </w:rPr>
        <w:t>for more information about our significant accounting policies for such revenue streams.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revenues by collaboration partner:</w:t>
      </w:r>
    </w:p>
    <w:tbl>
      <w:tblPr>
        <w:tblW w:w="8981" w:type="dxa"/>
        <w:jc w:val="center"/>
        <w:tblInd w:w="0" w:type="dxa"/>
        <w:tblLayout w:type="fixed"/>
        <w:tblCellMar>
          <w:top w:w="28" w:type="dxa"/>
          <w:left w:w="28" w:type="dxa"/>
          <w:bottom w:w="28" w:type="dxa"/>
          <w:right w:w="28" w:type="dxa"/>
        </w:tblCellMar>
      </w:tblPr>
      <w:tblGrid>
        <w:gridCol w:w="1867"/>
        <w:gridCol w:w="1645"/>
        <w:gridCol w:w="1647"/>
        <w:gridCol w:w="211"/>
        <w:gridCol w:w="721"/>
        <w:gridCol w:w="109"/>
        <w:gridCol w:w="109"/>
        <w:gridCol w:w="109"/>
        <w:gridCol w:w="109"/>
        <w:gridCol w:w="211"/>
        <w:gridCol w:w="721"/>
        <w:gridCol w:w="109"/>
        <w:gridCol w:w="109"/>
        <w:gridCol w:w="109"/>
        <w:gridCol w:w="109"/>
        <w:gridCol w:w="211"/>
        <w:gridCol w:w="721"/>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METiS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Knight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Knight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supply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current and non-current deferred revenue balances, which are primarily attributable to Kyowa Kirin:</w:t>
      </w:r>
    </w:p>
    <w:tbl>
      <w:tblPr>
        <w:tblW w:w="10205" w:type="dxa"/>
        <w:jc w:val="center"/>
        <w:tblInd w:w="0" w:type="dxa"/>
        <w:tblLayout w:type="fixed"/>
        <w:tblCellMar>
          <w:top w:w="28" w:type="dxa"/>
          <w:left w:w="28" w:type="dxa"/>
          <w:bottom w:w="28" w:type="dxa"/>
          <w:right w:w="28" w:type="dxa"/>
        </w:tblCellMar>
      </w:tblPr>
      <w:tblGrid>
        <w:gridCol w:w="1676"/>
        <w:gridCol w:w="1467"/>
        <w:gridCol w:w="1470"/>
        <w:gridCol w:w="384"/>
        <w:gridCol w:w="337"/>
        <w:gridCol w:w="339"/>
        <w:gridCol w:w="109"/>
        <w:gridCol w:w="109"/>
        <w:gridCol w:w="109"/>
        <w:gridCol w:w="583"/>
        <w:gridCol w:w="337"/>
        <w:gridCol w:w="339"/>
        <w:gridCol w:w="109"/>
        <w:gridCol w:w="109"/>
        <w:gridCol w:w="109"/>
        <w:gridCol w:w="384"/>
        <w:gridCol w:w="336"/>
        <w:gridCol w:w="340"/>
        <w:gridCol w:w="109"/>
        <w:gridCol w:w="109"/>
        <w:gridCol w:w="109"/>
        <w:gridCol w:w="547"/>
        <w:gridCol w:w="283"/>
        <w:gridCol w:w="402"/>
      </w:tblGrid>
      <w:tr>
        <w:trPr/>
        <w:tc>
          <w:tcPr>
            <w:tcW w:w="167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w:t>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twelve months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December 31,</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Kyowa Kirin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Kyowa Kirin an exclusive license (Kyowa Kirin Agreement) to develop and commercialize certain NHE3 inhibitors including tenapanor in Japan for the treatment of cardiorenal diseases and conditions, excluding cancer, in exchange for (i) future royalties defined below; (ii) an upfront license fee of $30.0 million, recognized upon execution of the agreement; (iii) potential future development and regulatory milestones of up to $55.0 million, of which $35.0 million has been recognized as revenue to date; and (iv) commercialization milestones of up to ¥8.5 billion (or approximately $54.5 million at the currency exchange rate as of December 31, 2025), of which $3.4 million has been recognized as revenue to date. In addition, we are eligible to receive royalties on net sales of tenapanor in Japan throughout the term of the agreement. Under a Commercial Supply Agreement, we supply tenapanor drug substance that will be used to satisfy Kyowa Kirin’s commercial needs which includes advanced payments for reimbursement of costs plus a reasonable overhead for the supply of product.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Kyowa Kirin Agreement was amended to reduce the royalty rate Kyowa Kirin would pay on tenapanor sales in Japan from high teens to low double digits for a two-year period of time following the first commercial sale in Japan, and then to mid-single digits for the remainder of the royalty term. As consideration for the reduced royalty rate, Kyowa Kirin agreed to pay us up to an additional $40.0 million payable in two tranches: (i) the first payment due following Kyowa Kirin’s filing with the Japanese MHLW of its application for marketing approval for tenapanor, recognized as revenue in 2022; and (ii) the second payment due following Kyowa Kirin’s receipt of regulatory approval to market tenapanor for hyperphosphatemia in Japan, recognized as revenue in 2023. As discussed in </w:t>
      </w:r>
      <w:r>
        <w:rPr>
          <w:rFonts w:ascii="Times New Roman;serif" w:hAnsi="Times New Roman;serif"/>
          <w:b w:val="false"/>
          <w:i/>
          <w:color w:val="000000"/>
          <w:sz w:val="20"/>
        </w:rPr>
        <w:t>Note 8. Deferred Royalty Obligation Related to the Sale of Future Royalties</w:t>
      </w:r>
      <w:r>
        <w:rPr>
          <w:rFonts w:ascii="Times New Roman;serif" w:hAnsi="Times New Roman;serif"/>
          <w:b w:val="false"/>
          <w:color w:val="000000"/>
          <w:sz w:val="20"/>
        </w:rPr>
        <w:t>, future royalties and commercialization milestone payments we may receive under the license, as amended, will be remitted to HCR pursuant to the HCR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In February 2024, Kyowa Kirin announced the launch of tenapanor, marketed as PHOZEVEL</w:t>
      </w:r>
      <w:r>
        <w:rPr>
          <w:rFonts w:ascii="Times New Roman;serif" w:hAnsi="Times New Roman;serif"/>
          <w:b w:val="false"/>
          <w:color w:val="000000"/>
          <w:sz w:val="13"/>
        </w:rPr>
        <w:t>®</w:t>
      </w:r>
      <w:r>
        <w:rPr>
          <w:rFonts w:ascii="Times New Roman;serif" w:hAnsi="Times New Roman;serif"/>
          <w:b w:val="false"/>
          <w:color w:val="000000"/>
          <w:sz w:val="20"/>
        </w:rPr>
        <w:t>, for patients with CKD with hyperphosphatemia in Japan. Following the launch, we began to recognize earned royalties and commercialization milestones from sales of tenapanor in Japan, which are remitted to HCR in accordance with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first commercialization milestone was achieved in the 2025 third quarter, triggering a ¥500.0 million payment to us, or approximately $3.4 million at the currency exchange rate as of September 30, 2025. This milestone was recorded as non-cash royalty revenue related to the sale of future royalties on our statements of operations and comprehensive loss and was remitted to HCR upon receipt.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Fosun Pharma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Fosun Pharma (Fosun Agreement) for the development, commercialization and distribution of tenapanor in China for both hyperphosphatemia and IBS-C. The Fosun Agreement granted exclusive license rights to Fosun Pharma in exchange for (i) an upfront license fee of $12.0 million, recognized upon execution of the agreement; and (ii) potential future development and commercialization milestones of up to $113.0 million, of which $13.0 million has been recognized as revenue to date. In addition, we are eligible to receive reimbursement of cost plus a reasonable overhead for the supply of product and tiered royalties on net sales ranging from the mid-teens to 20%.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NDA approval by China’s Center for Drug Evaluation of the NMPA for tenapanor in the control of serum phosphorus in adult patients with CKD on hemodialysis. This approval triggered a $5.0 million milestone to us, which was recorded as licensing revenue on our statements of operations and comprehensive loss when earned during the 2025 first quarter and was received in April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Knight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Knight (Knight Agreement) for the development, commercialization and distribution of tenapanor in Canada for hyperphosphatemia and IBS-C. The Knight Agreement granted exclusive license rights to Knight in exchange for (i) an upfront license fee of $2.3 million, recognized upon execution of the agreement; and (ii) potential future development and commercialization milestones of up to CAD 22.2 million (or approximately $16.2 million at the currency exchange rate as of December 31, 2025), of which $0.7 million has been recognized as revenue to date. In addition, we are eligible to receive royalties ranging from the mid-single digits to the low twenties throughout the term of the agreement and a transfer price for manufacturing supply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METiS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exclusive license agreement with METiS Therapeutics Inc., (METiS Agreement) for the development and commercialization of a portfolio of TGR5 agonist compounds that we discovered and developed for all therapeutic areas in exchange for (i) an upfront license fee of $0.8 million, recognized upon execution of the agreement in 2023; and (ii) potential future development and commercialization milestones of up to $243.0 million. In addition, we are also eligible to receive royalties ranging within the mid-single digits throughout the term of the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AstraZeneca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had a termination agreement with AstraZeneca (AstraZeneca Termination Agreement), pursuant to which we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Royalty expense recognized under this agreement as cost of sales on our statements of operations and comprehensive loss was $12.7 million, $34.7 million and $12.4 million in 2025, 2024 and 2023, respectively. As of the end of the 2025 second quarter, we had fully recognized the maximum $75.0 million royalty obligation, which had been fully remitted as of the end of the 2025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DEFERRED ROYALTY OBLIGATION RELATED TO THE SALE OF FUTURE ROYALTIES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and HCR have an agreement in which HCR agreed to pay up to $20.0 million in exchange for future royalties and commercialization milestone payments that we may receive under our Kyowa Kirin Agreement, as discussed further in </w:t>
      </w:r>
      <w:r>
        <w:rPr>
          <w:rFonts w:ascii="Times New Roman;serif" w:hAnsi="Times New Roman;serif"/>
          <w:b w:val="false"/>
          <w:i/>
          <w:color w:val="000000"/>
          <w:sz w:val="20"/>
        </w:rPr>
        <w:t>Note 7. Collaboration and Licensing Agreements</w:t>
      </w:r>
      <w:r>
        <w:rPr>
          <w:rFonts w:ascii="Times New Roman;serif" w:hAnsi="Times New Roman;serif"/>
          <w:b w:val="false"/>
          <w:color w:val="000000"/>
          <w:sz w:val="20"/>
        </w:rPr>
        <w:t>. The $20.0 million was payable as follows: (i) $10.0 million upfront upon agreement execution, received in June 2022; (ii) $5.0 million upon Kyowa Kirin’s receipt of regulatory approval to market tenapanor for hyperphosphatemia in Japan, received in October 2023; and (iii) $5.0 million in the event net sales of tenapanor in Japan by Kyowa Kirin exceeded a defined annual target level by the end of 2025, which was not achieved as of December 31, 2025. The HCR Agreement is effective until terminated by the mutual agreement of the parties and contains customary representations and warranties and customary affirmative and negative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received from HCR are recorded as a deferred royalty obligation on our balance sheets. Due to our ongoing manufacturing obligations under the Kyowa Kirin Agreement, we account for the proceeds as imputed debt and therefore recognize royalties and commercialization milestones earned under the Kyowa Kirin Agreement as non-cash royalty revenue. Non-cash interest expense is recorded at the imputed interest rate derived from estimated amounts and timing of future royalties and commercialization milestone payments expected to be received by HCR. In conjunction with the HCR Agreement, we incurred approximately $0.4 million in transaction costs, which, along with the deferred royalty obligation, are being amortized as non-cash interest expense over the estimated life of the HCR Agreement using the effective interest method. The deferred royalty obligation will be effectively repaid over the life of the HCR Agreement as we remit to HCR royalties and commercialization milestones paid to us by Kyowa Kirin. We periodically assess the estimated amounts and timing of future royalties and commercialization milestone payments from Kyowa Kirin and, to the extent that the amount or timing of such payments is materially different than our original estimates, we prospectively adjust the imputed interest rate and the related amortization of the deferred royalty obligation.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related to the HCR Agreement is as follows:</w:t>
      </w:r>
    </w:p>
    <w:tbl>
      <w:tblPr>
        <w:tblW w:w="9408" w:type="dxa"/>
        <w:jc w:val="center"/>
        <w:tblInd w:w="0" w:type="dxa"/>
        <w:tblLayout w:type="fixed"/>
        <w:tblCellMar>
          <w:top w:w="28" w:type="dxa"/>
          <w:left w:w="28" w:type="dxa"/>
          <w:bottom w:w="28" w:type="dxa"/>
          <w:right w:w="28" w:type="dxa"/>
        </w:tblCellMar>
      </w:tblPr>
      <w:tblGrid>
        <w:gridCol w:w="1879"/>
        <w:gridCol w:w="1652"/>
        <w:gridCol w:w="1659"/>
        <w:gridCol w:w="211"/>
        <w:gridCol w:w="691"/>
        <w:gridCol w:w="271"/>
        <w:gridCol w:w="109"/>
        <w:gridCol w:w="109"/>
        <w:gridCol w:w="109"/>
        <w:gridCol w:w="211"/>
        <w:gridCol w:w="691"/>
        <w:gridCol w:w="271"/>
        <w:gridCol w:w="109"/>
        <w:gridCol w:w="109"/>
        <w:gridCol w:w="109"/>
        <w:gridCol w:w="211"/>
        <w:gridCol w:w="691"/>
        <w:gridCol w:w="316"/>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551" w:type="dxa"/>
        <w:jc w:val="center"/>
        <w:tblInd w:w="0" w:type="dxa"/>
        <w:tblLayout w:type="fixed"/>
        <w:tblCellMar>
          <w:top w:w="28" w:type="dxa"/>
          <w:left w:w="28" w:type="dxa"/>
          <w:bottom w:w="28" w:type="dxa"/>
          <w:right w:w="28" w:type="dxa"/>
        </w:tblCellMar>
      </w:tblPr>
      <w:tblGrid>
        <w:gridCol w:w="2074"/>
        <w:gridCol w:w="1825"/>
        <w:gridCol w:w="1830"/>
        <w:gridCol w:w="211"/>
        <w:gridCol w:w="721"/>
        <w:gridCol w:w="109"/>
        <w:gridCol w:w="109"/>
        <w:gridCol w:w="109"/>
        <w:gridCol w:w="109"/>
        <w:gridCol w:w="211"/>
        <w:gridCol w:w="721"/>
        <w:gridCol w:w="109"/>
        <w:gridCol w:w="109"/>
        <w:gridCol w:w="109"/>
        <w:gridCol w:w="109"/>
        <w:gridCol w:w="211"/>
        <w:gridCol w:w="721"/>
        <w:gridCol w:w="154"/>
      </w:tblGrid>
      <w:tr>
        <w:trPr/>
        <w:tc>
          <w:tcPr>
            <w:tcW w:w="207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HCR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commercialization milestone payments remitted to HCR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BORROWING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borrowing was as follows:</w:t>
      </w:r>
    </w:p>
    <w:tbl>
      <w:tblPr>
        <w:tblW w:w="10100" w:type="dxa"/>
        <w:jc w:val="center"/>
        <w:tblInd w:w="0" w:type="dxa"/>
        <w:tblLayout w:type="fixed"/>
        <w:tblCellMar>
          <w:top w:w="28" w:type="dxa"/>
          <w:left w:w="28" w:type="dxa"/>
          <w:bottom w:w="28" w:type="dxa"/>
          <w:right w:w="28" w:type="dxa"/>
        </w:tblCellMar>
      </w:tblPr>
      <w:tblGrid>
        <w:gridCol w:w="1222"/>
        <w:gridCol w:w="1072"/>
        <w:gridCol w:w="1081"/>
        <w:gridCol w:w="196"/>
        <w:gridCol w:w="736"/>
        <w:gridCol w:w="109"/>
        <w:gridCol w:w="109"/>
        <w:gridCol w:w="109"/>
        <w:gridCol w:w="109"/>
        <w:gridCol w:w="196"/>
        <w:gridCol w:w="736"/>
        <w:gridCol w:w="109"/>
        <w:gridCol w:w="109"/>
        <w:gridCol w:w="109"/>
        <w:gridCol w:w="109"/>
        <w:gridCol w:w="1169"/>
        <w:gridCol w:w="1169"/>
        <w:gridCol w:w="1651"/>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 Loan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B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C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+ 0.022% + SOFR (subject to a floor of 4.7%)</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D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E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principal value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Accreted value of final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loan and security agreement (as amended, 2022 Loan Agreement) with SLR, as collateral agent, and the lenders listed in the 2022 Loan Agreement (collectively, the 2022 Lenders).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we entered into an amendment to our 2022 Loan Agreement (the Fifth Amendment), by and between us and the 2022 Lenders. The Fifth Amendment, among other things, (i) provided for the immediate draw of the principal amount of $50.0 million (the Term E Loan and together with the Term A, B, C and D Loans, the Five Loans) on the closing date of the Fifth Amendment; and (ii) provides us with the option to draw an additional $100.0 million of committed senior secured term loans, consisting of two separate term loans, each in a principal amount of $50.0 million: (a) the first of which is available at our election through June 30, 2026 (the Term F Loan) and (b) the second of which is available at our election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December 20, 2026 (the Term G Loan and, together with the Term F Loan, the Incremental Term Loans). We concluded that the Fifth Amendment was a modification to the 2022 Loan Agreement and is accounted for accordingly.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for each of the Incremental Term Loans, if drawn, will be 4.95% plus the 1-month CME Term SOFR reference rate as published by the CME Term SOFR Administrator on the CME Term SOFR Administrator’s Website, subject to a SOFR floor of 3.50%.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Fifth Amendment, the maturity date for the Term E Loan (and the other outstanding term loans) remains July 1, 2028. We are permitted to make interest-only payments on the Term E Loan (and the other outstanding term loans) through July 1, 2028. The maturity date for each of the Incremental Term Loans will be July 1, 2030. We will be permitted to make interest-only payments on the Incremental Term Loans from the date each of the Incremental Term Loans is drawn through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paid fees of $0.2 million, $0.1 million, $0.3 million, $0.3 million and $0.3 million on each funding date of the Term A, Term B, Term C, Term D and Term E Loans, respectively. In addition, we paid a facility fee of $1.0 million with respect to the Incremental Term Loans on the closing date of the Fifth Amendment.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obligated to pay a final fee equal to 4.95% of the aggregate original principal amount of the Five Loans, upon the earliest to occur of July 1, 2028, the acceleration of the Five Loans, and the prepayment, refinancing, substitution, or replacement of the Five Loans. We will be obligated to pay a final fee equal to 3.45% of the aggregate original principal amount of the Incremental Term Loans, to the extent such loans are funded, upon the earliest of any final termination, acceleration, prepayment or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voluntarily prepay all amounts outstanding under the Five Loans, subject to a prepayment premium of one percent of the outstanding principal amount of the Five Loans if prepaid prior to July 1, 2028. We may voluntarily prepay all amounts outstanding under the Incremental Term Loans, if drawn, subject to a prepayment premium of two percent of the outstanding principal amount of the Incremental Term Loans if prepaid prior to June 30, 2026 and one percent of the outstanding principal amount of the Incremental Term Loans if prepaid after June 30, 2026 and prior to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Loan Agreement contains certain covenants, including a single financial covenant that the sum of our net product revenue, calculated on a trailing six-month basis, plus unrestricted cash and cash equivalents that are subject to a first-priority perfected lien in favor of SLR, shall be greater than or equal to 100% of the principal amount outstanding under the 2022 Loan Agreement. In addition, the 2022 Loan Agreement contains subjective acceleration clauses to accelerate the maturity of outstanding principal amount in the event that a material adverse change has occurred within the business, operations or financial condition of the Company. As of December 31, 2025, we believe that the likelihood of the acceleration of the maturity due to subjective acceleration clauses is remote.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unaccreted final fee was $5.9 million and $5.4 million as of December 31,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total future payment obligation related to the outstanding balance of the term loans, excluding interest payments, was $209.9 million, which is due on July 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DERIVATIVE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2018 Exit Fee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2023, we received approval from the FDA for XPHOZAH to reduce serum phosphorus in adults with CKD on dialysis as add-on therapy in patients who have an inadequate response to phosphate binders or who are intolerant of any dose of phosphate binder therapy. In connection with a previous loan agreement (2018 Loan Agreement), we became obligated to pay an exit fee of $1.5 million, which was paid in October 2023.</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Exit Fee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Loan Agreement obligated us to pay an exit fee in the amount of two percent of the Original Loans funded upon (i) any change of control transaction or (ii) our achievement of net revenue from the sale of any products equal to or greater than $100.0 million, measured on a six-month basis (Revenue Milestone), tested monthly at the end of each month. The Revenue Milestone was achieved in the 2024 second quarter, resulting in a $1.0 million payment that was settled in October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pPr>
      <w:r>
        <w:rPr>
          <w:rFonts w:ascii="Times New Roman;serif" w:hAnsi="Times New Roman;serif"/>
          <w:b/>
          <w:color w:val="000000"/>
          <w:sz w:val="20"/>
        </w:rPr>
        <w:t>NOTE 11.</w:t>
      </w:r>
      <w:r>
        <w:rPr>
          <w:color w:val="000000"/>
        </w:rPr>
        <w:t xml:space="preserve"> </w:t>
      </w:r>
      <w:r>
        <w:rPr>
          <w:rFonts w:ascii="Times New Roman;serif" w:hAnsi="Times New Roman;serif"/>
          <w:b/>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lease obligation is comprised of operating leases for our offices with remaining lease terms ranging from approximately two years to four years and each containing customary rent escalation clauses. Each of our leases contains one renewal, at our option, for a five-year period. We have not included these renewal periods in the calculation of the right-of-use assets and lease liabilities since it is uncertain whether we will exercise the renewal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of our facility leases presented in our balance sheets:</w:t>
      </w:r>
    </w:p>
    <w:tbl>
      <w:tblPr>
        <w:tblW w:w="6468" w:type="dxa"/>
        <w:jc w:val="center"/>
        <w:tblInd w:w="0" w:type="dxa"/>
        <w:tblLayout w:type="fixed"/>
        <w:tblCellMar>
          <w:top w:w="28" w:type="dxa"/>
          <w:left w:w="28" w:type="dxa"/>
          <w:bottom w:w="28" w:type="dxa"/>
          <w:right w:w="28" w:type="dxa"/>
        </w:tblCellMar>
      </w:tblPr>
      <w:tblGrid>
        <w:gridCol w:w="1412"/>
        <w:gridCol w:w="1242"/>
        <w:gridCol w:w="1246"/>
        <w:gridCol w:w="211"/>
        <w:gridCol w:w="616"/>
        <w:gridCol w:w="271"/>
        <w:gridCol w:w="109"/>
        <w:gridCol w:w="109"/>
        <w:gridCol w:w="109"/>
        <w:gridCol w:w="211"/>
        <w:gridCol w:w="616"/>
        <w:gridCol w:w="316"/>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Facilities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lease costs, which are included in our statements of operations and comprehensive loss, and the supplemental cash flow information related to the leases were as follows:</w:t>
      </w:r>
    </w:p>
    <w:tbl>
      <w:tblPr>
        <w:tblW w:w="6056" w:type="dxa"/>
        <w:jc w:val="center"/>
        <w:tblInd w:w="0" w:type="dxa"/>
        <w:tblLayout w:type="fixed"/>
        <w:tblCellMar>
          <w:top w:w="28" w:type="dxa"/>
          <w:left w:w="28" w:type="dxa"/>
          <w:bottom w:w="28" w:type="dxa"/>
          <w:right w:w="28" w:type="dxa"/>
        </w:tblCellMar>
      </w:tblPr>
      <w:tblGrid>
        <w:gridCol w:w="923"/>
        <w:gridCol w:w="812"/>
        <w:gridCol w:w="814"/>
        <w:gridCol w:w="211"/>
        <w:gridCol w:w="616"/>
        <w:gridCol w:w="109"/>
        <w:gridCol w:w="109"/>
        <w:gridCol w:w="109"/>
        <w:gridCol w:w="109"/>
        <w:gridCol w:w="211"/>
        <w:gridCol w:w="616"/>
        <w:gridCol w:w="109"/>
        <w:gridCol w:w="109"/>
        <w:gridCol w:w="109"/>
        <w:gridCol w:w="109"/>
        <w:gridCol w:w="211"/>
        <w:gridCol w:w="61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undiscounted cash payment obligations for our operating lease liabilities as of December 31, 2025:</w:t>
      </w:r>
    </w:p>
    <w:tbl>
      <w:tblPr>
        <w:tblW w:w="5669" w:type="dxa"/>
        <w:jc w:val="center"/>
        <w:tblInd w:w="0" w:type="dxa"/>
        <w:tblLayout w:type="fixed"/>
        <w:tblCellMar>
          <w:top w:w="28" w:type="dxa"/>
          <w:left w:w="28" w:type="dxa"/>
          <w:bottom w:w="28" w:type="dxa"/>
          <w:right w:w="28" w:type="dxa"/>
        </w:tblCellMar>
      </w:tblPr>
      <w:tblGrid>
        <w:gridCol w:w="1460"/>
        <w:gridCol w:w="1286"/>
        <w:gridCol w:w="1289"/>
        <w:gridCol w:w="350"/>
        <w:gridCol w:w="1027"/>
        <w:gridCol w:w="257"/>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 expenses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liability</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2023, we entered into the 2023 Open Market Sales Agreement with Jefferies with respect to an “at-the-market offering” program, which was established under the Company’s shelf registration statement on Form S-3 and expired in January 2026. Under the 2023 Open Market Sales Agreement, we sold a total of 16.8 million shares of our common stock and received gross proceeds of $70.0 million at a weighted average sales price of approximately $4.17. During the year ended December 31, 2025, we did not sell any shares under the 2023 Open Market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sales price for shares of our common stock sold under the 2025 Open Market Sales Agreement. As of December 31, 2025, there have been no sales of our common stock under the 2025 Open Market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EQUITY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2014 Plan</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2014 Equity Incentive Plan (2014 Plan), effective on June 18, 2014, provided for the stock-based compensation awards, including stock options, stock appreciation rights, restricted stock, service-based RSUs, performance-based RSUs, deferred stock, deferred stock units, dividend equivalents, stock payments and performance awards.</w:t>
      </w:r>
      <w:r>
        <w:rPr>
          <w:color w:val="EE2724"/>
        </w:rPr>
        <w:t xml:space="preserve"> </w:t>
      </w:r>
      <w:r>
        <w:rPr>
          <w:rFonts w:ascii="Times New Roman;serif" w:hAnsi="Times New Roman;serif"/>
          <w:b w:val="false"/>
          <w:color w:val="000000"/>
          <w:sz w:val="20"/>
        </w:rPr>
        <w:t>The 2014 Plan initially reserved 1.5 million shares, including the 35 thousand shares remaining for future awards under a previous equity incentive plan (2008 Plan), with up to 1.2 million additional shares which could be added from forfeited or lapsed awards from the 2008 Plan. The 2014 Plan allowed for an annual increase in the number of shares available for issuance on the first day of each year through 2024, equal to the lesser of four percent of our outstanding common stock on the last day of the immediately preceding year or a smaller amount determined by the board of directors (2014 Plan evergreen provision).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stockholders approved the Amended and Restated 2014 Equity Incentive Award Plan (2014 A&amp;R Plan). The key provisions pursuant to the 2014 A&amp;R Plan included (i) an addition of 19.0 million shares to the total existing share reserve; (ii) the removal of the 2014 Plan evergreen provision such that any increase to the total number of shares that may be issued must be approved by our stockholders; and (iii) an increase for the limit of shares that may be issued upon exercise of incentive stock options from 10.7 million to 58.5 million shares. In addition to increases resulting from repurchases, forfeitures, expirations and cancellations of awards under the 2008 Plan, shares reserved for issuance under the 2014 A&amp;R Plan will be increased by the number of shares subject to awards granted under the Inducement Plan, as discussed below, that are repurchased, forfeited, expire or are cancelled on or after June 14, 2024. As a result, no new awards would be made under the Inducement Plan following June 14,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18, 2025, stockholders approved the Equity Plan Amendment to the 2014 A&amp;R Plan to (i) increase the number of shares reserved for issuance under the 2014 A&amp;R Plan by 10.0 million shares; and (ii) increase the limit of shares that may be issued upon exercise of incentive stock options from 58.5 million to 68.5 million shares. As of December 31, 2025, approximately 16.9 million shares of our common stock were available for future issuance under the 2014 A&amp;R Plan, as amended.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2016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2016, our board of directors approved the 2016 Employment Commencement Incentive Plan (Inducement Plan) under which 1.0 million shares were reserved. In January 2021, January 2022, December 2022 and January 2024, 0.5 million, 2.0 million, 3.0 million and 5.8 million shares, respectively, were added to the Inducement Plan. As of December 31, 2025, 9.0 million shares of our common stock were subject to inducement grants that were issued pursuant to the Inducement Plan. As of December 31, 2025, no additional shares of our common stock were available for future issuance under the 2016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and related information for the year ended December 31, 2025 is as follows:</w:t>
      </w:r>
    </w:p>
    <w:tbl>
      <w:tblPr>
        <w:tblW w:w="10205" w:type="dxa"/>
        <w:jc w:val="center"/>
        <w:tblInd w:w="0" w:type="dxa"/>
        <w:tblLayout w:type="fixed"/>
        <w:tblCellMar>
          <w:top w:w="28" w:type="dxa"/>
          <w:left w:w="28" w:type="dxa"/>
          <w:bottom w:w="28" w:type="dxa"/>
          <w:right w:w="28" w:type="dxa"/>
        </w:tblCellMar>
      </w:tblPr>
      <w:tblGrid>
        <w:gridCol w:w="778"/>
        <w:gridCol w:w="596"/>
        <w:gridCol w:w="600"/>
        <w:gridCol w:w="505"/>
        <w:gridCol w:w="505"/>
        <w:gridCol w:w="506"/>
        <w:gridCol w:w="109"/>
        <w:gridCol w:w="109"/>
        <w:gridCol w:w="109"/>
        <w:gridCol w:w="517"/>
        <w:gridCol w:w="1255"/>
        <w:gridCol w:w="269"/>
        <w:gridCol w:w="109"/>
        <w:gridCol w:w="109"/>
        <w:gridCol w:w="109"/>
        <w:gridCol w:w="719"/>
        <w:gridCol w:w="719"/>
        <w:gridCol w:w="721"/>
        <w:gridCol w:w="109"/>
        <w:gridCol w:w="109"/>
        <w:gridCol w:w="109"/>
        <w:gridCol w:w="296"/>
        <w:gridCol w:w="1015"/>
        <w:gridCol w:w="223"/>
      </w:tblGrid>
      <w:tr>
        <w:trPr/>
        <w:tc>
          <w:tcPr>
            <w:tcW w:w="7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Weighted-Average Remaining Contractual Term</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br/>
              <w:t>(in thousands)</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or canceled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December 31, 2025</w:t>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0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18,133 </w:t>
            </w:r>
          </w:p>
        </w:tc>
        <w:tc>
          <w:tcPr>
            <w:tcW w:w="5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represents the difference between the total pre-tax value (i.e., the difference between our stock price and the exercise price) of stock options outstanding as of December 31, 2025, based on our common stock closing price of $5.83 per share, which would have been received by the option holders if all their in-the-money options had been exercised as of that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intrinsic value of options exercised during the years ended December 31, 2025, 2024 and 2023 was $9.6 million, $19.6 million and $1.1 million, respectively. The total fair value of options vested during the years ended December 31, 2025, 2024 and 2023 was $68.1 million, $61.0 million and $24.9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estimated fair value of options granted during the years ended December 31, 2025, 2024 and 2023 was $3.19, $6.22 and $2.36 per share, respectively. The estimated grant date fair value of employee stock options was calculated using the Black-Scholes option-pricing model, based on the following weighted-average assumptions:</w:t>
      </w:r>
    </w:p>
    <w:tbl>
      <w:tblPr>
        <w:tblW w:w="5361" w:type="dxa"/>
        <w:jc w:val="center"/>
        <w:tblInd w:w="0" w:type="dxa"/>
        <w:tblLayout w:type="fixed"/>
        <w:tblCellMar>
          <w:top w:w="28" w:type="dxa"/>
          <w:left w:w="28" w:type="dxa"/>
          <w:bottom w:w="28" w:type="dxa"/>
          <w:right w:w="28" w:type="dxa"/>
        </w:tblCellMar>
      </w:tblPr>
      <w:tblGrid>
        <w:gridCol w:w="755"/>
        <w:gridCol w:w="663"/>
        <w:gridCol w:w="666"/>
        <w:gridCol w:w="255"/>
        <w:gridCol w:w="256"/>
        <w:gridCol w:w="294"/>
        <w:gridCol w:w="118"/>
        <w:gridCol w:w="118"/>
        <w:gridCol w:w="118"/>
        <w:gridCol w:w="308"/>
        <w:gridCol w:w="308"/>
        <w:gridCol w:w="294"/>
        <w:gridCol w:w="118"/>
        <w:gridCol w:w="118"/>
        <w:gridCol w:w="118"/>
        <w:gridCol w:w="255"/>
        <w:gridCol w:w="256"/>
        <w:gridCol w:w="343"/>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We estimate the expected term of our options based upon historical exercises and post-vesting termination behavior.</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Expected Volatility</w:t>
      </w:r>
      <w:r>
        <w:rPr>
          <w:color w:val="000000"/>
        </w:rPr>
        <w:t>—</w:t>
      </w:r>
      <w:r>
        <w:rPr>
          <w:rFonts w:ascii="Times New Roman;serif" w:hAnsi="Times New Roman;serif"/>
          <w:b w:val="false"/>
          <w:color w:val="000000"/>
          <w:sz w:val="20"/>
        </w:rPr>
        <w:t>We use the historic volatility of our own stock over the retrospective period corresponding to the expected remaining term of the options to compute our expected stock price volatility.</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The risk-free interest rate assumption is based on the zero-coupon U.S. treasury instruments on the date of grant with a maturity date consistent with the expected term of our stock option grants.</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Dividend Yield</w:t>
      </w:r>
      <w:r>
        <w:rPr>
          <w:color w:val="000000"/>
        </w:rPr>
        <w:t>—</w:t>
      </w:r>
      <w:r>
        <w:rPr>
          <w:rFonts w:ascii="Times New Roman;serif" w:hAnsi="Times New Roman;serif"/>
          <w:b w:val="false"/>
          <w:color w:val="000000"/>
          <w:sz w:val="20"/>
        </w:rPr>
        <w:t>To date, we have not declared or paid any cash dividends and do not have any plans to do so in the future. Therefore, we use an expected dividend yield of zero.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our RSUs activity and related information for the year ended December 31, 2025 is as follows: </w:t>
      </w:r>
    </w:p>
    <w:tbl>
      <w:tblPr>
        <w:tblW w:w="10205" w:type="dxa"/>
        <w:jc w:val="center"/>
        <w:tblInd w:w="0" w:type="dxa"/>
        <w:tblLayout w:type="fixed"/>
        <w:tblCellMar>
          <w:top w:w="28" w:type="dxa"/>
          <w:left w:w="28" w:type="dxa"/>
          <w:bottom w:w="28" w:type="dxa"/>
          <w:right w:w="28" w:type="dxa"/>
        </w:tblCellMar>
      </w:tblPr>
      <w:tblGrid>
        <w:gridCol w:w="1747"/>
        <w:gridCol w:w="1531"/>
        <w:gridCol w:w="1541"/>
        <w:gridCol w:w="455"/>
        <w:gridCol w:w="426"/>
        <w:gridCol w:w="427"/>
        <w:gridCol w:w="109"/>
        <w:gridCol w:w="109"/>
        <w:gridCol w:w="109"/>
        <w:gridCol w:w="828"/>
        <w:gridCol w:w="2008"/>
        <w:gridCol w:w="430"/>
        <w:gridCol w:w="109"/>
        <w:gridCol w:w="109"/>
        <w:gridCol w:w="109"/>
        <w:gridCol w:w="158"/>
      </w:tblGrid>
      <w:tr>
        <w:trPr/>
        <w:tc>
          <w:tcPr>
            <w:tcW w:w="174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December 31, 2024</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December 31, 2025</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exercisable (vested and deferred) as of December 31, 2025</w:t>
            </w:r>
          </w:p>
        </w:tc>
        <w:tc>
          <w:tcPr>
            <w:tcW w:w="130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RSUs vested during the years ended December 31, 2025, 2024 and 2023 was $21.7 million, $16.4 million and $3.5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Issuance of Common Stock for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issued approximately 0.1 million, 41 thousand and 0.1 million shares, respectively, of our common stock to members of the board of directors who elected to receive stock in lieu of their cash fees under our Non-Employee Director Compensation Program, as amended. In 2025, our board of directors adopted the Fifth Amended and Restated Non-Employee Director Compensation Program, under which the board may provide each director with the opportunity to defer the settlement of restricted stock units to be granted to a future date. The shares issued during the years ended December 31, 2025, 2024 and 2023 were valued at $0.3 million, $0.3 million and $0.3 million, respectively, based on the fair value of the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2014 ESPP, effective on June 18, 2014, initially reserved approximately 0.2 million shares of our common stock for our eligible employees to purchase shares of our common stock at a discount. If approved by the administrator of the ESPP, on the first day of each calendar year through 2024, the number of shares in the reserve increased by an amount equal to the lesser of (i) one percent of the shares of our common stock outstanding on the last day of the immediately preceding fiscal year; and (ii) such number of shares of our common stock as determined by the board of directors (2014 ESPP evergreen provision); provided, however, no more than 2.2 million shares of our common stock could be issued under the ESPP.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14, 2024, stockholders approved the Amended and Restated 2014 ESPP (A&amp;R ESPP). The key provisions pursuant to the A&amp;R ESPP included (i) an addition of 3.0 million shares to the total existing share reserve; and (ii) the removal of the 2014 ESPP evergreen provision such that no evergreen increases would be made after June 14,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issued approximately 0.4 million, 0.5 million and 0.4 million shares, respectively, at an average share price of $4.46, $4.64 and $1.85, respectively, pursuant to the ESPP. As of December 31, 2025, approximately 3.3 million shares of our common stock were available for future issuance under the A&amp;R ESPP.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weighted-average assumptions for the Black-Scholes option-pricing model used in determining the fair value of ESPP purchase rights granted to our employees:</w:t>
      </w:r>
    </w:p>
    <w:tbl>
      <w:tblPr>
        <w:tblW w:w="5256" w:type="dxa"/>
        <w:jc w:val="center"/>
        <w:tblInd w:w="0" w:type="dxa"/>
        <w:tblLayout w:type="fixed"/>
        <w:tblCellMar>
          <w:top w:w="28" w:type="dxa"/>
          <w:left w:w="28" w:type="dxa"/>
          <w:bottom w:w="28" w:type="dxa"/>
          <w:right w:w="28" w:type="dxa"/>
        </w:tblCellMar>
      </w:tblPr>
      <w:tblGrid>
        <w:gridCol w:w="755"/>
        <w:gridCol w:w="663"/>
        <w:gridCol w:w="666"/>
        <w:gridCol w:w="255"/>
        <w:gridCol w:w="256"/>
        <w:gridCol w:w="294"/>
        <w:gridCol w:w="118"/>
        <w:gridCol w:w="118"/>
        <w:gridCol w:w="118"/>
        <w:gridCol w:w="255"/>
        <w:gridCol w:w="256"/>
        <w:gridCol w:w="294"/>
        <w:gridCol w:w="118"/>
        <w:gridCol w:w="118"/>
        <w:gridCol w:w="118"/>
        <w:gridCol w:w="255"/>
        <w:gridCol w:w="256"/>
        <w:gridCol w:w="343"/>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RSUs and our ESPP included in our statements of operations and comprehensive loss was as follows:</w:t>
      </w:r>
    </w:p>
    <w:tbl>
      <w:tblPr>
        <w:tblW w:w="6777" w:type="dxa"/>
        <w:jc w:val="center"/>
        <w:tblInd w:w="0" w:type="dxa"/>
        <w:tblLayout w:type="fixed"/>
        <w:tblCellMar>
          <w:top w:w="28" w:type="dxa"/>
          <w:left w:w="28" w:type="dxa"/>
          <w:bottom w:w="28" w:type="dxa"/>
          <w:right w:w="28" w:type="dxa"/>
        </w:tblCellMar>
      </w:tblPr>
      <w:tblGrid>
        <w:gridCol w:w="1069"/>
        <w:gridCol w:w="941"/>
        <w:gridCol w:w="945"/>
        <w:gridCol w:w="211"/>
        <w:gridCol w:w="721"/>
        <w:gridCol w:w="109"/>
        <w:gridCol w:w="109"/>
        <w:gridCol w:w="109"/>
        <w:gridCol w:w="109"/>
        <w:gridCol w:w="211"/>
        <w:gridCol w:w="721"/>
        <w:gridCol w:w="109"/>
        <w:gridCol w:w="109"/>
        <w:gridCol w:w="109"/>
        <w:gridCol w:w="109"/>
        <w:gridCol w:w="211"/>
        <w:gridCol w:w="7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total unrecognized stock-based compensation expense, net of estimated forfeitures, as of December 31, 2025 is as follows:</w:t>
      </w:r>
    </w:p>
    <w:tbl>
      <w:tblPr>
        <w:tblW w:w="10205" w:type="dxa"/>
        <w:jc w:val="center"/>
        <w:tblInd w:w="0" w:type="dxa"/>
        <w:tblLayout w:type="fixed"/>
        <w:tblCellMar>
          <w:top w:w="28" w:type="dxa"/>
          <w:left w:w="28" w:type="dxa"/>
          <w:bottom w:w="28" w:type="dxa"/>
          <w:right w:w="28" w:type="dxa"/>
        </w:tblCellMar>
      </w:tblPr>
      <w:tblGrid>
        <w:gridCol w:w="601"/>
        <w:gridCol w:w="528"/>
        <w:gridCol w:w="533"/>
        <w:gridCol w:w="881"/>
        <w:gridCol w:w="3019"/>
        <w:gridCol w:w="462"/>
        <w:gridCol w:w="109"/>
        <w:gridCol w:w="109"/>
        <w:gridCol w:w="109"/>
        <w:gridCol w:w="1125"/>
        <w:gridCol w:w="1125"/>
        <w:gridCol w:w="160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Unrecognized Compensation Expense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Remaining Vesting Period (in years)</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grants</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r>
      <w:tr>
        <w:trPr/>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grants</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5139" w:type="dxa"/>
        <w:jc w:val="center"/>
        <w:tblInd w:w="0" w:type="dxa"/>
        <w:tblLayout w:type="fixed"/>
        <w:tblCellMar>
          <w:top w:w="28" w:type="dxa"/>
          <w:left w:w="28" w:type="dxa"/>
          <w:bottom w:w="28" w:type="dxa"/>
          <w:right w:w="28" w:type="dxa"/>
        </w:tblCellMar>
      </w:tblPr>
      <w:tblGrid>
        <w:gridCol w:w="1048"/>
        <w:gridCol w:w="922"/>
        <w:gridCol w:w="925"/>
        <w:gridCol w:w="211"/>
        <w:gridCol w:w="616"/>
        <w:gridCol w:w="109"/>
        <w:gridCol w:w="109"/>
        <w:gridCol w:w="109"/>
        <w:gridCol w:w="109"/>
        <w:gridCol w:w="211"/>
        <w:gridCol w:w="61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recognized depreciation expense in the amount of $0.8 million, $0.5 million and $0.6 million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ACCRUED EXPENSES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713" w:type="dxa"/>
        <w:jc w:val="center"/>
        <w:tblInd w:w="0" w:type="dxa"/>
        <w:tblLayout w:type="fixed"/>
        <w:tblCellMar>
          <w:top w:w="28" w:type="dxa"/>
          <w:left w:w="28" w:type="dxa"/>
          <w:bottom w:w="28" w:type="dxa"/>
          <w:right w:w="28" w:type="dxa"/>
        </w:tblCellMar>
      </w:tblPr>
      <w:tblGrid>
        <w:gridCol w:w="1542"/>
        <w:gridCol w:w="1357"/>
        <w:gridCol w:w="1360"/>
        <w:gridCol w:w="211"/>
        <w:gridCol w:w="721"/>
        <w:gridCol w:w="109"/>
        <w:gridCol w:w="109"/>
        <w:gridCol w:w="109"/>
        <w:gridCol w:w="109"/>
        <w:gridCol w:w="211"/>
        <w:gridCol w:w="72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gross to net revenue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manufacturing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medical affairs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payments due to AstraZeneca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our provision for income taxes were as follows:</w:t>
      </w:r>
    </w:p>
    <w:tbl>
      <w:tblPr>
        <w:tblW w:w="7437" w:type="dxa"/>
        <w:jc w:val="center"/>
        <w:tblInd w:w="0" w:type="dxa"/>
        <w:tblLayout w:type="fixed"/>
        <w:tblCellMar>
          <w:top w:w="28" w:type="dxa"/>
          <w:left w:w="28" w:type="dxa"/>
          <w:bottom w:w="28" w:type="dxa"/>
          <w:right w:w="28" w:type="dxa"/>
        </w:tblCellMar>
      </w:tblPr>
      <w:tblGrid>
        <w:gridCol w:w="1227"/>
        <w:gridCol w:w="1080"/>
        <w:gridCol w:w="1083"/>
        <w:gridCol w:w="211"/>
        <w:gridCol w:w="796"/>
        <w:gridCol w:w="109"/>
        <w:gridCol w:w="109"/>
        <w:gridCol w:w="109"/>
        <w:gridCol w:w="109"/>
        <w:gridCol w:w="211"/>
        <w:gridCol w:w="796"/>
        <w:gridCol w:w="109"/>
        <w:gridCol w:w="109"/>
        <w:gridCol w:w="109"/>
        <w:gridCol w:w="109"/>
        <w:gridCol w:w="211"/>
        <w:gridCol w:w="79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provision for income taxes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statutory federal income tax rate to our effective tax rate is as follows:</w:t>
      </w:r>
    </w:p>
    <w:tbl>
      <w:tblPr>
        <w:tblW w:w="10205" w:type="dxa"/>
        <w:jc w:val="left"/>
        <w:tblInd w:w="0" w:type="dxa"/>
        <w:tblLayout w:type="fixed"/>
        <w:tblCellMar>
          <w:top w:w="28" w:type="dxa"/>
          <w:left w:w="28" w:type="dxa"/>
          <w:bottom w:w="28" w:type="dxa"/>
          <w:right w:w="28" w:type="dxa"/>
        </w:tblCellMar>
      </w:tblPr>
      <w:tblGrid>
        <w:gridCol w:w="1144"/>
        <w:gridCol w:w="865"/>
        <w:gridCol w:w="869"/>
        <w:gridCol w:w="211"/>
        <w:gridCol w:w="768"/>
        <w:gridCol w:w="109"/>
        <w:gridCol w:w="109"/>
        <w:gridCol w:w="109"/>
        <w:gridCol w:w="109"/>
        <w:gridCol w:w="277"/>
        <w:gridCol w:w="280"/>
        <w:gridCol w:w="271"/>
        <w:gridCol w:w="109"/>
        <w:gridCol w:w="109"/>
        <w:gridCol w:w="109"/>
        <w:gridCol w:w="211"/>
        <w:gridCol w:w="663"/>
        <w:gridCol w:w="109"/>
        <w:gridCol w:w="109"/>
        <w:gridCol w:w="109"/>
        <w:gridCol w:w="109"/>
        <w:gridCol w:w="277"/>
        <w:gridCol w:w="280"/>
        <w:gridCol w:w="271"/>
        <w:gridCol w:w="109"/>
        <w:gridCol w:w="109"/>
        <w:gridCol w:w="109"/>
        <w:gridCol w:w="211"/>
        <w:gridCol w:w="768"/>
        <w:gridCol w:w="109"/>
        <w:gridCol w:w="109"/>
        <w:gridCol w:w="109"/>
        <w:gridCol w:w="109"/>
        <w:gridCol w:w="277"/>
        <w:gridCol w:w="280"/>
        <w:gridCol w:w="320"/>
      </w:tblGrid>
      <w:tr>
        <w:trPr/>
        <w:tc>
          <w:tcPr>
            <w:tcW w:w="114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at the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effect</w:t>
            </w:r>
            <w:r>
              <w:rPr>
                <w:rFonts w:ascii="Times New Roman;serif" w:hAnsi="Times New Roman;serif"/>
                <w:b w:val="false"/>
                <w:color w:val="000000"/>
                <w:sz w:val="13"/>
              </w:rPr>
              <w:t>(1)</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State and local income taxes that made up the majority (greater than 50%) of the tax effect in this category included: Kentucky in 2025 and 2024; and South Carolina and Kentucky in 2023.</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income taxes paid, net of refunds, which are all attributable to state and local:</w:t>
      </w:r>
    </w:p>
    <w:tbl>
      <w:tblPr>
        <w:tblW w:w="4302" w:type="dxa"/>
        <w:jc w:val="left"/>
        <w:tblInd w:w="0" w:type="dxa"/>
        <w:tblLayout w:type="fixed"/>
        <w:tblCellMar>
          <w:top w:w="28" w:type="dxa"/>
          <w:left w:w="28" w:type="dxa"/>
          <w:bottom w:w="28" w:type="dxa"/>
          <w:right w:w="28" w:type="dxa"/>
        </w:tblCellMar>
      </w:tblPr>
      <w:tblGrid>
        <w:gridCol w:w="489"/>
        <w:gridCol w:w="430"/>
        <w:gridCol w:w="431"/>
        <w:gridCol w:w="211"/>
        <w:gridCol w:w="466"/>
        <w:gridCol w:w="109"/>
        <w:gridCol w:w="109"/>
        <w:gridCol w:w="109"/>
        <w:gridCol w:w="109"/>
        <w:gridCol w:w="211"/>
        <w:gridCol w:w="466"/>
        <w:gridCol w:w="109"/>
        <w:gridCol w:w="109"/>
        <w:gridCol w:w="109"/>
        <w:gridCol w:w="109"/>
        <w:gridCol w:w="211"/>
        <w:gridCol w:w="36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*Jurisdiction below the threshold for the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carrying amounts of assets and liabilities and their income tax bases, as well as from net operating loss and tax credit carryforwards. Significant components of our deferred tax assets were as follows:</w:t>
      </w:r>
    </w:p>
    <w:tbl>
      <w:tblPr>
        <w:tblW w:w="6489" w:type="dxa"/>
        <w:jc w:val="center"/>
        <w:tblInd w:w="0" w:type="dxa"/>
        <w:tblLayout w:type="fixed"/>
        <w:tblCellMar>
          <w:top w:w="28" w:type="dxa"/>
          <w:left w:w="28" w:type="dxa"/>
          <w:bottom w:w="28" w:type="dxa"/>
          <w:right w:w="28" w:type="dxa"/>
        </w:tblCellMar>
      </w:tblPr>
      <w:tblGrid>
        <w:gridCol w:w="1384"/>
        <w:gridCol w:w="1219"/>
        <w:gridCol w:w="1222"/>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Realization of deferred tax assets is dependent on future taxable income, if any, the timing and the amount of which are uncertain. We assess the available positive and negative evidence to estimate whether sufficient future taxable income will be generated to permit use of the existing deferred tax assets. A significant component of objective negative evidence evaluated was our cumulative loss incurred over the three-year period ended December 31, 2025. Such objective evidence limits the ability to consider other subjective evidence, such as our projections for future growth. On the basis of this evaluation, as of December 31, 2025, 2024 and 2023, a full valuation allowance has been recorded against our deferred tax assets. The valuation allowance increased by $11.0 million in 2025, primarily attributable to</w:t>
      </w:r>
      <w:r>
        <w:rPr>
          <w:color w:val="EE2724"/>
        </w:rPr>
        <w:t xml:space="preserve"> </w:t>
      </w:r>
      <w:r>
        <w:rPr>
          <w:rFonts w:ascii="Times New Roman;serif" w:hAnsi="Times New Roman;serif"/>
          <w:b w:val="false"/>
          <w:color w:val="000000"/>
          <w:sz w:val="20"/>
        </w:rPr>
        <w:t>net operating loss carryforwards and stock-based compensation. The amount of the deferred tax assets considered realizable could be adjusted if estimates of future taxable income during the carryforward period are reduced or increased, or if objective negative evidence, such as cumulative losses, are no longer present. In such cases, additional weight may be given to subjective evidence, such as our projections for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net operating loss carryforwards for federal income tax purposes of approximately $572.8 million, of which approximately $422.7 million can be carried forward indefinitely and the remaining net operating losses begin to expire in 2030, if not utilized. We had approximately $19.5 million of federal research and development tax credit carryforwards and approximately $2.2 million of foreign tax credit carryforwards that begin to expire in 2027, if not utilized.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had net operating loss carryforwards for California income tax purposes of approximately $101.6 million that begin to expire in 2030, if not utilized, and state research and development tax credit carryforwards of approximately $9.4 million that do not expire. We had approximately $0.1 million of minimum tax credit carryovers for California income tax purposes that do not expire. We had other state net operating losses of approximately $128.6 million that begin to expire in 2031.</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utilization of net operating loss and tax credit carryforwards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our effective tax 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The OBBBA makes permanent many of the expired and expiring tax provisions of the Tax Cuts and Jobs Act and restores certain business provisions, including the immediate expensing of domestic research and development costs. In addition, the OBBBA allows for an accelerated deduction of the unamortized domestic research and development costs capitalized during the 2022 through 2024 tax years. The legislation has multiple effective dates, with certain provisions effective in 2025 and others implemented through 2027. The enactment of the OBBBA did not have a material impact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w:t>
      </w:r>
    </w:p>
    <w:tbl>
      <w:tblPr>
        <w:tblW w:w="8456" w:type="dxa"/>
        <w:jc w:val="center"/>
        <w:tblInd w:w="0" w:type="dxa"/>
        <w:tblLayout w:type="fixed"/>
        <w:tblCellMar>
          <w:top w:w="28" w:type="dxa"/>
          <w:left w:w="28" w:type="dxa"/>
          <w:bottom w:w="28" w:type="dxa"/>
          <w:right w:w="28" w:type="dxa"/>
        </w:tblCellMar>
      </w:tblPr>
      <w:tblGrid>
        <w:gridCol w:w="1678"/>
        <w:gridCol w:w="1476"/>
        <w:gridCol w:w="1480"/>
        <w:gridCol w:w="211"/>
        <w:gridCol w:w="721"/>
        <w:gridCol w:w="109"/>
        <w:gridCol w:w="109"/>
        <w:gridCol w:w="109"/>
        <w:gridCol w:w="109"/>
        <w:gridCol w:w="211"/>
        <w:gridCol w:w="721"/>
        <w:gridCol w:w="109"/>
        <w:gridCol w:w="109"/>
        <w:gridCol w:w="109"/>
        <w:gridCol w:w="109"/>
        <w:gridCol w:w="211"/>
        <w:gridCol w:w="721"/>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Subtractions based on tax positions related to prior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None of our unrecognized tax benefits would impact the effective tax rate if recognized, because the benefit would be offset by an increase in the valuation allowance.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elected to include interest and penalties as a component of tax expense. During the years ended December 31, 2025, 2024 and 2023, we did not recognize accrued interest and penalties related to unrecognized tax benefits.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file a U.S. federal income tax return and income tax returns in various state and local jurisdictions. Due to our net operating loss and tax credit carryforwards, the income tax returns remain open to U.S. federal and state tax examinations. We are not currently under examination in any tax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SEGMENT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a single reportable segment with a mission to develop and commercialize innovative medicines that meet significant unmet medical needs. A centralized research and development organization, supply chain organization and commercial organization are all responsible for the development, manufacturing, supply and sale of our products. Our business is also supported by centralized corporate functions. We currently operate primarily in the U.S. and earn revenues from sales of IBSRELA and XPHOZAH, both branded products derived from tenapanor, a molecule developed from our unique and innovative platform. In addition to commercializing IBSRELA and XPHOZAH, we are also developing a next-generation NHE3 inhibitor that we believe can have application across multiple therapeutic areas. Collaboration and licensing agreements with external partners are utilized for development and commercialization activities outside the U.S. Currently, we maintain such agreements for certain indications of tenapanor in Japan (Kyowa Kirin), China (Fosun Pharma) and Canada (Knight), as discussed further in </w:t>
      </w:r>
      <w:r>
        <w:rPr>
          <w:rFonts w:ascii="Times New Roman;serif" w:hAnsi="Times New Roman;serif"/>
          <w:b w:val="false"/>
          <w:i/>
          <w:color w:val="000000"/>
          <w:sz w:val="20"/>
        </w:rPr>
        <w:t>Note 7. Collaboration and Licensing Agreements</w:t>
      </w:r>
      <w:r>
        <w:rPr>
          <w:rFonts w:ascii="Times New Roman;serif" w:hAnsi="Times New Roman;serif"/>
          <w:b w:val="false"/>
          <w:color w:val="000000"/>
          <w:sz w:val="20"/>
        </w:rPr>
        <w:t>. We recognize other revenues in the form of licensing revenue, product supply revenue or non-cash royalty revenue related to the sale of future royalties under such agreements. Royalties and commercialization milestones earned under the Kyowa Kirin Agreement are subject to a separate agreement where such revenue payments are sold to HCR, as discussed further in</w:t>
      </w:r>
      <w:r>
        <w:rPr>
          <w:color w:val="000000"/>
        </w:rPr>
        <w:t xml:space="preserve"> </w:t>
      </w:r>
      <w:r>
        <w:rPr>
          <w:rFonts w:ascii="Times New Roman;serif" w:hAnsi="Times New Roman;serif"/>
          <w:b w:val="false"/>
          <w:i/>
          <w:color w:val="000000"/>
          <w:sz w:val="20"/>
        </w:rPr>
        <w:t>Note 8. Deferred Royalty Obligation Related to the Sale of Future Royalties</w:t>
      </w:r>
      <w:r>
        <w:rPr>
          <w:rFonts w:ascii="Times New Roman;serif" w:hAnsi="Times New Roman;serif"/>
          <w:b w:val="false"/>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(CEO) is our Chief Operating Decision Maker (CODM), responsible for allocating resources and assessing the Company’s performance using aggregated financial information. Utilizing aggregated financial information enables the CODM to determine the most appropriate resource allocation across the commercial organization, research and development projects or other initiatives consistent with our long-term corporate wide strategic goals. The CODM primarily uses aggregated net loss as reported on the statements of operations and comprehensive loss to measure segment loss, supplemented by certain additional significant expense details reflected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Detailed information regarding our single operating segment’s significant revenues, expenses and operating loss is as follows:</w:t>
      </w:r>
    </w:p>
    <w:tbl>
      <w:tblPr>
        <w:tblW w:w="7061" w:type="dxa"/>
        <w:jc w:val="center"/>
        <w:tblInd w:w="0" w:type="dxa"/>
        <w:tblLayout w:type="fixed"/>
        <w:tblCellMar>
          <w:top w:w="28" w:type="dxa"/>
          <w:left w:w="28" w:type="dxa"/>
          <w:bottom w:w="28" w:type="dxa"/>
          <w:right w:w="28" w:type="dxa"/>
        </w:tblCellMar>
      </w:tblPr>
      <w:tblGrid>
        <w:gridCol w:w="1070"/>
        <w:gridCol w:w="941"/>
        <w:gridCol w:w="943"/>
        <w:gridCol w:w="211"/>
        <w:gridCol w:w="826"/>
        <w:gridCol w:w="109"/>
        <w:gridCol w:w="109"/>
        <w:gridCol w:w="109"/>
        <w:gridCol w:w="109"/>
        <w:gridCol w:w="211"/>
        <w:gridCol w:w="826"/>
        <w:gridCol w:w="109"/>
        <w:gridCol w:w="109"/>
        <w:gridCol w:w="109"/>
        <w:gridCol w:w="109"/>
        <w:gridCol w:w="211"/>
        <w:gridCol w:w="79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 sales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 of revenue</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reconciliation items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i/>
          <w:color w:val="000000"/>
          <w:sz w:val="16"/>
        </w:rPr>
        <w:t>Other revenues</w:t>
      </w:r>
      <w:r>
        <w:rPr>
          <w:color w:val="000000"/>
        </w:rPr>
        <w:t xml:space="preserve"> </w:t>
      </w:r>
      <w:r>
        <w:rPr>
          <w:rFonts w:ascii="Times New Roman;serif" w:hAnsi="Times New Roman;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i/>
          <w:color w:val="000000"/>
          <w:sz w:val="16"/>
        </w:rPr>
        <w:t>Cost of product sales</w:t>
      </w:r>
      <w:r>
        <w:rPr>
          <w:color w:val="000000"/>
        </w:rPr>
        <w:t xml:space="preserve"> </w:t>
      </w:r>
      <w:r>
        <w:rPr>
          <w:rFonts w:ascii="Times New Roman;serif" w:hAnsi="Times New Roman;serif"/>
          <w:b w:val="false"/>
          <w:color w:val="000000"/>
          <w:sz w:val="16"/>
        </w:rPr>
        <w:t>includes the cost of commercial goods sold to our Customers, such as the cost of materials, third-party contract manufacturing, third-party packaging services, freight, labor costs for personnel involved in the manufacturing process and indirect overhead costs.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i/>
          <w:color w:val="000000"/>
          <w:sz w:val="16"/>
        </w:rPr>
        <w:t xml:space="preserve">Other cost of revenue </w:t>
      </w:r>
      <w:r>
        <w:rPr>
          <w:rFonts w:ascii="Times New Roman;serif" w:hAnsi="Times New Roman;serif"/>
          <w:b w:val="false"/>
          <w:color w:val="000000"/>
          <w:sz w:val="16"/>
        </w:rPr>
        <w:t>includes the cost of materials sold to our collaboration partners under product supply agreements, certain costs related to capacity expansion at current and future CMOs and payments due to AstraZeneca. As of the end of the 2025 second quarter, the maximum $75.0 million royalty obligation under the AstraZeneca Termination Agreement had been fully recognized.</w:t>
      </w:r>
    </w:p>
    <w:p>
      <w:pPr>
        <w:pStyle w:val="TextBody"/>
        <w:bidi w:val="0"/>
        <w:spacing w:lineRule="auto" w:line="288" w:before="0" w:after="0"/>
        <w:ind w:left="0" w:right="0" w:hanging="360"/>
        <w:jc w:val="left"/>
        <w:rPr/>
      </w:pPr>
      <w:r>
        <w:rPr>
          <w:rFonts w:ascii="Times New Roman;serif" w:hAnsi="Times New Roman;serif"/>
          <w:b w:val="false"/>
          <w:color w:val="000000"/>
          <w:sz w:val="10"/>
        </w:rPr>
        <w:t>(4)</w:t>
      </w:r>
      <w:r>
        <w:rPr>
          <w:rFonts w:ascii="Times New Roman;serif" w:hAnsi="Times New Roman;serif"/>
          <w:b w:val="false"/>
          <w:i/>
          <w:color w:val="000000"/>
          <w:sz w:val="16"/>
        </w:rPr>
        <w:t>Research and development, selling</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general administrative</w:t>
      </w:r>
      <w:r>
        <w:rPr>
          <w:color w:val="000000"/>
        </w:rPr>
        <w:t xml:space="preserve"> </w:t>
      </w:r>
      <w:r>
        <w:rPr>
          <w:rFonts w:ascii="Times New Roman;serif" w:hAnsi="Times New Roman;serif"/>
          <w:b w:val="false"/>
          <w:color w:val="000000"/>
          <w:sz w:val="16"/>
        </w:rPr>
        <w:t>expenses herein do not include certain allocated items, such as stock-based compensation expenses.</w:t>
      </w:r>
    </w:p>
    <w:p>
      <w:pPr>
        <w:pStyle w:val="TextBody"/>
        <w:bidi w:val="0"/>
        <w:spacing w:lineRule="auto" w:line="288" w:before="0" w:after="0"/>
        <w:ind w:left="0" w:right="0" w:hanging="360"/>
        <w:jc w:val="left"/>
        <w:rPr/>
      </w:pPr>
      <w:r>
        <w:rPr>
          <w:rFonts w:ascii="Times New Roman;serif" w:hAnsi="Times New Roman;serif"/>
          <w:b w:val="false"/>
          <w:color w:val="000000"/>
          <w:sz w:val="10"/>
        </w:rPr>
        <w:t>(5)</w:t>
      </w:r>
      <w:r>
        <w:rPr>
          <w:rFonts w:ascii="Times New Roman;serif" w:hAnsi="Times New Roman;serif"/>
          <w:b w:val="false"/>
          <w:i/>
          <w:color w:val="000000"/>
          <w:sz w:val="16"/>
        </w:rPr>
        <w:t>Other segment expenses</w:t>
      </w:r>
      <w:r>
        <w:rPr>
          <w:color w:val="000000"/>
        </w:rPr>
        <w:t xml:space="preserve"> </w:t>
      </w:r>
      <w:r>
        <w:rPr>
          <w:rFonts w:ascii="Times New Roman;serif" w:hAnsi="Times New Roman;serif"/>
          <w:b w:val="false"/>
          <w:color w:val="000000"/>
          <w:sz w:val="16"/>
        </w:rPr>
        <w:t>primarily consists of allocated facilities, information technology, and employee costs of approximately $14.8 million, $16.9 million and $12.3 million in 2025, 2024 and 2023, respectively.</w:t>
      </w:r>
    </w:p>
    <w:p>
      <w:pPr>
        <w:pStyle w:val="TextBody"/>
        <w:bidi w:val="0"/>
        <w:spacing w:lineRule="auto" w:line="288" w:before="0" w:after="180"/>
        <w:ind w:left="0" w:right="0" w:hanging="360"/>
        <w:jc w:val="left"/>
        <w:rPr/>
      </w:pPr>
      <w:r>
        <w:rPr>
          <w:rFonts w:ascii="Times New Roman;serif" w:hAnsi="Times New Roman;serif"/>
          <w:b w:val="false"/>
          <w:color w:val="000000"/>
          <w:sz w:val="10"/>
        </w:rPr>
        <w:t>(6)</w:t>
      </w:r>
      <w:r>
        <w:rPr>
          <w:rFonts w:ascii="Times New Roman;serif" w:hAnsi="Times New Roman;serif"/>
          <w:b w:val="false"/>
          <w:i/>
          <w:color w:val="000000"/>
          <w:sz w:val="16"/>
        </w:rPr>
        <w:t>Other reconciliation items</w:t>
      </w:r>
      <w:r>
        <w:rPr>
          <w:color w:val="000000"/>
        </w:rPr>
        <w:t xml:space="preserve"> </w:t>
      </w:r>
      <w:r>
        <w:rPr>
          <w:rFonts w:ascii="Times New Roman;serif" w:hAnsi="Times New Roman;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net loss by the weighted-average number of common shares outstanding during the period and excludes any dilutive effects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years ended December 31, 2025, 2024 and 2023, all potential common shares were determined to be anti-dilutive.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net loss per common share:</w:t>
      </w:r>
    </w:p>
    <w:tbl>
      <w:tblPr>
        <w:tblW w:w="9492" w:type="dxa"/>
        <w:jc w:val="center"/>
        <w:tblInd w:w="0" w:type="dxa"/>
        <w:tblLayout w:type="fixed"/>
        <w:tblCellMar>
          <w:top w:w="28" w:type="dxa"/>
          <w:left w:w="28" w:type="dxa"/>
          <w:bottom w:w="28" w:type="dxa"/>
          <w:right w:w="28" w:type="dxa"/>
        </w:tblCellMar>
      </w:tblPr>
      <w:tblGrid>
        <w:gridCol w:w="1970"/>
        <w:gridCol w:w="1732"/>
        <w:gridCol w:w="1743"/>
        <w:gridCol w:w="211"/>
        <w:gridCol w:w="796"/>
        <w:gridCol w:w="109"/>
        <w:gridCol w:w="109"/>
        <w:gridCol w:w="109"/>
        <w:gridCol w:w="109"/>
        <w:gridCol w:w="211"/>
        <w:gridCol w:w="796"/>
        <w:gridCol w:w="109"/>
        <w:gridCol w:w="109"/>
        <w:gridCol w:w="109"/>
        <w:gridCol w:w="109"/>
        <w:gridCol w:w="211"/>
        <w:gridCol w:w="796"/>
        <w:gridCol w:w="154"/>
      </w:tblGrid>
      <w:tr>
        <w:trPr/>
        <w:tc>
          <w:tcPr>
            <w:tcW w:w="197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6633" w:type="dxa"/>
        <w:jc w:val="center"/>
        <w:tblInd w:w="0" w:type="dxa"/>
        <w:tblLayout w:type="fixed"/>
        <w:tblCellMar>
          <w:top w:w="28" w:type="dxa"/>
          <w:left w:w="28" w:type="dxa"/>
          <w:bottom w:w="28" w:type="dxa"/>
          <w:right w:w="28" w:type="dxa"/>
        </w:tblCellMar>
      </w:tblPr>
      <w:tblGrid>
        <w:gridCol w:w="1075"/>
        <w:gridCol w:w="946"/>
        <w:gridCol w:w="948"/>
        <w:gridCol w:w="360"/>
        <w:gridCol w:w="361"/>
        <w:gridCol w:w="176"/>
        <w:gridCol w:w="152"/>
        <w:gridCol w:w="152"/>
        <w:gridCol w:w="152"/>
        <w:gridCol w:w="360"/>
        <w:gridCol w:w="361"/>
        <w:gridCol w:w="176"/>
        <w:gridCol w:w="152"/>
        <w:gridCol w:w="152"/>
        <w:gridCol w:w="152"/>
        <w:gridCol w:w="360"/>
        <w:gridCol w:w="361"/>
        <w:gridCol w:w="237"/>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shares issuable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2025, 2024 and 2023, was approximately 5.7 million, 9.2 million and 6.3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19.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Guarantees and Indemnifications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indemnify each of our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maximum amount of potential future indemnification is unlimited; however, we currently hold director and officer liability insurance, which allows the transfer of risk associated with our exposure and may enable us to recover a portion of any future amounts paid. We believe that the fair value of these indemnification obligations is minimal. Accordingly, we have not recognized any liabilities relating to these obligations for any period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Proceedings and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7, 2021 and March 29, 2022, two verified shareholder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(together, the Go and Morris actions). The complaints allege that the defendants’ violations of Section 14(a) of the Exchange Act,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Exchange Act from two executive officers. On January 19, 2022 and April 27, 2022, the court granted the parties’ stipulation to stay the Go and Morris actions, respectively, until resolution of the motion(s) to dismiss in the lawsuits captioned Strezsak v. Ardelyx, Inc., et al., Case No. 4:21-cv-05868-HSG and Siegel v. Ardelyx, Inc., et al., Case No. 5:21-cv-06228-HSG (together, the Securities Class Actions). On October 25, 2022, the parties filed a stipulation to consolidate and stay the Go and Morris actions, and on October 27, 2022, the court consolidated the Go and Morris actions and stayed the consolidated action pending resolution of the anticipated motion(s) to dismiss in the Securities Class Action. The Securities Class Actions were voluntarily dismissed on March 5, 2025. The court dismissed the Go and Morris actions on April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on March 27, 2025. Both Appellees and Appellants filed a final brief on April 10, 2025. Oral argument in the case was heard on September 25,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2024, a complaint was filed against us in the U.S. District Court of Massachusetts, captioned Yarborough v. Ardelyx, Inc., et al., No. 24-cv-12119 (D. Mass.). The complaint names the Company, Michael Raab, and Justin Renz as defendants and alleges violations of Sections 10(b) and 20(a) of the Exchange Act and Rule 10b-5 promulgated thereunder, related to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in support of their motion to dismiss on June 23, 2025. A hearing on the motion to dismiss was held on September 25, 2025, and on December 24, 2025, the Court granted defendants’ motion to dismiss and issued an order dismissing the case with prejudice. On January 21, 2026, Plaintiffs appealed the District Court’s decisions to the United States Court of Appeals for the First Circuit.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We believe the plaintiffs’ claims are without merit.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business. As of December 31, 2025,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Conclusions Regarding the Effectiveness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management, with the participation of our CEO and Chief Financial Officer (CFO),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CEO and the CFO, to allow timely decisions regarding required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CEO and CFO concluded that, as of December 31, 2025, the design and operation of our disclosure controls and procedures were effective at a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Pertain to the maintenance of records that accurately and fairly reflect in reasonable detail the transactions and dispositions of the assets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our assets that could have a material adverse effect on our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assessed the effectiveness of our internal control over financial reporting as of December 31, 2025,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2025, our internal control over financial reporting was effective.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2025 fourth quarter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Attestation Report of Independent Registered Public Accounting Firm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Ernst &amp; Young LLP, has audited our Financial Statements included in Item 8 of this Annual Report on Form 10-K and has issued a report on our internal control over financial reporting as of December 31, 2025. Their report on the audit of internal control over financial reporting appears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Ardelyx,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audited Ardelyx, Inc.’s internal control over financial reporting as of December 31, 2025, based on criteria established in Internal Control—Integrated Framework issued by the Committee of Sponsoring Organizations of the Treadway Commission (2013 framework) (the COSO criteria). In our opinion, Ardelyx, Inc. (the Company) maintained, in all material respects, effective internal control over financial reporting as of December 31, 2025, based on the COSO criteria.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balance sheets of Ardelyx, Inc. as of December 31, 2025 and 2024, the related statements of operations and comprehensive loss, stockholders’ equity, and cash flows for each of the three years in the period ended December 31, 2025, and the related notes, and our report dated February 19, 2026 expressed an unqualified opinion thereon.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our Section 16 officers and directors adopted or terminated contracts, instructions or written plans for the purchase or sale of our securities as noted below.</w:t>
      </w:r>
    </w:p>
    <w:tbl>
      <w:tblPr>
        <w:tblW w:w="10205" w:type="dxa"/>
        <w:jc w:val="left"/>
        <w:tblInd w:w="0" w:type="dxa"/>
        <w:tblLayout w:type="fixed"/>
        <w:tblCellMar>
          <w:top w:w="28" w:type="dxa"/>
          <w:left w:w="28" w:type="dxa"/>
          <w:bottom w:w="28" w:type="dxa"/>
          <w:right w:w="28" w:type="dxa"/>
        </w:tblCellMar>
      </w:tblPr>
      <w:tblGrid>
        <w:gridCol w:w="1064"/>
        <w:gridCol w:w="885"/>
        <w:gridCol w:w="888"/>
        <w:gridCol w:w="294"/>
        <w:gridCol w:w="294"/>
        <w:gridCol w:w="298"/>
        <w:gridCol w:w="420"/>
        <w:gridCol w:w="420"/>
        <w:gridCol w:w="425"/>
        <w:gridCol w:w="292"/>
        <w:gridCol w:w="292"/>
        <w:gridCol w:w="292"/>
        <w:gridCol w:w="433"/>
        <w:gridCol w:w="433"/>
        <w:gridCol w:w="385"/>
        <w:gridCol w:w="588"/>
        <w:gridCol w:w="588"/>
        <w:gridCol w:w="590"/>
        <w:gridCol w:w="385"/>
        <w:gridCol w:w="385"/>
        <w:gridCol w:w="554"/>
      </w:tblGrid>
      <w:tr>
        <w:trPr/>
        <w:tc>
          <w:tcPr>
            <w:tcW w:w="10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88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265"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212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176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Available to be Sold</w:t>
            </w:r>
          </w:p>
        </w:tc>
        <w:tc>
          <w:tcPr>
            <w:tcW w:w="132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8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8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6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8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2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76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2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Bishop, Chief Technical and Quality Officer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8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156,687</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6, 2026</w:t>
            </w:r>
          </w:p>
        </w:tc>
      </w:tr>
      <w:tr>
        <w:trPr/>
        <w:tc>
          <w:tcPr>
            <w:tcW w:w="2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Raab, President and Chief Executive Officer and Director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8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r>
      <w:tr>
        <w:trPr/>
        <w:tc>
          <w:tcPr>
            <w:tcW w:w="2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Elizabeth Grammer, former Chief Legal Officer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11, 2025</w:t>
            </w:r>
          </w:p>
        </w:tc>
        <w:tc>
          <w:tcPr>
            <w:tcW w:w="8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114,638</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2026</w:t>
            </w:r>
          </w:p>
        </w:tc>
      </w:tr>
      <w:tr>
        <w:trPr/>
        <w:tc>
          <w:tcPr>
            <w:tcW w:w="283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Intended to satisfy the affirmative defense conditions of Rule 10b5-1(c)</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Not intended to satisfy the affirmative defense conditions of Rule 10b5-1(c)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ITEMS 10, 11, 12, 13, 14.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described below, we incorporate by reference in this Annual Report on Form 10-K certain information appearing in the Proxy Statement that we will furnish to our stockholders for our 2026 Annual Meeting of Stockholders.</w:t>
      </w:r>
    </w:p>
    <w:tbl>
      <w:tblPr>
        <w:tblW w:w="10205" w:type="dxa"/>
        <w:jc w:val="center"/>
        <w:tblInd w:w="0" w:type="dxa"/>
        <w:tblLayout w:type="fixed"/>
        <w:tblCellMar>
          <w:top w:w="28" w:type="dxa"/>
          <w:left w:w="28" w:type="dxa"/>
          <w:bottom w:w="28" w:type="dxa"/>
          <w:right w:w="28" w:type="dxa"/>
        </w:tblCellMar>
      </w:tblPr>
      <w:tblGrid>
        <w:gridCol w:w="1286"/>
        <w:gridCol w:w="1010"/>
        <w:gridCol w:w="1015"/>
        <w:gridCol w:w="2095"/>
        <w:gridCol w:w="1981"/>
        <w:gridCol w:w="2818"/>
      </w:tblGrid>
      <w:tr>
        <w:trPr/>
        <w:tc>
          <w:tcPr>
            <w:tcW w:w="128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Incorporated by Reference to Our Proxy Statement</w:t>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tc>
        <w:tc>
          <w:tcPr>
            <w:tcW w:w="6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Executive Officers,” “Election of Directors,” “Board and Corporate Governance Matters,” and “Security Ownership of Certain Beneficial Owners and Management” sections. We have included information regarding our Code of Business Conduct and Ethics and our Insider Trading Policy below.</w:t>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Compensation Discussion and Analysis” and “Compensation Committee Interlocks and Insider Participation” sections, but exclusive of any information contained under the heading “Pay Versus Performance”</w:t>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Security Ownership of Certain Beneficial Owners and Management” and “Equity Compensation Plan Information” sections.</w:t>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Certain Relationships and Related Party Transactions” and “Board and Corporate Governance Matters” sections.</w:t>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Independent Registered Public Accounting Firm Fees” and “Pre-Approval Policies and Procedures” sections.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If we make any amendment to, or waiver from, a provision of our Code of Conduct that we are required to disclose under SEC rules, we intend to satisfy that disclosure requirement by posting such information to our website at www.ardelyx.com. The contents of our websites are not intended to be incorporated by reference into this Form 10-K or in any other report or document we file with the SEC, and any references to our websites are intended to be inactive textual references only.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Insider Trading Policy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insider trading compliance policy and procedures governing the purchase, sale and other dispositions of our securities that apply to all of our personnel, including directors, officers, employees and other covered persons. We believe that our insider trading compliance policy and procedures are reasonably designed to promote compliance with insider trading laws, rules and regulations, and listing standards applicable to us. A copy of our insider trading policy and procedures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See Index to Financial Statements at Item 8 herein.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shown in the financial statements or notes thereto.</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See the Exhibit Index immediately following this page.</w:t>
      </w:r>
    </w:p>
    <w:p>
      <w:pPr>
        <w:pStyle w:val="TextBody"/>
        <w:bidi w:val="0"/>
        <w:spacing w:lineRule="auto" w:line="288" w:before="0" w:after="180"/>
        <w:ind w:left="0" w:right="0" w:hanging="90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1496"/>
        <w:gridCol w:w="1496"/>
        <w:gridCol w:w="1498"/>
        <w:gridCol w:w="109"/>
        <w:gridCol w:w="109"/>
        <w:gridCol w:w="109"/>
        <w:gridCol w:w="195"/>
        <w:gridCol w:w="195"/>
        <w:gridCol w:w="196"/>
        <w:gridCol w:w="158"/>
        <w:gridCol w:w="158"/>
        <w:gridCol w:w="158"/>
        <w:gridCol w:w="218"/>
        <w:gridCol w:w="218"/>
        <w:gridCol w:w="223"/>
        <w:gridCol w:w="158"/>
        <w:gridCol w:w="158"/>
        <w:gridCol w:w="158"/>
        <w:gridCol w:w="264"/>
        <w:gridCol w:w="264"/>
        <w:gridCol w:w="268"/>
        <w:gridCol w:w="109"/>
        <w:gridCol w:w="109"/>
        <w:gridCol w:w="109"/>
        <w:gridCol w:w="271"/>
        <w:gridCol w:w="271"/>
        <w:gridCol w:w="392"/>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6/24/2014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6/20/2023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Exhibits 3.1 and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6/18/2014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43.htm">
              <w:r>
                <w:rPr>
                  <w:rStyle w:val="InternetLink"/>
                  <w:rFonts w:ascii="Times New Roman;serif" w:hAnsi="Times New Roman;serif"/>
                  <w:b w:val="false"/>
                  <w:color w:val="0000FF"/>
                  <w:sz w:val="20"/>
                  <w:u w:val="single"/>
                </w:rPr>
                <w:t>Description of the Registrant’s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Lease Agreement, dated December 30, 2020, by and between Ardelyx, Inc. and Prospect Fifth Ave,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3/8/2021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Amendment Number 2 to Lease Agreement by and between Ardelyx, Inc. and Prospect Fifth Avenue,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Number 3 to Lease Agreement by and between Ardelyx, Inc. and Prospect Fifth Avenue,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Amendment Number 4 to Lease Agreement by and between Ardelyx, Inc. and Prospect Fifth Avenue,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Lease Agreement, dated October 3, 2024, by and between Ardelyx, Inc. and BMR-Pacific Research Center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First Amendment to the 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06/18/2025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c.htm">
              <w:r>
                <w:rPr>
                  <w:rStyle w:val="InternetLink"/>
                  <w:rFonts w:ascii="Times New Roman;serif" w:hAnsi="Times New Roman;serif"/>
                  <w:b w:val="false"/>
                  <w:color w:val="0000FF"/>
                  <w:sz w:val="20"/>
                  <w:u w:val="single"/>
                </w:rPr>
                <w:t>Form of Stock Option Grant Notice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d.htm">
              <w:r>
                <w:rPr>
                  <w:rStyle w:val="InternetLink"/>
                  <w:rFonts w:ascii="Times New Roman;serif" w:hAnsi="Times New Roman;serif"/>
                  <w:b w:val="false"/>
                  <w:color w:val="0000FF"/>
                  <w:sz w:val="20"/>
                  <w:u w:val="single"/>
                </w:rPr>
                <w:t>Form of Stock Option Agreement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e.htm">
              <w:r>
                <w:rPr>
                  <w:rStyle w:val="InternetLink"/>
                  <w:rFonts w:ascii="Times New Roman;serif" w:hAnsi="Times New Roman;serif"/>
                  <w:b w:val="false"/>
                  <w:color w:val="0000FF"/>
                  <w:sz w:val="20"/>
                  <w:u w:val="single"/>
                </w:rPr>
                <w:t>Form of Restricted Stock Unit Award Grant Notice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f.htm">
              <w:r>
                <w:rPr>
                  <w:rStyle w:val="InternetLink"/>
                  <w:rFonts w:ascii="Times New Roman;serif" w:hAnsi="Times New Roman;serif"/>
                  <w:b w:val="false"/>
                  <w:color w:val="0000FF"/>
                  <w:sz w:val="20"/>
                  <w:u w:val="single"/>
                </w:rPr>
                <w:t>Form of Restricted Stock Unit Award Agreement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g.htm">
              <w:r>
                <w:rPr>
                  <w:rStyle w:val="InternetLink"/>
                  <w:rFonts w:ascii="Times New Roman;serif" w:hAnsi="Times New Roman;serif"/>
                  <w:b w:val="false"/>
                  <w:color w:val="0000FF"/>
                  <w:sz w:val="20"/>
                  <w:u w:val="single"/>
                </w:rPr>
                <w:t>Form of Non-Employee Director Stock Option Grant Notice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h.htm">
              <w:r>
                <w:rPr>
                  <w:rStyle w:val="InternetLink"/>
                  <w:rFonts w:ascii="Times New Roman;serif" w:hAnsi="Times New Roman;serif"/>
                  <w:b w:val="false"/>
                  <w:color w:val="0000FF"/>
                  <w:sz w:val="20"/>
                  <w:u w:val="single"/>
                </w:rPr>
                <w:t>Form of Non-Employee Director Stock Option Agreement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i.htm">
              <w:r>
                <w:rPr>
                  <w:rStyle w:val="InternetLink"/>
                  <w:rFonts w:ascii="Times New Roman;serif" w:hAnsi="Times New Roman;serif"/>
                  <w:b w:val="false"/>
                  <w:color w:val="0000FF"/>
                  <w:sz w:val="20"/>
                  <w:u w:val="single"/>
                </w:rPr>
                <w:t>Form of Non-Employee Director Restricted Stock Unit Award Grant Notice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3j.htm">
              <w:r>
                <w:rPr>
                  <w:rStyle w:val="InternetLink"/>
                  <w:rFonts w:ascii="Times New Roman;serif" w:hAnsi="Times New Roman;serif"/>
                  <w:b w:val="false"/>
                  <w:color w:val="0000FF"/>
                  <w:sz w:val="20"/>
                  <w:u w:val="single"/>
                </w:rPr>
                <w:t>Form of Non-Employee Director Restricted Stock Unit Award Agreement under the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Ardelyx, Inc. Amended and Restated 2014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Ardelyx, Inc. 2016 Employment Commencement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Stock Option Grant Notice and Stock Option Agreement under the 2016 Employment Commencement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11/10/2016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Restricted Stock Unit Award Grant Notice and Restricted Stock Unit Award Agreement under the 2016 Employment Commencement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11/10/2016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Restricted Stock Award Grant Notice and Restricted Stock Award Agreement under the 2016 Employment Commencement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11/10/2016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1488"/>
        <w:gridCol w:w="1488"/>
        <w:gridCol w:w="1490"/>
        <w:gridCol w:w="109"/>
        <w:gridCol w:w="109"/>
        <w:gridCol w:w="109"/>
        <w:gridCol w:w="195"/>
        <w:gridCol w:w="195"/>
        <w:gridCol w:w="196"/>
        <w:gridCol w:w="158"/>
        <w:gridCol w:w="158"/>
        <w:gridCol w:w="158"/>
        <w:gridCol w:w="219"/>
        <w:gridCol w:w="219"/>
        <w:gridCol w:w="224"/>
        <w:gridCol w:w="158"/>
        <w:gridCol w:w="158"/>
        <w:gridCol w:w="158"/>
        <w:gridCol w:w="264"/>
        <w:gridCol w:w="264"/>
        <w:gridCol w:w="268"/>
        <w:gridCol w:w="109"/>
        <w:gridCol w:w="109"/>
        <w:gridCol w:w="109"/>
        <w:gridCol w:w="271"/>
        <w:gridCol w:w="271"/>
        <w:gridCol w:w="391"/>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of Indemnification Agreement for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6/9/2014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Second Amended and Restated Executive Employment Agreement, dated April 29, 2025, by and between Ardelyx, Inc. and Michael Raab.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20"/>
                  <w:u w:val="single"/>
                </w:rPr>
                <w:t xml:space="preserve">Offer Letter, dated December 28, 2009, by </w:t>
              </w:r>
            </w:hyperlink>
            <w:hyperlink r:id="rId23">
              <w:r>
                <w:rPr>
                  <w:rStyle w:val="InternetLink"/>
                  <w:rFonts w:ascii="Times New Roman;serif" w:hAnsi="Times New Roman;serif"/>
                  <w:b w:val="false"/>
                  <w:color w:val="000080"/>
                  <w:sz w:val="20"/>
                  <w:u w:val="single"/>
                </w:rPr>
                <w:t>and between Ardelyx, Inc. and David Rosenbaum, Ph.D.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6/9/2014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9.htm">
              <w:r>
                <w:rPr>
                  <w:rStyle w:val="InternetLink"/>
                  <w:rFonts w:ascii="Times New Roman;serif" w:hAnsi="Times New Roman;serif"/>
                  <w:b w:val="false"/>
                  <w:color w:val="0000FF"/>
                  <w:sz w:val="20"/>
                  <w:u w:val="single"/>
                </w:rPr>
                <w:t>Transition and Separation Agreement, dated November 5, 2025, by and between Ardelyx, Inc. and David Rosenbaum.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Offer Letter, dated November 21, 2012, by and between Ardelyx, Inc. and Elizabeth Grammer, Esq.</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6/9/2014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1231xex1011.htm">
              <w:r>
                <w:rPr>
                  <w:rStyle w:val="InternetLink"/>
                  <w:rFonts w:ascii="Times New Roman;serif" w:hAnsi="Times New Roman;serif"/>
                  <w:b w:val="false"/>
                  <w:color w:val="0000FF"/>
                  <w:sz w:val="20"/>
                  <w:u w:val="single"/>
                </w:rPr>
                <w:t>Transition and Separation Agreement, dated December 17, 2025, by and between Ardelyx, Inc. and Elizabeth Grammer.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Offer Letter, dated June 2, 2020, by and between Ardelyx, Inc. and Justin Renz.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8/6/2020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Transition and Separation Agreement, dated August 1, 2025, by and between Ardelyx, Inc. and Justin Renz.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Amended and Restated Change in Control and Severance Agreement for Executive Officers Other Than CEO.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1231xex1015.htm">
              <w:r>
                <w:rPr>
                  <w:rStyle w:val="InternetLink"/>
                  <w:rFonts w:ascii="Times New Roman;serif" w:hAnsi="Times New Roman;serif"/>
                  <w:b w:val="false"/>
                  <w:color w:val="0000FF"/>
                  <w:sz w:val="20"/>
                  <w:u w:val="single"/>
                </w:rPr>
                <w:t>Fifth Amended and Restated 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Offer Letter, dated February 13, 2024 by and between Ardelyx, Inc. and Michael Kelliher.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Offer Letter, dated July 25, 2024 by and between Ardelyx, Inc. and Eric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Offer Letter, dated April 10, 2025 by and between Ardelyx, Inc. and James P. Brady.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Offer Letter, dated September 23, 2025, by and between Ardelyx, Inc. and Susan Hohenleitner.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Offer Letter, dated June 29, 2025, by and between Ardelyx, Inc. and John Bishop.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Offer Letter, dated May 29, 2025, by and between Ardelyx, Inc. and Edward Conner.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Commercial Supply Agreement, dated August 7, 2024 and effective as of July 23, 2024, by and between Ardelyx, Inc. and Catalent.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8/12/2024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Commercial Supply Agreement, dated October 25, 2024, by and among Ardelyx, Inc., Hovione Farmaciência, S.A. and Hovione,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24a.htm">
              <w:r>
                <w:rPr>
                  <w:rStyle w:val="InternetLink"/>
                  <w:rFonts w:ascii="Times New Roman;serif" w:hAnsi="Times New Roman;serif"/>
                  <w:b w:val="false"/>
                  <w:color w:val="0000FF"/>
                  <w:sz w:val="20"/>
                  <w:u w:val="single"/>
                </w:rPr>
                <w:t>License Agreement, dated November 27, 2017, by and between Kyowa Hakko Kirin Co., Ltd. and Ardelyx,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Amendment Number 1 to License Agreement, dated as of November 27, 2017, by and among Ardelyx, Inc., and Kyowa Kirin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Amendment Number 2 to License Agreement, dated as of April 11, 2022, by and among Ardelyx, Inc., and Kyowa Kirin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4/11/2022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025.htm">
              <w:r>
                <w:rPr>
                  <w:rStyle w:val="InternetLink"/>
                  <w:rFonts w:ascii="Times New Roman;serif" w:hAnsi="Times New Roman;serif"/>
                  <w:b w:val="false"/>
                  <w:color w:val="0000FF"/>
                  <w:sz w:val="20"/>
                  <w:u w:val="single"/>
                </w:rPr>
                <w:t>License Agreement, dated December 11, 2017, by and between Shanghai Fosun Pharmaceutical Industrial Development Co. Ltd. and Ardelyx,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Royalty and Sales Milestone Interest Acquisition Agreement dated June 29, 2022, by and between Ardelyx, Inc. and Healthcare Royalty Partners IV,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8/4/2022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Loan and Security Agreement dated February 23, 2022,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5/5/2022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First Amendment to the Loan and Security Agreement dated August 1, 2022,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8/4/2022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297"/>
        <w:gridCol w:w="262"/>
        <w:gridCol w:w="264"/>
        <w:gridCol w:w="109"/>
        <w:gridCol w:w="109"/>
        <w:gridCol w:w="109"/>
        <w:gridCol w:w="1499"/>
        <w:gridCol w:w="1499"/>
        <w:gridCol w:w="1501"/>
        <w:gridCol w:w="109"/>
        <w:gridCol w:w="109"/>
        <w:gridCol w:w="109"/>
        <w:gridCol w:w="195"/>
        <w:gridCol w:w="195"/>
        <w:gridCol w:w="196"/>
        <w:gridCol w:w="158"/>
        <w:gridCol w:w="158"/>
        <w:gridCol w:w="158"/>
        <w:gridCol w:w="211"/>
        <w:gridCol w:w="211"/>
        <w:gridCol w:w="216"/>
        <w:gridCol w:w="158"/>
        <w:gridCol w:w="158"/>
        <w:gridCol w:w="158"/>
        <w:gridCol w:w="264"/>
        <w:gridCol w:w="264"/>
        <w:gridCol w:w="268"/>
        <w:gridCol w:w="109"/>
        <w:gridCol w:w="109"/>
        <w:gridCol w:w="109"/>
        <w:gridCol w:w="271"/>
        <w:gridCol w:w="271"/>
        <w:gridCol w:w="392"/>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Second Amendment to the Loan and Security Agreement dated February 9, 2023,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Third Amendment to the Loan and Security Agreement dated October 17, 2023,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Fourth Amendment to the Loan and Security Agreement dated October 29, 2024,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Fifth Amendment to Loan and Security Agreement, dated June 30, 2025, by and among the Ardelyx, Inc., SLR Investment Corp., as collateral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Exit Fee Agreement dated February 23, 2022,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5/5/2022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Exit Fee Agreement, dated May 16, 2018, by and between the Company and Solar Capital Ltd. and Western Alliance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8/7/2018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Manufacturing Services Agreement, dated May 18, 2020, between Ardelyx, Inc. and Patheon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8/6/2020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First Amendment to the Manufacturing Services Agreement dated February 27, 2023, between Ardelyx, Inc. and Patheon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Open Market Sales Agreement, dated January 18, 2023 between Ardelyx, Inc. and Jefferies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Open Market Sales Agreement, dated November 3, 2025 between Ardelyx, Inc. and Jefferies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191.htm">
              <w:r>
                <w:rPr>
                  <w:rStyle w:val="InternetLink"/>
                  <w:rFonts w:ascii="Times New Roman;serif" w:hAnsi="Times New Roman;serif"/>
                  <w:b w:val="false"/>
                  <w:color w:val="0000FF"/>
                  <w:sz w:val="20"/>
                  <w:u w:val="single"/>
                </w:rPr>
                <w:t>Ardelyx, Inc. Insider Trading Compliance Policy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231.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311.htm">
              <w:r>
                <w:rPr>
                  <w:rStyle w:val="InternetLink"/>
                  <w:rFonts w:ascii="Times New Roman;serif" w:hAnsi="Times New Roman;serif"/>
                  <w:b w:val="false"/>
                  <w:color w:val="0000FF"/>
                  <w:sz w:val="20"/>
                  <w:u w:val="single"/>
                </w:rPr>
                <w:t>Certification of Principal Executive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312.htm">
              <w:r>
                <w:rPr>
                  <w:rStyle w:val="InternetLink"/>
                  <w:rFonts w:ascii="Times New Roman;serif" w:hAnsi="Times New Roman;serif"/>
                  <w:b w:val="false"/>
                  <w:color w:val="0000FF"/>
                  <w:sz w:val="20"/>
                  <w:u w:val="single"/>
                </w:rPr>
                <w:t>Certification of Principal Financial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1231xex321.htm">
              <w:r>
                <w:rPr>
                  <w:rStyle w:val="InternetLink"/>
                  <w:rFonts w:ascii="Times New Roman;serif" w:hAnsi="Times New Roman;serif"/>
                  <w:b w:val="false"/>
                  <w:color w:val="0000FF"/>
                  <w:sz w:val="20"/>
                  <w:u w:val="single"/>
                </w:rPr>
                <w:t>Certification of Principal Executive Officer and Principal Financial Officer Required Under Rule 13a</w:t>
                <w:noBreakHyphen/>
                <w:t>14(b) of the Securities Exchange Act of 1934, as amended, and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Policy for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Certain portions of this exhibit have been redacted pursuant to Item 601(b)(10) of Regulation S-K. A copy of the omitted portions will be furnished supplementally to the Securities and Exchange Commission upon request.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The certifications attached as Exhibit 32.1 that accompany this Annual Report on Form 10-K are deemed furnished and not filed with the Securities and Exchange Commission and are not to be incorporated by reference into any filing of Ardelyx, Inc. under the Securities Act of 1933, as amended, or the Securities Exchange Act of 1934, as amended, whether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36" w:type="dxa"/>
        <w:jc w:val="left"/>
        <w:tblInd w:w="0" w:type="dxa"/>
        <w:tblLayout w:type="fixed"/>
        <w:tblCellMar>
          <w:top w:w="28" w:type="dxa"/>
          <w:left w:w="28" w:type="dxa"/>
          <w:bottom w:w="28" w:type="dxa"/>
          <w:right w:w="28" w:type="dxa"/>
        </w:tblCellMar>
      </w:tblPr>
      <w:tblGrid>
        <w:gridCol w:w="754"/>
        <w:gridCol w:w="664"/>
        <w:gridCol w:w="667"/>
        <w:gridCol w:w="194"/>
        <w:gridCol w:w="194"/>
        <w:gridCol w:w="194"/>
        <w:gridCol w:w="1308"/>
        <w:gridCol w:w="1308"/>
        <w:gridCol w:w="185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Ardelyx,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5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Joseph Reilly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Joseph Reilly</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Vice President and Chief Accounting Officer</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person whose individual signature appears below hereby authorizes and appoints Michael Raab, Susan Hohenleitner, and Joseph Reilly,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964" w:type="dxa"/>
        <w:jc w:val="center"/>
        <w:tblInd w:w="0" w:type="dxa"/>
        <w:tblLayout w:type="fixed"/>
        <w:tblCellMar>
          <w:top w:w="28" w:type="dxa"/>
          <w:left w:w="28" w:type="dxa"/>
          <w:bottom w:w="28" w:type="dxa"/>
          <w:right w:w="28" w:type="dxa"/>
        </w:tblCellMar>
      </w:tblPr>
      <w:tblGrid>
        <w:gridCol w:w="846"/>
        <w:gridCol w:w="745"/>
        <w:gridCol w:w="749"/>
        <w:gridCol w:w="109"/>
        <w:gridCol w:w="109"/>
        <w:gridCol w:w="109"/>
        <w:gridCol w:w="1439"/>
        <w:gridCol w:w="1439"/>
        <w:gridCol w:w="1457"/>
        <w:gridCol w:w="109"/>
        <w:gridCol w:w="109"/>
        <w:gridCol w:w="109"/>
        <w:gridCol w:w="477"/>
        <w:gridCol w:w="477"/>
        <w:gridCol w:w="681"/>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Susan Hohenleitner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Susan Hohenleitner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Accounting Officer </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Joseph 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Bazemore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Bazemore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Bertrand,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Bertrand, Jr.,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Muna Bhanji, R.Ph.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Onaiza Cadoret-Manier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Onaiza Cadoret-Manier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Merdad Parsey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Merdad Parsey,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Rodgers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Rodgers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d790095d1c4d4adbbfccc9a6198c2862_10">
        <w:r>
          <w:rPr>
            <w:rStyle w:val="InternetLink"/>
            <w:rFonts w:ascii="Times New Roman;serif" w:hAnsi="Times New Roman;serif"/>
            <w:b w:val="false"/>
            <w:color w:val="000080"/>
            <w:sz w:val="20"/>
            <w:u w:val="single"/>
          </w:rPr>
          <w:t>Table of Co</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e</w:t>
        </w:r>
      </w:hyperlink>
      <w:hyperlink w:anchor="id790095d1c4d4adbbfccc9a6198c2862_10">
        <w:r>
          <w:rPr>
            <w:rStyle w:val="InternetLink"/>
            <w:rFonts w:ascii="Times New Roman;serif" w:hAnsi="Times New Roman;serif"/>
            <w:b w:val="false"/>
            <w:color w:val="000080"/>
            <w:sz w:val="20"/>
            <w:u w:val="single"/>
          </w:rPr>
          <w:t>n</w:t>
        </w:r>
      </w:hyperlink>
      <w:hyperlink w:anchor="id790095d1c4d4adbbfccc9a6198c2862_10">
        <w:r>
          <w:rPr>
            <w:rStyle w:val="InternetLink"/>
            <w:rFonts w:ascii="Times New Roman;serif" w:hAnsi="Times New Roman;serif"/>
            <w:b w:val="false"/>
            <w:color w:val="000080"/>
            <w:sz w:val="20"/>
            <w:u w:val="single"/>
          </w:rPr>
          <w:t>t</w:t>
        </w:r>
      </w:hyperlink>
      <w:hyperlink w:anchor="id790095d1c4d4adbbfccc9a6198c2862_10">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OF ABBREVIATED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2025 Form 10-K, we have used terms which are defined below:</w:t>
      </w:r>
    </w:p>
    <w:tbl>
      <w:tblPr>
        <w:tblW w:w="10205" w:type="dxa"/>
        <w:jc w:val="center"/>
        <w:tblInd w:w="0" w:type="dxa"/>
        <w:tblLayout w:type="fixed"/>
        <w:tblCellMar>
          <w:top w:w="28" w:type="dxa"/>
          <w:left w:w="28" w:type="dxa"/>
          <w:bottom w:w="28" w:type="dxa"/>
          <w:right w:w="28" w:type="dxa"/>
        </w:tblCellMar>
      </w:tblPr>
      <w:tblGrid>
        <w:gridCol w:w="464"/>
        <w:gridCol w:w="408"/>
        <w:gridCol w:w="347"/>
        <w:gridCol w:w="1535"/>
        <w:gridCol w:w="1220"/>
        <w:gridCol w:w="1225"/>
        <w:gridCol w:w="411"/>
        <w:gridCol w:w="347"/>
        <w:gridCol w:w="351"/>
        <w:gridCol w:w="1257"/>
        <w:gridCol w:w="1091"/>
        <w:gridCol w:w="1549"/>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340B Program</w:t>
            </w:r>
          </w:p>
        </w:tc>
        <w:tc>
          <w:tcPr>
            <w:tcW w:w="3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Health Service’s 340B Drug Pricing Program</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w:t>
            </w:r>
          </w:p>
        </w:tc>
        <w:tc>
          <w:tcPr>
            <w:tcW w:w="3897"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Royalty Partners IV, L.P.</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AAKP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Association of Kidney Patients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 Agreement</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Sales Milestone Interest Acquisition Agreement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Affordable Care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HHS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Health and Human Services</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Technologies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Artificial intelligence, machine learning and certain automated decision-making technologies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HIPAA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Insurance Portability and Accountability Act of 1996, as amended, and regulations promulgated thereunder</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manufacturer price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HRSA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Resources and Services Administration</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abbreviated New Drug Application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IBS-C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irritable bowel syndrome with constipation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API</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pharmaceutical ingredient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Investigational New Drug</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 AB</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IRB</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Review Board</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CCPA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Consumer Privacy Act, as amended by the California Privacy Rights Act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cGMP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Good Manufacturing Practice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Jefferies LLC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CIC</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chronic idiopathic constipation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 Co., Ltd.</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CKD</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chronic kidney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CME</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Mercantile Exchange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MDRP</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Medicaid Drug Rebate Program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Centers for Medicare &amp; Medicaid Services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MHLW</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Ministry of Health, Labour and Welfare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research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MIPPA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Improvements for Patients and</w:t>
              <w:br/>
              <w:t>Providers Act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collectively, major wholesalers, specialty pharmacies and GPOs (IBSRELA) and specialty wholesaler (XPHOZAH)</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Oxylanthanum Carbonate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DPF</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EU-US Data Privacy Framework</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NCE</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chemical entity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EEA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Economic Area</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NDA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Drug Application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NHE3</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sodium hydrogen exchange 3</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Medical Products Administration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 PPS</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 Prospective Payment System</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NOL</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Patent Package</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Patent Package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NMQF</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Minority Quality Forum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Non-FAMP</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Non-Federal Average Manufacturer Price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Drug Administration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Evaluation and Mitigation Strategy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FFDCA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Food, Drug, and Cosmetic Act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Fosun Pharma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Fosun Pharmaceutical Industrial Development Co. Ltd.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SLR Investment Corp.</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FSS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Supply Schedule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FTC</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Trade Commission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GCP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Clinical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TDAPA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Transitional Drug Add-on Payment Adjustment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GDPR</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Union General Data Protection Regulation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Unified Patent Court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Laboratory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GPO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purchasing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USPTO</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Patent and Trademark Office</w:t>
            </w:r>
          </w:p>
        </w:tc>
      </w:tr>
      <w:tr>
        <w:trPr/>
        <w:tc>
          <w:tcPr>
            <w:tcW w:w="1219"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GTN</w:t>
            </w:r>
          </w:p>
        </w:tc>
        <w:tc>
          <w:tcPr>
            <w:tcW w:w="3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gross-to-net</w:t>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w:t>
            </w:r>
          </w:p>
        </w:tc>
        <w:tc>
          <w:tcPr>
            <w:tcW w:w="3897"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Veterans Affairs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2"/>
        </w:rPr>
      </w:pPr>
      <w:r>
        <w:rPr>
          <w:rFonts w:ascii="Times New Roman;serif" w:hAnsi="Times New Roman;serif"/>
          <w:b/>
          <w:color w:val="000000"/>
          <w:sz w:val="22"/>
        </w:rPr>
        <w:t>Exhibit 4.3</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DESCRIPTION OF THE REGISTRANT’S SECURITIES REGISTERED PURSUANT TO SECTION 12 OF THE SECURITIES EXCHANGE ACT OF 1934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Ardelyx, Inc. (“we,” “us,” or “our”) has one class of securities registered under Section 12 of the Securities Exchange Act of 1934, as amended (the “Exchange Act”): our common stock, $0.0001 par value per share (“Common Stock”).</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describes our capital stock and does not purport to be complete. It is subject to and qualified in its entirety by reference to the material provisions of our amended and restated certificate of incorporation, as amended (“Charter”) and our amended and restated bylaws (“Bylaws”), each of which are incorporated by reference as an exhibit to the Annual Report on Form 10-K of which this Exhibit 4.3 is a part, as well as of the Delaware General Corporation Law (“DGCL”). For a complete description, we encourage you to read our Charter, Bylaws and the applicable provisions of the DGCL for additional information.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authorizes 500,000,000 shares of Common Stock, $0.0001 par value per share, and 5,000,000 shares of preferred stock, $0.0001 par value per share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Charter, such as the provisions relating to amending our Bylaws, the classified board and director liability.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then outstanding Preferred Stock, holders of our Common Stock are entitled to receive dividends, if any, as may be declared from time to time by our board of directors out of legally available funds.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Rights and Preferences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Fully Paid and Nonassessable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our outstanding shares of Common Stock are, and the shares of Common Stock to be issued in this offering will be,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 - Limitations on Rights of Holders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Provisions of our Charter, our Bylaws and Delaware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provisions of Delaware law and our Charter and our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Anti-Takeover Statute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Undesignated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Special Stockholder Meetings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and Bylaws provide that a special meeting of stockholders may be called only by our chairperson of the board of directors, chief executive officer or president, or by a resolution adopted by a majority of our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Requirements for Advance Notification of Stockholder Nominations and Proposals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establish advance notice procedures with respect to stockholder proposals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Elimination of Stockholder Action by Written Consent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eliminates the right of stockholders to act by written consent without a meeting.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Classified Board; Election and Removal of Directors; Filling Vacancies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Charter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Choice of Forum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DGCL, our Charter or our Bylaws; any action to interpret, apply, enforce or determine the validity of our Charter or our Bylaws; or any action asserting a claim against us or any of our directors, officers or employees that is governed by the internal affairs doctrine. Although our Charter contains the choice of forum provision described above, it is possible that a court could find that such a provision is inapplicable for a particular claim or action or that such provision is unenforceable.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further provide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or proceeding brought on behalf of our company, (ii) any action or proceeding asserting a claim of breach of a fiduciary duty owed by any director, officer or other employee of our company to the company or the company’s stockholders, (iii) any action or proceeding asserting a claim against our company or any director, officer or other employee of our company arising pursuant to any provision of the DGCL, our Charter or our Bylaws, (iv) any action or proceeding to interpret, apply, enforce or determine the validity of our Charter or our Bylaws, or (v) any action or proceeding asserting a claim against our company or any director, officer or other employee of our company governed by the internal affairs doctrine. Section 22 of the Securities Act of 1933, as amended (the “Securities Act”) creates concurrent jurisdiction for federal and state courts over all suits brought to enforce any duty or liability created by the Securities Act or the rules and regulations thereunder. However, our Bylaws provide that federal district courts of the United States of America will be the exclusive forum for the resolution of any complaint asserting a cause or causes of action arising under the Securities Act, including all causes of action asserted against any defendant to such complaint. In addition, Section 27 of the Exchange Act creates exclusive federal jurisdiction over all suits brought to enforce any duty or liability created by the Exchange Act or the rules and regulations thereunder. As a result, the forum provision in our Bylaws will not apply to suits brought to enforce any duty or liability created by the Exchange Act or any other claim for which the federal courts have exclusive jurisdiction. We will inform our investors in each report filed in accordance with the Exchange Act that we describe the terms of our common stock that the forum provision in our Bylaws will not apply to suits brought to enforce any duty or liability created by the Exchange Act or any other claim for which the federal courts have exclusive jurisdiction.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 of Charter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amendment of any of the above provisions, except for the provision making it possible for our board of directors to issue Preferred Stock, would require approval by holders of at least 66 2/3% of the voting power of our then outstanding voting stock.</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Limitations of Liability and Indemnification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breach of the director’s duty of loyalty to us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unlawful payments of dividends or unlawful stock repurchases or redemptions as provided in Section 174 of the DGCL;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from which the director derived an improper personal benefit.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Charter and Bylaws provide that we are required to indemnify our directors and officers, in each case to the fullest extent permitted by Delaware law. Our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limitation of liability and indemnification provisions in our Charter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Nasdaq Global Market 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“ARDX.”</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 The transfer agent and registrar’s address is 6201 15th Avenue, Brooklyn, New York 11219.</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2014 EQUITY INCENTIVE AWARD PLAN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STOCK OPTION GRANT NOTICE</w:t>
      </w:r>
    </w:p>
    <w:p>
      <w:pPr>
        <w:pStyle w:val="TextBody"/>
        <w:bidi w:val="0"/>
        <w:spacing w:lineRule="auto" w:line="288" w:before="0" w:after="180"/>
        <w:ind w:left="0" w:right="0" w:firstLine="360"/>
        <w:jc w:val="both"/>
        <w:rPr/>
      </w:pPr>
      <w:r>
        <w:rPr>
          <w:rFonts w:ascii="Times New Roman;serif" w:hAnsi="Times New Roman;serif"/>
          <w:b w:val="false"/>
          <w:color w:val="000000"/>
          <w:sz w:val="20"/>
        </w:rPr>
        <w:t>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its Amended and Restated 2014 Equity Incentive Award Plan, as may be amended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hereby grants to the holder listed below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an option to purchase the number of shares of the Company’s common stock (“</w:t>
      </w:r>
      <w:r>
        <w:rPr>
          <w:rFonts w:ascii="Times New Roman;serif" w:hAnsi="Times New Roman;serif"/>
          <w:b w:val="false"/>
          <w:color w:val="000000"/>
          <w:sz w:val="20"/>
          <w:u w:val="single"/>
        </w:rPr>
        <w:t>Stock</w:t>
      </w:r>
      <w:r>
        <w:rPr>
          <w:color w:val="000000"/>
        </w:rPr>
        <w:t>”</w:t>
      </w:r>
      <w:r>
        <w:rPr>
          <w:rFonts w:ascii="Times New Roman;serif" w:hAnsi="Times New Roman;serif"/>
          <w:b w:val="false"/>
          <w:color w:val="000000"/>
          <w:sz w:val="20"/>
        </w:rPr>
        <w:t>), set forth below (the “</w:t>
      </w:r>
      <w:r>
        <w:rPr>
          <w:rFonts w:ascii="Times New Roman;serif" w:hAnsi="Times New Roman;serif"/>
          <w:b w:val="false"/>
          <w:color w:val="000000"/>
          <w:sz w:val="20"/>
          <w:u w:val="single"/>
        </w:rPr>
        <w:t>Option</w:t>
      </w:r>
      <w:r>
        <w:rPr>
          <w:color w:val="000000"/>
        </w:rPr>
        <w:t>”</w:t>
      </w:r>
      <w:r>
        <w:rPr>
          <w:rFonts w:ascii="Times New Roman;serif" w:hAnsi="Times New Roman;serif"/>
          <w:b w:val="false"/>
          <w:color w:val="000000"/>
          <w:sz w:val="20"/>
        </w:rPr>
        <w:t>). This Option is subject to all of the terms and conditions set forth herein, as well as in the Plan and the Stock Option Agreement (the “</w:t>
      </w:r>
      <w:r>
        <w:rPr>
          <w:rFonts w:ascii="Times New Roman;serif" w:hAnsi="Times New Roman;serif"/>
          <w:b w:val="false"/>
          <w:color w:val="000000"/>
          <w:sz w:val="20"/>
          <w:u w:val="single"/>
        </w:rPr>
        <w:t>Stock Option Agreement</w:t>
      </w:r>
      <w:r>
        <w:rPr>
          <w:color w:val="000000"/>
        </w:rPr>
        <w:t>”</w:t>
      </w:r>
      <w:r>
        <w:rPr>
          <w:rFonts w:ascii="Times New Roman;serif" w:hAnsi="Times New Roman;serif"/>
          <w:b w:val="false"/>
          <w:color w:val="000000"/>
          <w:sz w:val="20"/>
        </w:rPr>
        <w:t>), each of which are incorporated herein by reference. Unless otherwise defined herein, the terms defined in the Plan shall have the same defined meanings in this Grant Notice and the Stock Option Agreement.</w:t>
      </w:r>
    </w:p>
    <w:p>
      <w:pPr>
        <w:pStyle w:val="TextBody"/>
        <w:bidi w:val="0"/>
        <w:spacing w:before="0" w:after="0"/>
        <w:jc w:val="both"/>
        <w:rPr/>
      </w:pPr>
      <w:r>
        <w:rPr/>
      </w:r>
    </w:p>
    <w:tbl>
      <w:tblPr>
        <w:tblW w:w="3668" w:type="dxa"/>
        <w:jc w:val="left"/>
        <w:tblInd w:w="0" w:type="dxa"/>
        <w:tblLayout w:type="fixed"/>
        <w:tblCellMar>
          <w:top w:w="28" w:type="dxa"/>
          <w:left w:w="28" w:type="dxa"/>
          <w:bottom w:w="28" w:type="dxa"/>
          <w:right w:w="28" w:type="dxa"/>
        </w:tblCellMar>
      </w:tblPr>
      <w:tblGrid>
        <w:gridCol w:w="1073"/>
        <w:gridCol w:w="944"/>
        <w:gridCol w:w="952"/>
        <w:gridCol w:w="109"/>
        <w:gridCol w:w="109"/>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64"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Exercise Price: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64" w:after="283"/>
              <w:jc w:val="left"/>
              <w:rPr>
                <w:rFonts w:ascii="Times New Roman;serif" w:hAnsi="Times New Roman;serif"/>
                <w:b w:val="false"/>
                <w:color w:val="000000"/>
                <w:sz w:val="20"/>
              </w:rPr>
            </w:pPr>
            <w:r>
              <w:rPr>
                <w:rFonts w:ascii="Times New Roman;serif" w:hAnsi="Times New Roman;serif"/>
                <w:b w:val="false"/>
                <w:color w:val="000000"/>
                <w:sz w:val="20"/>
              </w:rPr>
              <w:t>Total Shares Subject to the Option: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64" w:after="283"/>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Type of Option: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Vesting Schedule shall be as follows:</w:t>
      </w:r>
    </w:p>
    <w:p>
      <w:pPr>
        <w:pStyle w:val="TextBody"/>
        <w:bidi w:val="0"/>
        <w:spacing w:before="0" w:after="0"/>
        <w:jc w:val="left"/>
        <w:rPr/>
      </w:pPr>
      <w:r>
        <w:rPr/>
      </w:r>
    </w:p>
    <w:tbl>
      <w:tblPr>
        <w:tblW w:w="2229"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4"/>
        <w:gridCol w:w="294"/>
        <w:gridCol w:w="296"/>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tLeast" w:line="22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Vest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10.3(d)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STOCK OPTION AGREEMENT</w:t>
      </w:r>
    </w:p>
    <w:p>
      <w:pPr>
        <w:pStyle w:val="TextBody"/>
        <w:bidi w:val="0"/>
        <w:spacing w:lineRule="auto" w:line="288" w:before="0" w:after="180"/>
        <w:jc w:val="left"/>
        <w:rPr/>
      </w:pPr>
      <w:r>
        <w:rPr>
          <w:rFonts w:ascii="Times New Roman;serif" w:hAnsi="Times New Roman;serif"/>
          <w:b w:val="false"/>
          <w:color w:val="000000"/>
          <w:sz w:val="20"/>
        </w:rPr>
        <w:t>Pursuant to the Stock Option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to which this Stock Option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attached, 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to Participant an Option under the Company’s Amended and Restated 2014 Equity Incentive Award Plan, as may be amended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to purchase the number of shares of Stock indicated in the Grant Notice.</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1.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Defined Terms</w:t>
      </w:r>
      <w:r>
        <w:rPr>
          <w:rFonts w:ascii="Times New Roman;serif" w:hAnsi="Times New Roman;serif"/>
          <w:b w:val="false"/>
          <w:color w:val="000000"/>
          <w:sz w:val="20"/>
        </w:rPr>
        <w:t>. Wherever the following terms are used in this Agreement they shall have the meanings specified below, unless the context clearly indicates otherwise. Capitalized terms not specifically defined herein shall have the meanings specified in the Plan and the Grant Notice.</w:t>
      </w:r>
    </w:p>
    <w:p>
      <w:pPr>
        <w:pStyle w:val="TextBody"/>
        <w:bidi w:val="0"/>
        <w:spacing w:lineRule="auto" w:line="288" w:before="0" w:after="0"/>
        <w:jc w:val="both"/>
        <w:rPr/>
      </w:pPr>
      <w:r>
        <w:rPr>
          <w:rFonts w:ascii="Times New Roman;serif" w:hAnsi="Times New Roman;serif"/>
          <w:b w:val="false"/>
          <w:color w:val="000000"/>
          <w:sz w:val="22"/>
        </w:rPr>
        <w:t>1.2</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The Option is subject to the terms and conditions of the Plan which are incorporated herein by reference. In the event of any inconsistency between the Plan and this Agreement, the terms of the Plan shall control.</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GRANT OF OPTION</w:t>
      </w:r>
    </w:p>
    <w:p>
      <w:pPr>
        <w:pStyle w:val="TextBody"/>
        <w:bidi w:val="0"/>
        <w:spacing w:lineRule="auto" w:line="288" w:before="0" w:after="180"/>
        <w:jc w:val="left"/>
        <w:rPr/>
      </w:pPr>
      <w:r>
        <w:rPr>
          <w:rFonts w:ascii="Times New Roman;serif" w:hAnsi="Times New Roman;serif"/>
          <w:b w:val="false"/>
          <w:color w:val="000000"/>
          <w:sz w:val="20"/>
        </w:rPr>
        <w:t>2.1</w:t>
      </w:r>
      <w:r>
        <w:rPr>
          <w:rFonts w:ascii="Times New Roman;serif" w:hAnsi="Times New Roman;serif"/>
          <w:b w:val="false"/>
          <w:color w:val="000000"/>
          <w:sz w:val="20"/>
          <w:u w:val="single"/>
        </w:rPr>
        <w:t>Grant of Option</w:t>
      </w:r>
      <w:r>
        <w:rPr>
          <w:rFonts w:ascii="Times New Roman;serif" w:hAnsi="Times New Roman;serif"/>
          <w:b w:val="false"/>
          <w:color w:val="000000"/>
          <w:sz w:val="20"/>
        </w:rPr>
        <w:t>. In consideration of Participant’s past and/or continued employment with or service to the Company or any Affiliate and for other good and valuable consideration, effective as of the Grant Date set forth in the Grant Notice (the “</w:t>
      </w:r>
      <w:r>
        <w:rPr>
          <w:rFonts w:ascii="Times New Roman;serif" w:hAnsi="Times New Roman;serif"/>
          <w:b w:val="false"/>
          <w:color w:val="000000"/>
          <w:sz w:val="20"/>
          <w:u w:val="single"/>
        </w:rPr>
        <w:t>Grant Date</w:t>
      </w:r>
      <w:r>
        <w:rPr>
          <w:color w:val="000000"/>
        </w:rPr>
        <w:t>”</w:t>
      </w:r>
      <w:r>
        <w:rPr>
          <w:rFonts w:ascii="Times New Roman;serif" w:hAnsi="Times New Roman;serif"/>
          <w:b w:val="false"/>
          <w:color w:val="000000"/>
          <w:sz w:val="20"/>
        </w:rPr>
        <w:t>), the Company irrevocably grants to Participant the Option to purchase any part or all of an aggregate of the number of shares of Stock set forth in the Grant Notice, upon the terms and conditions set forth in the Plan and this Agreement, subject to adjustments as provided in Section 13.2 of the Plan. Unless designated as a Non-Qualified Stock Option in the Grant Notice, the Option shall be an Incentive Stock Option to the maximum extent permitted by law.</w:t>
      </w:r>
    </w:p>
    <w:p>
      <w:pPr>
        <w:pStyle w:val="TextBody"/>
        <w:bidi w:val="0"/>
        <w:spacing w:lineRule="auto" w:line="288" w:before="0" w:after="180"/>
        <w:jc w:val="left"/>
        <w:rPr/>
      </w:pPr>
      <w:r>
        <w:rPr>
          <w:rFonts w:ascii="Times New Roman;serif" w:hAnsi="Times New Roman;serif"/>
          <w:b w:val="false"/>
          <w:color w:val="000000"/>
          <w:sz w:val="20"/>
        </w:rPr>
        <w:t>2.2</w:t>
      </w:r>
      <w:r>
        <w:rPr>
          <w:rFonts w:ascii="Times New Roman;serif" w:hAnsi="Times New Roman;serif"/>
          <w:b w:val="false"/>
          <w:color w:val="000000"/>
          <w:sz w:val="20"/>
          <w:u w:val="single"/>
        </w:rPr>
        <w:t>Exercise Price</w:t>
      </w:r>
      <w:r>
        <w:rPr>
          <w:rFonts w:ascii="Times New Roman;serif" w:hAnsi="Times New Roman;serif"/>
          <w:b w:val="false"/>
          <w:color w:val="000000"/>
          <w:sz w:val="20"/>
        </w:rPr>
        <w:t xml:space="preserve">. The exercise price of the shares of Stock subject to the Option shall be as set forth in the Grant Notice, without commission or other charge;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price per share of the shares of Stock subject to the Option shall not be less than 100% of the Fair Market Value of a share of Stock on the Grant Date. Notwithstanding the foregoing, if this Option is designated as an Incentive Stock Option and Participant is a Greater Than 10% Stockholder as of the Date of Grant, the exercise price per share of the shares of Stock subject to the Option shall not be less than 110% of the Fair Market Value of a share of Stock on the Grant Date.</w:t>
      </w:r>
    </w:p>
    <w:p>
      <w:pPr>
        <w:pStyle w:val="TextBody"/>
        <w:bidi w:val="0"/>
        <w:spacing w:lineRule="auto" w:line="288" w:before="0" w:after="180"/>
        <w:jc w:val="left"/>
        <w:rPr/>
      </w:pPr>
      <w:r>
        <w:rPr>
          <w:rFonts w:ascii="Times New Roman;serif" w:hAnsi="Times New Roman;serif"/>
          <w:b w:val="false"/>
          <w:color w:val="000000"/>
          <w:sz w:val="20"/>
        </w:rPr>
        <w:t>2.3</w:t>
      </w:r>
      <w:r>
        <w:rPr>
          <w:rFonts w:ascii="Times New Roman;serif" w:hAnsi="Times New Roman;serif"/>
          <w:b w:val="false"/>
          <w:color w:val="000000"/>
          <w:sz w:val="20"/>
          <w:u w:val="single"/>
        </w:rPr>
        <w:t>Consideration to the Company</w:t>
      </w:r>
      <w:r>
        <w:rPr>
          <w:rFonts w:ascii="Times New Roman;serif" w:hAnsi="Times New Roman;serif"/>
          <w:b w:val="false"/>
          <w:color w:val="000000"/>
          <w:sz w:val="20"/>
        </w:rPr>
        <w:t>. In consideration of the grant of the Option by the Company, Participant agrees to render faithful and efficient services to the Company or any Affiliate. Nothing in the Plan or this Agreement shall confer upon Participant any right to continue in the employ or service of the Company or any Affiliate or shall interfere with or restrict in any way the rights of the Company and its Affiliates, which rights are hereby expressly reserved, to discharge or terminate the services of Participant at any time for any reason whatsoever, with or without cause, except to the extent expressly provided otherwise in a written agreement between the Company or an Affiliate and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3.</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PERIOD OF EXERCISABILITY</w:t>
      </w:r>
    </w:p>
    <w:p>
      <w:pPr>
        <w:pStyle w:val="TextBody"/>
        <w:bidi w:val="0"/>
        <w:spacing w:lineRule="auto" w:line="288" w:before="0" w:after="180"/>
        <w:jc w:val="left"/>
        <w:rPr/>
      </w:pPr>
      <w:r>
        <w:rPr>
          <w:rFonts w:ascii="Times New Roman;serif" w:hAnsi="Times New Roman;serif"/>
          <w:b w:val="false"/>
          <w:color w:val="000000"/>
          <w:sz w:val="20"/>
        </w:rPr>
        <w:t>3.1</w:t>
      </w:r>
      <w:r>
        <w:rPr>
          <w:rFonts w:ascii="Times New Roman;serif" w:hAnsi="Times New Roman;serif"/>
          <w:b w:val="false"/>
          <w:color w:val="000000"/>
          <w:sz w:val="20"/>
          <w:u w:val="single"/>
        </w:rPr>
        <w:t>Commencement of Exercisability</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Sections 3.2, 3.3, 5.11 and 5.17 hereof, the Option shall become vested and exercisable in such amounts and at such times as are set forth in the Grant Notice.</w:t>
      </w:r>
    </w:p>
    <w:p>
      <w:pPr>
        <w:pStyle w:val="TextBody"/>
        <w:bidi w:val="0"/>
        <w:spacing w:lineRule="auto" w:line="288" w:before="0" w:after="180"/>
        <w:jc w:val="both"/>
        <w:rPr/>
      </w:pPr>
      <w:r>
        <w:rPr>
          <w:rFonts w:ascii="Times New Roman;serif" w:hAnsi="Times New Roman;serif"/>
          <w:b w:val="false"/>
          <w:color w:val="000000"/>
          <w:sz w:val="20"/>
        </w:rPr>
        <w:t>(b)</w:t>
      </w:r>
      <w:r>
        <w:rPr>
          <w:rFonts w:ascii="Times New Roman;serif" w:hAnsi="Times New Roman;serif"/>
          <w:b w:val="false"/>
          <w:color w:val="000000"/>
          <w:sz w:val="20"/>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pStyle w:val="TextBody"/>
        <w:bidi w:val="0"/>
        <w:spacing w:lineRule="auto" w:line="288" w:before="0" w:after="180"/>
        <w:jc w:val="both"/>
        <w:rPr/>
      </w:pPr>
      <w:r>
        <w:rPr>
          <w:rFonts w:ascii="Times New Roman;serif" w:hAnsi="Times New Roman;serif"/>
          <w:b w:val="false"/>
          <w:color w:val="000000"/>
          <w:sz w:val="20"/>
        </w:rPr>
        <w:t>(c)</w:t>
      </w:r>
      <w:r>
        <w:rPr>
          <w:rFonts w:ascii="Times New Roman;serif" w:hAnsi="Times New Roman;serif"/>
          <w:b w:val="false"/>
          <w:color w:val="000000"/>
          <w:sz w:val="20"/>
        </w:rPr>
        <w:t>Notwithstanding Sections 3.1(a) hereof and the Grant Notice, but subject to Section 3.1(b) hereof, in the event of a Change in Control the Option shall be treated pursuant to Section 13.2 of the Plan.</w:t>
      </w:r>
    </w:p>
    <w:p>
      <w:pPr>
        <w:pStyle w:val="TextBody"/>
        <w:bidi w:val="0"/>
        <w:spacing w:lineRule="auto" w:line="288" w:before="0" w:after="180"/>
        <w:jc w:val="left"/>
        <w:rPr/>
      </w:pPr>
      <w:r>
        <w:rPr>
          <w:rFonts w:ascii="Times New Roman;serif" w:hAnsi="Times New Roman;serif"/>
          <w:b w:val="false"/>
          <w:color w:val="000000"/>
          <w:sz w:val="20"/>
        </w:rPr>
        <w:t>3.2</w:t>
      </w:r>
      <w:r>
        <w:rPr>
          <w:rFonts w:ascii="Times New Roman;serif" w:hAnsi="Times New Roman;serif"/>
          <w:b w:val="false"/>
          <w:color w:val="000000"/>
          <w:sz w:val="20"/>
          <w:u w:val="single"/>
        </w:rPr>
        <w:t>Duration of Exercisability</w:t>
      </w:r>
      <w:r>
        <w:rPr>
          <w:rFonts w:ascii="Times New Roman;serif" w:hAnsi="Times New Roman;serif"/>
          <w:b w:val="false"/>
          <w:color w:val="000000"/>
          <w:sz w:val="20"/>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pStyle w:val="TextBody"/>
        <w:bidi w:val="0"/>
        <w:spacing w:lineRule="auto" w:line="288" w:before="0" w:after="180"/>
        <w:jc w:val="left"/>
        <w:rPr/>
      </w:pPr>
      <w:r>
        <w:rPr>
          <w:rFonts w:ascii="Times New Roman;serif" w:hAnsi="Times New Roman;serif"/>
          <w:b w:val="false"/>
          <w:color w:val="000000"/>
          <w:sz w:val="20"/>
        </w:rPr>
        <w:t>3.3</w:t>
      </w:r>
      <w:r>
        <w:rPr>
          <w:rFonts w:ascii="Times New Roman;serif" w:hAnsi="Times New Roman;serif"/>
          <w:b w:val="false"/>
          <w:color w:val="000000"/>
          <w:sz w:val="20"/>
          <w:u w:val="single"/>
        </w:rPr>
        <w:t>Expiration of Option</w:t>
      </w:r>
      <w:r>
        <w:rPr>
          <w:rFonts w:ascii="Times New Roman;serif" w:hAnsi="Times New Roman;serif"/>
          <w:b w:val="false"/>
          <w:color w:val="000000"/>
          <w:sz w:val="20"/>
        </w:rPr>
        <w:t>. The Option may not be exercised to any extent by anyone after the first to occur of the following events:</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The Expiration Date set forth in the Grant Notice, which shall in no event be more than ten (10) years from the Grant Date;</w:t>
      </w:r>
    </w:p>
    <w:p>
      <w:pPr>
        <w:pStyle w:val="TextBody"/>
        <w:bidi w:val="0"/>
        <w:spacing w:lineRule="auto" w:line="288" w:before="0" w:after="180"/>
        <w:jc w:val="both"/>
        <w:rPr/>
      </w:pPr>
      <w:r>
        <w:rPr>
          <w:rFonts w:ascii="Times New Roman;serif" w:hAnsi="Times New Roman;serif"/>
          <w:b w:val="false"/>
          <w:color w:val="000000"/>
          <w:sz w:val="20"/>
        </w:rPr>
        <w:t>(b)</w:t>
      </w:r>
      <w:r>
        <w:rPr>
          <w:rFonts w:ascii="Times New Roman;serif" w:hAnsi="Times New Roman;serif"/>
          <w:b w:val="false"/>
          <w:color w:val="000000"/>
          <w:sz w:val="20"/>
        </w:rPr>
        <w:t>If this Option is designated as an Incentive Stock Option and Participant, at the time the Option was granted, was a Greater Than 10% Stockholder, the expiration of five (5) years from the Grant Date;</w:t>
      </w:r>
    </w:p>
    <w:p>
      <w:pPr>
        <w:pStyle w:val="TextBody"/>
        <w:bidi w:val="0"/>
        <w:spacing w:lineRule="auto" w:line="288" w:before="0" w:after="180"/>
        <w:jc w:val="both"/>
        <w:rPr/>
      </w:pPr>
      <w:r>
        <w:rPr>
          <w:rFonts w:ascii="Times New Roman;serif" w:hAnsi="Times New Roman;serif"/>
          <w:b w:val="false"/>
          <w:color w:val="000000"/>
          <w:sz w:val="20"/>
        </w:rPr>
        <w:t>(c)</w:t>
      </w:r>
      <w:r>
        <w:rPr>
          <w:rFonts w:ascii="Times New Roman;serif" w:hAnsi="Times New Roman;serif"/>
          <w:b w:val="false"/>
          <w:color w:val="000000"/>
          <w:sz w:val="20"/>
        </w:rPr>
        <w:t>The expiration of three (3) months from the date of Participant’s Termination of Service, unless such termination occurs by reason of Participant’s death or disability; or</w:t>
      </w:r>
    </w:p>
    <w:p>
      <w:pPr>
        <w:pStyle w:val="TextBody"/>
        <w:bidi w:val="0"/>
        <w:spacing w:lineRule="auto" w:line="288" w:before="0" w:after="180"/>
        <w:jc w:val="both"/>
        <w:rPr/>
      </w:pPr>
      <w:r>
        <w:rPr>
          <w:rFonts w:ascii="Times New Roman;serif" w:hAnsi="Times New Roman;serif"/>
          <w:b w:val="false"/>
          <w:color w:val="000000"/>
          <w:sz w:val="20"/>
        </w:rPr>
        <w:t>(d)</w:t>
      </w:r>
      <w:r>
        <w:rPr>
          <w:rFonts w:ascii="Times New Roman;serif" w:hAnsi="Times New Roman;serif"/>
          <w:b w:val="false"/>
          <w:color w:val="000000"/>
          <w:sz w:val="20"/>
        </w:rPr>
        <w:t>The expiration of one (1) year from the date of Participant’s Termination of Service by reason of Participant’s death or disability.</w:t>
      </w:r>
    </w:p>
    <w:p>
      <w:pPr>
        <w:pStyle w:val="TextBody"/>
        <w:bidi w:val="0"/>
        <w:spacing w:lineRule="auto" w:line="288" w:before="0" w:after="180"/>
        <w:jc w:val="left"/>
        <w:rPr/>
      </w:pPr>
      <w:r>
        <w:rPr>
          <w:rFonts w:ascii="Times New Roman;serif" w:hAnsi="Times New Roman;serif"/>
          <w:b w:val="false"/>
          <w:color w:val="000000"/>
          <w:sz w:val="20"/>
        </w:rPr>
        <w:t>3.4</w:t>
      </w:r>
      <w:r>
        <w:rPr>
          <w:rFonts w:ascii="Times New Roman;serif" w:hAnsi="Times New Roman;serif"/>
          <w:b w:val="false"/>
          <w:color w:val="000000"/>
          <w:sz w:val="20"/>
          <w:u w:val="single"/>
        </w:rPr>
        <w:t>Special Tax Consequences</w:t>
      </w:r>
      <w:r>
        <w:rPr>
          <w:rFonts w:ascii="Times New Roman;serif" w:hAnsi="Times New Roman;serif"/>
          <w:b w:val="false"/>
          <w:color w:val="000000"/>
          <w:sz w:val="20"/>
        </w:rPr>
        <w:t>. Participant acknowledges that, to the extent that the aggregate Fair Market Value (determined as of the time the Option is granted) of all shares of Stock with respect to which Incentive Stock Options, including the Option (if applicable), are exercisable for the first time by Participant in any calendar year exceeds $100,000, the Option and such other options shall be Non-Qualified Stock Options to the extent necessary to comply with the limitations imposed by Section 422(d) of the Code.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Participant also acknowledges that an Incentive Stock Option exercised more than three (3) months after Participant’s Termination of Employment, other than by reason of death or disability, will be taxed as a Non-Qualified Stock Option.</w:t>
      </w:r>
    </w:p>
    <w:p>
      <w:pPr>
        <w:pStyle w:val="TextBody"/>
        <w:bidi w:val="0"/>
        <w:spacing w:lineRule="auto" w:line="288" w:before="0" w:after="180"/>
        <w:jc w:val="both"/>
        <w:rPr/>
      </w:pPr>
      <w:r>
        <w:rPr>
          <w:rFonts w:ascii="Times New Roman;serif" w:hAnsi="Times New Roman;serif"/>
          <w:b w:val="false"/>
          <w:color w:val="000000"/>
          <w:sz w:val="20"/>
        </w:rPr>
        <w:t>3.5</w:t>
      </w:r>
      <w:r>
        <w:rPr>
          <w:rFonts w:ascii="Times New Roman;serif" w:hAnsi="Times New Roman;serif"/>
          <w:b w:val="false"/>
          <w:color w:val="000000"/>
          <w:sz w:val="20"/>
          <w:u w:val="single"/>
        </w:rPr>
        <w:t>Tax Indemnity</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Participant agrees to indemnify and keep indemnified the Company, any Affiliate and Participant’s employing company, if different, from and against any liability for or obligation to pay any Tax Liability (a “</w:t>
      </w:r>
      <w:r>
        <w:rPr>
          <w:rFonts w:ascii="Times New Roman;serif" w:hAnsi="Times New Roman;serif"/>
          <w:b w:val="false"/>
          <w:color w:val="000000"/>
          <w:sz w:val="20"/>
          <w:u w:val="single"/>
        </w:rPr>
        <w:t>Tax Liability</w:t>
      </w:r>
      <w:r>
        <w:rPr>
          <w:color w:val="000000"/>
        </w:rPr>
        <w:t xml:space="preserve">” </w:t>
      </w:r>
      <w:r>
        <w:rPr>
          <w:rFonts w:ascii="Times New Roman;serif" w:hAnsi="Times New Roman;serif"/>
          <w:b w:val="false"/>
          <w:color w:val="000000"/>
          <w:sz w:val="20"/>
        </w:rPr>
        <w:t>being any liability for income tax, withholding tax and any other employment related taxes or social security contributions in any jurisdiction) that is attributable to (1) the grant or exercise of, or any benefit derived by Participant from, the Option, (2) the acquisition by Participant of the Stock on exercise of the Option or (3) the disposal of any Stock.</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The Option cannot be exercised until Participant has made such arrangements as the Company may require for the satisfaction of any Tax Liability that may arise in connection with the exercise of the Option and/or the acquisition of the Stock by Participant. The Company shall not be required to issue, allot or transfer Stock until Participant has satisfied this obligation.</w:t>
      </w:r>
    </w:p>
    <w:p>
      <w:pPr>
        <w:pStyle w:val="TextBody"/>
        <w:bidi w:val="0"/>
        <w:spacing w:lineRule="auto" w:line="288" w:before="0" w:after="18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Participant hereby acknowledges that the Company (i) makes no representations or undertakings regarding the treatment of any Tax Liabilities in connection with any aspect of the Option and (ii) does not commit to and is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no obligation to structure the terms of the grant or any aspect of any Award, including the Option, to reduce or eliminate Participant’s liability for Tax Liabilities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 Liabilities in more than one jurisdiction.</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4.</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EXERCISE OF OPTION</w:t>
      </w:r>
    </w:p>
    <w:p>
      <w:pPr>
        <w:pStyle w:val="TextBody"/>
        <w:bidi w:val="0"/>
        <w:spacing w:lineRule="auto" w:line="288" w:before="0" w:after="180"/>
        <w:jc w:val="left"/>
        <w:rPr/>
      </w:pPr>
      <w:r>
        <w:rPr>
          <w:rFonts w:ascii="Times New Roman;serif" w:hAnsi="Times New Roman;serif"/>
          <w:b w:val="false"/>
          <w:color w:val="000000"/>
          <w:sz w:val="20"/>
        </w:rPr>
        <w:t>4.1</w:t>
      </w:r>
      <w:r>
        <w:rPr>
          <w:rFonts w:ascii="Times New Roman;serif" w:hAnsi="Times New Roman;serif"/>
          <w:b w:val="false"/>
          <w:color w:val="000000"/>
          <w:sz w:val="20"/>
          <w:u w:val="single"/>
        </w:rPr>
        <w:t>Person Eligible to Exercise</w:t>
      </w:r>
      <w:r>
        <w:rPr>
          <w:rFonts w:ascii="Times New Roman;serif" w:hAnsi="Times New Roman;serif"/>
          <w:b w:val="false"/>
          <w:color w:val="000000"/>
          <w:sz w:val="20"/>
        </w:rPr>
        <w:t>.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lineRule="auto" w:line="288" w:before="0" w:after="180"/>
        <w:jc w:val="left"/>
        <w:rPr/>
      </w:pPr>
      <w:r>
        <w:rPr>
          <w:rFonts w:ascii="Times New Roman;serif" w:hAnsi="Times New Roman;serif"/>
          <w:b w:val="false"/>
          <w:color w:val="000000"/>
          <w:sz w:val="20"/>
        </w:rPr>
        <w:t>4.2</w:t>
      </w:r>
      <w:r>
        <w:rPr>
          <w:rFonts w:ascii="Times New Roman;serif" w:hAnsi="Times New Roman;serif"/>
          <w:b w:val="false"/>
          <w:color w:val="000000"/>
          <w:sz w:val="20"/>
          <w:u w:val="single"/>
        </w:rPr>
        <w:t>Partial Exercise</w:t>
      </w:r>
      <w:r>
        <w:rPr>
          <w:rFonts w:ascii="Times New Roman;serif" w:hAnsi="Times New Roman;serif"/>
          <w:b w:val="false"/>
          <w:color w:val="000000"/>
          <w:sz w:val="20"/>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 of Stock.</w:t>
      </w:r>
    </w:p>
    <w:p>
      <w:pPr>
        <w:pStyle w:val="TextBody"/>
        <w:bidi w:val="0"/>
        <w:spacing w:lineRule="auto" w:line="288" w:before="0" w:after="180"/>
        <w:jc w:val="left"/>
        <w:rPr/>
      </w:pPr>
      <w:r>
        <w:rPr>
          <w:rFonts w:ascii="Times New Roman;serif" w:hAnsi="Times New Roman;serif"/>
          <w:b w:val="false"/>
          <w:color w:val="000000"/>
          <w:sz w:val="20"/>
        </w:rPr>
        <w:t>4.3</w:t>
      </w:r>
      <w:r>
        <w:rPr>
          <w:rFonts w:ascii="Times New Roman;serif" w:hAnsi="Times New Roman;serif"/>
          <w:b w:val="false"/>
          <w:color w:val="000000"/>
          <w:sz w:val="20"/>
          <w:u w:val="single"/>
        </w:rPr>
        <w:t>Manner of Exercise</w:t>
      </w:r>
      <w:r>
        <w:rPr>
          <w:rFonts w:ascii="Times New Roman;serif" w:hAnsi="Times New Roman;serif"/>
          <w:b w:val="false"/>
          <w:color w:val="000000"/>
          <w:sz w:val="20"/>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The receipt by the Company of full payment for the shares of Stock with respect to which the Option or portion thereof is exercised, including payment of any applicable withholding tax, which shall be made by deduction from other compensation payable to Participant or in such other form of consideration permitted under Section 4.4 hereof that is acceptable to the Company;</w:t>
      </w:r>
    </w:p>
    <w:p>
      <w:pPr>
        <w:pStyle w:val="TextBody"/>
        <w:bidi w:val="0"/>
        <w:spacing w:lineRule="auto" w:line="288" w:before="0" w:after="180"/>
        <w:jc w:val="left"/>
        <w:rPr/>
      </w:pPr>
      <w:r>
        <w:rPr>
          <w:rFonts w:ascii="Times New Roman;serif" w:hAnsi="Times New Roman;serif"/>
          <w:b w:val="false"/>
          <w:color w:val="000000"/>
          <w:sz w:val="20"/>
        </w:rPr>
        <w:t>(c)</w:t>
      </w:r>
      <w:r>
        <w:rPr>
          <w:rFonts w:ascii="Times New Roman;serif" w:hAnsi="Times New Roman;serif"/>
          <w:b w:val="false"/>
          <w:color w:val="000000"/>
          <w:sz w:val="20"/>
        </w:rPr>
        <w:t>Any other written representations or documents as may be required in the Administrator’s sole discretion to evidence compliance with the Securities Act, the Exchange Act or any other applicable law, rule or regulation; and</w:t>
      </w:r>
    </w:p>
    <w:p>
      <w:pPr>
        <w:pStyle w:val="TextBody"/>
        <w:bidi w:val="0"/>
        <w:spacing w:lineRule="auto" w:line="288" w:before="0" w:after="180"/>
        <w:jc w:val="left"/>
        <w:rPr/>
      </w:pPr>
      <w:r>
        <w:rPr>
          <w:rFonts w:ascii="Times New Roman;serif" w:hAnsi="Times New Roman;serif"/>
          <w:b w:val="false"/>
          <w:color w:val="000000"/>
          <w:sz w:val="20"/>
        </w:rPr>
        <w:t>(d)</w:t>
      </w:r>
      <w:r>
        <w:rPr>
          <w:rFonts w:ascii="Times New Roman;serif" w:hAnsi="Times New Roman;serif"/>
          <w:b w:val="false"/>
          <w:color w:val="000000"/>
          <w:sz w:val="20"/>
        </w:rPr>
        <w:t>In the event the Option or portion thereof shall be exercised pursuant to Section 4.1 hereof by any person or persons other than Participant, appropriate proof of the right of such person or persons to exercise the Option.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any of the foregoing, the Company shall have the right to specify all conditions of the manner of exercise, which conditions may vary by country and which may be subject to change from time to time.</w:t>
      </w:r>
    </w:p>
    <w:p>
      <w:pPr>
        <w:pStyle w:val="TextBody"/>
        <w:bidi w:val="0"/>
        <w:spacing w:lineRule="auto" w:line="288" w:before="0" w:after="180"/>
        <w:jc w:val="left"/>
        <w:rPr/>
      </w:pPr>
      <w:r>
        <w:rPr>
          <w:rFonts w:ascii="Times New Roman;serif" w:hAnsi="Times New Roman;serif"/>
          <w:b w:val="false"/>
          <w:color w:val="000000"/>
          <w:sz w:val="20"/>
        </w:rPr>
        <w:t>4.4</w:t>
      </w:r>
      <w:r>
        <w:rPr>
          <w:rFonts w:ascii="Times New Roman;serif" w:hAnsi="Times New Roman;serif"/>
          <w:b w:val="false"/>
          <w:color w:val="000000"/>
          <w:sz w:val="20"/>
          <w:u w:val="single"/>
        </w:rPr>
        <w:t>Method of Payment</w:t>
      </w:r>
      <w:r>
        <w:rPr>
          <w:rFonts w:ascii="Times New Roman;serif" w:hAnsi="Times New Roman;serif"/>
          <w:b w:val="false"/>
          <w:color w:val="000000"/>
          <w:sz w:val="20"/>
        </w:rPr>
        <w:t>. Payment of the exercise price shall be by any of the following, or a combination thereof, at the election of Participant:</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Cash or check;</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With the consent of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pStyle w:val="TextBody"/>
        <w:bidi w:val="0"/>
        <w:spacing w:lineRule="auto" w:line="288" w:before="0" w:after="18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Other legal consideration acceptable to the Administrator (including, without limitation, through the delivery of a notice that Participant has placed a market sell order with a broker with respect to shares of Stock then issuable upon exercise of the Option, and that the broker has been directed to pay a sufficient portion of the net proceeds of the sale to the Company in satisfaction of the Option exercise price;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payment of such proceeds is then made to the Company at such time as may be required by the Company, but in any event not later than the settlement of such sale).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4.5</w:t>
      </w:r>
      <w:r>
        <w:rPr>
          <w:rFonts w:ascii="Times New Roman;serif" w:hAnsi="Times New Roman;serif"/>
          <w:b w:val="false"/>
          <w:color w:val="000000"/>
          <w:sz w:val="20"/>
          <w:u w:val="single"/>
        </w:rPr>
        <w:t>Conditions to Issuance of Stock</w:t>
      </w:r>
      <w:r>
        <w:rPr>
          <w:rFonts w:ascii="Times New Roman;serif" w:hAnsi="Times New Roman;serif"/>
          <w:b w:val="false"/>
          <w:color w:val="000000"/>
          <w:sz w:val="20"/>
        </w:rPr>
        <w:t>. The shares of Stock deliverable upon the exercise of the Option, or any portion thereof, may be either previously authorized but unissued shares of Stock or issued shares of Stock which have then been reacquired by the Company. Such shares of Stock shall be fully paid and nonassessable. The Company shall not be required to issue or deliver any shares of Stock purchased upon the exercise of the Option or portion thereof prior to fulfillment of all of the conditions in Section 11.4 of the Plan and following conditions:</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The admission of such shares of Stock to listing on all stock exchanges on which such Stock is then listed;</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The completion of any registration or other qualification of such shares of Stock under any state or federal law or under rulings or regulations of the Securities and Exchange Commission or of any other governmental regulatory body, which the Administrator shall, in its absolute discretion, deem necessary or advisable;</w:t>
      </w:r>
    </w:p>
    <w:p>
      <w:pPr>
        <w:pStyle w:val="TextBody"/>
        <w:bidi w:val="0"/>
        <w:spacing w:lineRule="auto" w:line="288" w:before="0" w:after="180"/>
        <w:jc w:val="left"/>
        <w:rPr/>
      </w:pPr>
      <w:r>
        <w:rPr>
          <w:rFonts w:ascii="Times New Roman;serif" w:hAnsi="Times New Roman;serif"/>
          <w:b w:val="false"/>
          <w:color w:val="000000"/>
          <w:sz w:val="20"/>
        </w:rPr>
        <w:t>(c)</w:t>
      </w:r>
      <w:r>
        <w:rPr>
          <w:rFonts w:ascii="Times New Roman;serif" w:hAnsi="Times New Roman;serif"/>
          <w:b w:val="false"/>
          <w:color w:val="000000"/>
          <w:sz w:val="20"/>
        </w:rPr>
        <w:t>The obtaining of any approval or other clearance from any state or federal governmental agency which the Administrator shall, in its absolute discretion, determine to be necessary or advisable;</w:t>
      </w:r>
    </w:p>
    <w:p>
      <w:pPr>
        <w:pStyle w:val="TextBody"/>
        <w:bidi w:val="0"/>
        <w:spacing w:lineRule="auto" w:line="288" w:before="0" w:after="180"/>
        <w:jc w:val="left"/>
        <w:rPr/>
      </w:pPr>
      <w:r>
        <w:rPr>
          <w:rFonts w:ascii="Times New Roman;serif" w:hAnsi="Times New Roman;serif"/>
          <w:b w:val="false"/>
          <w:color w:val="000000"/>
          <w:sz w:val="20"/>
        </w:rPr>
        <w:t>(d)</w:t>
      </w:r>
      <w:r>
        <w:rPr>
          <w:rFonts w:ascii="Times New Roman;serif" w:hAnsi="Times New Roman;serif"/>
          <w:b w:val="false"/>
          <w:color w:val="000000"/>
          <w:sz w:val="20"/>
        </w:rPr>
        <w:t>The receipt by the Company of full payment for such shares of Stock, including payment of any applicable withholding tax, which may be in one or more of the forms of consideration permitted under Section 4.4 hereof; and</w:t>
      </w:r>
    </w:p>
    <w:p>
      <w:pPr>
        <w:pStyle w:val="TextBody"/>
        <w:bidi w:val="0"/>
        <w:spacing w:lineRule="auto" w:line="288" w:before="0" w:after="180"/>
        <w:jc w:val="left"/>
        <w:rPr/>
      </w:pPr>
      <w:r>
        <w:rPr>
          <w:rFonts w:ascii="Times New Roman;serif" w:hAnsi="Times New Roman;serif"/>
          <w:b w:val="false"/>
          <w:color w:val="000000"/>
          <w:sz w:val="20"/>
        </w:rPr>
        <w:t>(e)</w:t>
      </w:r>
      <w:r>
        <w:rPr>
          <w:rFonts w:ascii="Times New Roman;serif" w:hAnsi="Times New Roman;serif"/>
          <w:b w:val="false"/>
          <w:color w:val="000000"/>
          <w:sz w:val="20"/>
        </w:rPr>
        <w:t>The lapse of such reasonable period of time following the exercise of the Option as the Administrator may from time to time establish for reasons of administrative convenience.</w:t>
      </w:r>
    </w:p>
    <w:p>
      <w:pPr>
        <w:pStyle w:val="TextBody"/>
        <w:bidi w:val="0"/>
        <w:spacing w:lineRule="auto" w:line="288" w:before="0" w:after="180"/>
        <w:jc w:val="left"/>
        <w:rPr/>
      </w:pPr>
      <w:r>
        <w:rPr>
          <w:rFonts w:ascii="Times New Roman;serif" w:hAnsi="Times New Roman;serif"/>
          <w:b w:val="false"/>
          <w:color w:val="000000"/>
          <w:sz w:val="20"/>
        </w:rPr>
        <w:t>4.6</w:t>
      </w: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The holder of the Option shall not be, nor have any of the rights or privileges of, a stockholder of the Company, including, without limitation, voting rights and rights to dividends, in respect of any shares of Stock purchasable upon the exercise of any part of the Option unless and until such shares of Stock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13.2 of the Plan.</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OTHER PROVISIONS</w:t>
      </w:r>
    </w:p>
    <w:p>
      <w:pPr>
        <w:pStyle w:val="TextBody"/>
        <w:bidi w:val="0"/>
        <w:spacing w:lineRule="auto" w:line="288" w:before="0" w:after="180"/>
        <w:jc w:val="left"/>
        <w:rPr/>
      </w:pPr>
      <w:r>
        <w:rPr>
          <w:rFonts w:ascii="Times New Roman;serif" w:hAnsi="Times New Roman;serif"/>
          <w:b w:val="false"/>
          <w:color w:val="000000"/>
          <w:sz w:val="20"/>
        </w:rPr>
        <w:t>5.1</w:t>
      </w:r>
      <w:r>
        <w:rPr>
          <w:rFonts w:ascii="Times New Roman;serif" w:hAnsi="Times New Roman;serif"/>
          <w:b w:val="false"/>
          <w:color w:val="000000"/>
          <w:sz w:val="20"/>
          <w:u w:val="single"/>
        </w:rPr>
        <w:t>Administration</w:t>
      </w:r>
      <w:r>
        <w:rPr>
          <w:rFonts w:ascii="Times New Roman;serif" w:hAnsi="Times New Roman;serif"/>
          <w:b w:val="false"/>
          <w:color w:val="000000"/>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w:t>
      </w:r>
    </w:p>
    <w:p>
      <w:pPr>
        <w:pStyle w:val="TextBody"/>
        <w:bidi w:val="0"/>
        <w:spacing w:lineRule="auto" w:line="288" w:before="0" w:after="180"/>
        <w:jc w:val="left"/>
        <w:rPr/>
      </w:pPr>
      <w:r>
        <w:rPr>
          <w:rFonts w:ascii="Times New Roman;serif" w:hAnsi="Times New Roman;serif"/>
          <w:b w:val="false"/>
          <w:color w:val="000000"/>
          <w:sz w:val="20"/>
        </w:rPr>
        <w:t>5.2</w:t>
      </w:r>
      <w:r>
        <w:rPr>
          <w:rFonts w:ascii="Times New Roman;serif" w:hAnsi="Times New Roman;serif"/>
          <w:b w:val="false"/>
          <w:color w:val="000000"/>
          <w:sz w:val="20"/>
          <w:u w:val="single"/>
        </w:rPr>
        <w:t>Whole Shares</w:t>
      </w:r>
      <w:r>
        <w:rPr>
          <w:rFonts w:ascii="Times New Roman;serif" w:hAnsi="Times New Roman;serif"/>
          <w:b w:val="false"/>
          <w:color w:val="000000"/>
          <w:sz w:val="20"/>
        </w:rPr>
        <w:t>. The Option may only be exercised for whole shares of Stock.</w:t>
      </w:r>
    </w:p>
    <w:p>
      <w:pPr>
        <w:pStyle w:val="TextBody"/>
        <w:bidi w:val="0"/>
        <w:spacing w:lineRule="auto" w:line="288" w:before="0" w:after="0"/>
        <w:jc w:val="left"/>
        <w:rPr/>
      </w:pPr>
      <w:r>
        <w:rPr>
          <w:rFonts w:ascii="Times New Roman;serif" w:hAnsi="Times New Roman;serif"/>
          <w:b w:val="false"/>
          <w:color w:val="000000"/>
          <w:sz w:val="20"/>
        </w:rPr>
        <w:t>5.3</w:t>
      </w:r>
      <w:r>
        <w:rPr>
          <w:rFonts w:ascii="Times New Roman;serif" w:hAnsi="Times New Roman;serif"/>
          <w:b w:val="false"/>
          <w:color w:val="000000"/>
          <w:sz w:val="20"/>
          <w:u w:val="single"/>
        </w:rPr>
        <w:t>Option Not Transferable</w:t>
      </w:r>
      <w:r>
        <w:rPr>
          <w:rFonts w:ascii="Times New Roman;serif" w:hAnsi="Times New Roman;serif"/>
          <w:b w:val="false"/>
          <w:color w:val="000000"/>
          <w:sz w:val="20"/>
        </w:rPr>
        <w:t>.</w:t>
      </w:r>
    </w:p>
    <w:p>
      <w:pPr>
        <w:pStyle w:val="TextBody"/>
        <w:bidi w:val="0"/>
        <w:spacing w:before="11" w:after="283"/>
        <w:jc w:val="left"/>
        <w:rPr/>
      </w:pPr>
      <w:r>
        <w:rPr/>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of Stock underlying the Option have been issued, and all restrictions applicable to such shares of Stock have lapsed. Neither the Option nor any interest or right therein shall be liable for the debts, contracts or engagements of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During the lifetime of Participant, only Participant may exercise the Option (or any portion thereof), unless it has been disposed of pursuant to a DRO; after the death of Participant, any exercisable portion of the Option may, prior to the time when such portion becomes unexercisable under the Plan or this Agreement, be exercised by Participant’s personal representative or by any person empowered to do so under the deceased Participant’s will or under the then-applicable laws of descent and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(c)</w:t>
      </w:r>
      <w:r>
        <w:rPr>
          <w:rFonts w:ascii="Times New Roman;serif" w:hAnsi="Times New Roman;serif"/>
          <w:b w:val="false"/>
          <w:color w:val="000000"/>
          <w:sz w:val="20"/>
        </w:rPr>
        <w:t>Notwithstanding any other provision in this Agreement, Participant may, in the manner determined by the Administrator, designate a beneficiary to exercise the rights of Participant and to receive any distribution with respect to the Option upon Participant’s death. A beneficiary, legal guardian, legal representative, or other person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claiming any rights pursuant to the Plan is subject to all terms and conditions of the Plan and this Agreement, except to the extent the Plan and this Agreement otherwise provide, and to any additional restrictions deemed necessary or appropriate by the Administrator. If Participant is married or a domestic partner in a domestic partnership qualified under Applicable Law and resides in a community property state, a designation of a person other than Participant’s spouse or domestic partner, as applicable, as his or her beneficiary with respect to more than 50% of Participant’s interest in the Option shall not be effective without the prior written consent of Participant’s spouse or domestic partner. If no beneficiary has been designated or survives Participant, payment shall be made to the person entitled thereto pursuant to Participant’s will or the laws of descent and distribution. Subject to the foregoing, a beneficiary designation may be changed or revoked by Participant at any time provided the change or revocation is filed with the Administrator prior to Participant’s death.</w:t>
      </w:r>
    </w:p>
    <w:p>
      <w:pPr>
        <w:pStyle w:val="TextBody"/>
        <w:bidi w:val="0"/>
        <w:spacing w:lineRule="auto" w:line="288" w:before="0" w:after="180"/>
        <w:jc w:val="left"/>
        <w:rPr/>
      </w:pPr>
      <w:r>
        <w:rPr>
          <w:rFonts w:ascii="Times New Roman;serif" w:hAnsi="Times New Roman;serif"/>
          <w:b w:val="false"/>
          <w:color w:val="000000"/>
          <w:sz w:val="20"/>
        </w:rPr>
        <w:t>5.4</w:t>
      </w:r>
      <w:r>
        <w:rPr>
          <w:rFonts w:ascii="Times New Roman;serif" w:hAnsi="Times New Roman;serif"/>
          <w:b w:val="false"/>
          <w:color w:val="000000"/>
          <w:sz w:val="20"/>
          <w:u w:val="single"/>
        </w:rPr>
        <w:t>Tax Consultation</w:t>
      </w:r>
      <w:r>
        <w:rPr>
          <w:rFonts w:ascii="Times New Roman;serif" w:hAnsi="Times New Roman;serif"/>
          <w:b w:val="false"/>
          <w:color w:val="000000"/>
          <w:sz w:val="20"/>
        </w:rPr>
        <w:t>. Participant understands that Participant may suffer adverse tax consequences as a result of the grant, vesting and/or exercise of the Option, and/or with the purchase or disposition of the shares of Stock subject to the Option. Participant represents that Participant has consulted with any tax consultants Participant deems advisable in connection with the purchase or disposition of such shares of Stock and that Participant is not relying on the Company for any tax advice.</w:t>
      </w:r>
    </w:p>
    <w:p>
      <w:pPr>
        <w:pStyle w:val="TextBody"/>
        <w:bidi w:val="0"/>
        <w:spacing w:lineRule="auto" w:line="288" w:before="0" w:after="180"/>
        <w:jc w:val="left"/>
        <w:rPr/>
      </w:pPr>
      <w:r>
        <w:rPr>
          <w:rFonts w:ascii="Times New Roman;serif" w:hAnsi="Times New Roman;serif"/>
          <w:b w:val="false"/>
          <w:color w:val="000000"/>
          <w:sz w:val="20"/>
        </w:rPr>
        <w:t>5.5</w:t>
      </w:r>
      <w:r>
        <w:rPr>
          <w:rFonts w:ascii="Times New Roman;serif" w:hAnsi="Times New Roman;serif"/>
          <w:b w:val="false"/>
          <w:color w:val="000000"/>
          <w:sz w:val="20"/>
          <w:u w:val="single"/>
        </w:rPr>
        <w:t>Binding Agreement</w:t>
      </w:r>
      <w:r>
        <w:rPr>
          <w:rFonts w:ascii="Times New Roman;serif" w:hAnsi="Times New Roman;serif"/>
          <w:b w:val="false"/>
          <w:color w:val="000000"/>
          <w:sz w:val="20"/>
        </w:rPr>
        <w:t>. 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lineRule="auto" w:line="288" w:before="0" w:after="180"/>
        <w:jc w:val="left"/>
        <w:rPr/>
      </w:pPr>
      <w:r>
        <w:rPr>
          <w:rFonts w:ascii="Times New Roman;serif" w:hAnsi="Times New Roman;serif"/>
          <w:b w:val="false"/>
          <w:color w:val="000000"/>
          <w:sz w:val="20"/>
        </w:rPr>
        <w:t>5.6</w:t>
      </w:r>
      <w:r>
        <w:rPr>
          <w:rFonts w:ascii="Times New Roman;serif" w:hAnsi="Times New Roman;serif"/>
          <w:b w:val="false"/>
          <w:color w:val="000000"/>
          <w:sz w:val="20"/>
          <w:u w:val="single"/>
        </w:rPr>
        <w:t>Adjustments Upon Specified Events</w:t>
      </w:r>
      <w:r>
        <w:rPr>
          <w:rFonts w:ascii="Times New Roman;serif" w:hAnsi="Times New Roman;serif"/>
          <w:b w:val="false"/>
          <w:color w:val="000000"/>
          <w:sz w:val="20"/>
        </w:rPr>
        <w:t>. The Administrator may accelerate the vesting of the Option in such circumstances as it, in its sole discretion, may determine. In addition, upon the occurrence of certain events relating to the Stock contemplated by Section 13.2 of the Plan (including, without limitation, an extraordinary cash dividend on such Stock), the Administrator shall make such adjustments the 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13.2 of the Plan.</w:t>
      </w:r>
    </w:p>
    <w:p>
      <w:pPr>
        <w:pStyle w:val="TextBody"/>
        <w:bidi w:val="0"/>
        <w:spacing w:lineRule="auto" w:line="288" w:before="0" w:after="180"/>
        <w:jc w:val="left"/>
        <w:rPr/>
      </w:pPr>
      <w:r>
        <w:rPr>
          <w:rFonts w:ascii="Times New Roman;serif" w:hAnsi="Times New Roman;serif"/>
          <w:b w:val="false"/>
          <w:color w:val="000000"/>
          <w:sz w:val="20"/>
        </w:rPr>
        <w:t>5.7</w:t>
      </w:r>
      <w:r>
        <w:rPr>
          <w:rFonts w:ascii="Times New Roman;serif" w:hAnsi="Times New Roman;serif"/>
          <w:b w:val="false"/>
          <w:color w:val="000000"/>
          <w:sz w:val="20"/>
          <w:u w:val="single"/>
        </w:rPr>
        <w:t>Notices</w:t>
      </w:r>
      <w:r>
        <w:rPr>
          <w:rFonts w:ascii="Times New Roman;serif" w:hAnsi="Times New Roman;serif"/>
          <w:b w:val="false"/>
          <w:color w:val="000000"/>
          <w:sz w:val="20"/>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lineRule="auto" w:line="288" w:before="0" w:after="180"/>
        <w:jc w:val="left"/>
        <w:rPr/>
      </w:pPr>
      <w:r>
        <w:rPr>
          <w:rFonts w:ascii="Times New Roman;serif" w:hAnsi="Times New Roman;serif"/>
          <w:b w:val="false"/>
          <w:color w:val="000000"/>
          <w:sz w:val="20"/>
        </w:rPr>
        <w:t>5.8</w:t>
      </w:r>
      <w:r>
        <w:rPr>
          <w:rFonts w:ascii="Times New Roman;serif" w:hAnsi="Times New Roman;serif"/>
          <w:b w:val="false"/>
          <w:color w:val="000000"/>
          <w:sz w:val="20"/>
          <w:u w:val="single"/>
        </w:rPr>
        <w:t>Titles</w:t>
      </w:r>
      <w:r>
        <w:rPr>
          <w:rFonts w:ascii="Times New Roman;serif" w:hAnsi="Times New Roman;serif"/>
          <w:b w:val="false"/>
          <w:color w:val="000000"/>
          <w:sz w:val="20"/>
        </w:rPr>
        <w:t>. Titles are provided herein for convenience only and are not to serve as a basis for interpretation or construction of this Agreement.</w:t>
      </w:r>
    </w:p>
    <w:p>
      <w:pPr>
        <w:pStyle w:val="TextBody"/>
        <w:bidi w:val="0"/>
        <w:spacing w:lineRule="auto" w:line="288" w:before="0" w:after="180"/>
        <w:jc w:val="left"/>
        <w:rPr/>
      </w:pPr>
      <w:r>
        <w:rPr>
          <w:rFonts w:ascii="Times New Roman;serif" w:hAnsi="Times New Roman;serif"/>
          <w:b w:val="false"/>
          <w:color w:val="000000"/>
          <w:sz w:val="20"/>
        </w:rPr>
        <w:t>5.9</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lineRule="auto" w:line="288" w:before="0" w:after="180"/>
        <w:jc w:val="left"/>
        <w:rPr/>
      </w:pPr>
      <w:r>
        <w:rPr>
          <w:rFonts w:ascii="Times New Roman;serif" w:hAnsi="Times New Roman;serif"/>
          <w:b w:val="false"/>
          <w:color w:val="000000"/>
          <w:sz w:val="20"/>
        </w:rPr>
        <w:t>5.10</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spacing w:lineRule="auto" w:line="288" w:before="0" w:after="180"/>
        <w:jc w:val="left"/>
        <w:rPr/>
      </w:pPr>
      <w:r>
        <w:rPr>
          <w:rFonts w:ascii="Times New Roman;serif" w:hAnsi="Times New Roman;serif"/>
          <w:b w:val="false"/>
          <w:color w:val="000000"/>
          <w:sz w:val="20"/>
        </w:rPr>
        <w:t>5.11</w:t>
      </w:r>
      <w:r>
        <w:rPr>
          <w:rFonts w:ascii="Times New Roman;serif" w:hAnsi="Times New Roman;serif"/>
          <w:b w:val="false"/>
          <w:color w:val="000000"/>
          <w:sz w:val="20"/>
          <w:u w:val="single"/>
        </w:rPr>
        <w:t>Amendment, Suspension and Termination</w:t>
      </w:r>
      <w:r>
        <w:rPr>
          <w:rFonts w:ascii="Times New Roman;serif" w:hAnsi="Times New Roman;serif"/>
          <w:b w:val="false"/>
          <w:color w:val="000000"/>
          <w:sz w:val="20"/>
        </w:rPr>
        <w:t xml:space="preserve">. To the extent permitted by the Plan, this Agreement may be wholly or partially amended or otherwise modified, suspended or terminated at any time or from time to time by the Administrator or the Board;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 xml:space="preserve">that, except as may otherwise be provided by the Plan, no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amendment, modification, suspension or termination of this Agreement shall adversely affect the Option in any material way without the prior written consent of Participant.</w:t>
      </w:r>
    </w:p>
    <w:p>
      <w:pPr>
        <w:pStyle w:val="TextBody"/>
        <w:bidi w:val="0"/>
        <w:spacing w:lineRule="auto" w:line="288" w:before="0" w:after="180"/>
        <w:jc w:val="left"/>
        <w:rPr/>
      </w:pPr>
      <w:r>
        <w:rPr>
          <w:rFonts w:ascii="Times New Roman;serif" w:hAnsi="Times New Roman;serif"/>
          <w:b w:val="false"/>
          <w:color w:val="000000"/>
          <w:sz w:val="20"/>
        </w:rPr>
        <w:t>5.12</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pStyle w:val="TextBody"/>
        <w:bidi w:val="0"/>
        <w:spacing w:lineRule="auto" w:line="288" w:before="0" w:after="180"/>
        <w:jc w:val="left"/>
        <w:rPr/>
      </w:pPr>
      <w:r>
        <w:rPr>
          <w:rFonts w:ascii="Times New Roman;serif" w:hAnsi="Times New Roman;serif"/>
          <w:b w:val="false"/>
          <w:color w:val="000000"/>
          <w:sz w:val="20"/>
        </w:rPr>
        <w:t>5.13</w:t>
      </w:r>
      <w:r>
        <w:rPr>
          <w:rFonts w:ascii="Times New Roman;serif" w:hAnsi="Times New Roman;serif"/>
          <w:b w:val="false"/>
          <w:color w:val="000000"/>
          <w:sz w:val="20"/>
          <w:u w:val="single"/>
        </w:rPr>
        <w:t>Notification of Disposition</w:t>
      </w:r>
      <w:r>
        <w:rPr>
          <w:rFonts w:ascii="Times New Roman;serif" w:hAnsi="Times New Roman;serif"/>
          <w:b w:val="false"/>
          <w:color w:val="000000"/>
          <w:sz w:val="20"/>
        </w:rPr>
        <w:t>. If this Option is designated as an Incentive Stock Option, Participant shall give prompt notice to the Company of any disposition or other transfer of any shares of Stock acquired under this Agreement if such disposition or transfer is made (a) within two (2) years from the Grant Date with respect to such shares of Stock or (b) within one (1) year after the transfer of such shares of Stock to Participant. Such notice shall specify the date of such disposition or other transfer and the amount realized, in cash, other property, assumption of indebtedness or other consideration, by Participant in such disposition or other transfer.</w:t>
      </w:r>
    </w:p>
    <w:p>
      <w:pPr>
        <w:pStyle w:val="TextBody"/>
        <w:bidi w:val="0"/>
        <w:spacing w:lineRule="auto" w:line="288" w:before="0" w:after="180"/>
        <w:jc w:val="left"/>
        <w:rPr/>
      </w:pPr>
      <w:r>
        <w:rPr>
          <w:rFonts w:ascii="Times New Roman;serif" w:hAnsi="Times New Roman;serif"/>
          <w:b w:val="false"/>
          <w:color w:val="000000"/>
          <w:sz w:val="20"/>
        </w:rPr>
        <w:t>5.14</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Notwithstanding any other provision of the Plan or this Agreement, if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180"/>
        <w:jc w:val="left"/>
        <w:rPr/>
      </w:pPr>
      <w:r>
        <w:rPr>
          <w:rFonts w:ascii="Times New Roman;serif" w:hAnsi="Times New Roman;serif"/>
          <w:b w:val="false"/>
          <w:color w:val="000000"/>
          <w:sz w:val="20"/>
        </w:rPr>
        <w:t>5.15</w:t>
      </w:r>
      <w:r>
        <w:rPr>
          <w:rFonts w:ascii="Times New Roman;serif" w:hAnsi="Times New Roman;serif"/>
          <w:b w:val="false"/>
          <w:color w:val="000000"/>
          <w:sz w:val="20"/>
          <w:u w:val="single"/>
        </w:rPr>
        <w:t>Not a Contract of Service Relationship</w:t>
      </w:r>
      <w:r>
        <w:rPr>
          <w:rFonts w:ascii="Times New Roman;serif" w:hAnsi="Times New Roman;serif"/>
          <w:b w:val="false"/>
          <w:color w:val="000000"/>
          <w:sz w:val="20"/>
        </w:rPr>
        <w:t>. Nothing in this Agreement or in the Plan shall confer upon Participant any right to continue to serve as an employee or other service provider of the Company or any of its Affiliates or interfere with or restrict in any way with the right of the Company or any of its Affiliates, which rights are hereby expressly reserved, to discharge or to terminate for any reason whatsoever, with or without cause, the services of Participant’s at any time.</w:t>
      </w:r>
    </w:p>
    <w:p>
      <w:pPr>
        <w:pStyle w:val="TextBody"/>
        <w:bidi w:val="0"/>
        <w:spacing w:lineRule="auto" w:line="288" w:before="0" w:after="180"/>
        <w:jc w:val="left"/>
        <w:rPr/>
      </w:pPr>
      <w:r>
        <w:rPr>
          <w:rFonts w:ascii="Times New Roman;serif" w:hAnsi="Times New Roman;serif"/>
          <w:b w:val="false"/>
          <w:color w:val="000000"/>
          <w:sz w:val="20"/>
        </w:rPr>
        <w:t>5.16</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The Plan, the Grant Notice and this Agreement (including all Exhibits thereto)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180"/>
        <w:jc w:val="left"/>
        <w:rPr/>
      </w:pPr>
      <w:r>
        <w:rPr>
          <w:rFonts w:ascii="Times New Roman;serif" w:hAnsi="Times New Roman;serif"/>
          <w:b w:val="false"/>
          <w:color w:val="000000"/>
          <w:sz w:val="20"/>
        </w:rPr>
        <w:t>5.17</w:t>
      </w:r>
      <w:r>
        <w:rPr>
          <w:rFonts w:ascii="Times New Roman;serif" w:hAnsi="Times New Roman;serif"/>
          <w:b w:val="false"/>
          <w:color w:val="000000"/>
          <w:sz w:val="20"/>
          <w:u w:val="single"/>
        </w:rPr>
        <w:t>Section 409A</w:t>
      </w:r>
      <w:r>
        <w:rPr>
          <w:rFonts w:ascii="Times New Roman;serif" w:hAnsi="Times New Roman;serif"/>
          <w:b w:val="false"/>
          <w:color w:val="000000"/>
          <w:sz w:val="20"/>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0"/>
          <w:u w:val="single"/>
        </w:rPr>
        <w:t>Section 409A</w:t>
      </w:r>
      <w:r>
        <w:rPr>
          <w:color w:val="000000"/>
        </w:rPr>
        <w:t>”</w:t>
      </w:r>
      <w:r>
        <w:rPr>
          <w:rFonts w:ascii="Times New Roman;serif" w:hAnsi="Times New Roman;serif"/>
          <w:b w:val="false"/>
          <w:color w:val="000000"/>
          <w:sz w:val="20"/>
        </w:rPr>
        <w:t>). However, notwithstanding any other provision of the Plan, the Grant Notice or this Agreement (or any Exhibits hereto),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any Exhibits hereto),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pStyle w:val="TextBody"/>
        <w:bidi w:val="0"/>
        <w:spacing w:lineRule="auto" w:line="288" w:before="0" w:after="180"/>
        <w:jc w:val="left"/>
        <w:rPr/>
      </w:pPr>
      <w:r>
        <w:rPr>
          <w:rFonts w:ascii="Times New Roman;serif" w:hAnsi="Times New Roman;serif"/>
          <w:b w:val="false"/>
          <w:color w:val="000000"/>
          <w:sz w:val="20"/>
        </w:rPr>
        <w:t>5.18</w:t>
      </w:r>
      <w:r>
        <w:rPr>
          <w:rFonts w:ascii="Times New Roman;serif" w:hAnsi="Times New Roman;serif"/>
          <w:b w:val="false"/>
          <w:color w:val="000000"/>
          <w:sz w:val="20"/>
          <w:u w:val="single"/>
        </w:rPr>
        <w:t>Limitation on Participant’s Rights</w:t>
      </w:r>
      <w:r>
        <w:rPr>
          <w:rFonts w:ascii="Times New Roman;serif" w:hAnsi="Times New Roman;serif"/>
          <w:b w:val="false"/>
          <w:color w:val="000000"/>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pStyle w:val="TextBody"/>
        <w:bidi w:val="0"/>
        <w:spacing w:lineRule="auto" w:line="288" w:before="0" w:after="180"/>
        <w:jc w:val="left"/>
        <w:rPr/>
      </w:pPr>
      <w:r>
        <w:rPr>
          <w:rFonts w:ascii="Times New Roman;serif" w:hAnsi="Times New Roman;serif"/>
          <w:b w:val="false"/>
          <w:color w:val="000000"/>
          <w:sz w:val="20"/>
        </w:rPr>
        <w:t>5.19</w:t>
      </w:r>
      <w:r>
        <w:rPr>
          <w:rFonts w:ascii="Times New Roman;serif" w:hAnsi="Times New Roman;serif"/>
          <w:b w:val="false"/>
          <w:color w:val="000000"/>
          <w:sz w:val="20"/>
          <w:u w:val="single"/>
        </w:rPr>
        <w:t>Consent to Personal Data Use</w:t>
      </w:r>
      <w:r>
        <w:rPr>
          <w:rFonts w:ascii="Times New Roman;serif" w:hAnsi="Times New Roman;serif"/>
          <w:b w:val="false"/>
          <w:color w:val="000000"/>
          <w:sz w:val="20"/>
        </w:rPr>
        <w:t xml:space="preserve">. Participant acknowledges and agrees that the Company is permitted to collect, hold, store, process, modify, transfer, lock or delete certain personal (and sensitive) data in any medium about Participant (i.e., name, home address, telephone number, e-mail address, date of birth, tax identification number and payroll information) as a part of its personnel and other business records for the exclusive purpose of tracking stock option grants, processing stock option exercises and subsequent share transfers and sales, arranging for appropriate tax reporting and withholding and regulatory tracking and reporting purposes and the Company may disclose such information to third parties in the event that such disclosure is in the Company’s view required for the proper tracking of stock option grants, processing stock option exercises and subsequent share transfers and sales, arranging for appropriate tax reporting and withholding and regulatory tracking. For these purposes, this personal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data will be transferred to other locations, including locations outside of the European Union and in so-called insecure third-party countries that do not guarantee the data privacy protection level of the European Union.</w:t>
      </w:r>
    </w:p>
    <w:p>
      <w:pPr>
        <w:pStyle w:val="TextBody"/>
        <w:bidi w:val="0"/>
        <w:spacing w:lineRule="auto" w:line="288" w:before="0" w:after="180"/>
        <w:jc w:val="left"/>
        <w:rPr/>
      </w:pPr>
      <w:r>
        <w:rPr>
          <w:rFonts w:ascii="Times New Roman;serif" w:hAnsi="Times New Roman;serif"/>
          <w:b w:val="false"/>
          <w:color w:val="000000"/>
          <w:sz w:val="20"/>
        </w:rPr>
        <w:t>5.20</w:t>
      </w:r>
      <w:r>
        <w:rPr>
          <w:rFonts w:ascii="Times New Roman;serif" w:hAnsi="Times New Roman;serif"/>
          <w:b w:val="false"/>
          <w:color w:val="000000"/>
          <w:sz w:val="20"/>
          <w:u w:val="single"/>
        </w:rPr>
        <w:t>Rules Particular To Specific Countries</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Participant shall, if required by the Administrator, enter into an election with the Company or an Affiliate (in a form approved by the Company) under which any liability to the Company’s (or an Affiliate’s) Tax Liability, including, but not limited to, National Insurance Contributions (“</w:t>
      </w:r>
      <w:r>
        <w:rPr>
          <w:rFonts w:ascii="Times New Roman;serif" w:hAnsi="Times New Roman;serif"/>
          <w:b w:val="false"/>
          <w:color w:val="000000"/>
          <w:sz w:val="20"/>
          <w:u w:val="single"/>
        </w:rPr>
        <w:t>NICs</w:t>
      </w:r>
      <w:r>
        <w:rPr>
          <w:color w:val="000000"/>
        </w:rPr>
        <w:t>”</w:t>
      </w:r>
      <w:r>
        <w:rPr>
          <w:rFonts w:ascii="Times New Roman;serif" w:hAnsi="Times New Roman;serif"/>
          <w:b w:val="false"/>
          <w:color w:val="000000"/>
          <w:sz w:val="20"/>
        </w:rPr>
        <w:t>) and the Fringe Benefit Tax (“</w:t>
      </w:r>
      <w:r>
        <w:rPr>
          <w:rFonts w:ascii="Times New Roman;serif" w:hAnsi="Times New Roman;serif"/>
          <w:b w:val="false"/>
          <w:color w:val="000000"/>
          <w:sz w:val="20"/>
          <w:u w:val="single"/>
        </w:rPr>
        <w:t>FBT</w:t>
      </w:r>
      <w:r>
        <w:rPr>
          <w:color w:val="000000"/>
        </w:rPr>
        <w:t>”</w:t>
      </w:r>
      <w:r>
        <w:rPr>
          <w:rFonts w:ascii="Times New Roman;serif" w:hAnsi="Times New Roman;serif"/>
          <w:b w:val="false"/>
          <w:color w:val="000000"/>
          <w:sz w:val="20"/>
        </w:rPr>
        <w:t>), is transferred to and met by Participant. For purposes of this Section 5.20, Tax Liability shall mean any and all liability under applicable non-U.S. laws, rules or regulations from any income tax, the Company’s (or an Affiliate’s) NICs, FBT or similar liability and Participant’s NICs, FBT or similar liability that are attributable to: (A) the grant or exercise of, or any other benefit derived by Participant from the Option; (B) the acquisition by Participant of the shares of Stock on exercise of the Option; or (C) the disposal of any shares of Stock acquired upon exercise of the Option.</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Tax Indemnity</w:t>
      </w:r>
      <w:r>
        <w:rPr>
          <w:rFonts w:ascii="Times New Roman;serif" w:hAnsi="Times New Roman;serif"/>
          <w:b w:val="false"/>
          <w:color w:val="000000"/>
          <w:sz w:val="20"/>
        </w:rPr>
        <w:t>. Participant shall indemnify and keep indemnified the Company and any of its Affiliates from and against any Tax Liability.</w:t>
      </w:r>
    </w:p>
    <w:p>
      <w:pPr>
        <w:pStyle w:val="TextBody"/>
        <w:bidi w:val="0"/>
        <w:spacing w:before="11"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2014 EQUITY INCENTIVE AWARD PLAN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RESTRICTED STOCK UNIT AWARD GRANT NOTICE</w:t>
      </w:r>
    </w:p>
    <w:p>
      <w:pPr>
        <w:pStyle w:val="TextBody"/>
        <w:bidi w:val="0"/>
        <w:spacing w:lineRule="auto" w:line="288" w:before="0" w:after="180"/>
        <w:ind w:left="0" w:right="0" w:firstLine="360"/>
        <w:jc w:val="left"/>
        <w:rPr/>
      </w:pPr>
      <w:r>
        <w:rPr>
          <w:rFonts w:ascii="Times New Roman;serif" w:hAnsi="Times New Roman;serif"/>
          <w:b w:val="false"/>
          <w:color w:val="000000"/>
          <w:sz w:val="20"/>
        </w:rPr>
        <w:t>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its Amended and Restated 2014 Equity Incentive Award Plan, as amended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hereby grants to the holder listed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an award of restricted stock units (“</w:t>
      </w:r>
      <w:r>
        <w:rPr>
          <w:rFonts w:ascii="Times New Roman;serif" w:hAnsi="Times New Roman;serif"/>
          <w:b w:val="false"/>
          <w:color w:val="000000"/>
          <w:sz w:val="20"/>
          <w:u w:val="single"/>
        </w:rPr>
        <w:t>Restricted Stock Units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Each vested Restricted Stock Unit represents the right to receive, in accordance with the Restricted Stock Unit Award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one share of Common Stock (“</w:t>
      </w:r>
      <w:r>
        <w:rPr>
          <w:rFonts w:ascii="Times New Roman;serif" w:hAnsi="Times New Roman;serif"/>
          <w:b w:val="false"/>
          <w:color w:val="000000"/>
          <w:sz w:val="20"/>
          <w:u w:val="single"/>
        </w:rPr>
        <w:t>Share</w:t>
      </w:r>
      <w:r>
        <w:rPr>
          <w:color w:val="000000"/>
        </w:rPr>
        <w:t>”</w:t>
      </w:r>
      <w:r>
        <w:rPr>
          <w:rFonts w:ascii="Times New Roman;serif" w:hAnsi="Times New Roman;serif"/>
          <w:b w:val="false"/>
          <w:color w:val="000000"/>
          <w:sz w:val="20"/>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the Agreement.</w:t>
      </w:r>
    </w:p>
    <w:p>
      <w:pPr>
        <w:pStyle w:val="TextBody"/>
        <w:bidi w:val="0"/>
        <w:spacing w:before="0" w:after="0"/>
        <w:jc w:val="left"/>
        <w:rPr/>
      </w:pPr>
      <w:r>
        <w:rPr/>
      </w:r>
    </w:p>
    <w:tbl>
      <w:tblPr>
        <w:tblW w:w="3762" w:type="dxa"/>
        <w:jc w:val="left"/>
        <w:tblInd w:w="0" w:type="dxa"/>
        <w:tblLayout w:type="fixed"/>
        <w:tblCellMar>
          <w:top w:w="28" w:type="dxa"/>
          <w:left w:w="28" w:type="dxa"/>
          <w:bottom w:w="28" w:type="dxa"/>
          <w:right w:w="28" w:type="dxa"/>
        </w:tblCellMar>
      </w:tblPr>
      <w:tblGrid>
        <w:gridCol w:w="938"/>
        <w:gridCol w:w="826"/>
        <w:gridCol w:w="830"/>
        <w:gridCol w:w="265"/>
        <w:gridCol w:w="265"/>
        <w:gridCol w:w="266"/>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FFFFFF"/>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FFFFFF"/>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Number of RSUs: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FFFFFF"/>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FFFFFF"/>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9" w:after="283"/>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Vesting Schedule shall be as follows:</w:t>
      </w:r>
    </w:p>
    <w:tbl>
      <w:tblPr>
        <w:tblW w:w="2229"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4"/>
        <w:gridCol w:w="294"/>
        <w:gridCol w:w="296"/>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tLeast" w:line="221"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tLeast" w:line="22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Vest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color w:val="000000"/>
          <w:sz w:val="20"/>
        </w:rPr>
        <w:t xml:space="preserve">Termination: </w:t>
      </w:r>
      <w:r>
        <w:rPr>
          <w:rFonts w:ascii="Times New Roman;serif" w:hAnsi="Times New Roman;serif"/>
          <w:b w:val="false"/>
          <w:color w:val="000000"/>
          <w:sz w:val="20"/>
        </w:rPr>
        <w:t>If the Participant experiences a Termination of Service prior to the applicable vesting date, all RSUs that have not become vested on or prior to the date of such Termination of Service (after taking into consideration any vesting that may occur in connection with such Termination of Service, if any) will thereupon be automatically forfeited by the Participant without payment of any consideration therefor.</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Section 2.6(b) of the Agreement or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color w:val="000000"/>
          <w:sz w:val="20"/>
        </w:rPr>
      </w:pPr>
      <w:r>
        <w:rPr>
          <w:rFonts w:ascii="Times New Roman;serif" w:hAnsi="Times New Roman;serif"/>
          <w:b/>
          <w:color w:val="000000"/>
          <w:sz w:val="20"/>
        </w:rPr>
        <w:t>Exhibit 10.3(f)</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RESTRICTED STOCK UNIT AWARD AGREEMENT</w:t>
      </w:r>
    </w:p>
    <w:p>
      <w:pPr>
        <w:pStyle w:val="TextBody"/>
        <w:bidi w:val="0"/>
        <w:spacing w:lineRule="auto" w:line="288" w:before="0" w:after="0"/>
        <w:jc w:val="left"/>
        <w:rPr/>
      </w:pPr>
      <w:r>
        <w:rPr>
          <w:rFonts w:ascii="Times New Roman;serif" w:hAnsi="Times New Roman;serif"/>
          <w:b w:val="false"/>
          <w:color w:val="000000"/>
          <w:sz w:val="20"/>
        </w:rPr>
        <w:t>Pursuant to the Restricted Stock Unit Award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to which this Restricted Stock Unit Award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attached, 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to the Participant the number of restricted stock units (“</w:t>
      </w:r>
      <w:r>
        <w:rPr>
          <w:rFonts w:ascii="Times New Roman;serif" w:hAnsi="Times New Roman;serif"/>
          <w:b w:val="false"/>
          <w:color w:val="000000"/>
          <w:sz w:val="20"/>
          <w:u w:val="single"/>
        </w:rPr>
        <w:t>Restricted Stock Units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set forth in the Grant Notice under the Company’s Amended and Restated 2014 Equity Incentive Award Plan, as amended from</w:t>
      </w:r>
    </w:p>
    <w:p>
      <w:pPr>
        <w:pStyle w:val="TextBody"/>
        <w:bidi w:val="0"/>
        <w:spacing w:lineRule="auto" w:line="288" w:before="0" w:after="0"/>
        <w:jc w:val="left"/>
        <w:rPr/>
      </w:pPr>
      <w:r>
        <w:rPr>
          <w:rFonts w:ascii="Times New Roman;serif" w:hAnsi="Times New Roman;serif"/>
          <w:b w:val="false"/>
          <w:color w:val="000000"/>
          <w:sz w:val="20"/>
        </w:rPr>
        <w:t>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Each vested Restricted Stock Unit represents the right to receive one share of Common Stock (“</w:t>
      </w:r>
      <w:r>
        <w:rPr>
          <w:rFonts w:ascii="Times New Roman;serif" w:hAnsi="Times New Roman;serif"/>
          <w:b w:val="false"/>
          <w:color w:val="000000"/>
          <w:sz w:val="20"/>
          <w:u w:val="single"/>
        </w:rPr>
        <w:t>Share</w:t>
      </w:r>
      <w:r>
        <w:rPr>
          <w:color w:val="000000"/>
        </w:rPr>
        <w:t>”</w:t>
      </w:r>
      <w:r>
        <w:rPr>
          <w:rFonts w:ascii="Times New Roman;serif" w:hAnsi="Times New Roman;serif"/>
          <w:b w:val="false"/>
          <w:color w:val="000000"/>
          <w:sz w:val="20"/>
        </w:rPr>
        <w:t>). Capitalized terms not specifically defined herein shall have the meanings specified in the Plan and Grant Notice.</w:t>
      </w:r>
    </w:p>
    <w:p>
      <w:pPr>
        <w:pStyle w:val="TextBody"/>
        <w:bidi w:val="0"/>
        <w:spacing w:before="18" w:after="283"/>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pPr>
      <w:r>
        <w:rPr>
          <w:rFonts w:ascii="Times New Roman;serif" w:hAnsi="Times New Roman;serif"/>
          <w:b w:val="false"/>
          <w:color w:val="000000"/>
          <w:sz w:val="20"/>
        </w:rPr>
        <w:t>1.1</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The RSUs are subject to the terms and conditions of the Plan, which are incorporated herein by reference. In the event of any inconsistency between the Plan and this Agreement, the terms of the Plan shall control.</w:t>
      </w:r>
    </w:p>
    <w:p>
      <w:pPr>
        <w:pStyle w:val="TextBody"/>
        <w:bidi w:val="0"/>
        <w:spacing w:before="22" w:after="283"/>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 OF RESTRICTED STOCK UNITS</w:t>
      </w:r>
    </w:p>
    <w:p>
      <w:pPr>
        <w:pStyle w:val="TextBody"/>
        <w:bidi w:val="0"/>
        <w:spacing w:before="10" w:after="283"/>
        <w:jc w:val="left"/>
        <w:rPr/>
      </w:pPr>
      <w:r>
        <w:rPr/>
      </w:r>
    </w:p>
    <w:p>
      <w:pPr>
        <w:pStyle w:val="TextBody"/>
        <w:bidi w:val="0"/>
        <w:spacing w:lineRule="auto" w:line="288" w:before="0" w:after="180"/>
        <w:jc w:val="left"/>
        <w:rPr/>
      </w:pPr>
      <w:r>
        <w:rPr>
          <w:rFonts w:ascii="Times New Roman;serif" w:hAnsi="Times New Roman;serif"/>
          <w:b w:val="false"/>
          <w:color w:val="000000"/>
          <w:sz w:val="20"/>
        </w:rPr>
        <w:t>2.1</w:t>
      </w:r>
      <w:r>
        <w:rPr>
          <w:rFonts w:ascii="Times New Roman;serif" w:hAnsi="Times New Roman;serif"/>
          <w:b w:val="false"/>
          <w:color w:val="000000"/>
          <w:sz w:val="20"/>
          <w:u w:val="single"/>
        </w:rPr>
        <w:t>Grant of RSUs</w:t>
      </w:r>
      <w:r>
        <w:rPr>
          <w:rFonts w:ascii="Times New Roman;serif" w:hAnsi="Times New Roman;serif"/>
          <w:b w:val="false"/>
          <w:color w:val="000000"/>
          <w:sz w:val="20"/>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and/or continued employment with or service to the Company or any Affiliates and for other good and valuable consideration.</w:t>
      </w:r>
    </w:p>
    <w:p>
      <w:pPr>
        <w:pStyle w:val="TextBody"/>
        <w:bidi w:val="0"/>
        <w:spacing w:lineRule="auto" w:line="288" w:before="0" w:after="180"/>
        <w:jc w:val="left"/>
        <w:rPr/>
      </w:pPr>
      <w:r>
        <w:rPr>
          <w:rFonts w:ascii="Times New Roman;serif" w:hAnsi="Times New Roman;serif"/>
          <w:b w:val="false"/>
          <w:color w:val="000000"/>
          <w:sz w:val="20"/>
        </w:rPr>
        <w:t>2.2</w:t>
      </w:r>
      <w:r>
        <w:rPr>
          <w:rFonts w:ascii="Times New Roman;serif" w:hAnsi="Times New Roman;serif"/>
          <w:b w:val="false"/>
          <w:color w:val="000000"/>
          <w:sz w:val="20"/>
          <w:u w:val="single"/>
        </w:rPr>
        <w:t>Unsecured Obligation to RSUs</w:t>
      </w:r>
      <w:r>
        <w:rPr>
          <w:rFonts w:ascii="Times New Roman;serif" w:hAnsi="Times New Roman;serif"/>
          <w:b w:val="false"/>
          <w:color w:val="000000"/>
          <w:sz w:val="20"/>
        </w:rPr>
        <w:t>. Unless and until the RSUs have vested in the manner set forth in Article 2 hereof, the Participant will have no right to receive Common Stock under any such RSUs. Prior to actual payment of any vested RSUs, such RSUs will represent an unsecured obligation of the Company, payable (if at all) only from the general assets of the Company.</w:t>
      </w:r>
    </w:p>
    <w:p>
      <w:pPr>
        <w:pStyle w:val="TextBody"/>
        <w:bidi w:val="0"/>
        <w:spacing w:lineRule="auto" w:line="288" w:before="0" w:after="180"/>
        <w:jc w:val="left"/>
        <w:rPr/>
      </w:pPr>
      <w:r>
        <w:rPr>
          <w:rFonts w:ascii="Times New Roman;serif" w:hAnsi="Times New Roman;serif"/>
          <w:b w:val="false"/>
          <w:color w:val="000000"/>
          <w:sz w:val="20"/>
        </w:rPr>
        <w:t>2.3</w:t>
      </w:r>
      <w:r>
        <w:rPr>
          <w:rFonts w:ascii="Times New Roman;serif" w:hAnsi="Times New Roman;serif"/>
          <w:b w:val="false"/>
          <w:color w:val="000000"/>
          <w:sz w:val="20"/>
          <w:u w:val="single"/>
        </w:rPr>
        <w:t>Vesting Schedule</w:t>
      </w:r>
      <w:r>
        <w:rPr>
          <w:rFonts w:ascii="Times New Roman;serif" w:hAnsi="Times New Roman;serif"/>
          <w:b w:val="false"/>
          <w:color w:val="000000"/>
          <w:sz w:val="20"/>
        </w:rPr>
        <w:t>. Subject to Section 2.5 hereof, the RSUs shall vest and become nonforfeitable with respect to the applicable portion thereof according to the vesting schedule set forth in the Grant Notice (rounding down to the nearest whole Share).</w:t>
      </w:r>
    </w:p>
    <w:p>
      <w:pPr>
        <w:pStyle w:val="TextBody"/>
        <w:bidi w:val="0"/>
        <w:spacing w:lineRule="auto" w:line="288" w:before="0" w:after="180"/>
        <w:jc w:val="left"/>
        <w:rPr/>
      </w:pPr>
      <w:r>
        <w:rPr>
          <w:rFonts w:ascii="Times New Roman;serif" w:hAnsi="Times New Roman;serif"/>
          <w:b w:val="false"/>
          <w:color w:val="000000"/>
          <w:sz w:val="20"/>
        </w:rPr>
        <w:t>2.4</w:t>
      </w:r>
      <w:r>
        <w:rPr>
          <w:rFonts w:ascii="Times New Roman;serif" w:hAnsi="Times New Roman;serif"/>
          <w:b w:val="false"/>
          <w:color w:val="000000"/>
          <w:sz w:val="20"/>
          <w:u w:val="single"/>
        </w:rPr>
        <w:t>Consideration to the Company</w:t>
      </w:r>
      <w:r>
        <w:rPr>
          <w:rFonts w:ascii="Times New Roman;serif" w:hAnsi="Times New Roman;serif"/>
          <w:b w:val="false"/>
          <w:color w:val="000000"/>
          <w:sz w:val="20"/>
        </w:rPr>
        <w:t>. In consideration of the grant of the award of RSUs pursuant hereto, the Participant agrees to render faithful and efficient services to the Company or any Affiliate.</w:t>
      </w:r>
    </w:p>
    <w:p>
      <w:pPr>
        <w:pStyle w:val="TextBody"/>
        <w:bidi w:val="0"/>
        <w:spacing w:lineRule="auto" w:line="288" w:before="0" w:after="180"/>
        <w:jc w:val="left"/>
        <w:rPr/>
      </w:pPr>
      <w:r>
        <w:rPr>
          <w:rFonts w:ascii="Times New Roman;serif" w:hAnsi="Times New Roman;serif"/>
          <w:b w:val="false"/>
          <w:color w:val="000000"/>
          <w:sz w:val="20"/>
        </w:rPr>
        <w:t>2.5</w:t>
      </w:r>
      <w:r>
        <w:rPr>
          <w:rFonts w:ascii="Times New Roman;serif" w:hAnsi="Times New Roman;serif"/>
          <w:b w:val="false"/>
          <w:color w:val="000000"/>
          <w:sz w:val="20"/>
          <w:u w:val="single"/>
        </w:rPr>
        <w:t>Forfeiture, Termination and Cancellation upon Termination of Service</w:t>
      </w:r>
      <w:r>
        <w:rPr>
          <w:rFonts w:ascii="Times New Roman;serif" w:hAnsi="Times New Roman;serif"/>
          <w:b w:val="false"/>
          <w:color w:val="000000"/>
          <w:sz w:val="20"/>
        </w:rPr>
        <w:t>. Notwithstanding any contrary provision of this Agreement or the Plan, upon the Participant’s Termination of Service for any or no reason, all Restricted Stock Units which have not vested prior to or in connection with such Termination of Service (after taking into consideration any accelerated vesting which may occur in connection with such Termination of Service (if any))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No portion of the RSUs which has not become vested as of the date on which the Participant incurs a Termination of Service shall thereafter become vested.</w:t>
      </w:r>
    </w:p>
    <w:p>
      <w:pPr>
        <w:pStyle w:val="TextBody"/>
        <w:bidi w:val="0"/>
        <w:spacing w:lineRule="auto" w:line="288" w:before="0" w:after="180"/>
        <w:jc w:val="left"/>
        <w:rPr/>
      </w:pPr>
      <w:r>
        <w:rPr>
          <w:rFonts w:ascii="Times New Roman;serif" w:hAnsi="Times New Roman;serif"/>
          <w:b w:val="false"/>
          <w:color w:val="000000"/>
          <w:sz w:val="20"/>
        </w:rPr>
        <w:t>2.6</w:t>
      </w:r>
      <w:r>
        <w:rPr>
          <w:rFonts w:ascii="Times New Roman;serif" w:hAnsi="Times New Roman;serif"/>
          <w:b w:val="false"/>
          <w:color w:val="000000"/>
          <w:sz w:val="20"/>
          <w:u w:val="single"/>
        </w:rPr>
        <w:t>Issuance of Common Stock upon Vesting</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(a)</w:t>
      </w:r>
      <w:r>
        <w:rPr>
          <w:rFonts w:ascii="Times New Roman;serif" w:hAnsi="Times New Roman;serif"/>
          <w:b w:val="false"/>
          <w:color w:val="000000"/>
          <w:sz w:val="20"/>
        </w:rPr>
        <w:t>As soon as administratively practicable following the vesting of any Restricted Stock Units pursuant to Section 2.3 hereof, but in no event later than thirty (30) days after such vesting date (for the avoidance of doubt, this deadline is intended to comply with the “short term deferral” exemption from Section 409A of the Code),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shall deliver to the Participant (or any transferee permitted under Section 3.2 hereof) a number of Shares (either by delivering one or more certificates for such Shares or by entering such Shares in book entry form, as determined by the Company in its sole discretion) equal to the number of RSUs subject to this Award that vest on the applicable vesting date, unless such RSUs terminate prior to the given vesting date pursuant to Section 2.5 hereof. Notwithstanding the foregoing, in the event Shares cannot be issued pursuant to Section 11.4 of the Plan, the Shares shall be issued pursuant to the preceding sentence as soon as administratively practicable after the Administrator determines that Shares can again be issued in accordance with such Section.</w:t>
      </w:r>
    </w:p>
    <w:p>
      <w:pPr>
        <w:pStyle w:val="TextBody"/>
        <w:bidi w:val="0"/>
        <w:spacing w:lineRule="auto" w:line="288" w:before="0" w:after="180"/>
        <w:jc w:val="left"/>
        <w:rPr/>
      </w:pPr>
      <w:r>
        <w:rPr>
          <w:rFonts w:ascii="Times New Roman;serif" w:hAnsi="Times New Roman;serif"/>
          <w:b w:val="false"/>
          <w:color w:val="000000"/>
          <w:sz w:val="20"/>
        </w:rPr>
        <w:t>(b)</w:t>
      </w:r>
      <w:r>
        <w:rPr>
          <w:rFonts w:ascii="Times New Roman;serif" w:hAnsi="Times New Roman;serif"/>
          <w:b w:val="false"/>
          <w:color w:val="000000"/>
          <w:sz w:val="20"/>
        </w:rPr>
        <w:t>As set forth in Section 11.2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pStyle w:val="TextBody"/>
        <w:bidi w:val="0"/>
        <w:spacing w:lineRule="auto" w:line="288" w:before="0" w:after="180"/>
        <w:jc w:val="left"/>
        <w:rPr/>
      </w:pPr>
      <w:r>
        <w:rPr>
          <w:rFonts w:ascii="Times New Roman;serif" w:hAnsi="Times New Roman;serif"/>
          <w:b w:val="false"/>
          <w:color w:val="000000"/>
          <w:sz w:val="20"/>
        </w:rPr>
        <w:t>2.7</w:t>
      </w:r>
      <w:r>
        <w:rPr>
          <w:rFonts w:ascii="Times New Roman;serif" w:hAnsi="Times New Roman;serif"/>
          <w:b w:val="false"/>
          <w:color w:val="000000"/>
          <w:sz w:val="20"/>
          <w:u w:val="single"/>
        </w:rPr>
        <w:t>Conditions to Delivery of Shares</w:t>
      </w:r>
      <w:r>
        <w:rPr>
          <w:rFonts w:ascii="Times New Roman;serif" w:hAnsi="Times New Roman;serif"/>
          <w:b w:val="false"/>
          <w:color w:val="000000"/>
          <w:sz w:val="20"/>
        </w:rPr>
        <w:t>. The Shares deliverable hereunder may be either previously authorized but unissued Shares, treasury Shares or issued Shares which have then been reacquired by the Company. Such Shares shall be fully paid and nonassessable. The Company shall not be required to issue or deliver any certificates or make any book entries evidencing Shares deliverable hereunder prior to fulfillment of the conditions set forth in Section 11.4 of the Plan.</w:t>
      </w:r>
    </w:p>
    <w:p>
      <w:pPr>
        <w:pStyle w:val="TextBody"/>
        <w:bidi w:val="0"/>
        <w:spacing w:lineRule="auto" w:line="288" w:before="0" w:after="180"/>
        <w:jc w:val="left"/>
        <w:rPr/>
      </w:pPr>
      <w:r>
        <w:rPr>
          <w:rFonts w:ascii="Times New Roman;serif" w:hAnsi="Times New Roman;serif"/>
          <w:b w:val="false"/>
          <w:color w:val="000000"/>
          <w:sz w:val="20"/>
        </w:rPr>
        <w:t>2.8</w:t>
      </w: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13.2 of the Plan.</w:t>
      </w:r>
    </w:p>
    <w:p>
      <w:pPr>
        <w:pStyle w:val="TextBody"/>
        <w:bidi w:val="0"/>
        <w:spacing w:before="21" w:after="283"/>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OTHER PROVISIONS</w:t>
      </w:r>
    </w:p>
    <w:p>
      <w:pPr>
        <w:pStyle w:val="TextBody"/>
        <w:bidi w:val="0"/>
        <w:spacing w:lineRule="auto" w:line="288" w:before="0" w:after="180"/>
        <w:jc w:val="left"/>
        <w:rPr/>
      </w:pPr>
      <w:r>
        <w:rPr>
          <w:rFonts w:ascii="Times New Roman;serif" w:hAnsi="Times New Roman;serif"/>
          <w:b w:val="false"/>
          <w:color w:val="000000"/>
          <w:sz w:val="20"/>
        </w:rPr>
        <w:t>3.1</w:t>
      </w:r>
      <w:r>
        <w:rPr>
          <w:rFonts w:ascii="Times New Roman;serif" w:hAnsi="Times New Roman;serif"/>
          <w:b w:val="false"/>
          <w:color w:val="000000"/>
          <w:sz w:val="20"/>
          <w:u w:val="single"/>
        </w:rPr>
        <w:t>Administration</w:t>
      </w:r>
      <w:r>
        <w:rPr>
          <w:rFonts w:ascii="Times New Roman;serif" w:hAnsi="Times New Roman;serif"/>
          <w:b w:val="false"/>
          <w:color w:val="000000"/>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pStyle w:val="TextBody"/>
        <w:bidi w:val="0"/>
        <w:spacing w:lineRule="auto" w:line="288" w:before="0" w:after="180"/>
        <w:jc w:val="left"/>
        <w:rPr/>
      </w:pPr>
      <w:r>
        <w:rPr>
          <w:rFonts w:ascii="Times New Roman;serif" w:hAnsi="Times New Roman;serif"/>
          <w:b w:val="false"/>
          <w:color w:val="000000"/>
          <w:sz w:val="20"/>
        </w:rPr>
        <w:t>3.2</w:t>
      </w:r>
      <w:r>
        <w:rPr>
          <w:rFonts w:ascii="Times New Roman;serif" w:hAnsi="Times New Roman;serif"/>
          <w:b w:val="false"/>
          <w:color w:val="000000"/>
          <w:sz w:val="20"/>
          <w:u w:val="single"/>
        </w:rPr>
        <w:t>RSUs Not Transferable</w:t>
      </w:r>
      <w:r>
        <w:rPr>
          <w:rFonts w:ascii="Times New Roman;serif" w:hAnsi="Times New Roman;serif"/>
          <w:b w:val="false"/>
          <w:color w:val="000000"/>
          <w:sz w:val="20"/>
        </w:rPr>
        <w:t xml:space="preserve">. The RSUs shall be subject to the restrictions on transferability set forth in Section 11.3 of the Plan; </w:t>
      </w:r>
      <w:r>
        <w:rPr>
          <w:rFonts w:ascii="Times New Roman;serif" w:hAnsi="Times New Roman;serif"/>
          <w:b w:val="false"/>
          <w:i/>
          <w:color w:val="000000"/>
          <w:sz w:val="20"/>
        </w:rPr>
        <w:t>provided, however</w:t>
      </w:r>
      <w:r>
        <w:rPr>
          <w:rFonts w:ascii="Times New Roman;serif" w:hAnsi="Times New Roman;serif"/>
          <w:b w:val="false"/>
          <w:color w:val="000000"/>
          <w:sz w:val="20"/>
        </w:rPr>
        <w:t>, that this Section 3.2 notwithstanding, with the consent of the Administrator, the RSUs may be transferred to one or more Permitted Transferees, subject to and in accordance with Section 11.3 of the Plan.</w:t>
      </w:r>
    </w:p>
    <w:p>
      <w:pPr>
        <w:pStyle w:val="TextBody"/>
        <w:bidi w:val="0"/>
        <w:spacing w:lineRule="auto" w:line="288" w:before="0" w:after="180"/>
        <w:jc w:val="left"/>
        <w:rPr/>
      </w:pPr>
      <w:r>
        <w:rPr>
          <w:rFonts w:ascii="Times New Roman;serif" w:hAnsi="Times New Roman;serif"/>
          <w:b w:val="false"/>
          <w:color w:val="000000"/>
          <w:sz w:val="20"/>
        </w:rPr>
        <w:t>3.3</w:t>
      </w:r>
      <w:r>
        <w:rPr>
          <w:rFonts w:ascii="Times New Roman;serif" w:hAnsi="Times New Roman;serif"/>
          <w:b w:val="false"/>
          <w:color w:val="000000"/>
          <w:sz w:val="20"/>
          <w:u w:val="single"/>
        </w:rPr>
        <w:t>Tax Consultation</w:t>
      </w:r>
      <w:r>
        <w:rPr>
          <w:rFonts w:ascii="Times New Roman;serif" w:hAnsi="Times New Roman;serif"/>
          <w:b w:val="false"/>
          <w:color w:val="000000"/>
          <w:sz w:val="20"/>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pStyle w:val="TextBody"/>
        <w:bidi w:val="0"/>
        <w:spacing w:lineRule="auto" w:line="288" w:before="0" w:after="180"/>
        <w:jc w:val="left"/>
        <w:rPr/>
      </w:pPr>
      <w:r>
        <w:rPr>
          <w:rFonts w:ascii="Times New Roman;serif" w:hAnsi="Times New Roman;serif"/>
          <w:b w:val="false"/>
          <w:color w:val="000000"/>
          <w:sz w:val="20"/>
        </w:rPr>
        <w:t>3.4</w:t>
      </w:r>
      <w:r>
        <w:rPr>
          <w:rFonts w:ascii="Times New Roman;serif" w:hAnsi="Times New Roman;serif"/>
          <w:b w:val="false"/>
          <w:color w:val="000000"/>
          <w:sz w:val="20"/>
          <w:u w:val="single"/>
        </w:rPr>
        <w:t>Binding Agreement</w:t>
      </w:r>
      <w:r>
        <w:rPr>
          <w:rFonts w:ascii="Times New Roman;serif" w:hAnsi="Times New Roman;serif"/>
          <w:b w:val="false"/>
          <w:color w:val="000000"/>
          <w:sz w:val="20"/>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lineRule="auto" w:line="288" w:before="0" w:after="180"/>
        <w:jc w:val="left"/>
        <w:rPr/>
      </w:pPr>
      <w:r>
        <w:rPr>
          <w:rFonts w:ascii="Times New Roman;serif" w:hAnsi="Times New Roman;serif"/>
          <w:b w:val="false"/>
          <w:color w:val="000000"/>
          <w:sz w:val="20"/>
        </w:rPr>
        <w:t>3.5</w:t>
      </w:r>
      <w:r>
        <w:rPr>
          <w:rFonts w:ascii="Times New Roman;serif" w:hAnsi="Times New Roman;serif"/>
          <w:b w:val="false"/>
          <w:color w:val="000000"/>
          <w:sz w:val="20"/>
          <w:u w:val="single"/>
        </w:rPr>
        <w:t>Adjustments Upon Specified Events</w:t>
      </w:r>
      <w:r>
        <w:rPr>
          <w:rFonts w:ascii="Times New Roman;serif" w:hAnsi="Times New Roman;serif"/>
          <w:b w:val="false"/>
          <w:color w:val="000000"/>
          <w:sz w:val="20"/>
        </w:rPr>
        <w:t xml:space="preserve">. The Administrator may accelerate the vesting of the RSUs in such circumstances as it, in its sole discretion, may determine. The Participant acknowledges that the RSUs are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adjustment, modification and termination in certain events as provided in this Agreement and Section 13.2 of the Plan.</w:t>
      </w:r>
    </w:p>
    <w:p>
      <w:pPr>
        <w:pStyle w:val="TextBody"/>
        <w:bidi w:val="0"/>
        <w:spacing w:lineRule="auto" w:line="288" w:before="0" w:after="180"/>
        <w:jc w:val="left"/>
        <w:rPr/>
      </w:pPr>
      <w:r>
        <w:rPr>
          <w:rFonts w:ascii="Times New Roman;serif" w:hAnsi="Times New Roman;serif"/>
          <w:b w:val="false"/>
          <w:color w:val="000000"/>
          <w:sz w:val="20"/>
        </w:rPr>
        <w:t>3.6</w:t>
      </w:r>
      <w:r>
        <w:rPr>
          <w:rFonts w:ascii="Times New Roman;serif" w:hAnsi="Times New Roman;serif"/>
          <w:b w:val="false"/>
          <w:color w:val="000000"/>
          <w:sz w:val="20"/>
          <w:u w:val="single"/>
        </w:rPr>
        <w:t>Notices</w:t>
      </w:r>
      <w:r>
        <w:rPr>
          <w:rFonts w:ascii="Times New Roman;serif" w:hAnsi="Times New Roman;serif"/>
          <w:b w:val="false"/>
          <w:color w:val="000000"/>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lineRule="auto" w:line="288" w:before="0" w:after="180"/>
        <w:jc w:val="left"/>
        <w:rPr/>
      </w:pPr>
      <w:r>
        <w:rPr>
          <w:rFonts w:ascii="Times New Roman;serif" w:hAnsi="Times New Roman;serif"/>
          <w:b w:val="false"/>
          <w:color w:val="000000"/>
          <w:sz w:val="20"/>
        </w:rPr>
        <w:t>3.7</w:t>
      </w:r>
      <w:r>
        <w:rPr>
          <w:rFonts w:ascii="Times New Roman;serif" w:hAnsi="Times New Roman;serif"/>
          <w:b w:val="false"/>
          <w:color w:val="000000"/>
          <w:sz w:val="20"/>
          <w:u w:val="single"/>
        </w:rPr>
        <w:t>Participant’s Representations</w:t>
      </w:r>
      <w:r>
        <w:rPr>
          <w:rFonts w:ascii="Times New Roman;serif" w:hAnsi="Times New Roman;serif"/>
          <w:b w:val="false"/>
          <w:color w:val="000000"/>
          <w:sz w:val="20"/>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pStyle w:val="TextBody"/>
        <w:bidi w:val="0"/>
        <w:spacing w:lineRule="auto" w:line="288" w:before="0" w:after="180"/>
        <w:jc w:val="left"/>
        <w:rPr/>
      </w:pPr>
      <w:r>
        <w:rPr>
          <w:rFonts w:ascii="Times New Roman;serif" w:hAnsi="Times New Roman;serif"/>
          <w:b w:val="false"/>
          <w:color w:val="000000"/>
          <w:sz w:val="20"/>
        </w:rPr>
        <w:t>3.8</w:t>
      </w:r>
      <w:r>
        <w:rPr>
          <w:rFonts w:ascii="Times New Roman;serif" w:hAnsi="Times New Roman;serif"/>
          <w:b w:val="false"/>
          <w:color w:val="000000"/>
          <w:sz w:val="20"/>
          <w:u w:val="single"/>
        </w:rPr>
        <w:t>Titles</w:t>
      </w:r>
      <w:r>
        <w:rPr>
          <w:rFonts w:ascii="Times New Roman;serif" w:hAnsi="Times New Roman;serif"/>
          <w:b w:val="false"/>
          <w:color w:val="000000"/>
          <w:sz w:val="20"/>
        </w:rPr>
        <w:t>. Titles are provided herein for convenience only and are not to serve as a basis for interpretation or construction of this Agreement.</w:t>
      </w:r>
    </w:p>
    <w:p>
      <w:pPr>
        <w:pStyle w:val="TextBody"/>
        <w:bidi w:val="0"/>
        <w:spacing w:lineRule="auto" w:line="288" w:before="0" w:after="180"/>
        <w:jc w:val="left"/>
        <w:rPr/>
      </w:pPr>
      <w:r>
        <w:rPr>
          <w:rFonts w:ascii="Times New Roman;serif" w:hAnsi="Times New Roman;serif"/>
          <w:b w:val="false"/>
          <w:color w:val="000000"/>
          <w:sz w:val="20"/>
        </w:rPr>
        <w:t>3.9</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lineRule="auto" w:line="288" w:before="0" w:after="180"/>
        <w:jc w:val="left"/>
        <w:rPr/>
      </w:pPr>
      <w:r>
        <w:rPr>
          <w:rFonts w:ascii="Times New Roman;serif" w:hAnsi="Times New Roman;serif"/>
          <w:b w:val="false"/>
          <w:color w:val="000000"/>
          <w:sz w:val="20"/>
        </w:rPr>
        <w:t>3.10</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lineRule="auto" w:line="288" w:before="0" w:after="180"/>
        <w:jc w:val="left"/>
        <w:rPr/>
      </w:pPr>
      <w:r>
        <w:rPr>
          <w:rFonts w:ascii="Times New Roman;serif" w:hAnsi="Times New Roman;serif"/>
          <w:b w:val="false"/>
          <w:color w:val="000000"/>
          <w:sz w:val="20"/>
        </w:rPr>
        <w:t>3.11</w:t>
      </w:r>
      <w:r>
        <w:rPr>
          <w:rFonts w:ascii="Times New Roman;serif" w:hAnsi="Times New Roman;serif"/>
          <w:b w:val="false"/>
          <w:color w:val="000000"/>
          <w:sz w:val="20"/>
          <w:u w:val="single"/>
        </w:rPr>
        <w:t>Amendment, Suspension and Termination</w:t>
      </w:r>
      <w:r>
        <w:rPr>
          <w:rFonts w:ascii="Times New Roman;serif" w:hAnsi="Times New Roman;serif"/>
          <w:b w:val="false"/>
          <w:color w:val="000000"/>
          <w:sz w:val="20"/>
        </w:rPr>
        <w:t xml:space="preserve">. To the extent permitted by the Plan, this Agreement may be wholly or partially amended or otherwise modified, suspended or terminated at any time or from time to time by the Administrator or the Board;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except as may otherwise be provided by the Plan, no amendment, modification, suspension or termination of this Agreement shall adversely affect the RSUs in any material way without the prior written consent of the Participant.</w:t>
      </w:r>
    </w:p>
    <w:p>
      <w:pPr>
        <w:pStyle w:val="TextBody"/>
        <w:bidi w:val="0"/>
        <w:spacing w:lineRule="auto" w:line="288" w:before="0" w:after="180"/>
        <w:jc w:val="left"/>
        <w:rPr/>
      </w:pPr>
      <w:r>
        <w:rPr>
          <w:rFonts w:ascii="Times New Roman;serif" w:hAnsi="Times New Roman;serif"/>
          <w:b w:val="false"/>
          <w:color w:val="000000"/>
          <w:sz w:val="20"/>
        </w:rPr>
        <w:t>3.12</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spacing w:lineRule="auto" w:line="288" w:before="0" w:after="180"/>
        <w:jc w:val="left"/>
        <w:rPr/>
      </w:pPr>
      <w:r>
        <w:rPr>
          <w:rFonts w:ascii="Times New Roman;serif" w:hAnsi="Times New Roman;serif"/>
          <w:b w:val="false"/>
          <w:color w:val="000000"/>
          <w:sz w:val="20"/>
        </w:rPr>
        <w:t>3.13</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180"/>
        <w:jc w:val="left"/>
        <w:rPr/>
      </w:pPr>
      <w:r>
        <w:rPr>
          <w:rFonts w:ascii="Times New Roman;serif" w:hAnsi="Times New Roman;serif"/>
          <w:b w:val="false"/>
          <w:color w:val="000000"/>
          <w:sz w:val="20"/>
        </w:rPr>
        <w:t>3.14</w:t>
      </w:r>
      <w:r>
        <w:rPr>
          <w:rFonts w:ascii="Times New Roman;serif" w:hAnsi="Times New Roman;serif"/>
          <w:b w:val="false"/>
          <w:color w:val="000000"/>
          <w:sz w:val="20"/>
          <w:u w:val="single"/>
        </w:rPr>
        <w:t>Not a Contract of Service Relationship</w:t>
      </w:r>
      <w:r>
        <w:rPr>
          <w:rFonts w:ascii="Times New Roman;serif" w:hAnsi="Times New Roman;serif"/>
          <w:b w:val="false"/>
          <w:color w:val="000000"/>
          <w:sz w:val="20"/>
        </w:rPr>
        <w:t>. Nothing in this Agreement or in the Plan shall confer upon Participant any right to continue to serve as an employee or other service provider of the Company or any of its Affiliates or interfere with or restrict in any way with the right of the Company or any of its Affiliates, which rights are hereby expressly reserved, to discharge or to terminate for any reason whatsoever, with or without cause, the services of the Participant’s at any time.</w:t>
      </w:r>
    </w:p>
    <w:p>
      <w:pPr>
        <w:pStyle w:val="TextBody"/>
        <w:bidi w:val="0"/>
        <w:spacing w:lineRule="auto" w:line="288" w:before="0" w:after="180"/>
        <w:jc w:val="left"/>
        <w:rPr/>
      </w:pPr>
      <w:r>
        <w:rPr>
          <w:rFonts w:ascii="Times New Roman;serif" w:hAnsi="Times New Roman;serif"/>
          <w:b w:val="false"/>
          <w:color w:val="000000"/>
          <w:sz w:val="20"/>
        </w:rPr>
        <w:t>3.15</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w:t>
      </w:r>
    </w:p>
    <w:p>
      <w:pPr>
        <w:pStyle w:val="TextBody"/>
        <w:bidi w:val="0"/>
        <w:spacing w:lineRule="auto" w:line="288" w:before="0" w:after="180"/>
        <w:jc w:val="left"/>
        <w:rPr/>
      </w:pPr>
      <w:r>
        <w:rPr>
          <w:rFonts w:ascii="Times New Roman;serif" w:hAnsi="Times New Roman;serif"/>
          <w:b w:val="false"/>
          <w:color w:val="000000"/>
          <w:sz w:val="20"/>
        </w:rPr>
        <w:t>3.16</w:t>
      </w:r>
      <w:r>
        <w:rPr>
          <w:rFonts w:ascii="Times New Roman;serif" w:hAnsi="Times New Roman;serif"/>
          <w:b w:val="false"/>
          <w:color w:val="000000"/>
          <w:sz w:val="20"/>
          <w:u w:val="single"/>
        </w:rPr>
        <w:t>Section 409A</w:t>
      </w:r>
      <w:r>
        <w:rPr>
          <w:rFonts w:ascii="Times New Roman;serif" w:hAnsi="Times New Roman;serif"/>
          <w:b w:val="false"/>
          <w:color w:val="000000"/>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0"/>
          <w:u w:val="single"/>
        </w:rPr>
        <w:t>Section 409A</w:t>
      </w:r>
      <w:r>
        <w:rPr>
          <w:color w:val="000000"/>
        </w:rPr>
        <w:t>”</w:t>
      </w:r>
      <w:r>
        <w:rPr>
          <w:rFonts w:ascii="Times New Roman;serif" w:hAnsi="Times New Roman;serif"/>
          <w:b w:val="false"/>
          <w:color w:val="000000"/>
          <w:sz w:val="20"/>
        </w:rPr>
        <w:t xml:space="preserve">). However, notwithstanding any other provision of the Plan, the Grant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pStyle w:val="TextBody"/>
        <w:bidi w:val="0"/>
        <w:spacing w:lineRule="auto" w:line="288" w:before="0" w:after="180"/>
        <w:jc w:val="left"/>
        <w:rPr/>
      </w:pPr>
      <w:r>
        <w:rPr>
          <w:rFonts w:ascii="Times New Roman;serif" w:hAnsi="Times New Roman;serif"/>
          <w:b w:val="false"/>
          <w:color w:val="000000"/>
          <w:sz w:val="20"/>
        </w:rPr>
        <w:t>3.17</w:t>
      </w:r>
      <w:r>
        <w:rPr>
          <w:rFonts w:ascii="Times New Roman;serif" w:hAnsi="Times New Roman;serif"/>
          <w:b w:val="false"/>
          <w:color w:val="000000"/>
          <w:sz w:val="20"/>
          <w:u w:val="single"/>
        </w:rPr>
        <w:t>Limitation on Participant’s Rights</w:t>
      </w:r>
      <w:r>
        <w:rPr>
          <w:rFonts w:ascii="Times New Roman;serif" w:hAnsi="Times New Roman;serif"/>
          <w:b w:val="false"/>
          <w:color w:val="000000"/>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Affiliates with respect to amounts credited and benefits payable, if any, with respect to the RSUs, and rights no greater than the right to receive the Common Stock as a general unsecured creditor with respect to RSUs, as and when payable hereunder.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10.3(g)</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ARDELYX, INC.</w:t>
        <w:br/>
        <w:t xml:space="preserve">AMENDED AND RESTATED </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2014 EQUITY INCENTIVE AWARD PLAN</w:t>
        <w:br/>
        <w:br/>
        <w:t>FORM OF STOCK OPTION GRANT NOTICE</w:t>
      </w:r>
    </w:p>
    <w:p>
      <w:pPr>
        <w:pStyle w:val="TextBody"/>
        <w:bidi w:val="0"/>
        <w:spacing w:lineRule="auto" w:line="288" w:before="0" w:after="180"/>
        <w:ind w:left="0" w:right="0" w:firstLine="720"/>
        <w:jc w:val="both"/>
        <w:rPr/>
      </w:pPr>
      <w:r>
        <w:rPr>
          <w:rFonts w:ascii="Times New Roman;serif" w:hAnsi="Times New Roman;serif"/>
          <w:b w:val="false"/>
          <w:color w:val="000000"/>
          <w:sz w:val="22"/>
        </w:rPr>
        <w:t>Ardelyx,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Amended and Restated 2014 Equity Incentive Award Plan, as may be amended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holder listed below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an option to purchase the number of shares of the Company’s common stock (“</w:t>
      </w:r>
      <w:r>
        <w:rPr>
          <w:rFonts w:ascii="Times New Roman;serif" w:hAnsi="Times New Roman;serif"/>
          <w:b w:val="false"/>
          <w:color w:val="000000"/>
          <w:sz w:val="22"/>
          <w:u w:val="single"/>
        </w:rPr>
        <w:t>Stock</w:t>
      </w:r>
      <w:r>
        <w:rPr>
          <w:color w:val="000000"/>
        </w:rPr>
        <w:t>”</w:t>
      </w:r>
      <w:r>
        <w:rPr>
          <w:rFonts w:ascii="Times New Roman;serif" w:hAnsi="Times New Roman;serif"/>
          <w:b w:val="false"/>
          <w:color w:val="000000"/>
          <w:sz w:val="22"/>
        </w:rPr>
        <w:t>), set forth below (the “</w:t>
      </w:r>
      <w:r>
        <w:rPr>
          <w:rFonts w:ascii="Times New Roman;serif" w:hAnsi="Times New Roman;serif"/>
          <w:b w:val="false"/>
          <w:color w:val="000000"/>
          <w:sz w:val="22"/>
          <w:u w:val="single"/>
        </w:rPr>
        <w:t>Option</w:t>
      </w:r>
      <w:r>
        <w:rPr>
          <w:color w:val="000000"/>
        </w:rPr>
        <w:t>”</w:t>
      </w:r>
      <w:r>
        <w:rPr>
          <w:rFonts w:ascii="Times New Roman;serif" w:hAnsi="Times New Roman;serif"/>
          <w:b w:val="false"/>
          <w:color w:val="000000"/>
          <w:sz w:val="22"/>
        </w:rPr>
        <w:t>). This Option is subject to all of the terms and conditions set forth herein, as well as in the Plan and the Stock Option Agreement (the “</w:t>
      </w:r>
      <w:r>
        <w:rPr>
          <w:rFonts w:ascii="Times New Roman;serif" w:hAnsi="Times New Roman;serif"/>
          <w:b w:val="false"/>
          <w:color w:val="000000"/>
          <w:sz w:val="22"/>
          <w:u w:val="single"/>
        </w:rPr>
        <w:t>Stock Option Agreement</w:t>
      </w:r>
      <w:r>
        <w:rPr>
          <w:color w:val="000000"/>
        </w:rPr>
        <w:t>”</w:t>
      </w:r>
      <w:r>
        <w:rPr>
          <w:rFonts w:ascii="Times New Roman;serif" w:hAnsi="Times New Roman;serif"/>
          <w:b w:val="false"/>
          <w:color w:val="000000"/>
          <w:sz w:val="22"/>
        </w:rPr>
        <w:t>), each of which are incorporated herein by reference. Unless otherwise defined herein, the terms defined in the Plan shall have the same defined meanings in this Grant Notice and the Stock Option Agreement.</w:t>
      </w:r>
    </w:p>
    <w:p>
      <w:pPr>
        <w:pStyle w:val="TextBody"/>
        <w:bidi w:val="0"/>
        <w:spacing w:before="0" w:after="240"/>
        <w:ind w:left="0" w:right="0" w:firstLine="720"/>
        <w:jc w:val="both"/>
        <w:rPr/>
      </w:pPr>
      <w:r>
        <w:rPr/>
      </w:r>
    </w:p>
    <w:tbl>
      <w:tblPr>
        <w:tblW w:w="6509" w:type="dxa"/>
        <w:jc w:val="left"/>
        <w:tblInd w:w="0" w:type="dxa"/>
        <w:tblLayout w:type="fixed"/>
        <w:tblCellMar>
          <w:top w:w="28" w:type="dxa"/>
          <w:left w:w="28" w:type="dxa"/>
          <w:bottom w:w="28" w:type="dxa"/>
          <w:right w:w="28" w:type="dxa"/>
        </w:tblCellMar>
      </w:tblPr>
      <w:tblGrid>
        <w:gridCol w:w="1291"/>
        <w:gridCol w:w="1134"/>
        <w:gridCol w:w="1145"/>
        <w:gridCol w:w="858"/>
        <w:gridCol w:w="858"/>
        <w:gridCol w:w="1223"/>
      </w:tblGrid>
      <w:tr>
        <w:trPr/>
        <w:tc>
          <w:tcPr>
            <w:tcW w:w="129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Participant:</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Grant Date: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Vesting Commencement Date: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Exercise Price per Share: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Total Exercise Price: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Total Shares Subject to the Option: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 shares</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Expiration Date: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Type of Option: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[Non-Qualified Stock Option]</w:t>
            </w:r>
          </w:p>
        </w:tc>
      </w:tr>
    </w:tbl>
    <w:tbl>
      <w:tblPr>
        <w:tblW w:w="4787" w:type="dxa"/>
        <w:jc w:val="left"/>
        <w:tblInd w:w="0" w:type="dxa"/>
        <w:tblLayout w:type="fixed"/>
        <w:tblCellMar>
          <w:top w:w="28" w:type="dxa"/>
          <w:left w:w="28" w:type="dxa"/>
          <w:bottom w:w="28" w:type="dxa"/>
          <w:right w:w="28" w:type="dxa"/>
        </w:tblCellMar>
      </w:tblPr>
      <w:tblGrid>
        <w:gridCol w:w="469"/>
        <w:gridCol w:w="410"/>
        <w:gridCol w:w="410"/>
        <w:gridCol w:w="311"/>
        <w:gridCol w:w="311"/>
        <w:gridCol w:w="317"/>
        <w:gridCol w:w="109"/>
        <w:gridCol w:w="109"/>
        <w:gridCol w:w="109"/>
        <w:gridCol w:w="425"/>
        <w:gridCol w:w="425"/>
        <w:gridCol w:w="425"/>
        <w:gridCol w:w="280"/>
        <w:gridCol w:w="280"/>
        <w:gridCol w:w="397"/>
      </w:tblGrid>
      <w:tr>
        <w:trPr/>
        <w:tc>
          <w:tcPr>
            <w:tcW w:w="46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2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ARDELYX,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57"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28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957" w:type="dxa"/>
            <w:gridSpan w:val="3"/>
            <w:tcBorders>
              <w:bottom w:val="single" w:sz="8" w:space="0" w:color="000000"/>
            </w:tcBorders>
            <w:tcMar>
              <w:top w:w="0" w:type="dxa"/>
              <w:left w:w="0" w:type="dxa"/>
              <w:right w:w="0" w:type="dxa"/>
            </w:tcMar>
            <w:vAlign w:val="center"/>
          </w:tcPr>
          <w:p>
            <w:pPr>
              <w:pStyle w:val="TableContents"/>
              <w:bidi w:val="0"/>
              <w:spacing w:before="0" w:after="0"/>
              <w:ind w:left="0" w:right="0" w:firstLine="720"/>
              <w:jc w:val="both"/>
              <w:rPr/>
            </w:pPr>
            <w:r>
              <w:rPr/>
            </w:r>
          </w:p>
          <w:p>
            <w:pPr>
              <w:pStyle w:val="TableContents"/>
              <w:bidi w:val="0"/>
              <w:spacing w:before="0" w:after="0"/>
              <w:jc w:val="both"/>
              <w:rPr/>
            </w:pPr>
            <w:r>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Vesting Schedule shall be as follows:</w:t>
      </w:r>
    </w:p>
    <w:tbl>
      <w:tblPr>
        <w:tblW w:w="1711" w:type="dxa"/>
        <w:jc w:val="left"/>
        <w:tblInd w:w="0" w:type="dxa"/>
        <w:tblLayout w:type="fixed"/>
        <w:tblCellMar>
          <w:top w:w="28" w:type="dxa"/>
          <w:left w:w="28" w:type="dxa"/>
          <w:bottom w:w="28" w:type="dxa"/>
          <w:right w:w="28" w:type="dxa"/>
        </w:tblCellMar>
      </w:tblPr>
      <w:tblGrid>
        <w:gridCol w:w="234"/>
        <w:gridCol w:w="205"/>
        <w:gridCol w:w="207"/>
        <w:gridCol w:w="311"/>
        <w:gridCol w:w="311"/>
        <w:gridCol w:w="44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Shares</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Vest Date</w:t>
            </w:r>
          </w:p>
        </w:tc>
      </w:tr>
    </w:tbl>
    <w:p>
      <w:pPr>
        <w:pStyle w:val="TextBody"/>
        <w:bidi w:val="0"/>
        <w:spacing w:before="0" w:after="240"/>
        <w:ind w:left="0" w:right="0" w:firstLine="720"/>
        <w:jc w:val="both"/>
        <w:rPr/>
      </w:pPr>
      <w:r>
        <w:rPr/>
      </w:r>
    </w:p>
    <w:p>
      <w:pPr>
        <w:pStyle w:val="TextBody"/>
        <w:bidi w:val="0"/>
        <w:spacing w:lineRule="auto" w:line="297"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10.3(h)</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FORM OF STOCK OPTION AGREEMENT </w:t>
      </w:r>
    </w:p>
    <w:p>
      <w:pPr>
        <w:pStyle w:val="TextBody"/>
        <w:bidi w:val="0"/>
        <w:spacing w:lineRule="auto" w:line="288" w:before="0" w:after="180"/>
        <w:jc w:val="left"/>
        <w:rPr/>
      </w:pPr>
      <w:r>
        <w:rPr>
          <w:rFonts w:ascii="Times New Roman;serif" w:hAnsi="Times New Roman;serif"/>
          <w:b w:val="false"/>
          <w:color w:val="000000"/>
          <w:sz w:val="20"/>
        </w:rPr>
        <w:t>Pursuant to the Stock Option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to which this Stock Option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attached, 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to Participant an Option under the Company’s Amended and Restated 2014 Equity Incentive Award Plan, as may be amended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to purchase the number of shares of Stock indicated in the Grant Notice.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1.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Defined Terms</w:t>
      </w:r>
      <w:r>
        <w:rPr>
          <w:rFonts w:ascii="Times New Roman;serif" w:hAnsi="Times New Roman;serif"/>
          <w:b w:val="false"/>
          <w:color w:val="000000"/>
          <w:sz w:val="20"/>
        </w:rPr>
        <w:t xml:space="preserve">. Wherever the following terms are used in this Agreement they shall have the meanings specified below, unless the context clearly indicates otherwise. Capitalized terms not specifically defined herein shall have the meanings specified in the Plan and the Grant Notice. </w:t>
      </w:r>
    </w:p>
    <w:p>
      <w:pPr>
        <w:pStyle w:val="TextBody"/>
        <w:bidi w:val="0"/>
        <w:spacing w:lineRule="auto" w:line="288" w:before="0" w:after="180"/>
        <w:jc w:val="left"/>
        <w:rPr/>
      </w:pPr>
      <w:r>
        <w:rPr>
          <w:rFonts w:ascii="Times New Roman;serif" w:hAnsi="Times New Roman;serif"/>
          <w:b w:val="false"/>
          <w:color w:val="000000"/>
          <w:sz w:val="20"/>
        </w:rPr>
        <w:t xml:space="preserve">1.2 </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xml:space="preserve">. The Option is subject to the terms and conditions of the Plan which are incorporated herein by reference. In the event of any inconsistency between the Plan and this Agreement, the terms of the Plan shall control.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2.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GRANT OF OPTION </w:t>
      </w:r>
    </w:p>
    <w:p>
      <w:pPr>
        <w:pStyle w:val="TextBody"/>
        <w:bidi w:val="0"/>
        <w:spacing w:lineRule="auto" w:line="288" w:before="0" w:after="180"/>
        <w:jc w:val="left"/>
        <w:rPr/>
      </w:pPr>
      <w:r>
        <w:rPr>
          <w:rFonts w:ascii="Times New Roman;serif" w:hAnsi="Times New Roman;serif"/>
          <w:b w:val="false"/>
          <w:color w:val="000000"/>
          <w:sz w:val="20"/>
        </w:rPr>
        <w:t xml:space="preserve">2.1 </w:t>
      </w:r>
      <w:r>
        <w:rPr>
          <w:rFonts w:ascii="Times New Roman;serif" w:hAnsi="Times New Roman;serif"/>
          <w:b w:val="false"/>
          <w:color w:val="000000"/>
          <w:sz w:val="20"/>
          <w:u w:val="single"/>
        </w:rPr>
        <w:t>Grant of Option</w:t>
      </w:r>
      <w:r>
        <w:rPr>
          <w:rFonts w:ascii="Times New Roman;serif" w:hAnsi="Times New Roman;serif"/>
          <w:b w:val="false"/>
          <w:color w:val="000000"/>
          <w:sz w:val="20"/>
        </w:rPr>
        <w:t>. In consideration of Participant’s past and/or continued directorship with or service to the Company or any Affiliate and for other good and valuable consideration, effective as of the Grant Date set forth in the Grant Notice (the “</w:t>
      </w:r>
      <w:r>
        <w:rPr>
          <w:rFonts w:ascii="Times New Roman;serif" w:hAnsi="Times New Roman;serif"/>
          <w:b w:val="false"/>
          <w:color w:val="000000"/>
          <w:sz w:val="20"/>
          <w:u w:val="single"/>
        </w:rPr>
        <w:t>Grant Date</w:t>
      </w:r>
      <w:r>
        <w:rPr>
          <w:color w:val="000000"/>
        </w:rPr>
        <w:t>”</w:t>
      </w:r>
      <w:r>
        <w:rPr>
          <w:rFonts w:ascii="Times New Roman;serif" w:hAnsi="Times New Roman;serif"/>
          <w:b w:val="false"/>
          <w:color w:val="000000"/>
          <w:sz w:val="20"/>
        </w:rPr>
        <w:t xml:space="preserve">), the Company irrevocably grants to Participant the Option to purchase any part or all of an aggregate of the number of shares of Stock set forth in the Grant Notice, upon the terms and conditions set forth in the Plan and this Agreement, subject to adjustments as provided in Section 13.2 of the Plan. </w:t>
      </w:r>
    </w:p>
    <w:p>
      <w:pPr>
        <w:pStyle w:val="TextBody"/>
        <w:bidi w:val="0"/>
        <w:spacing w:lineRule="auto" w:line="288" w:before="0" w:after="180"/>
        <w:jc w:val="left"/>
        <w:rPr/>
      </w:pPr>
      <w:r>
        <w:rPr>
          <w:rFonts w:ascii="Times New Roman;serif" w:hAnsi="Times New Roman;serif"/>
          <w:b w:val="false"/>
          <w:color w:val="000000"/>
          <w:sz w:val="20"/>
        </w:rPr>
        <w:t xml:space="preserve">2.2 </w:t>
      </w:r>
      <w:r>
        <w:rPr>
          <w:rFonts w:ascii="Times New Roman;serif" w:hAnsi="Times New Roman;serif"/>
          <w:b w:val="false"/>
          <w:color w:val="000000"/>
          <w:sz w:val="20"/>
          <w:u w:val="single"/>
        </w:rPr>
        <w:t>Exercise Price</w:t>
      </w:r>
      <w:r>
        <w:rPr>
          <w:rFonts w:ascii="Times New Roman;serif" w:hAnsi="Times New Roman;serif"/>
          <w:b w:val="false"/>
          <w:color w:val="000000"/>
          <w:sz w:val="20"/>
        </w:rPr>
        <w:t xml:space="preserve">. The exercise price of the shares of Stock subject to the Option shall be as set forth in the Grant Notice, without commission or other charge;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price per share of the shares of Stock subject to the Option shall not be less than 100% of the Fair Market Value of a share of Stock on the Grant Date. </w:t>
      </w:r>
    </w:p>
    <w:p>
      <w:pPr>
        <w:pStyle w:val="TextBody"/>
        <w:bidi w:val="0"/>
        <w:spacing w:lineRule="auto" w:line="288" w:before="0" w:after="180"/>
        <w:jc w:val="left"/>
        <w:rPr/>
      </w:pPr>
      <w:r>
        <w:rPr>
          <w:rFonts w:ascii="Times New Roman;serif" w:hAnsi="Times New Roman;serif"/>
          <w:b w:val="false"/>
          <w:color w:val="000000"/>
          <w:sz w:val="20"/>
        </w:rPr>
        <w:t xml:space="preserve">2.3 </w:t>
      </w:r>
      <w:r>
        <w:rPr>
          <w:rFonts w:ascii="Times New Roman;serif" w:hAnsi="Times New Roman;serif"/>
          <w:b w:val="false"/>
          <w:color w:val="000000"/>
          <w:sz w:val="20"/>
          <w:u w:val="single"/>
        </w:rPr>
        <w:t>Consideration to the Company</w:t>
      </w:r>
      <w:r>
        <w:rPr>
          <w:rFonts w:ascii="Times New Roman;serif" w:hAnsi="Times New Roman;serif"/>
          <w:b w:val="false"/>
          <w:color w:val="000000"/>
          <w:sz w:val="20"/>
        </w:rPr>
        <w:t xml:space="preserve">. In consideration of the grant of the Option by the Company, Participant agrees to render faithful and efficient services to the Company or any Affiliate. Nothing in the Plan or this Agreement shall confer upon Participant any right to continue as a director or service provider of the Company or any Affiliate or shall interfere with or restrict in any way the rights of the Company and its Affiliates, which rights are hereby expressly reserved, to discharge or terminate the services of Participant at any time for any reason whatsoever, with or without cause, except to the extent expressly provided otherwise in a written agreement between the Company or an Affiliate and Participant. </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3.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PERIOD OF EXERCISABILITY </w:t>
      </w:r>
    </w:p>
    <w:p>
      <w:pPr>
        <w:pStyle w:val="TextBody"/>
        <w:bidi w:val="0"/>
        <w:spacing w:lineRule="auto" w:line="288" w:before="0" w:after="180"/>
        <w:jc w:val="left"/>
        <w:rPr/>
      </w:pPr>
      <w:r>
        <w:rPr>
          <w:rFonts w:ascii="Times New Roman;serif" w:hAnsi="Times New Roman;serif"/>
          <w:b w:val="false"/>
          <w:color w:val="000000"/>
          <w:sz w:val="20"/>
        </w:rPr>
        <w:t xml:space="preserve">3.1 </w:t>
      </w:r>
      <w:r>
        <w:rPr>
          <w:rFonts w:ascii="Times New Roman;serif" w:hAnsi="Times New Roman;serif"/>
          <w:b w:val="false"/>
          <w:color w:val="000000"/>
          <w:sz w:val="20"/>
          <w:u w:val="single"/>
        </w:rPr>
        <w:t>Commencement of Exercisability</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Subject to Sections 3.2, 3.3, 5.11 and 5.17 hereof, the Option shall become vested and exercisable in such amounts and at such times as are set forth in the Grant Notice.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 Notwithstanding Sections 3.1(a) hereof and the Grant Notice, but subject to Section 3.1(b) hereof, in the event of a Change in Control the Option shall vest in full immediately prior to the occurrence of such Change in Control, to the extent outstanding at such time.</w:t>
      </w:r>
    </w:p>
    <w:p>
      <w:pPr>
        <w:pStyle w:val="TextBody"/>
        <w:bidi w:val="0"/>
        <w:spacing w:lineRule="auto" w:line="288" w:before="0" w:after="180"/>
        <w:jc w:val="left"/>
        <w:rPr/>
      </w:pPr>
      <w:r>
        <w:rPr>
          <w:rFonts w:ascii="Times New Roman;serif" w:hAnsi="Times New Roman;serif"/>
          <w:b w:val="false"/>
          <w:color w:val="000000"/>
          <w:sz w:val="20"/>
        </w:rPr>
        <w:t xml:space="preserve">3.2 </w:t>
      </w:r>
      <w:r>
        <w:rPr>
          <w:rFonts w:ascii="Times New Roman;serif" w:hAnsi="Times New Roman;serif"/>
          <w:b w:val="false"/>
          <w:color w:val="000000"/>
          <w:sz w:val="20"/>
          <w:u w:val="single"/>
        </w:rPr>
        <w:t>Duration of Exercisability</w:t>
      </w:r>
      <w:r>
        <w:rPr>
          <w:rFonts w:ascii="Times New Roman;serif" w:hAnsi="Times New Roman;serif"/>
          <w:b w:val="false"/>
          <w:color w:val="000000"/>
          <w:sz w:val="20"/>
        </w:rPr>
        <w:t xml:space="preserve">.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 </w:t>
      </w:r>
    </w:p>
    <w:p>
      <w:pPr>
        <w:pStyle w:val="TextBody"/>
        <w:bidi w:val="0"/>
        <w:spacing w:lineRule="auto" w:line="288" w:before="0" w:after="180"/>
        <w:jc w:val="left"/>
        <w:rPr/>
      </w:pPr>
      <w:r>
        <w:rPr>
          <w:rFonts w:ascii="Times New Roman;serif" w:hAnsi="Times New Roman;serif"/>
          <w:b w:val="false"/>
          <w:color w:val="000000"/>
          <w:sz w:val="20"/>
        </w:rPr>
        <w:t xml:space="preserve">3.3 </w:t>
      </w:r>
      <w:r>
        <w:rPr>
          <w:rFonts w:ascii="Times New Roman;serif" w:hAnsi="Times New Roman;serif"/>
          <w:b w:val="false"/>
          <w:color w:val="000000"/>
          <w:sz w:val="20"/>
          <w:u w:val="single"/>
        </w:rPr>
        <w:t>Expiration of Option</w:t>
      </w:r>
      <w:r>
        <w:rPr>
          <w:rFonts w:ascii="Times New Roman;serif" w:hAnsi="Times New Roman;serif"/>
          <w:b w:val="false"/>
          <w:color w:val="000000"/>
          <w:sz w:val="20"/>
        </w:rPr>
        <w:t xml:space="preserve">. The Option may not be exercised to any extent by anyone after the first to occur of the following events: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The Expiration Date set forth in the Grant Notice, which shall in no event be more than ten (10) years from the Grant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The expiration of three (3) months from the date of Participant’s Termination of Service, unless such termination occurs by reason of Participant’s death or disability; 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The expiration of one (1) year from the date of Participant’s Termination of Service by reason of Participant’s death or disability. </w:t>
      </w:r>
    </w:p>
    <w:p>
      <w:pPr>
        <w:pStyle w:val="TextBody"/>
        <w:bidi w:val="0"/>
        <w:spacing w:lineRule="auto" w:line="288" w:before="0" w:after="180"/>
        <w:jc w:val="left"/>
        <w:rPr/>
      </w:pPr>
      <w:r>
        <w:rPr>
          <w:rFonts w:ascii="Times New Roman;serif" w:hAnsi="Times New Roman;serif"/>
          <w:b w:val="false"/>
          <w:color w:val="000000"/>
          <w:sz w:val="20"/>
        </w:rPr>
        <w:t xml:space="preserve">3.5 </w:t>
      </w:r>
      <w:r>
        <w:rPr>
          <w:rFonts w:ascii="Times New Roman;serif" w:hAnsi="Times New Roman;serif"/>
          <w:b w:val="false"/>
          <w:color w:val="000000"/>
          <w:sz w:val="20"/>
          <w:u w:val="single"/>
        </w:rPr>
        <w:t>Tax Indemnity</w:t>
      </w:r>
      <w:r>
        <w:rPr>
          <w:rFonts w:ascii="Times New Roman;serif" w:hAnsi="Times New Roman;serif"/>
          <w:b w:val="false"/>
          <w:color w:val="000000"/>
          <w:sz w:val="20"/>
        </w:rPr>
        <w:t xml:space="preserve">. </w:t>
      </w:r>
    </w:p>
    <w:p>
      <w:pPr>
        <w:pStyle w:val="TextBody"/>
        <w:bidi w:val="0"/>
        <w:spacing w:lineRule="auto" w:line="288" w:before="0" w:after="180"/>
        <w:jc w:val="left"/>
        <w:rPr/>
      </w:pPr>
      <w:r>
        <w:rPr>
          <w:rFonts w:ascii="Times New Roman;serif" w:hAnsi="Times New Roman;serif"/>
          <w:b w:val="false"/>
          <w:color w:val="000000"/>
          <w:sz w:val="20"/>
        </w:rPr>
        <w:t>(a) Participant agrees to indemnify and keep indemnified the Company, any Affiliate and Participant’s employing company, if different, from and against any liability for or obligation to pay any Tax Liability (a “</w:t>
      </w:r>
      <w:r>
        <w:rPr>
          <w:rFonts w:ascii="Times New Roman;serif" w:hAnsi="Times New Roman;serif"/>
          <w:b w:val="false"/>
          <w:color w:val="000000"/>
          <w:sz w:val="20"/>
          <w:u w:val="single"/>
        </w:rPr>
        <w:t>Tax Liability</w:t>
      </w:r>
      <w:r>
        <w:rPr>
          <w:color w:val="000000"/>
        </w:rPr>
        <w:t xml:space="preserve">” </w:t>
      </w:r>
      <w:r>
        <w:rPr>
          <w:rFonts w:ascii="Times New Roman;serif" w:hAnsi="Times New Roman;serif"/>
          <w:b w:val="false"/>
          <w:color w:val="000000"/>
          <w:sz w:val="20"/>
        </w:rPr>
        <w:t xml:space="preserve">being any liability for income tax, withholding tax and any other employment related taxes or social security contributions in any jurisdiction) that is attributable to (1) the grant or exercise of, or any benefit derived by Participant from, the Option, (2) the acquisition by Participant of the Stock on exercise of the Option or (3) the disposal of any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The Option cannot be exercised until Participant has made such arrangements as the Company may require for the satisfaction of any Tax Liability that may arise in connection with the exercise of the Option and/or the acquisition of the Stock by Participant. The Company shall not be required to issue, allot or transfer Stock until Participant has satisfied this obligation.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Participant’s liability for Tax Liabilities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 Liabilities in more than one jurisdiction. </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4.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EXERCISE OF OPTION </w:t>
      </w:r>
    </w:p>
    <w:p>
      <w:pPr>
        <w:pStyle w:val="TextBody"/>
        <w:bidi w:val="0"/>
        <w:spacing w:lineRule="auto" w:line="288" w:before="0" w:after="180"/>
        <w:jc w:val="left"/>
        <w:rPr/>
      </w:pPr>
      <w:r>
        <w:rPr>
          <w:rFonts w:ascii="Times New Roman;serif" w:hAnsi="Times New Roman;serif"/>
          <w:b w:val="false"/>
          <w:color w:val="000000"/>
          <w:sz w:val="20"/>
        </w:rPr>
        <w:t xml:space="preserve">4.1 </w:t>
      </w:r>
      <w:r>
        <w:rPr>
          <w:rFonts w:ascii="Times New Roman;serif" w:hAnsi="Times New Roman;serif"/>
          <w:b w:val="false"/>
          <w:color w:val="000000"/>
          <w:sz w:val="20"/>
          <w:u w:val="single"/>
        </w:rPr>
        <w:t>Person Eligible to Exercise</w:t>
      </w:r>
      <w:r>
        <w:rPr>
          <w:rFonts w:ascii="Times New Roman;serif" w:hAnsi="Times New Roman;serif"/>
          <w:b w:val="false"/>
          <w:color w:val="000000"/>
          <w:sz w:val="20"/>
        </w:rPr>
        <w:t xml:space="preserve">.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 </w:t>
      </w:r>
    </w:p>
    <w:p>
      <w:pPr>
        <w:pStyle w:val="TextBody"/>
        <w:bidi w:val="0"/>
        <w:spacing w:lineRule="auto" w:line="288" w:before="0" w:after="180"/>
        <w:jc w:val="left"/>
        <w:rPr/>
      </w:pPr>
      <w:r>
        <w:rPr>
          <w:rFonts w:ascii="Times New Roman;serif" w:hAnsi="Times New Roman;serif"/>
          <w:b w:val="false"/>
          <w:color w:val="000000"/>
          <w:sz w:val="20"/>
        </w:rPr>
        <w:t xml:space="preserve">4.2 </w:t>
      </w:r>
      <w:r>
        <w:rPr>
          <w:rFonts w:ascii="Times New Roman;serif" w:hAnsi="Times New Roman;serif"/>
          <w:b w:val="false"/>
          <w:color w:val="000000"/>
          <w:sz w:val="20"/>
          <w:u w:val="single"/>
        </w:rPr>
        <w:t>Partial Exercise</w:t>
      </w:r>
      <w:r>
        <w:rPr>
          <w:rFonts w:ascii="Times New Roman;serif" w:hAnsi="Times New Roman;serif"/>
          <w:b w:val="false"/>
          <w:color w:val="000000"/>
          <w:sz w:val="20"/>
        </w:rPr>
        <w:t xml:space="preserve">.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 of Stock. </w:t>
      </w:r>
    </w:p>
    <w:p>
      <w:pPr>
        <w:pStyle w:val="TextBody"/>
        <w:bidi w:val="0"/>
        <w:spacing w:lineRule="auto" w:line="288" w:before="0" w:after="180"/>
        <w:jc w:val="left"/>
        <w:rPr/>
      </w:pPr>
      <w:r>
        <w:rPr>
          <w:rFonts w:ascii="Times New Roman;serif" w:hAnsi="Times New Roman;serif"/>
          <w:b w:val="false"/>
          <w:color w:val="000000"/>
          <w:sz w:val="20"/>
        </w:rPr>
        <w:t xml:space="preserve">4.3 </w:t>
      </w:r>
      <w:r>
        <w:rPr>
          <w:rFonts w:ascii="Times New Roman;serif" w:hAnsi="Times New Roman;serif"/>
          <w:b w:val="false"/>
          <w:color w:val="000000"/>
          <w:sz w:val="20"/>
          <w:u w:val="single"/>
        </w:rPr>
        <w:t>Manner of Exercise</w:t>
      </w:r>
      <w:r>
        <w:rPr>
          <w:rFonts w:ascii="Times New Roman;serif" w:hAnsi="Times New Roman;serif"/>
          <w:b w:val="false"/>
          <w:color w:val="000000"/>
          <w:sz w:val="20"/>
        </w:rPr>
        <w:t xml:space="preserve">.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The receipt by the Company of full payment for the shares of Stock with respect to which the Option or portion thereof is exercised, including payment of any applicable withholding tax, which shall be made by deduction from other compensation payable to Participant or in such other form of consideration permitted under Section 4.4 hereof that is acceptable to the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Any other written representations or documents as may be required in the Administrator’s sole discretion to evidence compliance with the Securities Act, the Exchange Act or any other applicable law, rule or regulation; and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 In the event the Option or portion thereof shall be exercised pursuant to Section 4.1 hereof by any person or persons other than Participant, appropriate proof of the right of such person or persons to exercise the Option.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the Company shall have the right to specify all conditions of the manner of exercise, which conditions may vary by country and which may be subject to change from time to time. </w:t>
      </w:r>
    </w:p>
    <w:p>
      <w:pPr>
        <w:pStyle w:val="TextBody"/>
        <w:bidi w:val="0"/>
        <w:spacing w:lineRule="auto" w:line="288" w:before="0" w:after="180"/>
        <w:jc w:val="left"/>
        <w:rPr/>
      </w:pPr>
      <w:r>
        <w:rPr>
          <w:rFonts w:ascii="Times New Roman;serif" w:hAnsi="Times New Roman;serif"/>
          <w:b w:val="false"/>
          <w:color w:val="000000"/>
          <w:sz w:val="20"/>
        </w:rPr>
        <w:t xml:space="preserve">4.4 </w:t>
      </w:r>
      <w:r>
        <w:rPr>
          <w:rFonts w:ascii="Times New Roman;serif" w:hAnsi="Times New Roman;serif"/>
          <w:b w:val="false"/>
          <w:color w:val="000000"/>
          <w:sz w:val="20"/>
          <w:u w:val="single"/>
        </w:rPr>
        <w:t>Method of Payment</w:t>
      </w:r>
      <w:r>
        <w:rPr>
          <w:rFonts w:ascii="Times New Roman;serif" w:hAnsi="Times New Roman;serif"/>
          <w:b w:val="false"/>
          <w:color w:val="000000"/>
          <w:sz w:val="20"/>
        </w:rPr>
        <w:t xml:space="preserve">. Payment of the exercise price shall be by any of the following, or a combination thereof, at the election of Participant: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Cash or check;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With the consent of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 </w:t>
      </w:r>
    </w:p>
    <w:p>
      <w:pPr>
        <w:pStyle w:val="TextBody"/>
        <w:bidi w:val="0"/>
        <w:spacing w:lineRule="auto" w:line="288" w:before="0" w:after="180"/>
        <w:jc w:val="left"/>
        <w:rPr/>
      </w:pPr>
      <w:r>
        <w:rPr>
          <w:rFonts w:ascii="Times New Roman;serif" w:hAnsi="Times New Roman;serif"/>
          <w:b w:val="false"/>
          <w:color w:val="000000"/>
          <w:sz w:val="20"/>
        </w:rPr>
        <w:t xml:space="preserve">(c) Other legal consideration acceptable to the Administrator (including, without limitation, through the delivery of a notice that Participant has placed a market sell order with a broker with respect to shares of Stock then issuable upon exercise of the Option, and that the broker has been directed to pay a sufficient portion of the net proceeds of the sale to the Company in satisfaction of the Option exercise price;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payment of such proceeds is then made to the Company at such time as may be required by the Company, but in any event not later than the settlement of such sale). </w:t>
      </w:r>
    </w:p>
    <w:p>
      <w:pPr>
        <w:pStyle w:val="TextBody"/>
        <w:bidi w:val="0"/>
        <w:spacing w:lineRule="auto" w:line="288" w:before="0" w:after="180"/>
        <w:jc w:val="left"/>
        <w:rPr/>
      </w:pPr>
      <w:r>
        <w:rPr>
          <w:rFonts w:ascii="Times New Roman;serif" w:hAnsi="Times New Roman;serif"/>
          <w:b w:val="false"/>
          <w:color w:val="000000"/>
          <w:sz w:val="20"/>
        </w:rPr>
        <w:t xml:space="preserve">4.5 </w:t>
      </w:r>
      <w:r>
        <w:rPr>
          <w:rFonts w:ascii="Times New Roman;serif" w:hAnsi="Times New Roman;serif"/>
          <w:b w:val="false"/>
          <w:color w:val="000000"/>
          <w:sz w:val="20"/>
          <w:u w:val="single"/>
        </w:rPr>
        <w:t>Conditions to Issuance of Stock</w:t>
      </w:r>
      <w:r>
        <w:rPr>
          <w:rFonts w:ascii="Times New Roman;serif" w:hAnsi="Times New Roman;serif"/>
          <w:b w:val="false"/>
          <w:color w:val="000000"/>
          <w:sz w:val="20"/>
        </w:rPr>
        <w:t xml:space="preserve">. The shares of Stock deliverable upon the exercise of the Option, or any portion thereof, may be either previously authorized but unissued shares of Stock or issued shares of Stock which have then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been reacquired by the Company. Such shares of Stock shall be fully paid and nonassessable. The Company shall not be required to issue or deliver any shares of Stock purchased upon the exercise of the Option or portion thereof prior to fulfillment of all of the conditions in Section 11.4 of the Plan and following conditions: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The admission of such shares of Stock to listing on all stock exchanges on which such Stock is then listed;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The completion of any registration or other qualification of such shares of Stock under any state or federal law or under rulings or regulations of the Securities and Exchange Commission or of any other governmental regulatory body, which the Administrator shall, in its absolute discretion, deem necessary or advisable;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The obtaining of any approval or other clearance from any state or federal governmental agency which the Administrator shall, in its absolute discretion, determine to be necessary or advisable;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 The receipt by the Company of full payment for such shares of Stock, including payment of any applicable withholding tax, which may be in one or more of the forms of consideration permitted under Section 4.4 hereof; and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 The lapse of such reasonable period of time following the exercise of the Option as the Administrator may from time to time establish for reasons of administrative convenience. </w:t>
      </w:r>
    </w:p>
    <w:p>
      <w:pPr>
        <w:pStyle w:val="TextBody"/>
        <w:bidi w:val="0"/>
        <w:spacing w:lineRule="auto" w:line="288" w:before="0" w:after="180"/>
        <w:jc w:val="left"/>
        <w:rPr/>
      </w:pPr>
      <w:r>
        <w:rPr>
          <w:rFonts w:ascii="Times New Roman;serif" w:hAnsi="Times New Roman;serif"/>
          <w:b w:val="false"/>
          <w:color w:val="000000"/>
          <w:sz w:val="20"/>
        </w:rPr>
        <w:t xml:space="preserve">4.6 </w:t>
      </w: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xml:space="preserve">. The holder of the Option shall not be, nor have any of the rights or privileges of, a stockholder of the Company, including, without limitation, voting rights and rights to dividends, in respect of any shares of Stock purchasable upon the exercise of any part of the Option unless and until such shares of Stock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13.2 of the Plan.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5.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OTHER PROVISIONS </w:t>
      </w:r>
    </w:p>
    <w:p>
      <w:pPr>
        <w:pStyle w:val="TextBody"/>
        <w:bidi w:val="0"/>
        <w:spacing w:lineRule="auto" w:line="288" w:before="0" w:after="180"/>
        <w:jc w:val="left"/>
        <w:rPr/>
      </w:pPr>
      <w:r>
        <w:rPr>
          <w:rFonts w:ascii="Times New Roman;serif" w:hAnsi="Times New Roman;serif"/>
          <w:b w:val="false"/>
          <w:color w:val="000000"/>
          <w:sz w:val="20"/>
        </w:rPr>
        <w:t xml:space="preserve">5.1 </w:t>
      </w:r>
      <w:r>
        <w:rPr>
          <w:rFonts w:ascii="Times New Roman;serif" w:hAnsi="Times New Roman;serif"/>
          <w:b w:val="false"/>
          <w:color w:val="000000"/>
          <w:sz w:val="20"/>
          <w:u w:val="single"/>
        </w:rPr>
        <w:t>Administration</w:t>
      </w:r>
      <w:r>
        <w:rPr>
          <w:rFonts w:ascii="Times New Roman;serif" w:hAnsi="Times New Roman;serif"/>
          <w:b w:val="false"/>
          <w:color w:val="000000"/>
          <w:sz w:val="20"/>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lineRule="auto" w:line="288" w:before="0" w:after="180"/>
        <w:jc w:val="left"/>
        <w:rPr/>
      </w:pPr>
      <w:r>
        <w:rPr>
          <w:rFonts w:ascii="Times New Roman;serif" w:hAnsi="Times New Roman;serif"/>
          <w:b w:val="false"/>
          <w:color w:val="000000"/>
          <w:sz w:val="20"/>
        </w:rPr>
        <w:t xml:space="preserve">5.2 </w:t>
      </w:r>
      <w:r>
        <w:rPr>
          <w:rFonts w:ascii="Times New Roman;serif" w:hAnsi="Times New Roman;serif"/>
          <w:b w:val="false"/>
          <w:color w:val="000000"/>
          <w:sz w:val="20"/>
          <w:u w:val="single"/>
        </w:rPr>
        <w:t>Whole Shares</w:t>
      </w:r>
      <w:r>
        <w:rPr>
          <w:rFonts w:ascii="Times New Roman;serif" w:hAnsi="Times New Roman;serif"/>
          <w:b w:val="false"/>
          <w:color w:val="000000"/>
          <w:sz w:val="20"/>
        </w:rPr>
        <w:t xml:space="preserve">. The Option may only be exercised for whole shares of Stock.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5.3 </w:t>
      </w:r>
      <w:r>
        <w:rPr>
          <w:rFonts w:ascii="Times New Roman;serif" w:hAnsi="Times New Roman;serif"/>
          <w:b w:val="false"/>
          <w:color w:val="000000"/>
          <w:sz w:val="20"/>
          <w:u w:val="single"/>
        </w:rPr>
        <w:t>Option Not Transferable</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of Stock underlying the Option have been issued, and all restrictions applicable to such shares of Stock have lapsed. Neither the Option nor any interest or right therein shall be liable for the debts, contracts or engagements of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During the lifetime of Participant, only Participant may exercise the Option (or any portion thereof), unless it has been disposed of pursuant to a DRO; after the death of Participant, any exercisable portion of the Option may, prior to the time when such portion becomes unexercisable under the Plan or this Agreement, be exercised by Participant’s personal representative or by any person empowered to do so under the deceased Participant’s will or under the then-applicable laws of descent and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Notwithstanding any other provision in this Agreement, Participant may, in the manner determined by the Administrator, designate a beneficiary to exercise the rights of Participant and to receive any distribution with respect to the Option upon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Participant is married or a domestic partner in a domestic partnership qualified under Applicable Law and resides in a community property state, a designation of a person other than Participant’s spouse or domestic partner, as applicable, as his or her beneficiary with respect to more than 50% of Participant’s interest in the Option shall not be effective without the prior written consent of Participant’s spouse or domestic partner. If no beneficiary has been designated or survives Participant, payment shall be made to the person entitled thereto pursuant to Participant’s will or the laws of descent and distribution. Subject to the foregoing, a beneficiary designation may be changed or revoked by Participant at any time provided the change or revocation is filed with the Administrator prior to Participant’s death. </w:t>
      </w:r>
    </w:p>
    <w:p>
      <w:pPr>
        <w:pStyle w:val="TextBody"/>
        <w:bidi w:val="0"/>
        <w:spacing w:lineRule="auto" w:line="288" w:before="0" w:after="180"/>
        <w:jc w:val="left"/>
        <w:rPr/>
      </w:pPr>
      <w:r>
        <w:rPr>
          <w:rFonts w:ascii="Times New Roman;serif" w:hAnsi="Times New Roman;serif"/>
          <w:b w:val="false"/>
          <w:color w:val="000000"/>
          <w:sz w:val="20"/>
        </w:rPr>
        <w:t xml:space="preserve">5.4 </w:t>
      </w:r>
      <w:r>
        <w:rPr>
          <w:rFonts w:ascii="Times New Roman;serif" w:hAnsi="Times New Roman;serif"/>
          <w:b w:val="false"/>
          <w:color w:val="000000"/>
          <w:sz w:val="20"/>
          <w:u w:val="single"/>
        </w:rPr>
        <w:t>Tax Consultation</w:t>
      </w:r>
      <w:r>
        <w:rPr>
          <w:rFonts w:ascii="Times New Roman;serif" w:hAnsi="Times New Roman;serif"/>
          <w:b w:val="false"/>
          <w:color w:val="000000"/>
          <w:sz w:val="20"/>
        </w:rPr>
        <w:t xml:space="preserve">. Participant understands that Participant may suffer adverse tax consequences as a result of the grant, vesting and/or exercise of the Option, and/or with the purchase or disposition of the shares of Stock subject to the Option. Participant represents that Participant has consulted with any tax consultants Participant deems advisable in connection with the purchase or disposition of such shares of Stock and that Participant is not relying on the Company for any tax advice. </w:t>
      </w:r>
    </w:p>
    <w:p>
      <w:pPr>
        <w:pStyle w:val="TextBody"/>
        <w:bidi w:val="0"/>
        <w:spacing w:lineRule="auto" w:line="288" w:before="0" w:after="180"/>
        <w:jc w:val="left"/>
        <w:rPr/>
      </w:pPr>
      <w:r>
        <w:rPr>
          <w:rFonts w:ascii="Times New Roman;serif" w:hAnsi="Times New Roman;serif"/>
          <w:b w:val="false"/>
          <w:color w:val="000000"/>
          <w:sz w:val="20"/>
        </w:rPr>
        <w:t xml:space="preserve">5.5 </w:t>
      </w:r>
      <w:r>
        <w:rPr>
          <w:rFonts w:ascii="Times New Roman;serif" w:hAnsi="Times New Roman;serif"/>
          <w:b w:val="false"/>
          <w:color w:val="000000"/>
          <w:sz w:val="20"/>
          <w:u w:val="single"/>
        </w:rPr>
        <w:t>Binding Agreement</w:t>
      </w:r>
      <w:r>
        <w:rPr>
          <w:rFonts w:ascii="Times New Roman;serif" w:hAnsi="Times New Roman;serif"/>
          <w:b w:val="false"/>
          <w:color w:val="000000"/>
          <w:sz w:val="20"/>
        </w:rPr>
        <w:t xml:space="preserve">. Subject to the limitation on the transferability of the Option contained herein, this Agreement will be binding upon and inure to the benefit of the heirs, legatees, legal representatives, successors and assigns of the parties hereto. </w:t>
      </w:r>
    </w:p>
    <w:p>
      <w:pPr>
        <w:pStyle w:val="TextBody"/>
        <w:bidi w:val="0"/>
        <w:spacing w:lineRule="auto" w:line="288" w:before="0" w:after="180"/>
        <w:jc w:val="left"/>
        <w:rPr/>
      </w:pPr>
      <w:r>
        <w:rPr>
          <w:rFonts w:ascii="Times New Roman;serif" w:hAnsi="Times New Roman;serif"/>
          <w:b w:val="false"/>
          <w:color w:val="000000"/>
          <w:sz w:val="20"/>
        </w:rPr>
        <w:t xml:space="preserve">5.6 </w:t>
      </w:r>
      <w:r>
        <w:rPr>
          <w:rFonts w:ascii="Times New Roman;serif" w:hAnsi="Times New Roman;serif"/>
          <w:b w:val="false"/>
          <w:color w:val="000000"/>
          <w:sz w:val="20"/>
          <w:u w:val="single"/>
        </w:rPr>
        <w:t>Adjustments Upon Specified Events</w:t>
      </w:r>
      <w:r>
        <w:rPr>
          <w:rFonts w:ascii="Times New Roman;serif" w:hAnsi="Times New Roman;serif"/>
          <w:b w:val="false"/>
          <w:color w:val="000000"/>
          <w:sz w:val="20"/>
        </w:rPr>
        <w:t xml:space="preserve">. The Administrator may accelerate the vesting of the Option in such circumstances as it, in its sole discretion, may determine. In addition, upon the occurrence of certain events relating to the Stock contemplated by Section 13.2 of the Plan (including, without limitation, an extraordinary cash dividend on such Stock), the Administrator shall make such adjustments the 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13.2 of the Plan. </w:t>
      </w:r>
    </w:p>
    <w:p>
      <w:pPr>
        <w:pStyle w:val="TextBody"/>
        <w:bidi w:val="0"/>
        <w:spacing w:lineRule="auto" w:line="288" w:before="0" w:after="180"/>
        <w:jc w:val="left"/>
        <w:rPr/>
      </w:pPr>
      <w:r>
        <w:rPr>
          <w:rFonts w:ascii="Times New Roman;serif" w:hAnsi="Times New Roman;serif"/>
          <w:b w:val="false"/>
          <w:color w:val="000000"/>
          <w:sz w:val="20"/>
        </w:rPr>
        <w:t xml:space="preserve">5.7 </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 </w:t>
      </w:r>
    </w:p>
    <w:p>
      <w:pPr>
        <w:pStyle w:val="TextBody"/>
        <w:bidi w:val="0"/>
        <w:spacing w:lineRule="auto" w:line="288" w:before="0" w:after="180"/>
        <w:jc w:val="left"/>
        <w:rPr/>
      </w:pPr>
      <w:r>
        <w:rPr>
          <w:rFonts w:ascii="Times New Roman;serif" w:hAnsi="Times New Roman;serif"/>
          <w:b w:val="false"/>
          <w:color w:val="000000"/>
          <w:sz w:val="20"/>
        </w:rPr>
        <w:t xml:space="preserve">5.8 </w:t>
      </w:r>
      <w:r>
        <w:rPr>
          <w:rFonts w:ascii="Times New Roman;serif" w:hAnsi="Times New Roman;serif"/>
          <w:b w:val="false"/>
          <w:color w:val="000000"/>
          <w:sz w:val="20"/>
          <w:u w:val="single"/>
        </w:rPr>
        <w:t>Titles</w:t>
      </w:r>
      <w:r>
        <w:rPr>
          <w:rFonts w:ascii="Times New Roman;serif" w:hAnsi="Times New Roman;serif"/>
          <w:b w:val="false"/>
          <w:color w:val="000000"/>
          <w:sz w:val="20"/>
        </w:rPr>
        <w:t xml:space="preserve">. Titles are provided herein for convenience only and are not to serve as a basis for interpretation or construction of this Agreement. </w:t>
      </w:r>
    </w:p>
    <w:p>
      <w:pPr>
        <w:pStyle w:val="TextBody"/>
        <w:bidi w:val="0"/>
        <w:spacing w:lineRule="auto" w:line="288" w:before="0" w:after="180"/>
        <w:jc w:val="left"/>
        <w:rPr/>
      </w:pPr>
      <w:r>
        <w:rPr>
          <w:rFonts w:ascii="Times New Roman;serif" w:hAnsi="Times New Roman;serif"/>
          <w:b w:val="false"/>
          <w:color w:val="000000"/>
          <w:sz w:val="20"/>
        </w:rPr>
        <w:t xml:space="preserve">5.9 </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lineRule="auto" w:line="288" w:before="0" w:after="180"/>
        <w:jc w:val="left"/>
        <w:rPr/>
      </w:pPr>
      <w:r>
        <w:rPr>
          <w:rFonts w:ascii="Times New Roman;serif" w:hAnsi="Times New Roman;serif"/>
          <w:b w:val="false"/>
          <w:color w:val="000000"/>
          <w:sz w:val="20"/>
        </w:rPr>
        <w:t xml:space="preserve">5.10 </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xml:space="preserv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 </w:t>
      </w:r>
    </w:p>
    <w:p>
      <w:pPr>
        <w:pStyle w:val="TextBody"/>
        <w:bidi w:val="0"/>
        <w:spacing w:lineRule="auto" w:line="288" w:before="0" w:after="180"/>
        <w:jc w:val="left"/>
        <w:rPr/>
      </w:pPr>
      <w:r>
        <w:rPr>
          <w:rFonts w:ascii="Times New Roman;serif" w:hAnsi="Times New Roman;serif"/>
          <w:b w:val="false"/>
          <w:color w:val="000000"/>
          <w:sz w:val="20"/>
        </w:rPr>
        <w:t xml:space="preserve">5.11 </w:t>
      </w:r>
      <w:r>
        <w:rPr>
          <w:rFonts w:ascii="Times New Roman;serif" w:hAnsi="Times New Roman;serif"/>
          <w:b w:val="false"/>
          <w:color w:val="000000"/>
          <w:sz w:val="20"/>
          <w:u w:val="single"/>
        </w:rPr>
        <w:t>Amendment, Suspension and Termination</w:t>
      </w:r>
      <w:r>
        <w:rPr>
          <w:rFonts w:ascii="Times New Roman;serif" w:hAnsi="Times New Roman;serif"/>
          <w:b w:val="false"/>
          <w:color w:val="000000"/>
          <w:sz w:val="20"/>
        </w:rPr>
        <w:t>. To the extent permitted by the Plan, this Agreement may be wholly or partially amended or otherwise modified, suspended or terminated at any time or from time to time by the Administrator or the Board;</w:t>
      </w:r>
      <w:r>
        <w:rPr>
          <w:color w:val="000000"/>
        </w:rPr>
        <w:t xml:space="preserve">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 xml:space="preserve">that, except as may otherwise be provided by the Plan, no amendment, modification, suspension or termination of this Agreement shall adversely affect the Option in any material way without the prior written consent of Participant. </w:t>
      </w:r>
    </w:p>
    <w:p>
      <w:pPr>
        <w:pStyle w:val="TextBody"/>
        <w:bidi w:val="0"/>
        <w:spacing w:lineRule="auto" w:line="288" w:before="0" w:after="180"/>
        <w:jc w:val="left"/>
        <w:rPr/>
      </w:pPr>
      <w:r>
        <w:rPr>
          <w:rFonts w:ascii="Times New Roman;serif" w:hAnsi="Times New Roman;serif"/>
          <w:b w:val="false"/>
          <w:color w:val="000000"/>
          <w:sz w:val="20"/>
        </w:rPr>
        <w:t xml:space="preserve">5.12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 </w:t>
      </w:r>
    </w:p>
    <w:p>
      <w:pPr>
        <w:pStyle w:val="TextBody"/>
        <w:bidi w:val="0"/>
        <w:spacing w:lineRule="auto" w:line="288" w:before="0" w:after="180"/>
        <w:jc w:val="left"/>
        <w:rPr/>
      </w:pPr>
      <w:r>
        <w:rPr>
          <w:rFonts w:ascii="Times New Roman;serif" w:hAnsi="Times New Roman;serif"/>
          <w:b w:val="false"/>
          <w:color w:val="000000"/>
          <w:sz w:val="20"/>
        </w:rPr>
        <w:t xml:space="preserve">5.13 </w:t>
      </w:r>
      <w:r>
        <w:rPr>
          <w:rFonts w:ascii="Times New Roman;serif" w:hAnsi="Times New Roman;serif"/>
          <w:b w:val="false"/>
          <w:color w:val="000000"/>
          <w:sz w:val="20"/>
          <w:u w:val="single"/>
        </w:rPr>
        <w:t>Notification of Disposition</w:t>
      </w:r>
      <w:r>
        <w:rPr>
          <w:rFonts w:ascii="Times New Roman;serif" w:hAnsi="Times New Roman;serif"/>
          <w:b w:val="false"/>
          <w:color w:val="000000"/>
          <w:sz w:val="20"/>
        </w:rPr>
        <w:t xml:space="preserve">. If this Option is designated as an Incentive Stock Option, Participant shall give prompt notice to the Company of any disposition or other transfer of any shares of Stock acquired under this Agreement if such disposition or transfer is made (a) within two (2) years from the Grant Date with respect to such shares of Stock or (b) within one (1) year after the transfer of such shares of Stock to Participant. Such notice shall specify the date of such disposition or other transfer and the amount realized, in cash, other property, assumption of indebtedness or other consideration, by Participant in such disposition or other transfer. </w:t>
      </w:r>
    </w:p>
    <w:p>
      <w:pPr>
        <w:pStyle w:val="TextBody"/>
        <w:bidi w:val="0"/>
        <w:spacing w:lineRule="auto" w:line="288" w:before="0" w:after="180"/>
        <w:jc w:val="left"/>
        <w:rPr/>
      </w:pPr>
      <w:r>
        <w:rPr>
          <w:rFonts w:ascii="Times New Roman;serif" w:hAnsi="Times New Roman;serif"/>
          <w:b w:val="false"/>
          <w:color w:val="000000"/>
          <w:sz w:val="20"/>
        </w:rPr>
        <w:t xml:space="preserve">5.14 </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xml:space="preserve">. Notwithstanding any other provision of the Plan or this Agreement, if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w:t>
      </w:r>
    </w:p>
    <w:p>
      <w:pPr>
        <w:pStyle w:val="TextBody"/>
        <w:bidi w:val="0"/>
        <w:spacing w:lineRule="auto" w:line="288" w:before="0" w:after="180"/>
        <w:jc w:val="left"/>
        <w:rPr/>
      </w:pPr>
      <w:r>
        <w:rPr>
          <w:rFonts w:ascii="Times New Roman;serif" w:hAnsi="Times New Roman;serif"/>
          <w:b w:val="false"/>
          <w:color w:val="000000"/>
          <w:sz w:val="20"/>
        </w:rPr>
        <w:t xml:space="preserve">5.15 </w:t>
      </w:r>
      <w:r>
        <w:rPr>
          <w:rFonts w:ascii="Times New Roman;serif" w:hAnsi="Times New Roman;serif"/>
          <w:b w:val="false"/>
          <w:color w:val="000000"/>
          <w:sz w:val="20"/>
          <w:u w:val="single"/>
        </w:rPr>
        <w:t>Not a Contract of Service Relationship</w:t>
      </w:r>
      <w:r>
        <w:rPr>
          <w:rFonts w:ascii="Times New Roman;serif" w:hAnsi="Times New Roman;serif"/>
          <w:b w:val="false"/>
          <w:color w:val="000000"/>
          <w:sz w:val="20"/>
        </w:rPr>
        <w:t xml:space="preserve">. Nothing in this Agreement or in the Plan shall confer upon Participant any right to continue to serve as a director or service provider of the Company or any of its Affiliates or interfere with or restrict in any way with the right of the Company or any of its Affiliates, which rights are hereby expressly reserved, to discharge or to terminate for any reason whatsoever, with or without cause, the services of Participant’s at any time. </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5.16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Plan, the Grant Notice and this Agreement (including all Exhibits thereto) constitute the entire agreement of the parties and supersede in their entirety all prior undertakings and agreements of the Company and Participant with respect to the subject matter hereof. </w:t>
      </w:r>
    </w:p>
    <w:p>
      <w:pPr>
        <w:pStyle w:val="TextBody"/>
        <w:bidi w:val="0"/>
        <w:spacing w:lineRule="auto" w:line="288" w:before="0" w:after="180"/>
        <w:jc w:val="left"/>
        <w:rPr/>
      </w:pPr>
      <w:r>
        <w:rPr>
          <w:rFonts w:ascii="Times New Roman;serif" w:hAnsi="Times New Roman;serif"/>
          <w:b w:val="false"/>
          <w:color w:val="000000"/>
          <w:sz w:val="20"/>
        </w:rPr>
        <w:t xml:space="preserve">5.17 </w:t>
      </w:r>
      <w:r>
        <w:rPr>
          <w:rFonts w:ascii="Times New Roman;serif" w:hAnsi="Times New Roman;serif"/>
          <w:b w:val="false"/>
          <w:color w:val="000000"/>
          <w:sz w:val="20"/>
          <w:u w:val="single"/>
        </w:rPr>
        <w:t>Section 409A</w:t>
      </w:r>
      <w:r>
        <w:rPr>
          <w:rFonts w:ascii="Times New Roman;serif" w:hAnsi="Times New Roman;serif"/>
          <w:b w:val="false"/>
          <w:color w:val="000000"/>
          <w:sz w:val="20"/>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0"/>
          <w:u w:val="single"/>
        </w:rPr>
        <w:t>Section 409A</w:t>
      </w:r>
      <w:r>
        <w:rPr>
          <w:color w:val="000000"/>
        </w:rPr>
        <w:t>”</w:t>
      </w:r>
      <w:r>
        <w:rPr>
          <w:rFonts w:ascii="Times New Roman;serif" w:hAnsi="Times New Roman;serif"/>
          <w:b w:val="false"/>
          <w:color w:val="000000"/>
          <w:sz w:val="20"/>
        </w:rPr>
        <w:t xml:space="preserve">). However, notwithstanding any other provision of the Plan, the Grant Notice or this Agreement (or any Exhibits hereto),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any Exhibits hereto),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 </w:t>
      </w:r>
    </w:p>
    <w:p>
      <w:pPr>
        <w:pStyle w:val="TextBody"/>
        <w:bidi w:val="0"/>
        <w:spacing w:lineRule="auto" w:line="288" w:before="0" w:after="180"/>
        <w:jc w:val="left"/>
        <w:rPr/>
      </w:pPr>
      <w:r>
        <w:rPr>
          <w:rFonts w:ascii="Times New Roman;serif" w:hAnsi="Times New Roman;serif"/>
          <w:b w:val="false"/>
          <w:color w:val="000000"/>
          <w:sz w:val="20"/>
        </w:rPr>
        <w:t xml:space="preserve">5.18 </w:t>
      </w:r>
      <w:r>
        <w:rPr>
          <w:rFonts w:ascii="Times New Roman;serif" w:hAnsi="Times New Roman;serif"/>
          <w:b w:val="false"/>
          <w:color w:val="000000"/>
          <w:sz w:val="20"/>
          <w:u w:val="single"/>
        </w:rPr>
        <w:t>Limitation on Participant’s Rights</w:t>
      </w:r>
      <w:r>
        <w:rPr>
          <w:rFonts w:ascii="Times New Roman;serif" w:hAnsi="Times New Roman;serif"/>
          <w:b w:val="false"/>
          <w:color w:val="000000"/>
          <w:sz w:val="20"/>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 </w:t>
      </w:r>
    </w:p>
    <w:p>
      <w:pPr>
        <w:pStyle w:val="TextBody"/>
        <w:bidi w:val="0"/>
        <w:spacing w:lineRule="auto" w:line="288" w:before="0" w:after="180"/>
        <w:jc w:val="left"/>
        <w:rPr/>
      </w:pPr>
      <w:r>
        <w:rPr>
          <w:rFonts w:ascii="Times New Roman;serif" w:hAnsi="Times New Roman;serif"/>
          <w:b w:val="false"/>
          <w:color w:val="000000"/>
          <w:sz w:val="20"/>
        </w:rPr>
        <w:t xml:space="preserve">5.19 </w:t>
      </w:r>
      <w:r>
        <w:rPr>
          <w:rFonts w:ascii="Times New Roman;serif" w:hAnsi="Times New Roman;serif"/>
          <w:b w:val="false"/>
          <w:color w:val="000000"/>
          <w:sz w:val="20"/>
          <w:u w:val="single"/>
        </w:rPr>
        <w:t>Consent to Personal Data Use</w:t>
      </w:r>
      <w:r>
        <w:rPr>
          <w:rFonts w:ascii="Times New Roman;serif" w:hAnsi="Times New Roman;serif"/>
          <w:b w:val="false"/>
          <w:color w:val="000000"/>
          <w:sz w:val="20"/>
        </w:rPr>
        <w:t xml:space="preserve">. Participant acknowledges and agrees that the Company is permitted to collect, hold, store, process, modify, transfer, lock or delete certain personal (and sensitive) data in any medium about Participant (i.e., name, home address, telephone number, e-mail address, date of birth, tax identification number and payroll information) as a part of its personnel and other business records for the exclusive purpose of tracking stock option grants, processing stock option exercises and subsequent share transfers and sales, arranging for appropriate tax reporting and withholding and regulatory tracking and reporting purposes and the Company may disclose such information to third parties in the event that such disclosure is in the Company’s view required for the proper tracking of stock option grants, processing stock option exercises and subsequent share transfers and sales, arranging for appropriate tax reporting and withholding and regulatory tracking. For these purposes, this personal data will be transferred to other locations, including locations outside of the European Union and in so-called insecure third-party countries that do not guarantee the data privacy protection level of the European Union. </w:t>
      </w:r>
    </w:p>
    <w:p>
      <w:pPr>
        <w:pStyle w:val="TextBody"/>
        <w:bidi w:val="0"/>
        <w:spacing w:lineRule="auto" w:line="288" w:before="0" w:after="180"/>
        <w:jc w:val="left"/>
        <w:rPr/>
      </w:pPr>
      <w:r>
        <w:rPr>
          <w:rFonts w:ascii="Times New Roman;serif" w:hAnsi="Times New Roman;serif"/>
          <w:b w:val="false"/>
          <w:color w:val="000000"/>
          <w:sz w:val="20"/>
        </w:rPr>
        <w:t xml:space="preserve">5.20 </w:t>
      </w:r>
      <w:r>
        <w:rPr>
          <w:rFonts w:ascii="Times New Roman;serif" w:hAnsi="Times New Roman;serif"/>
          <w:b w:val="false"/>
          <w:color w:val="000000"/>
          <w:sz w:val="20"/>
          <w:u w:val="single"/>
        </w:rPr>
        <w:t>Rules Particular To Specific Countries</w:t>
      </w:r>
      <w:r>
        <w:rPr>
          <w:rFonts w:ascii="Times New Roman;serif" w:hAnsi="Times New Roman;serif"/>
          <w:b w:val="false"/>
          <w:color w:val="000000"/>
          <w:sz w:val="20"/>
        </w:rPr>
        <w:t xml:space="preserve">. </w:t>
      </w:r>
    </w:p>
    <w:p>
      <w:pPr>
        <w:pStyle w:val="TextBody"/>
        <w:bidi w:val="0"/>
        <w:spacing w:lineRule="auto" w:line="288" w:before="0" w:after="18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Generally</w:t>
      </w:r>
      <w:r>
        <w:rPr>
          <w:rFonts w:ascii="Times New Roman;serif" w:hAnsi="Times New Roman;serif"/>
          <w:b w:val="false"/>
          <w:color w:val="000000"/>
          <w:sz w:val="20"/>
        </w:rPr>
        <w:t>. Participant shall, if required by the Administrator, enter into an election with the Company or an Affiliate (in a form approved by the Company) under which any liability to the Company’s (or an Affiliate’s) Tax Liability, including, but not limited to, National Insurance Contributions (“</w:t>
      </w:r>
      <w:r>
        <w:rPr>
          <w:rFonts w:ascii="Times New Roman;serif" w:hAnsi="Times New Roman;serif"/>
          <w:b w:val="false"/>
          <w:color w:val="000000"/>
          <w:sz w:val="20"/>
          <w:u w:val="single"/>
        </w:rPr>
        <w:t>NICs</w:t>
      </w:r>
      <w:r>
        <w:rPr>
          <w:color w:val="000000"/>
        </w:rPr>
        <w:t>”</w:t>
      </w:r>
      <w:r>
        <w:rPr>
          <w:rFonts w:ascii="Times New Roman;serif" w:hAnsi="Times New Roman;serif"/>
          <w:b w:val="false"/>
          <w:color w:val="000000"/>
          <w:sz w:val="20"/>
        </w:rPr>
        <w:t>) and the Fringe Benefit Tax (“</w:t>
      </w:r>
      <w:r>
        <w:rPr>
          <w:rFonts w:ascii="Times New Roman;serif" w:hAnsi="Times New Roman;serif"/>
          <w:b w:val="false"/>
          <w:color w:val="000000"/>
          <w:sz w:val="20"/>
          <w:u w:val="single"/>
        </w:rPr>
        <w:t>FBT</w:t>
      </w:r>
      <w:r>
        <w:rPr>
          <w:color w:val="000000"/>
        </w:rPr>
        <w:t>”</w:t>
      </w:r>
      <w:r>
        <w:rPr>
          <w:rFonts w:ascii="Times New Roman;serif" w:hAnsi="Times New Roman;serif"/>
          <w:b w:val="false"/>
          <w:color w:val="000000"/>
          <w:sz w:val="20"/>
        </w:rPr>
        <w:t xml:space="preserve">), is transferred to and met by Participant. For purposes of this Section 5.20, Tax Liability shall mean any and all liability under applicable non-U.S. laws, rules or regulations from any income tax, the Company’s (or an Affiliate’s) NICs, FBT or similar liability and Participant’s NICs, FBT or similar liability that are attributable to: (A) the grant or exercise of, or any other benefit derived by Participant from the Option; (B) the acquisition by Participant of the shares of Stock on exercise of the Option; or (C) the disposal of any shares of Stock acquired upon exercise of the Option. </w:t>
      </w:r>
    </w:p>
    <w:p>
      <w:pPr>
        <w:pStyle w:val="TextBody"/>
        <w:bidi w:val="0"/>
        <w:spacing w:lineRule="auto" w:line="288" w:before="0" w:after="18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Tax Indemnity</w:t>
      </w:r>
      <w:r>
        <w:rPr>
          <w:rFonts w:ascii="Times New Roman;serif" w:hAnsi="Times New Roman;serif"/>
          <w:b w:val="false"/>
          <w:color w:val="000000"/>
          <w:sz w:val="20"/>
        </w:rPr>
        <w:t xml:space="preserve">. Participant shall indemnify and keep indemnified the Company and any of its Affiliates from and against any Tax Liability.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 * * * *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10.3(i)</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ARDELYX,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2014 EQUITY INCENTIVE AWARD PLAN</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FORM OF RESTRICTED STOCK UNIT AWARD GRANT NOTICE</w:t>
      </w:r>
    </w:p>
    <w:p>
      <w:pPr>
        <w:pStyle w:val="TextBody"/>
        <w:bidi w:val="0"/>
        <w:spacing w:lineRule="auto" w:line="288" w:before="0" w:after="180"/>
        <w:ind w:left="0" w:right="0" w:firstLine="720"/>
        <w:jc w:val="both"/>
        <w:rPr/>
      </w:pPr>
      <w:r>
        <w:rPr>
          <w:rFonts w:ascii="Times New Roman;serif" w:hAnsi="Times New Roman;serif"/>
          <w:b w:val="false"/>
          <w:color w:val="000000"/>
          <w:sz w:val="22"/>
        </w:rPr>
        <w:t>Ardelyx,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Amended and Restated 2014 Equity Incentive Award Plan, as amended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holder listed below (the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an award of restricted stock units (“</w:t>
      </w:r>
      <w:r>
        <w:rPr>
          <w:rFonts w:ascii="Times New Roman;serif" w:hAnsi="Times New Roman;serif"/>
          <w:b w:val="false"/>
          <w:color w:val="000000"/>
          <w:sz w:val="22"/>
          <w:u w:val="single"/>
        </w:rPr>
        <w:t>Restricted Stock Units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Each vested Restricted Stock Unit represents the right to receive, in accordance with the Restricted Stock Unit Award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one share of Common Stock (“</w:t>
      </w:r>
      <w:r>
        <w:rPr>
          <w:rFonts w:ascii="Times New Roman;serif" w:hAnsi="Times New Roman;serif"/>
          <w:b w:val="false"/>
          <w:color w:val="000000"/>
          <w:sz w:val="22"/>
          <w:u w:val="single"/>
        </w:rPr>
        <w:t>Share</w:t>
      </w:r>
      <w:r>
        <w:rPr>
          <w:color w:val="000000"/>
        </w:rPr>
        <w:t>”</w:t>
      </w:r>
      <w:r>
        <w:rPr>
          <w:rFonts w:ascii="Times New Roman;serif" w:hAnsi="Times New Roman;serif"/>
          <w:b w:val="false"/>
          <w:color w:val="000000"/>
          <w:sz w:val="22"/>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and the Agreement.</w:t>
      </w:r>
    </w:p>
    <w:tbl>
      <w:tblPr>
        <w:tblW w:w="5460" w:type="dxa"/>
        <w:jc w:val="left"/>
        <w:tblInd w:w="0" w:type="dxa"/>
        <w:tblLayout w:type="fixed"/>
        <w:tblCellMar>
          <w:top w:w="28" w:type="dxa"/>
          <w:left w:w="28" w:type="dxa"/>
          <w:bottom w:w="28" w:type="dxa"/>
          <w:right w:w="28" w:type="dxa"/>
        </w:tblCellMar>
      </w:tblPr>
      <w:tblGrid>
        <w:gridCol w:w="1113"/>
        <w:gridCol w:w="978"/>
        <w:gridCol w:w="983"/>
        <w:gridCol w:w="697"/>
        <w:gridCol w:w="697"/>
        <w:gridCol w:w="992"/>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Participant:</w:t>
            </w:r>
          </w:p>
        </w:tc>
        <w:tc>
          <w:tcPr>
            <w:tcW w:w="23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Grant Date:</w:t>
            </w:r>
          </w:p>
        </w:tc>
        <w:tc>
          <w:tcPr>
            <w:tcW w:w="23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Total Number of RSUs:</w:t>
            </w:r>
          </w:p>
        </w:tc>
        <w:tc>
          <w:tcPr>
            <w:tcW w:w="23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 Shares</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Vesting Commencement Date:</w:t>
            </w:r>
          </w:p>
        </w:tc>
        <w:tc>
          <w:tcPr>
            <w:tcW w:w="23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Vesting Schedule shall be as follows:</w:t>
      </w:r>
    </w:p>
    <w:p>
      <w:pPr>
        <w:pStyle w:val="TextBody"/>
        <w:bidi w:val="0"/>
        <w:spacing w:before="0" w:after="180"/>
        <w:ind w:left="0" w:right="0" w:firstLine="720"/>
        <w:jc w:val="both"/>
        <w:rPr/>
      </w:pPr>
      <w:r>
        <w:rPr/>
      </w:r>
    </w:p>
    <w:tbl>
      <w:tblPr>
        <w:tblW w:w="1801" w:type="dxa"/>
        <w:jc w:val="left"/>
        <w:tblInd w:w="0" w:type="dxa"/>
        <w:tblLayout w:type="fixed"/>
        <w:tblCellMar>
          <w:top w:w="28" w:type="dxa"/>
          <w:left w:w="28" w:type="dxa"/>
          <w:bottom w:w="28" w:type="dxa"/>
          <w:right w:w="28" w:type="dxa"/>
        </w:tblCellMar>
      </w:tblPr>
      <w:tblGrid>
        <w:gridCol w:w="266"/>
        <w:gridCol w:w="234"/>
        <w:gridCol w:w="236"/>
        <w:gridCol w:w="311"/>
        <w:gridCol w:w="311"/>
        <w:gridCol w:w="44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Shares</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Vest Date</w:t>
            </w:r>
          </w:p>
        </w:tc>
      </w:tr>
    </w:tbl>
    <w:p>
      <w:pPr>
        <w:pStyle w:val="TextBody"/>
        <w:bidi w:val="0"/>
        <w:spacing w:lineRule="auto" w:line="288" w:before="0" w:after="180"/>
        <w:ind w:left="0" w:right="0" w:firstLine="719"/>
        <w:jc w:val="both"/>
        <w:rPr/>
      </w:pPr>
      <w:r>
        <w:rPr>
          <w:rFonts w:ascii="Times New Roman;serif" w:hAnsi="Times New Roman;serif"/>
          <w:b/>
          <w:color w:val="000000"/>
          <w:sz w:val="22"/>
        </w:rPr>
        <w:t xml:space="preserve">Termination: </w:t>
      </w:r>
      <w:r>
        <w:rPr>
          <w:rFonts w:ascii="Times New Roman;serif" w:hAnsi="Times New Roman;serif"/>
          <w:b w:val="false"/>
          <w:color w:val="000000"/>
          <w:sz w:val="22"/>
        </w:rPr>
        <w:t>If the Participant experiences a Termination of Service prior to the applicable vesting date, all RSUs that have not become vested on or prior to the date of such Termination of Service (after taking into consideration any vesting that may occur in connection with such Termination of Service, if any) will thereupon be automatically forfeited by the Participant without payment of any consideration therefor.</w:t>
      </w:r>
    </w:p>
    <w:p>
      <w:pPr>
        <w:pStyle w:val="TextBody"/>
        <w:bidi w:val="0"/>
        <w:spacing w:lineRule="auto" w:line="288" w:before="0" w:after="18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tbl>
      <w:tblPr>
        <w:tblW w:w="4905" w:type="dxa"/>
        <w:jc w:val="left"/>
        <w:tblInd w:w="0" w:type="dxa"/>
        <w:tblLayout w:type="fixed"/>
        <w:tblCellMar>
          <w:top w:w="28" w:type="dxa"/>
          <w:left w:w="28" w:type="dxa"/>
          <w:bottom w:w="28" w:type="dxa"/>
          <w:right w:w="28" w:type="dxa"/>
        </w:tblCellMar>
      </w:tblPr>
      <w:tblGrid>
        <w:gridCol w:w="469"/>
        <w:gridCol w:w="410"/>
        <w:gridCol w:w="410"/>
        <w:gridCol w:w="350"/>
        <w:gridCol w:w="350"/>
        <w:gridCol w:w="357"/>
        <w:gridCol w:w="109"/>
        <w:gridCol w:w="109"/>
        <w:gridCol w:w="109"/>
        <w:gridCol w:w="425"/>
        <w:gridCol w:w="425"/>
        <w:gridCol w:w="425"/>
        <w:gridCol w:w="280"/>
        <w:gridCol w:w="280"/>
        <w:gridCol w:w="397"/>
      </w:tblGrid>
      <w:tr>
        <w:trPr/>
        <w:tc>
          <w:tcPr>
            <w:tcW w:w="46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3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ARDELYX,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05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57"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color w:val="000000"/>
              </w:rPr>
            </w:pPr>
            <w:r>
              <w:rPr>
                <w:color w:val="000000"/>
              </w:rPr>
              <w:t>           </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Title:     </w:t>
            </w:r>
          </w:p>
        </w:tc>
        <w:tc>
          <w:tcPr>
            <w:tcW w:w="105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10.3(j)</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FORM OF RESTRICTED STOCK UNIT AWARD AGREEMENT </w:t>
      </w:r>
    </w:p>
    <w:p>
      <w:pPr>
        <w:pStyle w:val="TextBody"/>
        <w:bidi w:val="0"/>
        <w:spacing w:lineRule="auto" w:line="288" w:before="0" w:after="180"/>
        <w:jc w:val="left"/>
        <w:rPr/>
      </w:pPr>
      <w:r>
        <w:rPr>
          <w:rFonts w:ascii="Times New Roman;serif" w:hAnsi="Times New Roman;serif"/>
          <w:b w:val="false"/>
          <w:color w:val="000000"/>
          <w:sz w:val="20"/>
        </w:rPr>
        <w:t>Pursuant to the Restricted Stock Unit Award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to which this Restricted Stock Unit Award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attached, Ardelyx,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to the Participant the number of restricted stock units (“</w:t>
      </w:r>
      <w:r>
        <w:rPr>
          <w:rFonts w:ascii="Times New Roman;serif" w:hAnsi="Times New Roman;serif"/>
          <w:b w:val="false"/>
          <w:color w:val="000000"/>
          <w:sz w:val="20"/>
          <w:u w:val="single"/>
        </w:rPr>
        <w:t>Restricted Stock Units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set forth in the Grant Notice under the Company’s Amended and Restated 2014 Equity Incentive Award Plan, as amended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Each vested Restricted Stock Unit represents the right to receive one share of Common Stock (“</w:t>
      </w:r>
      <w:r>
        <w:rPr>
          <w:rFonts w:ascii="Times New Roman;serif" w:hAnsi="Times New Roman;serif"/>
          <w:b w:val="false"/>
          <w:color w:val="000000"/>
          <w:sz w:val="20"/>
          <w:u w:val="single"/>
        </w:rPr>
        <w:t>Share</w:t>
      </w:r>
      <w:r>
        <w:rPr>
          <w:color w:val="000000"/>
        </w:rPr>
        <w:t>”</w:t>
      </w:r>
      <w:r>
        <w:rPr>
          <w:rFonts w:ascii="Times New Roman;serif" w:hAnsi="Times New Roman;serif"/>
          <w:b w:val="false"/>
          <w:color w:val="000000"/>
          <w:sz w:val="20"/>
        </w:rPr>
        <w:t xml:space="preserve">). Capitalized terms not specifically defined herein shall have the meanings specified in the Plan and Grant Notice.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I.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xml:space="preserve">. The RSUs are subject to the terms and conditions of the Plan, which are incorporated herein by reference. In the event of any inconsistency between the Plan and this Agreement, the terms of the Plan shall control.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II.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GRANT OF RESTRICTED STOCK UNITS </w:t>
      </w:r>
    </w:p>
    <w:p>
      <w:pPr>
        <w:pStyle w:val="TextBody"/>
        <w:bidi w:val="0"/>
        <w:spacing w:lineRule="auto" w:line="288" w:before="0" w:after="180"/>
        <w:jc w:val="left"/>
        <w:rPr/>
      </w:pPr>
      <w:r>
        <w:rPr>
          <w:rFonts w:ascii="Times New Roman;serif" w:hAnsi="Times New Roman;serif"/>
          <w:b w:val="false"/>
          <w:color w:val="000000"/>
          <w:sz w:val="20"/>
        </w:rPr>
        <w:t xml:space="preserve">2.1 </w:t>
      </w:r>
      <w:r>
        <w:rPr>
          <w:rFonts w:ascii="Times New Roman;serif" w:hAnsi="Times New Roman;serif"/>
          <w:b w:val="false"/>
          <w:color w:val="000000"/>
          <w:sz w:val="20"/>
          <w:u w:val="single"/>
        </w:rPr>
        <w:t>Grant of RSUs</w:t>
      </w:r>
      <w:r>
        <w:rPr>
          <w:rFonts w:ascii="Times New Roman;serif" w:hAnsi="Times New Roman;serif"/>
          <w:b w:val="false"/>
          <w:color w:val="000000"/>
          <w:sz w:val="20"/>
        </w:rPr>
        <w:t xml:space="preserve">.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and/or continued directorship with or service to the Company or any Affiliates and for other good and valuable consideration. </w:t>
      </w:r>
    </w:p>
    <w:p>
      <w:pPr>
        <w:pStyle w:val="TextBody"/>
        <w:bidi w:val="0"/>
        <w:spacing w:lineRule="auto" w:line="288" w:before="0" w:after="180"/>
        <w:jc w:val="left"/>
        <w:rPr/>
      </w:pPr>
      <w:r>
        <w:rPr>
          <w:rFonts w:ascii="Times New Roman;serif" w:hAnsi="Times New Roman;serif"/>
          <w:b w:val="false"/>
          <w:color w:val="000000"/>
          <w:sz w:val="20"/>
        </w:rPr>
        <w:t xml:space="preserve">2.2 </w:t>
      </w:r>
      <w:r>
        <w:rPr>
          <w:rFonts w:ascii="Times New Roman;serif" w:hAnsi="Times New Roman;serif"/>
          <w:b w:val="false"/>
          <w:color w:val="000000"/>
          <w:sz w:val="20"/>
          <w:u w:val="single"/>
        </w:rPr>
        <w:t>Unsecured Obligation to RSUs</w:t>
      </w:r>
      <w:r>
        <w:rPr>
          <w:rFonts w:ascii="Times New Roman;serif" w:hAnsi="Times New Roman;serif"/>
          <w:b w:val="false"/>
          <w:color w:val="000000"/>
          <w:sz w:val="20"/>
        </w:rPr>
        <w:t xml:space="preserve">. Unless and until the RSUs have vested in the manner set forth in Article 2 hereof, the Participant will have no right to receive Common Stock under any such RSUs. Prior to actual payment of any vested RSUs, such RSUs will represent an unsecured obligation of the Company, payable (if at all) only from the general assets of the Company. </w:t>
      </w:r>
    </w:p>
    <w:p>
      <w:pPr>
        <w:pStyle w:val="TextBody"/>
        <w:bidi w:val="0"/>
        <w:spacing w:lineRule="auto" w:line="288" w:before="0" w:after="180"/>
        <w:jc w:val="left"/>
        <w:rPr/>
      </w:pPr>
      <w:r>
        <w:rPr>
          <w:rFonts w:ascii="Times New Roman;serif" w:hAnsi="Times New Roman;serif"/>
          <w:b w:val="false"/>
          <w:color w:val="000000"/>
          <w:sz w:val="20"/>
        </w:rPr>
        <w:t xml:space="preserve">2.3 </w:t>
      </w:r>
      <w:r>
        <w:rPr>
          <w:rFonts w:ascii="Times New Roman;serif" w:hAnsi="Times New Roman;serif"/>
          <w:b w:val="false"/>
          <w:color w:val="000000"/>
          <w:sz w:val="20"/>
          <w:u w:val="single"/>
        </w:rPr>
        <w:t>Vesting Schedule</w:t>
      </w:r>
      <w:r>
        <w:rPr>
          <w:rFonts w:ascii="Times New Roman;serif" w:hAnsi="Times New Roman;serif"/>
          <w:b w:val="false"/>
          <w:color w:val="000000"/>
          <w:sz w:val="20"/>
        </w:rPr>
        <w:t xml:space="preserve">. Subject to Section 2.5 hereof, the RSUs shall vest and become nonforfeitable with respect to the applicable portion thereof according to the vesting schedule set forth in the Grant Notice (rounding down to the nearest whole Share). </w:t>
      </w:r>
    </w:p>
    <w:p>
      <w:pPr>
        <w:pStyle w:val="TextBody"/>
        <w:bidi w:val="0"/>
        <w:spacing w:lineRule="auto" w:line="288" w:before="0" w:after="180"/>
        <w:jc w:val="left"/>
        <w:rPr/>
      </w:pPr>
      <w:r>
        <w:rPr>
          <w:rFonts w:ascii="Times New Roman;serif" w:hAnsi="Times New Roman;serif"/>
          <w:b w:val="false"/>
          <w:color w:val="000000"/>
          <w:sz w:val="20"/>
        </w:rPr>
        <w:t xml:space="preserve">2.4 </w:t>
      </w:r>
      <w:r>
        <w:rPr>
          <w:rFonts w:ascii="Times New Roman;serif" w:hAnsi="Times New Roman;serif"/>
          <w:b w:val="false"/>
          <w:color w:val="000000"/>
          <w:sz w:val="20"/>
          <w:u w:val="single"/>
        </w:rPr>
        <w:t>Consideration to the Company</w:t>
      </w:r>
      <w:r>
        <w:rPr>
          <w:rFonts w:ascii="Times New Roman;serif" w:hAnsi="Times New Roman;serif"/>
          <w:b w:val="false"/>
          <w:color w:val="000000"/>
          <w:sz w:val="20"/>
        </w:rPr>
        <w:t xml:space="preserve">. In consideration of the grant of the award of RSUs pursuant hereto, the Participant agrees to render faithful and efficient services to the Company or any Affiliate. </w:t>
      </w:r>
    </w:p>
    <w:p>
      <w:pPr>
        <w:pStyle w:val="TextBody"/>
        <w:bidi w:val="0"/>
        <w:spacing w:lineRule="auto" w:line="288" w:before="0" w:after="180"/>
        <w:jc w:val="left"/>
        <w:rPr/>
      </w:pPr>
      <w:r>
        <w:rPr>
          <w:rFonts w:ascii="Times New Roman;serif" w:hAnsi="Times New Roman;serif"/>
          <w:b w:val="false"/>
          <w:color w:val="000000"/>
          <w:sz w:val="20"/>
        </w:rPr>
        <w:t xml:space="preserve">2.5 </w:t>
      </w:r>
      <w:r>
        <w:rPr>
          <w:rFonts w:ascii="Times New Roman;serif" w:hAnsi="Times New Roman;serif"/>
          <w:b w:val="false"/>
          <w:color w:val="000000"/>
          <w:sz w:val="20"/>
          <w:u w:val="single"/>
        </w:rPr>
        <w:t>Forfeiture, Termination and Cancellation upon Termination of Service</w:t>
      </w:r>
      <w:r>
        <w:rPr>
          <w:rFonts w:ascii="Times New Roman;serif" w:hAnsi="Times New Roman;serif"/>
          <w:b w:val="false"/>
          <w:color w:val="000000"/>
          <w:sz w:val="20"/>
        </w:rPr>
        <w:t xml:space="preserve">. Notwithstanding any contrary provision of this Agreement or the Plan, upon the Participant’s Termination of Service for any or no reason, all Restricted Stock Units which have not vested prior to or in connection with such Termination of Service (after taking into consideration any accelerated vesting which may occur in connection with such Termination of Service (if any))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No portion of the RSUs which has not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76300"/>
                <wp:effectExtent l="0" t="0" r="0" b="0"/>
                <wp:wrapNone/>
                <wp:docPr id="141" name="Frame13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become vested as of the date on which the Participant incurs a Termination of Service shall thereafter become vested. </w:t>
      </w:r>
    </w:p>
    <w:p>
      <w:pPr>
        <w:pStyle w:val="TextBody"/>
        <w:bidi w:val="0"/>
        <w:spacing w:lineRule="auto" w:line="288" w:before="0" w:after="180"/>
        <w:jc w:val="left"/>
        <w:rPr/>
      </w:pPr>
      <w:r>
        <w:rPr>
          <w:rFonts w:ascii="Times New Roman;serif" w:hAnsi="Times New Roman;serif"/>
          <w:b w:val="false"/>
          <w:color w:val="000000"/>
          <w:sz w:val="20"/>
        </w:rPr>
        <w:t xml:space="preserve">2.6 </w:t>
      </w:r>
      <w:r>
        <w:rPr>
          <w:rFonts w:ascii="Times New Roman;serif" w:hAnsi="Times New Roman;serif"/>
          <w:b w:val="false"/>
          <w:color w:val="000000"/>
          <w:sz w:val="20"/>
          <w:u w:val="single"/>
        </w:rPr>
        <w:t>Issuance of Common Stock upon Vesting</w:t>
      </w:r>
      <w:r>
        <w:rPr>
          <w:rFonts w:ascii="Times New Roman;serif" w:hAnsi="Times New Roman;serif"/>
          <w:b w:val="false"/>
          <w:color w:val="000000"/>
          <w:sz w:val="20"/>
        </w:rPr>
        <w:t xml:space="preserve">. </w:t>
      </w:r>
    </w:p>
    <w:p>
      <w:pPr>
        <w:pStyle w:val="TextBody"/>
        <w:bidi w:val="0"/>
        <w:spacing w:lineRule="auto" w:line="288" w:before="0" w:after="180"/>
        <w:jc w:val="left"/>
        <w:rPr/>
      </w:pPr>
      <w:r>
        <w:rPr>
          <w:rFonts w:ascii="Times New Roman;serif" w:hAnsi="Times New Roman;serif"/>
          <w:b w:val="false"/>
          <w:color w:val="000000"/>
          <w:sz w:val="20"/>
        </w:rPr>
        <w:t>(a) As soon as administratively practicable following the vesting of any Restricted Stock Units pursuant to Section 2.3 hereof, but in no event later than thirty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(either by delivering one or more certificates for such Shares or by entering such Shares in book entry form, as determined by the Company in its sole discretion) equal to the number of RSUs subject to this Award that vest on the applicable vesting date, unless such RSUs terminate prior to the given vesting date pursuant to Section 2.5 hereof. Notwithstanding the foregoing, in the event Shares cannot be issued pursuant to Section 11.4 of the Plan, the Shares shall be issued pursuant to the preceding sentence as soon as administratively practicable after the Administrator determines that Shares can again be issued in accordance with such Section; provided, however, that under the terms of the Fourth Amended and Restated Non-Employee Director Compensation Policy (as may be amended, restated or supplemented, the “</w:t>
      </w:r>
      <w:r>
        <w:rPr>
          <w:rFonts w:ascii="Times New Roman;serif" w:hAnsi="Times New Roman;serif"/>
          <w:b w:val="false"/>
          <w:color w:val="000000"/>
          <w:sz w:val="20"/>
          <w:u w:val="single"/>
        </w:rPr>
        <w:t>Director Compensation Policy</w:t>
      </w:r>
      <w:r>
        <w:rPr>
          <w:color w:val="000000"/>
        </w:rPr>
        <w:t>”</w:t>
      </w:r>
      <w:r>
        <w:rPr>
          <w:rFonts w:ascii="Times New Roman;serif" w:hAnsi="Times New Roman;serif"/>
          <w:b w:val="false"/>
          <w:color w:val="000000"/>
          <w:sz w:val="20"/>
        </w:rPr>
        <w:t>), the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may, in its discretion, provide each non-employee director with the opportunity to defer the issuance of the shares underlying the RSUs that would otherwise be issued to him or her in connection with the vesting or grant of the RSUs (a “</w:t>
      </w:r>
      <w:r>
        <w:rPr>
          <w:rFonts w:ascii="Times New Roman;serif" w:hAnsi="Times New Roman;serif"/>
          <w:b w:val="false"/>
          <w:color w:val="000000"/>
          <w:sz w:val="20"/>
          <w:u w:val="single"/>
        </w:rPr>
        <w:t>Deferral Election</w:t>
      </w:r>
      <w:r>
        <w:rPr>
          <w:color w:val="000000"/>
        </w:rPr>
        <w:t>”</w:t>
      </w:r>
      <w:r>
        <w:rPr>
          <w:rFonts w:ascii="Times New Roman;serif" w:hAnsi="Times New Roman;serif"/>
          <w:b w:val="false"/>
          <w:color w:val="000000"/>
          <w:sz w:val="20"/>
        </w:rPr>
        <w:t xml:space="preserve">) subject to the terms and conditions set forth in the Director Compensation Policy. In the case an individual makes a Deferral Election, the settlement of the deferred RSUs shall be made in accordance with the terms of such Deferral Election.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 As set forth in Section 11.2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 </w:t>
      </w:r>
    </w:p>
    <w:p>
      <w:pPr>
        <w:pStyle w:val="TextBody"/>
        <w:bidi w:val="0"/>
        <w:spacing w:lineRule="auto" w:line="288" w:before="0" w:after="180"/>
        <w:jc w:val="left"/>
        <w:rPr/>
      </w:pPr>
      <w:r>
        <w:rPr>
          <w:rFonts w:ascii="Times New Roman;serif" w:hAnsi="Times New Roman;serif"/>
          <w:b w:val="false"/>
          <w:color w:val="000000"/>
          <w:sz w:val="20"/>
        </w:rPr>
        <w:t xml:space="preserve">2.7 </w:t>
      </w:r>
      <w:r>
        <w:rPr>
          <w:rFonts w:ascii="Times New Roman;serif" w:hAnsi="Times New Roman;serif"/>
          <w:b w:val="false"/>
          <w:color w:val="000000"/>
          <w:sz w:val="20"/>
          <w:u w:val="single"/>
        </w:rPr>
        <w:t>Conditions to Delivery of Shares</w:t>
      </w:r>
      <w:r>
        <w:rPr>
          <w:rFonts w:ascii="Times New Roman;serif" w:hAnsi="Times New Roman;serif"/>
          <w:b w:val="false"/>
          <w:color w:val="000000"/>
          <w:sz w:val="20"/>
        </w:rPr>
        <w:t xml:space="preserve">. The Shares deliverable hereunder may be either previously authorized but unissued Shares, treasury Shares or issued Shares which have then been reacquired by the Company. Such Shares shall be fully paid and nonassessable. The Company shall not be required to issue or deliver any certificates or make any book entries evidencing Shares deliverable hereunder prior to fulfillment of the conditions set forth in Section 11.4 of the Plan. </w:t>
      </w:r>
    </w:p>
    <w:p>
      <w:pPr>
        <w:pStyle w:val="TextBody"/>
        <w:bidi w:val="0"/>
        <w:spacing w:lineRule="auto" w:line="288" w:before="0" w:after="180"/>
        <w:jc w:val="left"/>
        <w:rPr/>
      </w:pPr>
      <w:r>
        <w:rPr>
          <w:rFonts w:ascii="Times New Roman;serif" w:hAnsi="Times New Roman;serif"/>
          <w:b w:val="false"/>
          <w:color w:val="000000"/>
          <w:sz w:val="20"/>
        </w:rPr>
        <w:t xml:space="preserve">2.8 </w:t>
      </w: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xml:space="preserve">.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13.2 of the Plan. </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ARTICLE III.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OTHER PROVISIONS </w:t>
      </w:r>
    </w:p>
    <w:p>
      <w:pPr>
        <w:pStyle w:val="TextBody"/>
        <w:bidi w:val="0"/>
        <w:spacing w:lineRule="auto" w:line="288" w:before="0" w:after="180"/>
        <w:jc w:val="left"/>
        <w:rPr/>
      </w:pPr>
      <w:r>
        <w:rPr>
          <w:rFonts w:ascii="Times New Roman;serif" w:hAnsi="Times New Roman;serif"/>
          <w:b w:val="false"/>
          <w:color w:val="000000"/>
          <w:sz w:val="20"/>
        </w:rPr>
        <w:t xml:space="preserve">3.1 </w:t>
      </w:r>
      <w:r>
        <w:rPr>
          <w:rFonts w:ascii="Times New Roman;serif" w:hAnsi="Times New Roman;serif"/>
          <w:b w:val="false"/>
          <w:color w:val="000000"/>
          <w:sz w:val="20"/>
          <w:u w:val="single"/>
        </w:rPr>
        <w:t>Administration</w:t>
      </w:r>
      <w:r>
        <w:rPr>
          <w:rFonts w:ascii="Times New Roman;serif" w:hAnsi="Times New Roman;serif"/>
          <w:b w:val="false"/>
          <w:color w:val="000000"/>
          <w:sz w:val="20"/>
        </w:rPr>
        <w:t xml:space="preserve">. The Administrator shall have the power to interpret the Plan and this Agreement and to adopt such rules for the administration, interpretation and application of the Plan as are consistent therewith and to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76300"/>
                <wp:effectExtent l="0" t="0" r="0" b="0"/>
                <wp:wrapNone/>
                <wp:docPr id="142" name="Frame140"/>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 </w:t>
      </w:r>
    </w:p>
    <w:p>
      <w:pPr>
        <w:pStyle w:val="TextBody"/>
        <w:bidi w:val="0"/>
        <w:spacing w:lineRule="auto" w:line="288" w:before="0" w:after="180"/>
        <w:jc w:val="left"/>
        <w:rPr/>
      </w:pPr>
      <w:r>
        <w:rPr>
          <w:rFonts w:ascii="Times New Roman;serif" w:hAnsi="Times New Roman;serif"/>
          <w:b w:val="false"/>
          <w:color w:val="000000"/>
          <w:sz w:val="20"/>
        </w:rPr>
        <w:t xml:space="preserve">3.2 </w:t>
      </w:r>
      <w:r>
        <w:rPr>
          <w:rFonts w:ascii="Times New Roman;serif" w:hAnsi="Times New Roman;serif"/>
          <w:b w:val="false"/>
          <w:color w:val="000000"/>
          <w:sz w:val="20"/>
          <w:u w:val="single"/>
        </w:rPr>
        <w:t>RSUs Not Transferable</w:t>
      </w:r>
      <w:r>
        <w:rPr>
          <w:rFonts w:ascii="Times New Roman;serif" w:hAnsi="Times New Roman;serif"/>
          <w:b w:val="false"/>
          <w:color w:val="000000"/>
          <w:sz w:val="20"/>
        </w:rPr>
        <w:t xml:space="preserve">. The RSUs shall be subject to the restrictions on transferability set forth in Section 11.3 of the Plan;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this Section 3.2 notwithstanding, with the consent of the Administrator, the RSUs may be transferred to one or more Permitted Transferees, subject to and in accordance with Section 11.3 of the Plan. </w:t>
      </w:r>
    </w:p>
    <w:p>
      <w:pPr>
        <w:pStyle w:val="TextBody"/>
        <w:bidi w:val="0"/>
        <w:spacing w:lineRule="auto" w:line="288" w:before="0" w:after="180"/>
        <w:jc w:val="left"/>
        <w:rPr/>
      </w:pPr>
      <w:r>
        <w:rPr>
          <w:rFonts w:ascii="Times New Roman;serif" w:hAnsi="Times New Roman;serif"/>
          <w:b w:val="false"/>
          <w:color w:val="000000"/>
          <w:sz w:val="20"/>
        </w:rPr>
        <w:t xml:space="preserve">3.3 </w:t>
      </w:r>
      <w:r>
        <w:rPr>
          <w:rFonts w:ascii="Times New Roman;serif" w:hAnsi="Times New Roman;serif"/>
          <w:b w:val="false"/>
          <w:color w:val="000000"/>
          <w:sz w:val="20"/>
          <w:u w:val="single"/>
        </w:rPr>
        <w:t>Tax Consultation</w:t>
      </w:r>
      <w:r>
        <w:rPr>
          <w:rFonts w:ascii="Times New Roman;serif" w:hAnsi="Times New Roman;serif"/>
          <w:b w:val="false"/>
          <w:color w:val="000000"/>
          <w:sz w:val="20"/>
        </w:rPr>
        <w:t xml:space="preserve">.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 </w:t>
      </w:r>
    </w:p>
    <w:p>
      <w:pPr>
        <w:pStyle w:val="TextBody"/>
        <w:bidi w:val="0"/>
        <w:spacing w:lineRule="auto" w:line="288" w:before="0" w:after="180"/>
        <w:jc w:val="left"/>
        <w:rPr/>
      </w:pPr>
      <w:r>
        <w:rPr>
          <w:rFonts w:ascii="Times New Roman;serif" w:hAnsi="Times New Roman;serif"/>
          <w:b w:val="false"/>
          <w:color w:val="000000"/>
          <w:sz w:val="20"/>
        </w:rPr>
        <w:t xml:space="preserve">3.4 </w:t>
      </w:r>
      <w:r>
        <w:rPr>
          <w:rFonts w:ascii="Times New Roman;serif" w:hAnsi="Times New Roman;serif"/>
          <w:b w:val="false"/>
          <w:color w:val="000000"/>
          <w:sz w:val="20"/>
          <w:u w:val="single"/>
        </w:rPr>
        <w:t>Binding Agreement</w:t>
      </w:r>
      <w:r>
        <w:rPr>
          <w:rFonts w:ascii="Times New Roman;serif" w:hAnsi="Times New Roman;serif"/>
          <w:b w:val="false"/>
          <w:color w:val="000000"/>
          <w:sz w:val="20"/>
        </w:rPr>
        <w:t xml:space="preserve">. Subject to the limitation on the transferability of the RSUs contained herein, this Agreement will be binding upon and inure to the benefit of the heirs, legatees, legal representatives, successors and assigns of the parties hereto. </w:t>
      </w:r>
    </w:p>
    <w:p>
      <w:pPr>
        <w:pStyle w:val="TextBody"/>
        <w:bidi w:val="0"/>
        <w:spacing w:lineRule="auto" w:line="288" w:before="0" w:after="180"/>
        <w:jc w:val="left"/>
        <w:rPr/>
      </w:pPr>
      <w:r>
        <w:rPr>
          <w:rFonts w:ascii="Times New Roman;serif" w:hAnsi="Times New Roman;serif"/>
          <w:b w:val="false"/>
          <w:color w:val="000000"/>
          <w:sz w:val="20"/>
        </w:rPr>
        <w:t xml:space="preserve">3.5 </w:t>
      </w:r>
      <w:r>
        <w:rPr>
          <w:rFonts w:ascii="Times New Roman;serif" w:hAnsi="Times New Roman;serif"/>
          <w:b w:val="false"/>
          <w:color w:val="000000"/>
          <w:sz w:val="20"/>
          <w:u w:val="single"/>
        </w:rPr>
        <w:t>Adjustments Upon Specified Events</w:t>
      </w:r>
      <w:r>
        <w:rPr>
          <w:rFonts w:ascii="Times New Roman;serif" w:hAnsi="Times New Roman;serif"/>
          <w:b w:val="false"/>
          <w:color w:val="000000"/>
          <w:sz w:val="20"/>
        </w:rPr>
        <w:t xml:space="preserve">. The Administrator may accelerate the vesting of the RSUs in such circumstances as it, in its sole discretion, may determine. The Participant acknowledges that the RSUs are subject to adjustment, modification and termination in certain events as provided in this Agreement and Section 13.2 of the Plan. </w:t>
      </w:r>
    </w:p>
    <w:p>
      <w:pPr>
        <w:pStyle w:val="TextBody"/>
        <w:bidi w:val="0"/>
        <w:spacing w:lineRule="auto" w:line="288" w:before="0" w:after="180"/>
        <w:jc w:val="left"/>
        <w:rPr/>
      </w:pPr>
      <w:r>
        <w:rPr>
          <w:rFonts w:ascii="Times New Roman;serif" w:hAnsi="Times New Roman;serif"/>
          <w:b w:val="false"/>
          <w:color w:val="000000"/>
          <w:sz w:val="20"/>
        </w:rPr>
        <w:t xml:space="preserve">3.6 </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w:t>
      </w:r>
    </w:p>
    <w:p>
      <w:pPr>
        <w:pStyle w:val="TextBody"/>
        <w:bidi w:val="0"/>
        <w:spacing w:lineRule="auto" w:line="288" w:before="0" w:after="180"/>
        <w:jc w:val="left"/>
        <w:rPr/>
      </w:pPr>
      <w:r>
        <w:rPr>
          <w:rFonts w:ascii="Times New Roman;serif" w:hAnsi="Times New Roman;serif"/>
          <w:b w:val="false"/>
          <w:color w:val="000000"/>
          <w:sz w:val="20"/>
        </w:rPr>
        <w:t xml:space="preserve">3.7 </w:t>
      </w:r>
      <w:r>
        <w:rPr>
          <w:rFonts w:ascii="Times New Roman;serif" w:hAnsi="Times New Roman;serif"/>
          <w:b w:val="false"/>
          <w:color w:val="000000"/>
          <w:sz w:val="20"/>
          <w:u w:val="single"/>
        </w:rPr>
        <w:t>Participant’s Representations</w:t>
      </w:r>
      <w:r>
        <w:rPr>
          <w:rFonts w:ascii="Times New Roman;serif" w:hAnsi="Times New Roman;serif"/>
          <w:b w:val="false"/>
          <w:color w:val="000000"/>
          <w:sz w:val="20"/>
        </w:rPr>
        <w:t xml:space="preserve">.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 </w:t>
      </w:r>
    </w:p>
    <w:p>
      <w:pPr>
        <w:pStyle w:val="TextBody"/>
        <w:bidi w:val="0"/>
        <w:spacing w:lineRule="auto" w:line="288" w:before="0" w:after="180"/>
        <w:jc w:val="left"/>
        <w:rPr/>
      </w:pPr>
      <w:r>
        <w:rPr>
          <w:rFonts w:ascii="Times New Roman;serif" w:hAnsi="Times New Roman;serif"/>
          <w:b w:val="false"/>
          <w:color w:val="000000"/>
          <w:sz w:val="20"/>
        </w:rPr>
        <w:t xml:space="preserve">3.8 </w:t>
      </w:r>
      <w:r>
        <w:rPr>
          <w:rFonts w:ascii="Times New Roman;serif" w:hAnsi="Times New Roman;serif"/>
          <w:b w:val="false"/>
          <w:color w:val="000000"/>
          <w:sz w:val="20"/>
          <w:u w:val="single"/>
        </w:rPr>
        <w:t>Titles</w:t>
      </w:r>
      <w:r>
        <w:rPr>
          <w:rFonts w:ascii="Times New Roman;serif" w:hAnsi="Times New Roman;serif"/>
          <w:b w:val="false"/>
          <w:color w:val="000000"/>
          <w:sz w:val="20"/>
        </w:rPr>
        <w:t xml:space="preserve">. Titles are provided herein for convenience only and are not to serve as a basis for interpretation or construction of this Agreement. </w:t>
      </w:r>
    </w:p>
    <w:p>
      <w:pPr>
        <w:pStyle w:val="TextBody"/>
        <w:bidi w:val="0"/>
        <w:spacing w:lineRule="auto" w:line="288" w:before="0" w:after="180"/>
        <w:jc w:val="left"/>
        <w:rPr/>
      </w:pPr>
      <w:r>
        <w:rPr>
          <w:rFonts w:ascii="Times New Roman;serif" w:hAnsi="Times New Roman;serif"/>
          <w:b w:val="false"/>
          <w:color w:val="000000"/>
          <w:sz w:val="20"/>
        </w:rPr>
        <w:t xml:space="preserve">3.9 </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lineRule="auto" w:line="288" w:before="0" w:after="180"/>
        <w:jc w:val="left"/>
        <w:rPr/>
      </w:pPr>
      <w:r>
        <w:rPr>
          <w:rFonts w:ascii="Times New Roman;serif" w:hAnsi="Times New Roman;serif"/>
          <w:b w:val="false"/>
          <w:color w:val="000000"/>
          <w:sz w:val="20"/>
        </w:rPr>
        <w:t xml:space="preserve">3.10 </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xml:space="preserve">.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 </w:t>
      </w:r>
    </w:p>
    <w:p>
      <w:pPr>
        <w:pStyle w:val="TextBody"/>
        <w:bidi w:val="0"/>
        <w:spacing w:lineRule="auto" w:line="288" w:before="0" w:after="180"/>
        <w:jc w:val="left"/>
        <w:rPr/>
      </w:pPr>
      <w:r>
        <w:rPr>
          <w:rFonts w:ascii="Times New Roman;serif" w:hAnsi="Times New Roman;serif"/>
          <w:b w:val="false"/>
          <w:color w:val="000000"/>
          <w:sz w:val="20"/>
        </w:rPr>
        <w:t xml:space="preserve">3.11 </w:t>
      </w:r>
      <w:r>
        <w:rPr>
          <w:rFonts w:ascii="Times New Roman;serif" w:hAnsi="Times New Roman;serif"/>
          <w:b w:val="false"/>
          <w:color w:val="000000"/>
          <w:sz w:val="20"/>
          <w:u w:val="single"/>
        </w:rPr>
        <w:t>Amendment, Suspension and Termination</w:t>
      </w:r>
      <w:r>
        <w:rPr>
          <w:rFonts w:ascii="Times New Roman;serif" w:hAnsi="Times New Roman;serif"/>
          <w:b w:val="false"/>
          <w:color w:val="000000"/>
          <w:sz w:val="20"/>
        </w:rPr>
        <w:t xml:space="preserve">. To the extent permitted by the Plan, this Agreement may be wholly or partially amended or otherwise modified, suspended or terminated at any time or from time to time by the Administrator or the Board;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 xml:space="preserve">that, except as may otherwise be provided by the Plan, no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76300"/>
                <wp:effectExtent l="0" t="0" r="0" b="0"/>
                <wp:wrapNone/>
                <wp:docPr id="143" name="Frame14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amendment, modification, suspension or termination of this Agreement shall adversely affect the RSUs in any material way without the prior written consent of the Participant. </w:t>
      </w:r>
    </w:p>
    <w:p>
      <w:pPr>
        <w:pStyle w:val="TextBody"/>
        <w:bidi w:val="0"/>
        <w:spacing w:lineRule="auto" w:line="288" w:before="0" w:after="180"/>
        <w:jc w:val="left"/>
        <w:rPr/>
      </w:pPr>
      <w:r>
        <w:rPr>
          <w:rFonts w:ascii="Times New Roman;serif" w:hAnsi="Times New Roman;serif"/>
          <w:b w:val="false"/>
          <w:color w:val="000000"/>
          <w:sz w:val="20"/>
        </w:rPr>
        <w:t xml:space="preserve">3.12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 </w:t>
      </w:r>
    </w:p>
    <w:p>
      <w:pPr>
        <w:pStyle w:val="TextBody"/>
        <w:bidi w:val="0"/>
        <w:spacing w:lineRule="auto" w:line="288" w:before="0" w:after="180"/>
        <w:jc w:val="left"/>
        <w:rPr/>
      </w:pPr>
      <w:r>
        <w:rPr>
          <w:rFonts w:ascii="Times New Roman;serif" w:hAnsi="Times New Roman;serif"/>
          <w:b w:val="false"/>
          <w:color w:val="000000"/>
          <w:sz w:val="20"/>
        </w:rPr>
        <w:t xml:space="preserve">3.13 </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xml:space="preserve">.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w:t>
      </w:r>
    </w:p>
    <w:p>
      <w:pPr>
        <w:pStyle w:val="TextBody"/>
        <w:bidi w:val="0"/>
        <w:spacing w:lineRule="auto" w:line="288" w:before="0" w:after="180"/>
        <w:jc w:val="left"/>
        <w:rPr/>
      </w:pPr>
      <w:r>
        <w:rPr>
          <w:rFonts w:ascii="Times New Roman;serif" w:hAnsi="Times New Roman;serif"/>
          <w:b w:val="false"/>
          <w:color w:val="000000"/>
          <w:sz w:val="20"/>
        </w:rPr>
        <w:t xml:space="preserve">3.14 </w:t>
      </w:r>
      <w:r>
        <w:rPr>
          <w:rFonts w:ascii="Times New Roman;serif" w:hAnsi="Times New Roman;serif"/>
          <w:b w:val="false"/>
          <w:color w:val="000000"/>
          <w:sz w:val="20"/>
          <w:u w:val="single"/>
        </w:rPr>
        <w:t>Not a Contract of Service Relationship</w:t>
      </w:r>
      <w:r>
        <w:rPr>
          <w:rFonts w:ascii="Times New Roman;serif" w:hAnsi="Times New Roman;serif"/>
          <w:b w:val="false"/>
          <w:color w:val="000000"/>
          <w:sz w:val="20"/>
        </w:rPr>
        <w:t xml:space="preserve">. Nothing in this Agreement or in the Plan shall confer upon Participant any right to continue to serve as a director or service provider of the Company or any of its Affiliates or interfere with or restrict in any way with the right of the Company or any of its Affiliates, which rights are hereby expressly reserved, to discharge or to terminate for any reason whatsoever, with or without cause, the services of the Participant’s at any time. </w:t>
      </w:r>
    </w:p>
    <w:p>
      <w:pPr>
        <w:pStyle w:val="TextBody"/>
        <w:bidi w:val="0"/>
        <w:spacing w:lineRule="auto" w:line="288" w:before="0" w:after="180"/>
        <w:jc w:val="left"/>
        <w:rPr/>
      </w:pPr>
      <w:r>
        <w:rPr>
          <w:rFonts w:ascii="Times New Roman;serif" w:hAnsi="Times New Roman;serif"/>
          <w:b w:val="false"/>
          <w:color w:val="000000"/>
          <w:sz w:val="20"/>
        </w:rPr>
        <w:t xml:space="preserve">3.15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Plan, the Grant Notice and this Agreement (including all Exhibits thereto, if any) constitute the entire agreement of the parties and supersede in their entirety all prior undertakings and agreements of the Company and the Participant with respect to the subject matter hereof. </w:t>
      </w:r>
    </w:p>
    <w:p>
      <w:pPr>
        <w:pStyle w:val="TextBody"/>
        <w:bidi w:val="0"/>
        <w:spacing w:lineRule="auto" w:line="288" w:before="0" w:after="180"/>
        <w:jc w:val="left"/>
        <w:rPr/>
      </w:pPr>
      <w:r>
        <w:rPr>
          <w:rFonts w:ascii="Times New Roman;serif" w:hAnsi="Times New Roman;serif"/>
          <w:b w:val="false"/>
          <w:color w:val="000000"/>
          <w:sz w:val="20"/>
        </w:rPr>
        <w:t xml:space="preserve">3.16 </w:t>
      </w:r>
      <w:r>
        <w:rPr>
          <w:rFonts w:ascii="Times New Roman;serif" w:hAnsi="Times New Roman;serif"/>
          <w:b w:val="false"/>
          <w:color w:val="000000"/>
          <w:sz w:val="20"/>
          <w:u w:val="single"/>
        </w:rPr>
        <w:t>Section 409A</w:t>
      </w:r>
      <w:r>
        <w:rPr>
          <w:rFonts w:ascii="Times New Roman;serif" w:hAnsi="Times New Roman;serif"/>
          <w:b w:val="false"/>
          <w:color w:val="000000"/>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0"/>
          <w:u w:val="single"/>
        </w:rPr>
        <w:t>Section 409A</w:t>
      </w:r>
      <w:r>
        <w:rPr>
          <w:color w:val="000000"/>
        </w:rPr>
        <w:t>”</w:t>
      </w:r>
      <w:r>
        <w:rPr>
          <w:rFonts w:ascii="Times New Roman;serif" w:hAnsi="Times New Roman;serif"/>
          <w:b w:val="false"/>
          <w:color w:val="000000"/>
          <w:sz w:val="20"/>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lineRule="auto" w:line="288" w:before="0" w:after="180"/>
        <w:jc w:val="left"/>
        <w:rPr/>
      </w:pPr>
      <w:r>
        <w:rPr>
          <w:rFonts w:ascii="Times New Roman;serif" w:hAnsi="Times New Roman;serif"/>
          <w:b w:val="false"/>
          <w:color w:val="000000"/>
          <w:sz w:val="20"/>
        </w:rPr>
        <w:t xml:space="preserve">3.17 </w:t>
      </w:r>
      <w:r>
        <w:rPr>
          <w:rFonts w:ascii="Times New Roman;serif" w:hAnsi="Times New Roman;serif"/>
          <w:b w:val="false"/>
          <w:color w:val="000000"/>
          <w:sz w:val="20"/>
          <w:u w:val="single"/>
        </w:rPr>
        <w:t>Limitation on Participant’s Rights</w:t>
      </w:r>
      <w:r>
        <w:rPr>
          <w:rFonts w:ascii="Times New Roman;serif" w:hAnsi="Times New Roman;serif"/>
          <w:b w:val="false"/>
          <w:color w:val="000000"/>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Affiliates with respect to amounts credited and benefits payable, if any, with respect to the RSUs, and rights no greater than the right to receive the Common Stock as a general unsecured creditor with respect to RSUs, as and when payable hereunder.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76300"/>
                <wp:effectExtent l="0" t="0" r="0" b="0"/>
                <wp:wrapNone/>
                <wp:docPr id="144" name="Frame14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10.9</w:t>
      </w:r>
    </w:p>
    <w:p>
      <w:pPr>
        <w:pStyle w:val="TextBody"/>
        <w:bidi w:val="0"/>
        <w:spacing w:lineRule="auto" w:line="288" w:before="0" w:after="18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TRANSITION AND SEPARATION AGREEMENT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 xml:space="preserve">This Transition and Separation Agreement (the “ </w:t>
      </w:r>
      <w:r>
        <w:rPr>
          <w:rFonts w:ascii="Times New Roman;serif" w:hAnsi="Times New Roman;serif"/>
          <w:b w:val="false"/>
          <w:color w:val="000000"/>
          <w:sz w:val="20"/>
          <w:u w:val="single"/>
          <w:shd w:fill="FFFFFF" w:val="clear"/>
        </w:rPr>
        <w:t>Transition Agreement</w:t>
      </w:r>
      <w:r>
        <w:rPr>
          <w:color w:val="000000"/>
          <w:shd w:fill="FFFFFF" w:val="clear"/>
        </w:rPr>
        <w:t>”</w:t>
      </w:r>
      <w:r>
        <w:rPr>
          <w:rFonts w:ascii="Times New Roman;serif" w:hAnsi="Times New Roman;serif"/>
          <w:b w:val="false"/>
          <w:color w:val="000000"/>
          <w:sz w:val="20"/>
          <w:shd w:fill="FFFFFF" w:val="clear"/>
        </w:rPr>
        <w:t>) by and between David P. Rosenbaum, Ph.D (“</w:t>
      </w:r>
      <w:r>
        <w:rPr>
          <w:rFonts w:ascii="Times New Roman;serif" w:hAnsi="Times New Roman;serif"/>
          <w:b w:val="false"/>
          <w:color w:val="000000"/>
          <w:sz w:val="20"/>
          <w:u w:val="single"/>
          <w:shd w:fill="FFFFFF" w:val="clear"/>
        </w:rPr>
        <w:t>Employee</w:t>
      </w:r>
      <w:r>
        <w:rPr>
          <w:color w:val="000000"/>
          <w:shd w:fill="FFFFFF" w:val="clear"/>
        </w:rPr>
        <w:t>”</w:t>
      </w:r>
      <w:r>
        <w:rPr>
          <w:rFonts w:ascii="Times New Roman;serif" w:hAnsi="Times New Roman;serif"/>
          <w:b w:val="false"/>
          <w:color w:val="000000"/>
          <w:sz w:val="20"/>
          <w:shd w:fill="FFFFFF" w:val="clear"/>
        </w:rPr>
        <w:t>) and Ardelyx,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is made effective as of the date Employee signs this Transition Agreement (the “</w:t>
      </w:r>
      <w:r>
        <w:rPr>
          <w:rFonts w:ascii="Times New Roman;serif" w:hAnsi="Times New Roman;serif"/>
          <w:b w:val="false"/>
          <w:color w:val="000000"/>
          <w:sz w:val="20"/>
          <w:u w:val="single"/>
          <w:shd w:fill="FFFFFF" w:val="clear"/>
        </w:rPr>
        <w:t>Effective Date</w:t>
      </w:r>
      <w:r>
        <w:rPr>
          <w:color w:val="000000"/>
          <w:shd w:fill="FFFFFF" w:val="clear"/>
        </w:rPr>
        <w:t>”</w:t>
      </w:r>
      <w:r>
        <w:rPr>
          <w:rFonts w:ascii="Times New Roman;serif" w:hAnsi="Times New Roman;serif"/>
          <w:b w:val="false"/>
          <w:color w:val="000000"/>
          <w:sz w:val="20"/>
          <w:shd w:fill="FFFFFF" w:val="clear"/>
        </w:rPr>
        <w:t>) with reference to the following facts:</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Employee currently serves as the Company’s Head of Drug Discovery and Early Development.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B. Employee and the Company entered into a Second Amended and Restated Change in Control Agreement effective as of May 7, 2018, as further amended by Amendment Number One thereto on December 1, 2021 (the “</w:t>
      </w:r>
      <w:r>
        <w:rPr>
          <w:rFonts w:ascii="Times New Roman;serif" w:hAnsi="Times New Roman;serif"/>
          <w:b w:val="false"/>
          <w:color w:val="000000"/>
          <w:sz w:val="20"/>
          <w:u w:val="single"/>
          <w:shd w:fill="FFFFFF" w:val="clear"/>
        </w:rPr>
        <w:t>Prior Agreement</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Employee and the Company want to provide for a smooth transition and end their relationship amicably and also to establish the obligations of the parties including, without limitation, all amounts due and owing to Employee.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NOW, THEREFORE, in consideration of the mutual covenants and agreements hereinafter set forth, the parties agree as follows:</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Resignation Date</w:t>
      </w:r>
      <w:r>
        <w:rPr>
          <w:rFonts w:ascii="Times New Roman;serif" w:hAnsi="Times New Roman;serif"/>
          <w:b w:val="false"/>
          <w:color w:val="000000"/>
          <w:sz w:val="20"/>
        </w:rPr>
        <w:t>. Employee acknowledges and agrees that his status as an employee of the Company will end as the earlier of (a) December 31, 2025 (the “</w:t>
      </w:r>
      <w:r>
        <w:rPr>
          <w:rFonts w:ascii="Times New Roman;serif" w:hAnsi="Times New Roman;serif"/>
          <w:b w:val="false"/>
          <w:color w:val="000000"/>
          <w:sz w:val="20"/>
          <w:u w:val="single"/>
        </w:rPr>
        <w:t>Planned Resignation Date</w:t>
      </w:r>
      <w:r>
        <w:rPr>
          <w:color w:val="000000"/>
        </w:rPr>
        <w:t>”</w:t>
      </w:r>
      <w:r>
        <w:rPr>
          <w:rFonts w:ascii="Times New Roman;serif" w:hAnsi="Times New Roman;serif"/>
          <w:b w:val="false"/>
          <w:color w:val="000000"/>
          <w:sz w:val="20"/>
        </w:rPr>
        <w:t>), and (b) the date Employee takes any action that constitutes Cause (as defined in the Agreement”) (such earlier date, the “</w:t>
      </w:r>
      <w:r>
        <w:rPr>
          <w:rFonts w:ascii="Times New Roman;serif" w:hAnsi="Times New Roman;serif"/>
          <w:b w:val="false"/>
          <w:color w:val="000000"/>
          <w:sz w:val="20"/>
          <w:u w:val="single"/>
        </w:rPr>
        <w:t>Resignation Date</w:t>
      </w:r>
      <w:r>
        <w:rPr>
          <w:color w:val="000000"/>
        </w:rPr>
        <w:t>”</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 xml:space="preserve">2025 Bonus. </w:t>
      </w:r>
      <w:r>
        <w:rPr>
          <w:rFonts w:ascii="Times New Roman;serif" w:hAnsi="Times New Roman;serif"/>
          <w:b w:val="false"/>
          <w:color w:val="000000"/>
          <w:sz w:val="20"/>
        </w:rPr>
        <w:t>Employee shall be eligible to participate in the 2025 corporate bonus plan with a target bonus of forty-five percent (45%), and with twenty percent (20%) of the amount of his 2025 corporate bonus determined by his personal performance during 2025, and eighty percent (80%) of the amount of his 2025 bonus based upon the achievement of the Company Corporate Goals for 2025. Employee’s corporate bonus shall be paid at the time all corporate bonuses are paid to employees in 2026.</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Payments and Benefits</w:t>
      </w:r>
      <w:r>
        <w:rPr>
          <w:rFonts w:ascii="Times New Roman;serif" w:hAnsi="Times New Roman;serif"/>
          <w:b w:val="false"/>
          <w:color w:val="000000"/>
          <w:sz w:val="20"/>
        </w:rPr>
        <w:t>. The Company hereby agrees to provide the benefits described in this Section 3 to the Employee; subject to (i) the Resignation Date occurring on the Planned Resignation Date, (ii) Employee diligently and professionally executing and continuing to execute throughout the payment period described in Section 3(a) below, his obligations and responsibilities under this Agreement, (iii) Employee delivering to the Company a General Release of Claims substantially in the form attached hereto as </w:t>
      </w:r>
      <w:r>
        <w:rPr>
          <w:rFonts w:ascii="Times New Roman;serif" w:hAnsi="Times New Roman;serif"/>
          <w:b w:val="false"/>
          <w:color w:val="000000"/>
          <w:sz w:val="20"/>
          <w:u w:val="single"/>
        </w:rPr>
        <w:t>Exhibit A</w:t>
      </w:r>
      <w:r>
        <w:rPr>
          <w:color w:val="000000"/>
        </w:rPr>
        <w:t> </w:t>
      </w:r>
      <w:r>
        <w:rPr>
          <w:rFonts w:ascii="Times New Roman;serif" w:hAnsi="Times New Roman;serif"/>
          <w:b w:val="false"/>
          <w:color w:val="000000"/>
          <w:sz w:val="20"/>
        </w:rPr>
        <w:t>(the “</w:t>
      </w:r>
      <w:r>
        <w:rPr>
          <w:rFonts w:ascii="Times New Roman;serif" w:hAnsi="Times New Roman;serif"/>
          <w:b w:val="false"/>
          <w:color w:val="000000"/>
          <w:sz w:val="20"/>
          <w:u w:val="single"/>
        </w:rPr>
        <w:t>Release of Claims</w:t>
      </w:r>
      <w:r>
        <w:rPr>
          <w:color w:val="000000"/>
        </w:rPr>
        <w:t>”</w:t>
      </w:r>
      <w:r>
        <w:rPr>
          <w:rFonts w:ascii="Times New Roman;serif" w:hAnsi="Times New Roman;serif"/>
          <w:b w:val="false"/>
          <w:color w:val="000000"/>
          <w:sz w:val="20"/>
        </w:rPr>
        <w:t>) on or within twenty-one (21) days following the Resignation Date that becomes effective and irrevocable at the end of the seven (7)-day period immediately following his execution of the Release of Claims (the “</w:t>
      </w:r>
      <w:r>
        <w:rPr>
          <w:rFonts w:ascii="Times New Roman;serif" w:hAnsi="Times New Roman;serif"/>
          <w:b w:val="false"/>
          <w:color w:val="000000"/>
          <w:sz w:val="20"/>
          <w:u w:val="single"/>
        </w:rPr>
        <w:t>Revocation Period</w:t>
      </w:r>
      <w:r>
        <w:rPr>
          <w:color w:val="000000"/>
        </w:rPr>
        <w:t>”</w:t>
      </w:r>
      <w:r>
        <w:rPr>
          <w:rFonts w:ascii="Times New Roman;serif" w:hAnsi="Times New Roman;serif"/>
          <w:b w:val="false"/>
          <w:color w:val="000000"/>
          <w:sz w:val="20"/>
        </w:rPr>
        <w:t>), and (iv) Employee’s performance of his continuing obligations the Proprietary Information and Inventions Assignment Agreement entered into between Employee and the Company (the “</w:t>
      </w:r>
      <w:r>
        <w:rPr>
          <w:rFonts w:ascii="Times New Roman;serif" w:hAnsi="Times New Roman;serif"/>
          <w:b w:val="false"/>
          <w:color w:val="000000"/>
          <w:sz w:val="20"/>
          <w:u w:val="single"/>
        </w:rPr>
        <w:t>Confidential Information Agreement</w:t>
      </w:r>
      <w:r>
        <w:rPr>
          <w:color w:val="000000"/>
        </w:rPr>
        <w:t>”</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rPr>
        <w:t>Salary Continuation</w:t>
      </w:r>
      <w:r>
        <w:rPr>
          <w:rFonts w:ascii="Times New Roman;serif" w:hAnsi="Times New Roman;serif"/>
          <w:b w:val="false"/>
          <w:color w:val="000000"/>
          <w:sz w:val="20"/>
        </w:rPr>
        <w:t>. The Company will continue to pay Employee his base salary at the rate in effect immediately prior to the Resignation Date for the nine (9) month period commencing on January 1, 2026, such payments to be made in accordance with the Company’s regular payroll practices, provided, that the first such payment shall be made on the first payroll date that is at least five (5) business days after the Effective Date of the Release of Claims and, if the Effective Date is after January 15, 2026, inclusive of any payments that would have been made had the Effective Date occurred on January 1, 2026 (collectively, the “</w:t>
      </w:r>
      <w:r>
        <w:rPr>
          <w:rFonts w:ascii="Times New Roman;serif" w:hAnsi="Times New Roman;serif"/>
          <w:b w:val="false"/>
          <w:color w:val="000000"/>
          <w:sz w:val="20"/>
          <w:u w:val="single"/>
        </w:rPr>
        <w:t>Payments</w:t>
      </w:r>
      <w:r>
        <w:rPr>
          <w:color w:val="000000"/>
        </w:rPr>
        <w:t>”</w:t>
      </w:r>
      <w:r>
        <w:rPr>
          <w:rFonts w:ascii="Times New Roman;serif" w:hAnsi="Times New Roman;serif"/>
          <w:b w:val="false"/>
          <w:color w:val="000000"/>
          <w:sz w:val="20"/>
        </w:rPr>
        <w:t>). Each Payment shall be subject to authorized payroll deductions and required tax withholding.</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COBRA Reimbursement</w:t>
      </w:r>
      <w:r>
        <w:rPr>
          <w:rFonts w:ascii="Times New Roman;serif" w:hAnsi="Times New Roman;serif"/>
          <w:b w:val="false"/>
          <w:color w:val="000000"/>
          <w:sz w:val="20"/>
        </w:rPr>
        <w:t>. Provided that Employee timely elects to receive continued healthcare coverage pursuant to the Consolidated Omnibus Budget Reconciliation Act of 1985, as amended, or applicable state law (collectively referred to as “</w:t>
      </w:r>
      <w:r>
        <w:rPr>
          <w:rFonts w:ascii="Times New Roman;serif" w:hAnsi="Times New Roman;serif"/>
          <w:b w:val="false"/>
          <w:color w:val="000000"/>
          <w:sz w:val="20"/>
          <w:u w:val="single"/>
        </w:rPr>
        <w:t>COBRA</w:t>
      </w:r>
      <w:r>
        <w:rPr>
          <w:color w:val="000000"/>
        </w:rPr>
        <w:t>”</w:t>
      </w:r>
      <w:r>
        <w:rPr>
          <w:rFonts w:ascii="Times New Roman;serif" w:hAnsi="Times New Roman;serif"/>
          <w:b w:val="false"/>
          <w:color w:val="000000"/>
          <w:sz w:val="20"/>
        </w:rPr>
        <w:t xml:space="preserve">), the Company will pay COBRA premiums otherwise required to be paid by Employee through the earlier of (i) the first twelve months following the Resignation Date, or (ii) the date upon which Employee and Employee’s covered dependents, if any, become eligible for healthcare coverage under another employer’s plan(s). Notwithstanding the foregoing, (i) if any plan pursuant to which such benefits are provided is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or ceases prior to the expiration of the period of continuation coverage to be, exempt from the application of Section 409A of the Code under Treasury Regulation Section 1.409A-1(a)(5), or (ii) the Company is otherwise unable to continue to cover Employee under its group health plans without penalty under applicable law (including without limitation, Section 2716 of the Public Health Service Act), then, in either case, an amount equal to each remaining Company subsidy shall thereafter be paid to Employee in substantially equal monthly installments. After the Company ceases to pay premiums pursuant to this Section 3(b), Employee may, if eligible, elect to continue healthcare coverage at Employee’s expense in accordance the provisions of COBRA.</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u w:val="single"/>
          <w:shd w:fill="FFFFFF" w:val="clear"/>
        </w:rPr>
        <w:t>Final Paycheck; Payment of Accrued Wages and Expenses</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 xml:space="preserve">(a) </w:t>
      </w:r>
      <w:r>
        <w:rPr>
          <w:rFonts w:ascii="Times New Roman;serif" w:hAnsi="Times New Roman;serif"/>
          <w:b w:val="false"/>
          <w:i/>
          <w:color w:val="000000"/>
          <w:sz w:val="20"/>
          <w:shd w:fill="FFFFFF" w:val="clear"/>
        </w:rPr>
        <w:t>Final Paycheck</w:t>
      </w:r>
      <w:r>
        <w:rPr>
          <w:rFonts w:ascii="Times New Roman;serif" w:hAnsi="Times New Roman;serif"/>
          <w:b w:val="false"/>
          <w:color w:val="000000"/>
          <w:sz w:val="20"/>
          <w:shd w:fill="FFFFFF" w:val="clear"/>
        </w:rPr>
        <w:t>. On, or before the Resignation Date, the Company will pay Employee all accrued but unpaid base salary through the Resignation Date, subject to standard payroll deductions and withholding. Employee is entitled to these payments regardless of whether Employee executes this Transition Agreement or a Release of Claims.</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 xml:space="preserve">(b)  </w:t>
      </w:r>
      <w:r>
        <w:rPr>
          <w:rFonts w:ascii="Times New Roman;serif" w:hAnsi="Times New Roman;serif"/>
          <w:b w:val="false"/>
          <w:i/>
          <w:color w:val="000000"/>
          <w:sz w:val="20"/>
          <w:shd w:fill="FFFFFF" w:val="clear"/>
        </w:rPr>
        <w:t>Business Expenses</w:t>
      </w:r>
      <w:r>
        <w:rPr>
          <w:rFonts w:ascii="Times New Roman;serif" w:hAnsi="Times New Roman;serif"/>
          <w:b w:val="false"/>
          <w:color w:val="000000"/>
          <w:sz w:val="20"/>
          <w:shd w:fill="FFFFFF" w:val="clear"/>
        </w:rPr>
        <w:t xml:space="preserve">. The Company shall reimburse Employee for all outstanding expenses incurred prior to the Resignation Date which are consistent with the Company’s policies in effect from time to time with respect to travel and other business expenses, subject to the Company’s requirements with respect to reporting and documenting such expenses Employee is entitled to these payments regardless of whether Employee executes this Transition Agreement or a Release of Claims. </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u w:val="single"/>
        </w:rPr>
        <w:t>Advisory Services and Equity Awards.</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 xml:space="preserve">Advisory Services. </w:t>
      </w:r>
      <w:r>
        <w:rPr>
          <w:rFonts w:ascii="Times New Roman;serif" w:hAnsi="Times New Roman;serif"/>
          <w:b w:val="false"/>
          <w:color w:val="000000"/>
          <w:sz w:val="20"/>
        </w:rPr>
        <w:t>Provided that the Resignation Date occurs on the Planned Resignation Date, then during the period from the Resignation Date through the earliest of (a) six months following the Resignation Date, (b) the date Employee ceases to provide, or to be available to provide, the Advisory Services, or (c) the date Employee takes any action that constitutes Cause under the Prior Agreement (the “</w:t>
      </w:r>
      <w:r>
        <w:rPr>
          <w:rFonts w:ascii="Times New Roman;serif" w:hAnsi="Times New Roman;serif"/>
          <w:b w:val="false"/>
          <w:color w:val="000000"/>
          <w:sz w:val="20"/>
          <w:u w:val="single"/>
        </w:rPr>
        <w:t>Advisory Period</w:t>
      </w:r>
      <w:r>
        <w:rPr>
          <w:color w:val="000000"/>
        </w:rPr>
        <w:t>”</w:t>
      </w:r>
      <w:r>
        <w:rPr>
          <w:rFonts w:ascii="Times New Roman;serif" w:hAnsi="Times New Roman;serif"/>
          <w:b w:val="false"/>
          <w:color w:val="000000"/>
          <w:sz w:val="20"/>
        </w:rPr>
        <w:t>), the Employee agrees to perform for and at the request of the Company advisory and transition services as and when specifically requested by the Company (“</w:t>
      </w:r>
      <w:r>
        <w:rPr>
          <w:rFonts w:ascii="Times New Roman;serif" w:hAnsi="Times New Roman;serif"/>
          <w:b w:val="false"/>
          <w:color w:val="000000"/>
          <w:sz w:val="20"/>
          <w:u w:val="single"/>
        </w:rPr>
        <w:t>Advisory Services”)</w:t>
      </w:r>
      <w:r>
        <w:rPr>
          <w:rFonts w:ascii="Times New Roman;serif" w:hAnsi="Times New Roman;serif"/>
          <w:b w:val="false"/>
          <w:color w:val="000000"/>
          <w:sz w:val="20"/>
        </w:rPr>
        <w:t xml:space="preserve">. Employee will be paid at the rate of $500.00 per hour for all Advisory Services requested in writing by the Company and provided and documented in accordance with its policies. The Company will reimburse Employee for reasonable expenses incurred by Employee in providing the Advisory Services at the written request of the Company, and will provide the Company an invoice describing the Advisory Service fee earned and expenses incurred. </w:t>
      </w:r>
    </w:p>
    <w:p>
      <w:pPr>
        <w:pStyle w:val="TextBody"/>
        <w:bidi w:val="0"/>
        <w:spacing w:lineRule="auto" w:line="288" w:before="0" w:after="180"/>
        <w:ind w:left="0" w:right="0" w:firstLine="49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 xml:space="preserve">Equity Awards. </w:t>
      </w:r>
      <w:r>
        <w:rPr>
          <w:rFonts w:ascii="Times New Roman;serif" w:hAnsi="Times New Roman;serif"/>
          <w:b w:val="false"/>
          <w:color w:val="000000"/>
          <w:sz w:val="20"/>
        </w:rPr>
        <w:t xml:space="preserve">Employee’s outstanding equity awards, including stock options and restricted stock units, will continue to vest in accordance with their terms during the Advisory Period. The Company will pay any undisputed invoiced amounts within thirty (30) days of the receipt of the invoice. The Advisory Services provided shall be provided in accordance with and subject to the terms of the Confidentiality Agreement, provided, that any reference therein to “employment” or terms of similar effect shall be deemed to include the Advisory Services. Employee shall until the later of (a) a period of ninety (90) days following the end of the Advisory Period, or (b) February 28, 2026 to exercise any stock options that are vested but unexercised at the end of the Advisory Period. </w:t>
      </w:r>
    </w:p>
    <w:p>
      <w:pPr>
        <w:pStyle w:val="TextBody"/>
        <w:bidi w:val="0"/>
        <w:spacing w:lineRule="auto" w:line="288" w:before="0" w:after="180"/>
        <w:ind w:left="0" w:right="0" w:firstLine="720"/>
        <w:jc w:val="left"/>
        <w:rPr/>
      </w:pPr>
      <w:r>
        <w:rPr>
          <w:rFonts w:ascii="Times New Roman;serif" w:hAnsi="Times New Roman;serif"/>
          <w:b w:val="false"/>
          <w:color w:val="000000"/>
          <w:sz w:val="20"/>
        </w:rPr>
        <w:t>6.</w:t>
      </w:r>
      <w:r>
        <w:rPr>
          <w:rFonts w:ascii="Times New Roman;serif" w:hAnsi="Times New Roman;serif"/>
          <w:b w:val="false"/>
          <w:color w:val="000000"/>
          <w:sz w:val="20"/>
          <w:u w:val="single"/>
          <w:shd w:fill="FFFFFF" w:val="clear"/>
        </w:rPr>
        <w:t>Full Payment</w:t>
      </w:r>
      <w:r>
        <w:rPr>
          <w:rFonts w:ascii="Times New Roman;serif" w:hAnsi="Times New Roman;serif"/>
          <w:b w:val="false"/>
          <w:color w:val="000000"/>
          <w:sz w:val="20"/>
          <w:shd w:fill="FFFFFF" w:val="clear"/>
        </w:rPr>
        <w:t>. Employee acknowledges that the payment and arrangements herein shall constitute full and complete satisfaction of any and all amounts properly due and owing to Employee as a result of his services to the Company and the termination thereof. Employee further acknowledges that, other than the Confidential Information Agreement and the agreements evidencing Employee’s equity awards (as deemed amended under Section 5), this Transition Agreement shall supersede each agreement entered into between Employee and the Company regarding Employee’s employment, including, without limitation, the Prior Agreement and any offer letter, or employment agreement, and each such agreement other than the agreements evidencing Employee’s equity awards (as deemed amended under Section 5) and the Confidential Information Agreement shall be deemed terminated and of no further effect as of the Resignation Date.</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7.</w:t>
      </w:r>
      <w:r>
        <w:rPr>
          <w:rFonts w:ascii="Times New Roman;serif" w:hAnsi="Times New Roman;serif"/>
          <w:b w:val="false"/>
          <w:color w:val="000000"/>
          <w:sz w:val="20"/>
          <w:u w:val="single"/>
          <w:shd w:fill="FFFFFF" w:val="clear"/>
        </w:rPr>
        <w:t>Employee’s Release of the Company</w:t>
      </w:r>
      <w:r>
        <w:rPr>
          <w:rFonts w:ascii="Times New Roman;serif" w:hAnsi="Times New Roman;serif"/>
          <w:b w:val="false"/>
          <w:color w:val="000000"/>
          <w:sz w:val="20"/>
          <w:shd w:fill="FFFFFF" w:val="clear"/>
        </w:rPr>
        <w:t>. Employee agrees that the consideration set forth in this Transition Agreement represents settlement in full of all outstanding obligations owed to Employee by the Company and its current and former officers, directors, employees, agents, investors, attorneys, affiliates, divisions, and subsidiaries, and predecessor and successor corporations and assigns (collectively, the “</w:t>
      </w:r>
      <w:r>
        <w:rPr>
          <w:rFonts w:ascii="Times New Roman;serif" w:hAnsi="Times New Roman;serif"/>
          <w:b w:val="false"/>
          <w:color w:val="000000"/>
          <w:sz w:val="20"/>
          <w:u w:val="single"/>
          <w:shd w:fill="FFFFFF" w:val="clear"/>
        </w:rPr>
        <w:t>Releasees</w:t>
      </w:r>
      <w:r>
        <w:rPr>
          <w:color w:val="000000"/>
          <w:shd w:fill="FFFFFF" w:val="clear"/>
        </w:rPr>
        <w:t>”</w:t>
      </w:r>
      <w:r>
        <w:rPr>
          <w:rFonts w:ascii="Times New Roman;serif" w:hAnsi="Times New Roman;serif"/>
          <w:b w:val="false"/>
          <w:color w:val="000000"/>
          <w:sz w:val="20"/>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(a) Employee,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Times New Roman;serif" w:hAnsi="Times New Roman;serif"/>
          <w:b w:val="false"/>
          <w:color w:val="000000"/>
          <w:sz w:val="20"/>
          <w:u w:val="single"/>
          <w:shd w:fill="FFFFFF" w:val="clear"/>
        </w:rPr>
        <w:t>Releasees</w:t>
      </w:r>
      <w:r>
        <w:rPr>
          <w:color w:val="000000"/>
          <w:shd w:fill="FFFFFF" w:val="clear"/>
        </w:rPr>
        <w:t>”</w:t>
      </w:r>
      <w:r>
        <w:rPr>
          <w:rFonts w:ascii="Times New Roman;serif" w:hAnsi="Times New Roman;serif"/>
          <w:b w:val="false"/>
          <w:color w:val="000000"/>
          <w:sz w:val="20"/>
          <w:shd w:fill="FFFFFF" w:val="clear"/>
        </w:rPr>
        <w:t>)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Release, including, without limitation:</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any and all claims relating to or arising from Employee’s employment relationship with Company and the termination of that relationship;</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Massachusetts Fair Employment Practices Law, Mass. Gen. Laws ch. 151B, §1 et seq.; Massachusetts Sexual Harassment Law, Mass. Gen. Laws ch. 214, §1C; Massachusetts Equal Pay Law, Mass. Gen. Laws ch. 149, §105A-C; Massachusetts Family and Medical Leave Law, Mass. Gen. Laws ch. 149, §52D; and Massachusetts WARN Laws, Mass. Gen. Laws ch. 149, §182 and Mass. Gen. Laws ch. 151A, §71A-G;</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any and all claims for violation of the federal or any state constitution;</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any and all claims arising out of any other laws and regulations relating to employment or employment discrimination;</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 any claim for breach of contract or breach of the implied covenant of good faith and fair dealing; and </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 any and all claims for attorneys’ fees and costs.</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Employee agrees that the release set forth in this Section shall be and remain in effect in all respects as a complete general release as to the matters released. This release does not extend to any obligations incurred under this Transition Agreement or the Option Agreements. This release does not release claims or rights that cannot be released as a matter of law, and Employee’s right to bring to the attention of the Equal Employment Opportunity Commission or California Department of Fair Employment and Housing claims of discrimination, harassment or retaliation; provided, however, that Employee does release his right to obtain damages for any such claims. This release does not release claims or rights that Employee may have as a shareholder of the Company or for vested benefits under any benefit plan or to continued participation in any such plan pursuant to the terms thereof or applicable law.</w:t>
      </w:r>
    </w:p>
    <w:p>
      <w:pPr>
        <w:pStyle w:val="TextBody"/>
        <w:bidi w:val="0"/>
        <w:spacing w:lineRule="auto" w:line="288" w:before="0" w:after="180"/>
        <w:ind w:left="0" w:right="0" w:firstLine="720"/>
        <w:jc w:val="left"/>
        <w:rPr/>
      </w:pPr>
      <w:r>
        <w:rPr>
          <w:rFonts w:ascii="Times New Roman;serif" w:hAnsi="Times New Roman;serif"/>
          <w:b w:val="false"/>
          <w:color w:val="000000"/>
          <w:sz w:val="20"/>
        </w:rPr>
        <w:t>8.</w:t>
      </w:r>
      <w:r>
        <w:rPr>
          <w:rFonts w:ascii="Times New Roman;serif" w:hAnsi="Times New Roman;serif"/>
          <w:b w:val="false"/>
          <w:color w:val="000000"/>
          <w:sz w:val="20"/>
          <w:u w:val="single"/>
          <w:shd w:fill="FFFFFF" w:val="clear"/>
        </w:rPr>
        <w:t>Non-Disparagement; Transfer of Company Property</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(a) </w:t>
      </w:r>
      <w:r>
        <w:rPr>
          <w:rFonts w:ascii="Times New Roman;serif" w:hAnsi="Times New Roman;serif"/>
          <w:b w:val="false"/>
          <w:i/>
          <w:color w:val="000000"/>
          <w:sz w:val="20"/>
          <w:shd w:fill="FFFFFF" w:val="clear"/>
        </w:rPr>
        <w:t>Non-Disparagement</w:t>
      </w:r>
      <w:r>
        <w:rPr>
          <w:rFonts w:ascii="Times New Roman;serif" w:hAnsi="Times New Roman;serif"/>
          <w:b w:val="false"/>
          <w:color w:val="000000"/>
          <w:sz w:val="20"/>
          <w:shd w:fill="FFFFFF" w:val="clear"/>
        </w:rPr>
        <w:t>. Employee agrees that he shall not disparage, criticize or defame the Company, its affiliates and their respective affiliates, directors, officers, agents, partners, stockholders, employees, products, services, technology or business, either publicly or privately. Employee specifically agrees that a breach of this Section 8(a) shall result in the loss of the benefits described in Section 3 above.</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(b) </w:t>
      </w:r>
      <w:r>
        <w:rPr>
          <w:rFonts w:ascii="Times New Roman;serif" w:hAnsi="Times New Roman;serif"/>
          <w:b w:val="false"/>
          <w:i/>
          <w:color w:val="000000"/>
          <w:sz w:val="20"/>
          <w:shd w:fill="FFFFFF" w:val="clear"/>
        </w:rPr>
        <w:t>Transfer of Company Property</w:t>
      </w:r>
      <w:r>
        <w:rPr>
          <w:rFonts w:ascii="Times New Roman;serif" w:hAnsi="Times New Roman;serif"/>
          <w:b w:val="false"/>
          <w:color w:val="000000"/>
          <w:sz w:val="20"/>
          <w:shd w:fill="FFFFFF" w:val="clear"/>
        </w:rPr>
        <w:t xml:space="preserve">. Within ten (10) business days of after the end of the Advisory Period, Employee shall turn over to the Company all files, memoranda, records, and other documents, and any other physical or personal property which are the property of the Company and which he has in his possession, custody or control at such date, including without limitation, his Company issued laptop computer;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that should the Company provide Employee with a written request to accelerate the obligations under this Section 8(b) to a date prior to the end of the Advisory Period, Employee shall comply with the Company’s request.</w:t>
      </w:r>
    </w:p>
    <w:p>
      <w:pPr>
        <w:pStyle w:val="TextBody"/>
        <w:bidi w:val="0"/>
        <w:spacing w:lineRule="auto" w:line="288" w:before="0" w:after="180"/>
        <w:ind w:left="0" w:right="0" w:firstLine="720"/>
        <w:jc w:val="left"/>
        <w:rPr/>
      </w:pPr>
      <w:r>
        <w:rPr>
          <w:rFonts w:ascii="Times New Roman;serif" w:hAnsi="Times New Roman;serif"/>
          <w:b w:val="false"/>
          <w:color w:val="000000"/>
          <w:sz w:val="20"/>
        </w:rPr>
        <w:t>9.</w:t>
      </w:r>
      <w:r>
        <w:rPr>
          <w:rFonts w:ascii="Times New Roman;serif" w:hAnsi="Times New Roman;serif"/>
          <w:b w:val="false"/>
          <w:color w:val="000000"/>
          <w:sz w:val="20"/>
          <w:u w:val="single"/>
          <w:shd w:fill="FFFFFF" w:val="clear"/>
        </w:rPr>
        <w:t>Confidentiality; Non-Solicitation</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(a) </w:t>
      </w:r>
      <w:r>
        <w:rPr>
          <w:rFonts w:ascii="Times New Roman;serif" w:hAnsi="Times New Roman;serif"/>
          <w:b w:val="false"/>
          <w:i/>
          <w:color w:val="000000"/>
          <w:sz w:val="20"/>
          <w:shd w:fill="FFFFFF" w:val="clear"/>
        </w:rPr>
        <w:t>Confidentiality</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firstLine="1080"/>
        <w:jc w:val="left"/>
        <w:rPr/>
      </w:pPr>
      <w:r>
        <w:rPr>
          <w:rFonts w:ascii="Times New Roman;serif" w:hAnsi="Times New Roman;serif"/>
          <w:b w:val="false"/>
          <w:color w:val="000000"/>
          <w:sz w:val="20"/>
          <w:shd w:fill="FFFFFF" w:val="clear"/>
        </w:rPr>
        <w:t>(i) Employee shall not directly or indirectly disclose or make available to any person, firm, corporation, association or other entity for any reason or purpose whatsoever, any Confidential Information (as defined below). Within ten (10) business days of the Resignation Date, all Confidential Information in Employee’s possession that is in written or other tangible form (together with all copies or duplicates thereof, including computer files) shall be returned to the Company and shall not be retained by Employee or furnished to any third party, in any form except as provided herein;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i/>
          <w:color w:val="000000"/>
          <w:sz w:val="20"/>
          <w:shd w:fill="FFFFFF" w:val="clear"/>
        </w:rPr>
        <w:t>however,</w:t>
      </w:r>
      <w:r>
        <w:rPr>
          <w:color w:val="000000"/>
          <w:shd w:fill="FFFFFF" w:val="clear"/>
        </w:rPr>
        <w:t> </w:t>
      </w:r>
      <w:r>
        <w:rPr>
          <w:rFonts w:ascii="Times New Roman;serif" w:hAnsi="Times New Roman;serif"/>
          <w:b w:val="false"/>
          <w:color w:val="000000"/>
          <w:sz w:val="20"/>
          <w:shd w:fill="FFFFFF" w:val="clear"/>
        </w:rPr>
        <w:t>that Employee shall not be obligated to treat as confidential, or return to the Company copies of any Confidential Information that (A) was publicly known at the time of disclosure to Employee, or (B) becomes publicly known or available thereafter other than by any means in violation of this Agreement, the Confidential Information Agreement or any other duty owed to the Company by any person or entity. For purposes of this Agreement, the term “Confidential Information” shall mean information, business, financial, commercial, technical data, know-how or trade secrets disclosed to Employee or known by Employee as a consequence of or through his relationship with the Company, relating to products, developments, inventions, processes, techniques, chemical structures, finances, business plans or regulatory strategies of the Company and its affiliates. In addition, for the avoidance of doubt, Employee shall continue to be subject to the Confidential Information Agreement.</w:t>
      </w:r>
      <w:r>
        <w:rPr>
          <w:color w:val="000000"/>
        </w:rPr>
        <w:t xml:space="preserve"> </w:t>
      </w:r>
    </w:p>
    <w:p>
      <w:pPr>
        <w:pStyle w:val="TextBody"/>
        <w:bidi w:val="0"/>
        <w:spacing w:lineRule="auto" w:line="288" w:before="0" w:after="180"/>
        <w:ind w:left="0" w:right="0" w:firstLine="1080"/>
        <w:jc w:val="left"/>
        <w:rPr/>
      </w:pPr>
      <w:r>
        <w:rPr>
          <w:rFonts w:ascii="Times New Roman;serif" w:hAnsi="Times New Roman;serif"/>
          <w:b w:val="false"/>
          <w:color w:val="000000"/>
          <w:sz w:val="20"/>
          <w:shd w:fill="FFFFFF" w:val="clear"/>
        </w:rPr>
        <w:t>(ii)</w:t>
      </w:r>
      <w:r>
        <w:rPr>
          <w:color w:val="000000"/>
        </w:rPr>
        <w:t xml:space="preserve"> </w:t>
      </w:r>
      <w:r>
        <w:rPr>
          <w:rFonts w:ascii="Times New Roman;serif" w:hAnsi="Times New Roman;serif"/>
          <w:b w:val="false"/>
          <w:color w:val="000000"/>
          <w:sz w:val="20"/>
          <w:shd w:fill="FFFFFF" w:val="clear"/>
        </w:rPr>
        <w:t>For the avoidance of doubt, nothing in this Transition Agreement will be construed to prohibit Employee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Employee may not disclose information of the Company or any of its affiliates that is protected by the attorney-client privilege, except as otherwise required by law. Employee does not need the prior authorization of the Company to make any such reports or disclosures, and Employee is not required to notify the Company that he has made such reports or disclosures. Furthermore, in accordance with 18 U.S.C. § 1833, notwithstanding anything to the contrary in this Agreement: (A) Employee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Employee files a lawsuit for retaliation by the Company for reporting a suspected violation of law, Employee may disclose the trade secret to Employee’s attorney, and may use the trade secret information in the court proceeding, if Employee files any document containing the trade secret under seal, and does not disclose the trade secret, except pursuant to court order.</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(b) </w:t>
      </w:r>
      <w:r>
        <w:rPr>
          <w:rFonts w:ascii="Times New Roman;serif" w:hAnsi="Times New Roman;serif"/>
          <w:b w:val="false"/>
          <w:i/>
          <w:color w:val="000000"/>
          <w:sz w:val="20"/>
          <w:shd w:fill="FFFFFF" w:val="clear"/>
        </w:rPr>
        <w:t>Non-Solicitation</w:t>
      </w:r>
      <w:r>
        <w:rPr>
          <w:rFonts w:ascii="Times New Roman;serif" w:hAnsi="Times New Roman;serif"/>
          <w:b w:val="false"/>
          <w:color w:val="000000"/>
          <w:sz w:val="20"/>
          <w:shd w:fill="FFFFFF" w:val="clear"/>
        </w:rPr>
        <w:t>. In addition to Employee’s obligations under the Confidential Information Agreement, Employee shall not for a period of one (1) year following Employee’s termination of employment for any reason, either on Employee’s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i/>
          <w:color w:val="000000"/>
          <w:sz w:val="20"/>
          <w:shd w:fill="FFFFFF" w:val="clear"/>
        </w:rPr>
        <w:t>however,</w:t>
      </w:r>
      <w:r>
        <w:rPr>
          <w:color w:val="000000"/>
          <w:shd w:fill="FFFFFF" w:val="clear"/>
        </w:rPr>
        <w:t> </w:t>
      </w:r>
      <w:r>
        <w:rPr>
          <w:rFonts w:ascii="Times New Roman;serif" w:hAnsi="Times New Roman;serif"/>
          <w:b w:val="false"/>
          <w:color w:val="000000"/>
          <w:sz w:val="20"/>
          <w:shd w:fill="FFFFFF" w:val="clear"/>
        </w:rPr>
        <w:t xml:space="preserve">that a general advertisement to which an employee of the Company responds shall in no event be deemed to result in a breach of this Section 9(b). Employee also agrees not to harass or disparage the Company or its employees, clients, directors or agents. If it is determined by a court of competent jurisdiction in any state that any restriction in this Section 9(b) is excessive in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lineRule="auto" w:line="288" w:before="0" w:after="180"/>
        <w:ind w:left="0" w:right="0" w:firstLine="720"/>
        <w:jc w:val="left"/>
        <w:rPr/>
      </w:pPr>
      <w:r>
        <w:rPr>
          <w:rFonts w:ascii="Times New Roman;serif" w:hAnsi="Times New Roman;serif"/>
          <w:b w:val="false"/>
          <w:color w:val="000000"/>
          <w:sz w:val="20"/>
        </w:rPr>
        <w:t>10.</w:t>
      </w:r>
      <w:r>
        <w:rPr>
          <w:rFonts w:ascii="Times New Roman;serif" w:hAnsi="Times New Roman;serif"/>
          <w:b w:val="false"/>
          <w:color w:val="000000"/>
          <w:sz w:val="20"/>
          <w:u w:val="single"/>
          <w:shd w:fill="FFFFFF" w:val="clear"/>
        </w:rPr>
        <w:t>Employee Representations</w:t>
      </w:r>
      <w:r>
        <w:rPr>
          <w:rFonts w:ascii="Times New Roman;serif" w:hAnsi="Times New Roman;serif"/>
          <w:b w:val="false"/>
          <w:color w:val="000000"/>
          <w:sz w:val="20"/>
          <w:shd w:fill="FFFFFF" w:val="clear"/>
        </w:rPr>
        <w:t>. Employee warrants and represents that (a) he has not filed or authorized the filing of any complaints, charges or lawsuits against the Company or any affiliate of the Company with any governmental agency or court, and that if, unbeknownst to Employee, such a complaint, charge or lawsuit has been filed on his behalf, he will use reasonable best efforts to immediately cause it to be withdrawn and dismissed, and (b) he has no known workplace injuries or occupational diseases and has been provided and/or has not been denied any leave requested under the Family and Medical Leave Act or any similar state law, and (c) he has received the Company’s Insider Trading Compliance Policy and agrees to continue to abide by all applicable terms therein, including specifically, Section IV (C) which states, “With the exception of the preclearance requirement, the insider trading laws continue to apply to all transactions in the Company’s securities even after termination of service of service to the Company. If an individual is in the possession of material non-public information when his or her service terminates, that individual may not trade in the Company’s securities until that information has become public or is no longer material.”</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11.</w:t>
      </w:r>
      <w:r>
        <w:rPr>
          <w:rFonts w:ascii="Times New Roman;serif" w:hAnsi="Times New Roman;serif"/>
          <w:b w:val="false"/>
          <w:color w:val="000000"/>
          <w:sz w:val="20"/>
          <w:u w:val="single"/>
          <w:shd w:fill="FFFFFF" w:val="clear"/>
        </w:rPr>
        <w:t>No Assignment by Employee</w:t>
      </w:r>
      <w:r>
        <w:rPr>
          <w:rFonts w:ascii="Times New Roman;serif" w:hAnsi="Times New Roman;serif"/>
          <w:b w:val="false"/>
          <w:color w:val="000000"/>
          <w:sz w:val="20"/>
          <w:shd w:fill="FFFFFF" w:val="clear"/>
        </w:rPr>
        <w:t>. Employee warrants and represents that no portion of any of the matters released herein, and no portion of any recovery or settlement to which Employee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Employee, Employee agrees to indemnify and hold harmless the Company and all other Releasees against such claim, action, suit or demand, including necessary expenses of investigation, attorneys’ fees and costs. In the event of Employee’s death, this Transition Agreement shall inure to the benefit of Employee and Employee’s executors, administrators, heirs, distributees, devisees, and legatees. None of Employee’s rights or obligations may be assigned or transferred by Employee, other than Employee’s rights to payments hereunder, which may be transferred only upon Employee’s death by will or operation of law.</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12.</w:t>
      </w:r>
      <w:r>
        <w:rPr>
          <w:rFonts w:ascii="Times New Roman;serif" w:hAnsi="Times New Roman;serif"/>
          <w:b w:val="false"/>
          <w:color w:val="000000"/>
          <w:sz w:val="20"/>
          <w:u w:val="single"/>
          <w:shd w:fill="FFFFFF" w:val="clear"/>
        </w:rPr>
        <w:t>Governing Law</w:t>
      </w:r>
      <w:r>
        <w:rPr>
          <w:rFonts w:ascii="Times New Roman;serif" w:hAnsi="Times New Roman;serif"/>
          <w:b w:val="false"/>
          <w:color w:val="000000"/>
          <w:sz w:val="20"/>
          <w:shd w:fill="FFFFFF" w:val="clear"/>
        </w:rPr>
        <w:t>. This Transition Agreement shall be construed and enforced in accordance with, and the rights of the parties shall be governed by, the laws of the Commonwealth of Massachusetts or, where applicable, United States federal law, in each case, without regard to any conflicts of laws provisions or those of any state other than Massachusetts.</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13.</w:t>
      </w:r>
      <w:r>
        <w:rPr>
          <w:rFonts w:ascii="Times New Roman;serif" w:hAnsi="Times New Roman;serif"/>
          <w:b w:val="false"/>
          <w:color w:val="000000"/>
          <w:sz w:val="20"/>
          <w:u w:val="single"/>
          <w:shd w:fill="FFFFFF" w:val="clear"/>
        </w:rPr>
        <w:t>Miscellaneous</w:t>
      </w:r>
      <w:r>
        <w:rPr>
          <w:rFonts w:ascii="Times New Roman;serif" w:hAnsi="Times New Roman;serif"/>
          <w:b w:val="false"/>
          <w:color w:val="000000"/>
          <w:sz w:val="20"/>
          <w:shd w:fill="FFFFFF" w:val="clear"/>
        </w:rPr>
        <w:t>. This Transition Agreement may be modified only in writing, and such writing must be signed by both parties and recited that it is intended to modify this Transition Agreement. This Transition Agreement may be executed in separate counterparts, each of which is deemed to be an original and all of which taken together constitute one and the same agreement.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14.</w:t>
      </w:r>
      <w:r>
        <w:rPr>
          <w:rFonts w:ascii="Times New Roman;serif" w:hAnsi="Times New Roman;serif"/>
          <w:b w:val="false"/>
          <w:color w:val="000000"/>
          <w:sz w:val="20"/>
          <w:u w:val="single"/>
          <w:shd w:fill="FFFFFF" w:val="clear"/>
        </w:rPr>
        <w:t>Company Assignment and Successors</w:t>
      </w:r>
      <w:r>
        <w:rPr>
          <w:rFonts w:ascii="Times New Roman;serif" w:hAnsi="Times New Roman;serif"/>
          <w:b w:val="false"/>
          <w:color w:val="000000"/>
          <w:sz w:val="20"/>
          <w:shd w:fill="FFFFFF" w:val="clear"/>
        </w:rPr>
        <w:t>. The Company shall assign its rights and obligations under this Transition Agreement to any successor to all or substantially all of the business or the assets of the Company (by merger or otherwise). This Transition Agreement shall be binding upon and inure to the benefit of the Company and its successors, assigns, personnel and legal representatives.</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15.</w:t>
      </w:r>
      <w:r>
        <w:rPr>
          <w:rFonts w:ascii="Times New Roman;serif" w:hAnsi="Times New Roman;serif"/>
          <w:b w:val="false"/>
          <w:color w:val="000000"/>
          <w:sz w:val="20"/>
          <w:u w:val="single"/>
          <w:shd w:fill="FFFFFF" w:val="clear"/>
        </w:rPr>
        <w:t>Maintaining Confidential Information</w:t>
      </w:r>
      <w:r>
        <w:rPr>
          <w:rFonts w:ascii="Times New Roman;serif" w:hAnsi="Times New Roman;serif"/>
          <w:b w:val="false"/>
          <w:color w:val="000000"/>
          <w:sz w:val="20"/>
          <w:shd w:fill="FFFFFF" w:val="clear"/>
        </w:rPr>
        <w:t>. Employee reaffirms his obligations under the Confidential Information Agreement, which shall be in addition to, and not in lieu of, Employee’s obligations under Section 9 hereof. Employee acknowledges and agrees that the payments and benefits provided in Section 3 above shall be subject to Employee’s continued compliance with Employee’s obligations under the Confidential Information Agreement.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16.</w:t>
      </w:r>
      <w:r>
        <w:rPr>
          <w:rFonts w:ascii="Times New Roman;serif" w:hAnsi="Times New Roman;serif"/>
          <w:b w:val="false"/>
          <w:color w:val="000000"/>
          <w:sz w:val="20"/>
          <w:u w:val="single"/>
          <w:shd w:fill="FFFFFF" w:val="clear"/>
        </w:rPr>
        <w:t>Employee’s Cooperation</w:t>
      </w:r>
      <w:r>
        <w:rPr>
          <w:rFonts w:ascii="Times New Roman;serif" w:hAnsi="Times New Roman;serif"/>
          <w:b w:val="false"/>
          <w:color w:val="000000"/>
          <w:sz w:val="20"/>
          <w:shd w:fill="FFFFFF" w:val="clear"/>
        </w:rPr>
        <w:t xml:space="preserve">. Employee shall use reasonable efforts to cooperate with the Company and its affiliates, upon the Company’s reasonable request, with respect to any internal investigation or administrative, regulatory or judicial proceeding involving matters within the scope of Employee’s duties and responsibilities to the Company or its affiliates during his employment with the Company (including, without limitation, Employee being available to the Company upon reasonable notice for interviews and factual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49" name="Frame1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investigations, appearing at the Company’s reasonable request to give testimony without requiring service of a subpoena or other legal process, and turning over to the Company all relevant Company documents which are or may have come into Employee’s possession during his employment);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any such request by the Company shall not be unduly burdensome or interfere with Employee’s personal schedule or ability to engage in gainful employment, consulting or other work, and the Company shall pay, upon invoicing by Employee, all reasonably incurred fees for his time in so cooperating (which shall not exceed one thousand dollars ($1,000) per eight hour day), and reimburse Employee for his actual, reasonable, out-of-pocket expenses (including without limitation, any and all reasonable attorney’s fees and costs) incurred in connection with providing any such cooperation.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7665"/>
                <wp:effectExtent l="0" t="0" r="0" b="0"/>
                <wp:wrapNone/>
                <wp:docPr id="150" name="Frame1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the undersigned have caused this Transition and Separation Agreement to be duly executed and delivered as of the date indicated next to their respective signatures below.</w:t>
      </w:r>
    </w:p>
    <w:p>
      <w:pPr>
        <w:pStyle w:val="TextBody"/>
        <w:bidi w:val="0"/>
        <w:spacing w:lineRule="auto" w:line="288" w:before="0" w:after="0"/>
        <w:jc w:val="left"/>
        <w:rPr>
          <w:color w:val="000000"/>
          <w:shd w:fill="FFFFFF" w:val="clear"/>
        </w:rPr>
      </w:pPr>
      <w:r>
        <w:rPr>
          <w:color w:val="000000"/>
          <w:shd w:fill="FFFFFF" w:val="clear"/>
        </w:rPr>
        <w:t> </w:t>
      </w:r>
    </w:p>
    <w:tbl>
      <w:tblPr>
        <w:tblW w:w="4753" w:type="dxa"/>
        <w:jc w:val="left"/>
        <w:tblInd w:w="0" w:type="dxa"/>
        <w:tblLayout w:type="fixed"/>
        <w:tblCellMar>
          <w:top w:w="28" w:type="dxa"/>
          <w:left w:w="28" w:type="dxa"/>
          <w:bottom w:w="28" w:type="dxa"/>
          <w:right w:w="28" w:type="dxa"/>
        </w:tblCellMar>
      </w:tblPr>
      <w:tblGrid>
        <w:gridCol w:w="662"/>
        <w:gridCol w:w="582"/>
        <w:gridCol w:w="585"/>
        <w:gridCol w:w="134"/>
        <w:gridCol w:w="134"/>
        <w:gridCol w:w="136"/>
        <w:gridCol w:w="737"/>
        <w:gridCol w:w="737"/>
        <w:gridCol w:w="104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11/05/2025</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Rosenbaum</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 Rosenbaum, Ph.D.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11/04/2025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Raab</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Mike Raab, President &amp; CEO</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51" name="Frame1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GENERAL RELEASE OF CLAIMS</w:t>
      </w:r>
    </w:p>
    <w:p>
      <w:pPr>
        <w:pStyle w:val="TextBody"/>
        <w:bidi w:val="0"/>
        <w:spacing w:lineRule="auto" w:line="288" w:before="0" w:after="180"/>
        <w:ind w:left="0" w:right="0" w:firstLine="720"/>
        <w:jc w:val="left"/>
        <w:rPr/>
      </w:pPr>
      <w:r>
        <w:rPr>
          <w:rFonts w:ascii="Times New Roman;serif" w:hAnsi="Times New Roman;serif"/>
          <w:b w:val="false"/>
          <w:color w:val="000000"/>
          <w:sz w:val="20"/>
        </w:rPr>
        <w:t>This General Release of Claims (“</w:t>
      </w:r>
      <w:r>
        <w:rPr>
          <w:rFonts w:ascii="Times New Roman;serif" w:hAnsi="Times New Roman;serif"/>
          <w:b w:val="false"/>
          <w:color w:val="000000"/>
          <w:sz w:val="20"/>
          <w:u w:val="single"/>
        </w:rPr>
        <w:t>Release</w:t>
      </w:r>
      <w:r>
        <w:rPr>
          <w:color w:val="000000"/>
        </w:rPr>
        <w:t>”</w:t>
      </w:r>
      <w:r>
        <w:rPr>
          <w:rFonts w:ascii="Times New Roman;serif" w:hAnsi="Times New Roman;serif"/>
          <w:b w:val="false"/>
          <w:color w:val="000000"/>
          <w:sz w:val="20"/>
        </w:rPr>
        <w:t>) is entered into as of , between David P. Rosenbaum, Ph.D. (“</w:t>
      </w:r>
      <w:r>
        <w:rPr>
          <w:rFonts w:ascii="Times New Roman;serif" w:hAnsi="Times New Roman;serif"/>
          <w:b w:val="false"/>
          <w:color w:val="000000"/>
          <w:sz w:val="20"/>
          <w:u w:val="single"/>
        </w:rPr>
        <w:t>Employee</w:t>
      </w:r>
      <w:r>
        <w:rPr>
          <w:color w:val="000000"/>
        </w:rPr>
        <w:t>”</w:t>
      </w:r>
      <w:r>
        <w:rPr>
          <w:rFonts w:ascii="Times New Roman;serif" w:hAnsi="Times New Roman;serif"/>
          <w:b w:val="false"/>
          <w:color w:val="000000"/>
          <w:sz w:val="20"/>
        </w:rPr>
        <w:t>) and Ardelyx,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(collectively referred to herein as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 effective the eighth (8</w:t>
      </w:r>
      <w:r>
        <w:rPr>
          <w:rFonts w:ascii="Times New Roman;serif" w:hAnsi="Times New Roman;serif"/>
          <w:b w:val="false"/>
          <w:color w:val="000000"/>
          <w:sz w:val="13"/>
        </w:rPr>
        <w:t>th</w:t>
      </w:r>
      <w:r>
        <w:rPr>
          <w:rFonts w:ascii="Times New Roman;serif" w:hAnsi="Times New Roman;serif"/>
          <w:b w:val="false"/>
          <w:color w:val="000000"/>
          <w:sz w:val="20"/>
        </w:rPr>
        <w:t>) day after Employee’s signature hereto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xml:space="preserve">), unless Employee revokes his acceptance of this Release as provided in Paragraph 1(c) below. </w:t>
      </w:r>
    </w:p>
    <w:p>
      <w:pPr>
        <w:pStyle w:val="TextBody"/>
        <w:bidi w:val="0"/>
        <w:spacing w:lineRule="auto" w:line="288" w:before="0" w:after="180"/>
        <w:jc w:val="left"/>
        <w:rPr/>
      </w:pPr>
      <w:r>
        <w:rPr>
          <w:rFonts w:ascii="Times New Roman;serif" w:hAnsi="Times New Roman;serif"/>
          <w:b w:val="false"/>
          <w:color w:val="000000"/>
          <w:sz w:val="22"/>
        </w:rPr>
        <w:t>1.</w:t>
      </w:r>
      <w:r>
        <w:rPr>
          <w:rFonts w:ascii="Times New Roman;serif" w:hAnsi="Times New Roman;serif"/>
          <w:b w:val="false"/>
          <w:color w:val="000000"/>
          <w:sz w:val="20"/>
          <w:u w:val="single"/>
          <w:shd w:fill="FFFFFF" w:val="clear"/>
        </w:rPr>
        <w:t>Employee’s Release of the Company</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(a) Employee,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Times New Roman;serif" w:hAnsi="Times New Roman;serif"/>
          <w:b w:val="false"/>
          <w:color w:val="000000"/>
          <w:sz w:val="20"/>
          <w:u w:val="single"/>
          <w:shd w:fill="FFFFFF" w:val="clear"/>
        </w:rPr>
        <w:t>Releasees</w:t>
      </w:r>
      <w:r>
        <w:rPr>
          <w:color w:val="000000"/>
          <w:shd w:fill="FFFFFF" w:val="clear"/>
        </w:rPr>
        <w:t>”</w:t>
      </w:r>
      <w:r>
        <w:rPr>
          <w:rFonts w:ascii="Times New Roman;serif" w:hAnsi="Times New Roman;serif"/>
          <w:b w:val="false"/>
          <w:color w:val="000000"/>
          <w:sz w:val="20"/>
          <w:shd w:fill="FFFFFF" w:val="clear"/>
        </w:rPr>
        <w:t>)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Release, including, without limitation:</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any and all claims relating to or arising from Employee’s employment relationship with Company and the termination of that relationship;</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0" w:after="180"/>
        <w:ind w:left="0" w:right="0" w:firstLine="1080"/>
        <w:jc w:val="left"/>
        <w:rPr/>
      </w:pPr>
      <w:r>
        <w:rPr>
          <w:rFonts w:ascii="Times New Roman;serif" w:hAnsi="Times New Roman;serif"/>
          <w:b w:val="false"/>
          <w:color w:val="000000"/>
          <w:sz w:val="20"/>
          <w:shd w:fill="FFFFFF" w:val="clear"/>
        </w:rPr>
        <w:t>(iii)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w:t>
      </w:r>
      <w:r>
        <w:rPr>
          <w:rFonts w:ascii="Times New Roman;serif" w:hAnsi="Times New Roman;serif"/>
          <w:b w:val="false"/>
          <w:color w:val="000000"/>
          <w:sz w:val="20"/>
          <w:u w:val="single"/>
          <w:shd w:fill="FFFFFF" w:val="clear"/>
        </w:rPr>
        <w:t>ADEA</w:t>
      </w:r>
      <w:r>
        <w:rPr>
          <w:color w:val="000000"/>
          <w:shd w:fill="FFFFFF" w:val="clear"/>
        </w:rPr>
        <w:t>”</w:t>
      </w:r>
      <w:r>
        <w:rPr>
          <w:rFonts w:ascii="Times New Roman;serif" w:hAnsi="Times New Roman;serif"/>
          <w:b w:val="false"/>
          <w:color w:val="000000"/>
          <w:sz w:val="20"/>
          <w:shd w:fill="FFFFFF" w:val="clear"/>
        </w:rPr>
        <w:t>); the Older Workers Benefit Protection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Massachusetts Fair Employment Practices Law, Mass. Gen. Laws ch. 151B, §1 et seq.; Massachusetts Sexual Harassment Law, Mass. Gen. Laws ch. 214, §1C; Massachusetts Equal Pay Law, Mass. Gen. Laws ch. 149, §105A-C; Massachusetts Family and Medical Leave Law, Mass. Gen. Laws ch. 149, §52D; and Massachusetts WARN Laws, Mass. Gen. Laws ch. 149, §182 and Mass. Gen. Laws ch. 151A, §71A-G;</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any and all claims for violation of the federal or any state constitution;</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any and all claims arising out of any other laws and regulations relating to employment or employment discrimination;</w:t>
      </w:r>
    </w:p>
    <w:p>
      <w:pPr>
        <w:pStyle w:val="TextBody"/>
        <w:bidi w:val="0"/>
        <w:spacing w:lineRule="auto" w:line="288" w:before="0" w:after="180"/>
        <w:ind w:left="0" w:right="0" w:firstLine="1080"/>
        <w:jc w:val="left"/>
        <w:rPr/>
      </w:pPr>
      <w:r>
        <w:rPr>
          <w:rFonts w:ascii="Times New Roman;serif" w:hAnsi="Times New Roman;serif"/>
          <w:b w:val="false"/>
          <w:color w:val="000000"/>
          <w:sz w:val="20"/>
          <w:shd w:fill="FFFFFF" w:val="clear"/>
        </w:rPr>
        <w:t>(vi) any claim for any loss, cost, damage or expense arising out of any dispute over the non-withholding or other tax treatment of any of the proceeds received by Employee as a result of the Transition and Separation Agreement entered into between the Parties as of [________], 2025 (the “</w:t>
      </w:r>
      <w:r>
        <w:rPr>
          <w:rFonts w:ascii="Times New Roman;serif" w:hAnsi="Times New Roman;serif"/>
          <w:b w:val="false"/>
          <w:color w:val="000000"/>
          <w:sz w:val="20"/>
          <w:u w:val="single"/>
          <w:shd w:fill="FFFFFF" w:val="clear"/>
        </w:rPr>
        <w:t>Transition and Separation Agreement</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 any claim for breach of contract or breach of the implied covenant of good faith and fair dealing; and </w:t>
      </w:r>
    </w:p>
    <w:p>
      <w:pPr>
        <w:pStyle w:val="TextBody"/>
        <w:bidi w:val="0"/>
        <w:spacing w:lineRule="auto" w:line="288" w:before="0" w:after="180"/>
        <w:ind w:left="0" w:right="0" w:firstLine="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(viii) any and all claims for attorneys’ fees and costs.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52" name="Frame1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Employee agrees that the release set forth in this Section shall be and remain in effect in all respects as a complete general release as to the matters released. This release does not extend to any obligations incurred under the Transition and Separation Agreement and the agreements evidencing Employee’s equity awards (as deemed amended by the Transition and Separation Agreement). This release does not release claims or rights that cannot be released as a matter of law, including, but not limited to, Employee’s right to bring to the attention of the Equal Employment Opportunity Commission or California Department of Fair Employment and Housing claims of discrimination, harassment or retaliation; provided, however, that Employee does release his right to obtain damages for any such claims. This release does not release claims or rights that Employee may have as a shareholder of the Company or for vested benefits under any benefit plan or to continued participation in any such plan pursuant to the terms thereof or applicable law.</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(c) </w:t>
      </w:r>
      <w:r>
        <w:rPr>
          <w:rFonts w:ascii="Times New Roman;serif" w:hAnsi="Times New Roman;serif"/>
          <w:b w:val="false"/>
          <w:color w:val="000000"/>
          <w:sz w:val="20"/>
          <w:u w:val="single"/>
          <w:shd w:fill="FFFFFF" w:val="clear"/>
        </w:rPr>
        <w:t>Acknowledgment of Waiver of Claims under ADEA</w:t>
      </w:r>
      <w:r>
        <w:rPr>
          <w:rFonts w:ascii="Times New Roman;serif" w:hAnsi="Times New Roman;serif"/>
          <w:b w:val="false"/>
          <w:color w:val="000000"/>
          <w:sz w:val="20"/>
          <w:shd w:fill="FFFFFF" w:val="clear"/>
        </w:rPr>
        <w:t>. Employee acknowledges that he is waiving and releasing any rights he may have under the ADEA, and that the waiver and release set forth in this Release is knowing and voluntary. Employee acknowledges that the waiver and release set forth in this Release does not apply to any rights or claims that may arise under the ADEA after the Effective Date of this Release. Employee acknowledges that the consideration given for this waiver and release is in addition to anything of value to which Employee was already entitled. Employee further acknowledges that he has been advised by this writing that: (i) he should consult with an attorney prior to executing this Release; (ii) he has twenty-one (21) days within which to consider this Release; (iii) he has seven (7) days following his execution of this Release to revoke this Release; (iv) this Release shall not be effective until after the revocation period has expired and Employee will not receive the Payments and other benefits provided by Section 3, nor the benefits described in Section 6 relating to the continued and/or accelerated vesting of stock options and restricted stock unit awards during the Vesting Period (as defined in the Transition and Separation Agreement) unless and until the revocation period has expired; and (v) nothing in this Release prevents or precludes Employee from challenging or seeking a determination in good faith of the validity of the waiver and release set forth in this Release under the ADEA, nor does it impose any condition precedent, penalties, or costs for doing so, unless specifically authorized by federal law. In the event Employee signs this Release and returns it to the Company’s General Counsel in less than the 21-day period identified above, Employee hereby acknowledges that he has freely and voluntarily chosen to waive the time period allotted for considering this Release. To revoke his acceptance of this Release, Employee must contact the Company’s General Counsel by email at egrammer@ardelyx.com no later than 5 p.m. ET on the 7</w:t>
      </w:r>
      <w:r>
        <w:rPr>
          <w:rFonts w:ascii="Times New Roman;serif" w:hAnsi="Times New Roman;serif"/>
          <w:b w:val="false"/>
          <w:color w:val="000000"/>
          <w:sz w:val="13"/>
          <w:shd w:fill="FFFFFF" w:val="clear"/>
        </w:rPr>
        <w:t>th</w:t>
      </w:r>
      <w:r>
        <w:rPr>
          <w:color w:val="000000"/>
          <w:shd w:fill="FFFFFF" w:val="clear"/>
        </w:rPr>
        <w:t> </w:t>
      </w:r>
      <w:r>
        <w:rPr>
          <w:rFonts w:ascii="Times New Roman;serif" w:hAnsi="Times New Roman;serif"/>
          <w:b w:val="false"/>
          <w:color w:val="000000"/>
          <w:sz w:val="20"/>
          <w:shd w:fill="FFFFFF" w:val="clear"/>
        </w:rPr>
        <w:t>day following Employee’s signature of this Release.</w:t>
      </w:r>
    </w:p>
    <w:p>
      <w:pPr>
        <w:pStyle w:val="TextBody"/>
        <w:bidi w:val="0"/>
        <w:spacing w:lineRule="auto" w:line="288" w:before="0" w:after="18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u w:val="single"/>
          <w:shd w:fill="FFFFFF" w:val="clear"/>
        </w:rPr>
        <w:t>Employee Representations</w:t>
      </w:r>
      <w:r>
        <w:rPr>
          <w:rFonts w:ascii="Times New Roman;serif" w:hAnsi="Times New Roman;serif"/>
          <w:b w:val="false"/>
          <w:color w:val="000000"/>
          <w:sz w:val="20"/>
          <w:shd w:fill="FFFFFF" w:val="clear"/>
        </w:rPr>
        <w:t>. Employee represents and warrants that:</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To Employee’s knowledge, Employee has returned to the Company all Company property in Employee’s possession and if he discovers additional Company property in his possession he will promptly return it to the Company;</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Except as Employee has informed the Company in writing, Employee is not owed wages, commissions, bonuses or other compensation, other than any payments and benefits that become due under Section 3 and 6 of the Transition and Separation Agreement;</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During the course of Employee’s employment Employee did not sustain any injuries for which Employee might be entitled to compensation pursuant to worker’s compensation law or Employee has disclosed any injuries of which he is currently, reasonably aware for which he might be entitled to compensation pursuant to worker’s compensation law;</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From the date Employee executed the Transition and Separation Agreement through the date Employee executes this Release, Employee has not made any disparaging comments about the Company, nor will Employee do so in the future; </w: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Employee has not initiated any adversarial proceedings of any kind against the Company or against any other person or entity released herein, nor will Employee do so in the future with respect to any claims released hereby, except as specifically allowed by this Release; and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53" name="Frame1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 Employee has brought to the attention of the Chief Compliance Officer all matters of which he gained personal knowledge in the course of his employment by the Company and that he would have reasonable grounds to believe are a violation of the Company’s compliance policies.</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u w:val="single"/>
          <w:shd w:fill="FFFFFF" w:val="clear"/>
        </w:rPr>
        <w:t>Continuing Obligations</w:t>
      </w:r>
      <w:r>
        <w:rPr>
          <w:rFonts w:ascii="Times New Roman;serif" w:hAnsi="Times New Roman;serif"/>
          <w:b w:val="false"/>
          <w:color w:val="000000"/>
          <w:sz w:val="20"/>
          <w:shd w:fill="FFFFFF" w:val="clear"/>
        </w:rPr>
        <w:t>. Employee reaffirms his obligations under the Transition and Separation Agreement and under the Confidential Information Agreement (as defined in the Transition and Separation Agreement).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4.</w:t>
      </w:r>
      <w:r>
        <w:rPr>
          <w:rFonts w:ascii="Times New Roman;serif" w:hAnsi="Times New Roman;serif"/>
          <w:b w:val="false"/>
          <w:color w:val="000000"/>
          <w:sz w:val="20"/>
          <w:u w:val="single"/>
          <w:shd w:fill="FFFFFF" w:val="clear"/>
        </w:rPr>
        <w:t>Cooperation with the Company</w:t>
      </w:r>
      <w:r>
        <w:rPr>
          <w:rFonts w:ascii="Times New Roman;serif" w:hAnsi="Times New Roman;serif"/>
          <w:b w:val="false"/>
          <w:color w:val="000000"/>
          <w:sz w:val="20"/>
          <w:shd w:fill="FFFFFF" w:val="clear"/>
        </w:rPr>
        <w:t>. Employee reaffirms his obligations to cooperate with the Company pursuant to Section 16 of the Transition and Separation Agreement.</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5.</w:t>
      </w:r>
      <w:r>
        <w:rPr>
          <w:rFonts w:ascii="Times New Roman;serif" w:hAnsi="Times New Roman;serif"/>
          <w:b w:val="false"/>
          <w:color w:val="000000"/>
          <w:sz w:val="20"/>
          <w:u w:val="single"/>
          <w:shd w:fill="FFFFFF" w:val="clear"/>
        </w:rPr>
        <w:t>Severability</w:t>
      </w:r>
      <w:r>
        <w:rPr>
          <w:rFonts w:ascii="Times New Roman;serif" w:hAnsi="Times New Roman;serif"/>
          <w:b w:val="false"/>
          <w:color w:val="000000"/>
          <w:sz w:val="20"/>
          <w:shd w:fill="FFFFFF" w:val="clear"/>
        </w:rPr>
        <w:t>. The provisions of this Release are severable. If any provision is held to be invalid or unenforceable, it shall not affect the validity or enforceability of any other provision.</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6.</w:t>
      </w:r>
      <w:r>
        <w:rPr>
          <w:rFonts w:ascii="Times New Roman;serif" w:hAnsi="Times New Roman;serif"/>
          <w:b w:val="false"/>
          <w:color w:val="000000"/>
          <w:sz w:val="20"/>
          <w:u w:val="single"/>
          <w:shd w:fill="FFFFFF" w:val="clear"/>
        </w:rPr>
        <w:t>Choice of Law</w:t>
      </w:r>
      <w:r>
        <w:rPr>
          <w:rFonts w:ascii="Times New Roman;serif" w:hAnsi="Times New Roman;serif"/>
          <w:b w:val="false"/>
          <w:color w:val="000000"/>
          <w:sz w:val="20"/>
          <w:shd w:fill="FFFFFF" w:val="clear"/>
        </w:rPr>
        <w:t>. This Release shall in all respects be governed and construed in accordance with the laws of the Commonwealth of Massachusetts, including all matters of construction, validity and performance, without regard to conflicts of law principles.</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7.</w:t>
      </w:r>
      <w:r>
        <w:rPr>
          <w:rFonts w:ascii="Times New Roman;serif" w:hAnsi="Times New Roman;serif"/>
          <w:b w:val="false"/>
          <w:color w:val="000000"/>
          <w:sz w:val="20"/>
          <w:u w:val="single"/>
          <w:shd w:fill="FFFFFF" w:val="clear"/>
        </w:rPr>
        <w:t>Integration Clause</w:t>
      </w:r>
      <w:r>
        <w:rPr>
          <w:rFonts w:ascii="Times New Roman;serif" w:hAnsi="Times New Roman;serif"/>
          <w:b w:val="false"/>
          <w:color w:val="000000"/>
          <w:sz w:val="20"/>
          <w:shd w:fill="FFFFFF" w:val="clear"/>
        </w:rPr>
        <w:t>. This Release and the Transition and Separation Agreement, the Confidential Information Agreement, the agreements evidencing Employee’s equity awards (as deemed amended by the Transition and Separation Agreement) contain the Parties’ entire agreement with regard to the transition and separation of Employee’s employment, and supersede and replace any prior agreements as to those matters, whether oral or written, including without limitation, the Prior Agreement (as defined in the Transition and Separation Agreement). This Release may not be changed or modified, in whole or in part, except by an instrument in writing signed by Employee and the President &amp; Chief Employee Officer of the Company.</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8.</w:t>
      </w:r>
      <w:r>
        <w:rPr>
          <w:rFonts w:ascii="Times New Roman;serif" w:hAnsi="Times New Roman;serif"/>
          <w:b w:val="false"/>
          <w:color w:val="000000"/>
          <w:sz w:val="20"/>
          <w:u w:val="single"/>
          <w:shd w:fill="FFFFFF" w:val="clear"/>
        </w:rPr>
        <w:t>Execution in Counterparts</w:t>
      </w:r>
      <w:r>
        <w:rPr>
          <w:rFonts w:ascii="Times New Roman;serif" w:hAnsi="Times New Roman;serif"/>
          <w:b w:val="false"/>
          <w:color w:val="000000"/>
          <w:sz w:val="20"/>
          <w:shd w:fill="FFFFFF" w:val="clear"/>
        </w:rPr>
        <w:t>. This Release may be executed in counterparts with the same force and effectiveness as though executed in a single document. Facsimile signatures shall have the same force and effectiveness as original signatures.</w:t>
      </w:r>
    </w:p>
    <w:p>
      <w:pPr>
        <w:pStyle w:val="TextBody"/>
        <w:bidi w:val="0"/>
        <w:spacing w:lineRule="auto" w:line="288" w:before="0" w:after="180"/>
        <w:ind w:left="0" w:right="0" w:firstLine="720"/>
        <w:jc w:val="left"/>
        <w:rPr/>
      </w:pPr>
      <w:r>
        <w:rPr>
          <w:rFonts w:ascii="Times New Roman;serif" w:hAnsi="Times New Roman;serif"/>
          <w:b w:val="false"/>
          <w:color w:val="000000"/>
          <w:sz w:val="20"/>
          <w:shd w:fill="FFFFFF" w:val="clear"/>
        </w:rPr>
        <w:t>9.</w:t>
      </w:r>
      <w:r>
        <w:rPr>
          <w:rFonts w:ascii="Times New Roman;serif" w:hAnsi="Times New Roman;serif"/>
          <w:b w:val="false"/>
          <w:color w:val="000000"/>
          <w:sz w:val="20"/>
          <w:u w:val="single"/>
          <w:shd w:fill="FFFFFF" w:val="clear"/>
        </w:rPr>
        <w:t>Intent to be Bound</w:t>
      </w:r>
      <w:r>
        <w:rPr>
          <w:rFonts w:ascii="Times New Roman;serif" w:hAnsi="Times New Roman;serif"/>
          <w:b w:val="false"/>
          <w:color w:val="000000"/>
          <w:sz w:val="20"/>
          <w:shd w:fill="FFFFFF" w:val="clear"/>
        </w:rPr>
        <w:t>. The Parties have carefully read this Release in its entirety; fully understand and agree to its terms and provisions; and intend and agree that it is final and binding on all Parties.</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and intending to be legally bound, the Parties have executed the foregoing on the dates shown below.</w:t>
      </w:r>
    </w:p>
    <w:p>
      <w:pPr>
        <w:pStyle w:val="TextBody"/>
        <w:bidi w:val="0"/>
        <w:spacing w:lineRule="auto" w:line="288" w:before="0" w:after="0"/>
        <w:jc w:val="left"/>
        <w:rPr>
          <w:color w:val="000000"/>
          <w:shd w:fill="FFFFFF" w:val="clear"/>
        </w:rPr>
      </w:pPr>
      <w:r>
        <w:rPr>
          <w:color w:val="000000"/>
          <w:shd w:fill="FFFFFF" w:val="clear"/>
        </w:rPr>
        <w:t> </w:t>
      </w:r>
    </w:p>
    <w:tbl>
      <w:tblPr>
        <w:tblW w:w="9086" w:type="dxa"/>
        <w:jc w:val="center"/>
        <w:tblInd w:w="0" w:type="dxa"/>
        <w:tblLayout w:type="fixed"/>
        <w:tblCellMar>
          <w:top w:w="28" w:type="dxa"/>
          <w:left w:w="28" w:type="dxa"/>
          <w:bottom w:w="28" w:type="dxa"/>
          <w:right w:w="28" w:type="dxa"/>
        </w:tblCellMar>
      </w:tblPr>
      <w:tblGrid>
        <w:gridCol w:w="1579"/>
        <w:gridCol w:w="1388"/>
        <w:gridCol w:w="1397"/>
        <w:gridCol w:w="109"/>
        <w:gridCol w:w="109"/>
        <w:gridCol w:w="109"/>
        <w:gridCol w:w="1285"/>
        <w:gridCol w:w="1285"/>
        <w:gridCol w:w="182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SIGNED AFTER THE RESIGNATION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SIGNED AFTER THE RESIGNATION DATE</w:t>
            </w:r>
          </w:p>
        </w:tc>
      </w:tr>
      <w:tr>
        <w:trPr/>
        <w:tc>
          <w:tcPr>
            <w:tcW w:w="43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 Rosenbaum, Ph.D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Mike Raab</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&amp; CEO</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54" name="Frame1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pPr>
      <w:r>
        <w:rPr>
          <w:rFonts w:ascii="Times New Roman;serif" w:hAnsi="Times New Roman;serif"/>
          <w:b/>
          <w:color w:val="000000"/>
          <w:sz w:val="22"/>
        </w:rPr>
        <w:t>Exhibit 10.11</w:t>
      </w:r>
      <w:r>
        <w:rPr>
          <w:color w:val="000000"/>
        </w:rPr>
        <w:t>    </w:t>
      </w:r>
    </w:p>
    <w:p>
      <w:pPr>
        <w:pStyle w:val="TextBody"/>
        <w:bidi w:val="0"/>
        <w:spacing w:lineRule="auto" w:line="288"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TRANSITION AND SEPARATION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This Transition and Separation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between Elizabeth Grammer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Ardelyx,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effective as of the Effective Date set forth in Section 6(d) below, with reference to the following facts:</w:t>
      </w:r>
    </w:p>
    <w:p>
      <w:pPr>
        <w:pStyle w:val="TextBody"/>
        <w:bidi w:val="0"/>
        <w:spacing w:lineRule="auto" w:line="288" w:before="0" w:after="180"/>
        <w:ind w:left="0" w:right="0" w:firstLine="720"/>
        <w:jc w:val="both"/>
        <w:rPr/>
      </w:pPr>
      <w:r>
        <w:rPr>
          <w:rFonts w:ascii="Times New Roman;serif" w:hAnsi="Times New Roman;serif"/>
          <w:b w:val="false"/>
          <w:color w:val="000000"/>
          <w:sz w:val="22"/>
        </w:rPr>
        <w:t>A.    Executive, who currently serves as the Company’s Chief Legal &amp; Administrative Officer, has notified the Company of her intent to retire from such positions effective as of December 31, 2025 (the “</w:t>
      </w:r>
      <w:r>
        <w:rPr>
          <w:rFonts w:ascii="Times New Roman;serif" w:hAnsi="Times New Roman;serif"/>
          <w:b w:val="false"/>
          <w:color w:val="000000"/>
          <w:sz w:val="22"/>
          <w:u w:val="single"/>
        </w:rPr>
        <w:t>Retirement Date</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At the Company’s request, Executive has agreed to serve as General Counsel for a period of time following Executive’s Retirement Date and, thereafter, as a Senior Advisor to the Company to help transition her duties and responsibilities and provide such other support as reasonably requested by the Company.</w:t>
      </w:r>
    </w:p>
    <w:p>
      <w:pPr>
        <w:pStyle w:val="TextBody"/>
        <w:bidi w:val="0"/>
        <w:spacing w:lineRule="auto" w:line="288" w:before="0" w:after="180"/>
        <w:ind w:left="0" w:right="0" w:firstLine="720"/>
        <w:jc w:val="both"/>
        <w:rPr/>
      </w:pPr>
      <w:r>
        <w:rPr>
          <w:rFonts w:ascii="Times New Roman;serif" w:hAnsi="Times New Roman;serif"/>
          <w:b w:val="false"/>
          <w:color w:val="000000"/>
          <w:sz w:val="22"/>
        </w:rPr>
        <w:t>C.    Executive is party with the Company to an offer letter dated as of November 21, 2012 (the “</w:t>
      </w:r>
      <w:r>
        <w:rPr>
          <w:rFonts w:ascii="Times New Roman;serif" w:hAnsi="Times New Roman;serif"/>
          <w:b w:val="false"/>
          <w:color w:val="000000"/>
          <w:sz w:val="22"/>
          <w:u w:val="single"/>
        </w:rPr>
        <w:t>Offer Letter</w:t>
      </w:r>
      <w:r>
        <w:rPr>
          <w:color w:val="000000"/>
        </w:rPr>
        <w:t>”</w:t>
      </w:r>
      <w:r>
        <w:rPr>
          <w:rFonts w:ascii="Times New Roman;serif" w:hAnsi="Times New Roman;serif"/>
          <w:b w:val="false"/>
          <w:color w:val="000000"/>
          <w:sz w:val="22"/>
        </w:rPr>
        <w:t>) and a Third Amended and Restated Change in Control Severance Agreement entered into as of April 29, 2025 (the “</w:t>
      </w:r>
      <w:r>
        <w:rPr>
          <w:rFonts w:ascii="Times New Roman;serif" w:hAnsi="Times New Roman;serif"/>
          <w:b w:val="false"/>
          <w:color w:val="000000"/>
          <w:sz w:val="22"/>
          <w:u w:val="single"/>
        </w:rPr>
        <w:t>Severance Agreement</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Executive and the Company want to end their relationship amicably and also to establish the obligations of the parties including, without limitation, Executive’s service as General Counsel and Senior Advisor and all amounts due and owing to Executive.</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2"/>
        </w:rPr>
        <w:t>NOW, THEREFORE, in consideration of the mutual covenants and agreements hereinafter set forth, the parties agree as follows:</w:t>
      </w:r>
    </w:p>
    <w:p>
      <w:pPr>
        <w:pStyle w:val="TextBody"/>
        <w:bidi w:val="0"/>
        <w:spacing w:lineRule="auto" w:line="288" w:before="0" w:after="18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Role Transition</w:t>
      </w:r>
      <w:r>
        <w:rPr>
          <w:rFonts w:ascii="Times New Roman;serif" w:hAnsi="Times New Roman;serif"/>
          <w:b w:val="false"/>
          <w:color w:val="000000"/>
          <w:sz w:val="22"/>
        </w:rPr>
        <w:t>. Executive and the Company acknowledge and agree that, effective as of the Retirement Date, Executive will cease to serve as the Company’s Chief Legal and Administrative Officer and shall transition to the non-executive officer position of General Counsel until a successor is appointed or such earlier date mutually agreed between Executive and the Company (such date, the “</w:t>
      </w:r>
      <w:r>
        <w:rPr>
          <w:rFonts w:ascii="Times New Roman;serif" w:hAnsi="Times New Roman;serif"/>
          <w:b w:val="false"/>
          <w:color w:val="000000"/>
          <w:sz w:val="22"/>
          <w:u w:val="single"/>
        </w:rPr>
        <w:t>Transition Date</w:t>
      </w:r>
      <w:r>
        <w:rPr>
          <w:color w:val="000000"/>
        </w:rPr>
        <w:t>”</w:t>
      </w:r>
      <w:r>
        <w:rPr>
          <w:rFonts w:ascii="Times New Roman;serif" w:hAnsi="Times New Roman;serif"/>
          <w:b w:val="false"/>
          <w:color w:val="000000"/>
          <w:sz w:val="22"/>
        </w:rPr>
        <w:t>) at which time Executive shall transition to the role of Senior Advisor to the Company. Executive acknowledges that Executive status as an officer of the Company and each of its subsidiaries shall terminate as of the Retirement Date. Executive agrees to execute such additional documentation as the Company determines is necessary or appropriate to effect Executive’s cessation of service as an officer, provided that any such documentation is consistent with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During the period (the “</w:t>
      </w:r>
      <w:r>
        <w:rPr>
          <w:rFonts w:ascii="Times New Roman;serif" w:hAnsi="Times New Roman;serif"/>
          <w:b w:val="false"/>
          <w:color w:val="000000"/>
          <w:sz w:val="22"/>
          <w:u w:val="single"/>
        </w:rPr>
        <w:t>Employment Period</w:t>
      </w:r>
      <w:r>
        <w:rPr>
          <w:color w:val="000000"/>
        </w:rPr>
        <w:t>”</w:t>
      </w:r>
      <w:r>
        <w:rPr>
          <w:rFonts w:ascii="Times New Roman;serif" w:hAnsi="Times New Roman;serif"/>
          <w:b w:val="false"/>
          <w:color w:val="000000"/>
          <w:sz w:val="22"/>
        </w:rPr>
        <w:t>) commencing on the Retirement Date and ending on the earliest of (i) the first anniversary of the Transition Date (the “</w:t>
      </w:r>
      <w:r>
        <w:rPr>
          <w:rFonts w:ascii="Times New Roman;serif" w:hAnsi="Times New Roman;serif"/>
          <w:b w:val="false"/>
          <w:color w:val="000000"/>
          <w:sz w:val="22"/>
          <w:u w:val="single"/>
        </w:rPr>
        <w:t>Planned Separation Date</w:t>
      </w:r>
      <w:r>
        <w:rPr>
          <w:color w:val="000000"/>
        </w:rPr>
        <w:t>”</w:t>
      </w:r>
      <w:r>
        <w:rPr>
          <w:rFonts w:ascii="Times New Roman;serif" w:hAnsi="Times New Roman;serif"/>
          <w:b w:val="false"/>
          <w:color w:val="000000"/>
          <w:sz w:val="22"/>
        </w:rPr>
        <w:t>), (ii) the date the Company terminates Executive’s employment for Cause (as defined in the Severance Agreement) or (iii) the date Executive voluntarily resigns from her employment with the Company (such earliest date, the “</w:t>
      </w:r>
      <w:r>
        <w:rPr>
          <w:rFonts w:ascii="Times New Roman;serif" w:hAnsi="Times New Roman;serif"/>
          <w:b w:val="false"/>
          <w:color w:val="000000"/>
          <w:sz w:val="22"/>
          <w:u w:val="single"/>
        </w:rPr>
        <w:t>Separation Date</w:t>
      </w:r>
      <w:r>
        <w:rPr>
          <w:color w:val="000000"/>
        </w:rPr>
        <w:t>”</w:t>
      </w:r>
      <w:r>
        <w:rPr>
          <w:rFonts w:ascii="Times New Roman;serif" w:hAnsi="Times New Roman;serif"/>
          <w:b w:val="false"/>
          <w:color w:val="000000"/>
          <w:sz w:val="22"/>
        </w:rPr>
        <w:t>), Executive shall remain employed by the Company. Upon the Separation Date, Executive’s employment with the Company shall terminate and Executive shall cease to constitute an employee.</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i/>
          <w:color w:val="000000"/>
          <w:sz w:val="22"/>
        </w:rPr>
        <w:t>Duties</w:t>
      </w:r>
      <w:r>
        <w:rPr>
          <w:rFonts w:ascii="Times New Roman;serif" w:hAnsi="Times New Roman;serif"/>
          <w:b w:val="false"/>
          <w:color w:val="000000"/>
          <w:sz w:val="22"/>
        </w:rPr>
        <w:t xml:space="preserve">. Between the Retirement Date and the Transition Date, Executive shall have the duties and responsibilities normally associated with the position of General Counsel and such other duties and responsibilities as reasonably assigned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01040"/>
                <wp:effectExtent l="0" t="0" r="0" b="0"/>
                <wp:wrapNone/>
                <wp:docPr id="155" name="Frame15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Company’s Chief Executive Officer. Between the Transition Date and the Separation Date, Executive shall provide transition services in Executive’s areas of expertise and have such duties and responsibilities as reasonably assigned by the Company’s Chief Executive Officer.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i/>
          <w:color w:val="000000"/>
          <w:sz w:val="22"/>
        </w:rPr>
        <w:t>Salary and Benefits Continuation</w:t>
      </w:r>
      <w:r>
        <w:rPr>
          <w:rFonts w:ascii="Times New Roman;serif" w:hAnsi="Times New Roman;serif"/>
          <w:b w:val="false"/>
          <w:color w:val="000000"/>
          <w:sz w:val="22"/>
        </w:rPr>
        <w:t xml:space="preserve">. During the Employment Period, Executive will continue to be paid base salary at the rate in effect on the date of this Agreement in accordance with the Company’s regular payroll procedures and be eligible for all employee benefit plans available to senior executives of the Company in accordance with their terms. All payments made to Executive during the Employment Period will be subject to required withholding taxes and authorized deductions.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i/>
          <w:color w:val="000000"/>
          <w:sz w:val="22"/>
        </w:rPr>
        <w:t>Bonus.</w:t>
      </w:r>
      <w:r>
        <w:rPr>
          <w:color w:val="000000"/>
        </w:rPr>
        <w:t xml:space="preserve"> </w:t>
      </w:r>
      <w:r>
        <w:rPr>
          <w:rFonts w:ascii="Times New Roman;serif" w:hAnsi="Times New Roman;serif"/>
          <w:b w:val="false"/>
          <w:color w:val="000000"/>
          <w:sz w:val="22"/>
        </w:rPr>
        <w:t xml:space="preserve">Executive will remain eligible to be paid Executive’s annual bonus for 2025, with the amount of such bonus determined consistent with other executives of the Company and paid at the same time bonuses are paid to other executives of the Company, subject to required withholding taxes. Executive will be eligible for a discretionary bonus amount under the Company’s annual bonus program with respect to the 2026 calendar year for the portion of the year Executive serves as General Counsel, with any such bonus to be paid at the same time 2026 bonuses are paid to other Company executives, and subject to required withholding taxes.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w:t>
      </w:r>
      <w:r>
        <w:rPr>
          <w:rFonts w:ascii="Times New Roman;serif" w:hAnsi="Times New Roman;serif"/>
          <w:b w:val="false"/>
          <w:i/>
          <w:color w:val="000000"/>
          <w:sz w:val="22"/>
        </w:rPr>
        <w:t>Equity Awards</w:t>
      </w:r>
      <w:r>
        <w:rPr>
          <w:rFonts w:ascii="Times New Roman;serif" w:hAnsi="Times New Roman;serif"/>
          <w:b w:val="false"/>
          <w:color w:val="000000"/>
          <w:sz w:val="22"/>
        </w:rPr>
        <w:t>. During the Employment Period, Executive’s outstanding, unvested equity awards (the “</w:t>
      </w:r>
      <w:r>
        <w:rPr>
          <w:rFonts w:ascii="Times New Roman;serif" w:hAnsi="Times New Roman;serif"/>
          <w:b w:val="false"/>
          <w:color w:val="000000"/>
          <w:sz w:val="22"/>
          <w:u w:val="single"/>
        </w:rPr>
        <w:t>Equity Awards</w:t>
      </w:r>
      <w:r>
        <w:rPr>
          <w:color w:val="000000"/>
        </w:rPr>
        <w:t>”</w:t>
      </w:r>
      <w:r>
        <w:rPr>
          <w:rFonts w:ascii="Times New Roman;serif" w:hAnsi="Times New Roman;serif"/>
          <w:b w:val="false"/>
          <w:color w:val="000000"/>
          <w:sz w:val="22"/>
        </w:rPr>
        <w:t xml:space="preserve">) shall continue to vest and, if applicable, become exercisable and the restrictions thereupon shall lapse in accordance with their original vesting schedules based on Executive’s continued services.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(e)    </w:t>
      </w:r>
      <w:r>
        <w:rPr>
          <w:rFonts w:ascii="Times New Roman;serif" w:hAnsi="Times New Roman;serif"/>
          <w:b w:val="false"/>
          <w:i/>
          <w:color w:val="000000"/>
          <w:sz w:val="22"/>
        </w:rPr>
        <w:t>Protection of Information</w:t>
      </w:r>
      <w:r>
        <w:rPr>
          <w:rFonts w:ascii="Times New Roman;serif" w:hAnsi="Times New Roman;serif"/>
          <w:b w:val="false"/>
          <w:color w:val="000000"/>
          <w:sz w:val="22"/>
        </w:rPr>
        <w:t>. Executive reaffirms Executive’s commitment to remain in compliance with that certain Proprietary Information and Invention Assignment Agreement entered into between Executive and the Company (the “</w:t>
      </w:r>
      <w:r>
        <w:rPr>
          <w:rFonts w:ascii="Times New Roman;serif" w:hAnsi="Times New Roman;serif"/>
          <w:b w:val="false"/>
          <w:color w:val="000000"/>
          <w:sz w:val="22"/>
          <w:u w:val="single"/>
        </w:rPr>
        <w:t>Confidentiality Agreement</w:t>
      </w:r>
      <w:r>
        <w:rPr>
          <w:color w:val="000000"/>
        </w:rPr>
        <w:t>”</w:t>
      </w:r>
      <w:r>
        <w:rPr>
          <w:rFonts w:ascii="Times New Roman;serif" w:hAnsi="Times New Roman;serif"/>
          <w:b w:val="false"/>
          <w:color w:val="000000"/>
          <w:sz w:val="22"/>
        </w:rPr>
        <w:t xml:space="preserve">) during the Employment Period. Without limiting the foregoing, Executive acknowledges and agrees that, during the Employment Period, Executive shall not, directly or indirectly, become employed by or provide assistance to any competitor of the Company.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(f)    </w:t>
      </w:r>
      <w:r>
        <w:rPr>
          <w:rFonts w:ascii="Times New Roman;serif" w:hAnsi="Times New Roman;serif"/>
          <w:b w:val="false"/>
          <w:i/>
          <w:color w:val="000000"/>
          <w:sz w:val="22"/>
        </w:rPr>
        <w:t xml:space="preserve">SEC Reporting. </w:t>
      </w:r>
      <w:r>
        <w:rPr>
          <w:rFonts w:ascii="Times New Roman;serif" w:hAnsi="Times New Roman;serif"/>
          <w:b w:val="false"/>
          <w:color w:val="000000"/>
          <w:sz w:val="22"/>
        </w:rPr>
        <w:t>Executive acknowledges that to the extent required by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Executive will have continuing obligations under Section 16(a) and 16(b) of the Exchange Act to report matching transactions, if any, in Company common stock for up to six (6) months following the Retirement Date. Executive further acknowledges that any transactions by Executive involving Company securities will remain subject to securities laws in all respects, including, without limitation, laws regarding trading on the basis of material nonpublic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Consulting Period</w:t>
      </w:r>
      <w:r>
        <w:rPr>
          <w:rFonts w:ascii="Times New Roman;serif" w:hAnsi="Times New Roman;serif"/>
          <w:b w:val="false"/>
          <w:color w:val="000000"/>
          <w:sz w:val="22"/>
        </w:rPr>
        <w:t>. In the event the Separation Date does not precede the Planned Separation Date, then during the period (the “</w:t>
      </w:r>
      <w:r>
        <w:rPr>
          <w:rFonts w:ascii="Times New Roman;serif" w:hAnsi="Times New Roman;serif"/>
          <w:b w:val="false"/>
          <w:color w:val="000000"/>
          <w:sz w:val="22"/>
          <w:u w:val="single"/>
        </w:rPr>
        <w:t>Consulting Period</w:t>
      </w:r>
      <w:r>
        <w:rPr>
          <w:color w:val="000000"/>
        </w:rPr>
        <w:t>”</w:t>
      </w:r>
      <w:r>
        <w:rPr>
          <w:rFonts w:ascii="Times New Roman;serif" w:hAnsi="Times New Roman;serif"/>
          <w:b w:val="false"/>
          <w:color w:val="000000"/>
          <w:sz w:val="22"/>
        </w:rPr>
        <w:t xml:space="preserve">) commencing on the Separation Date and ending on the earliest of the second anniversary of the Transition Date, the date Executive terminates consulting services for any reason or the date the Company terminates the consulting services for Cause, Executive shall continue to serve the Company as a Senior Advisor as an independent contractor.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01040"/>
                <wp:effectExtent l="0" t="0" r="0" b="0"/>
                <wp:wrapNone/>
                <wp:docPr id="156" name="Frame15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i/>
          <w:color w:val="000000"/>
          <w:sz w:val="22"/>
        </w:rPr>
        <w:t>Duties</w:t>
      </w:r>
      <w:r>
        <w:rPr>
          <w:rFonts w:ascii="Times New Roman;serif" w:hAnsi="Times New Roman;serif"/>
          <w:b w:val="false"/>
          <w:color w:val="000000"/>
          <w:sz w:val="22"/>
        </w:rPr>
        <w:t xml:space="preserve">. During the Consulting Period, Executive shall continue to provide transition services in Executive’s areas of expertise and such other services as are reasonably requested by the Company’s Chief Executive Officer. During the Consulting Period, Executive agrees to remain in compliance with the Confidentiality Agreement. During the Consulting Period, Executive may become an employee or consultant of any other company, </w:t>
      </w:r>
      <w:r>
        <w:rPr>
          <w:rFonts w:ascii="Times New Roman;serif" w:hAnsi="Times New Roman;serif"/>
          <w:b w:val="false"/>
          <w:i/>
          <w:color w:val="000000"/>
          <w:sz w:val="22"/>
        </w:rPr>
        <w:t>provided</w:t>
      </w:r>
      <w:r>
        <w:rPr>
          <w:rFonts w:ascii="Times New Roman;serif" w:hAnsi="Times New Roman;serif"/>
          <w:b w:val="false"/>
          <w:color w:val="000000"/>
          <w:sz w:val="22"/>
        </w:rPr>
        <w:t>, that Executive acknowledges and agrees that, during the Consulting Period, Executive shall not, directly or indirectly, become employed by or provide assistance to any company that is a competitor to the Company.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i/>
          <w:color w:val="000000"/>
          <w:sz w:val="22"/>
        </w:rPr>
        <w:t>Consulting Fees</w:t>
      </w:r>
      <w:r>
        <w:rPr>
          <w:rFonts w:ascii="Times New Roman;serif" w:hAnsi="Times New Roman;serif"/>
          <w:b w:val="false"/>
          <w:color w:val="000000"/>
          <w:sz w:val="22"/>
        </w:rPr>
        <w:t>. In exchange for the performance of services during the first nine (9) months of the Consulting Period, the Company shall pay Executive a monthly retainer for all services provided, the amount of which will be set on the or around the Separation Date and based on prevailing market rates as of such date, as mutually agreed between the Company and Executive, provided, that in no event shall the monthly retainer fee exceed Executive’s base salary as in effect as of the Separation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i/>
          <w:color w:val="000000"/>
          <w:sz w:val="22"/>
        </w:rPr>
        <w:t>Continued Healthcare</w:t>
      </w:r>
      <w:r>
        <w:rPr>
          <w:rFonts w:ascii="Times New Roman;serif" w:hAnsi="Times New Roman;serif"/>
          <w:b w:val="false"/>
          <w:color w:val="000000"/>
          <w:sz w:val="22"/>
        </w:rPr>
        <w:t>. If Executive timely elects to receive and retain continued healthcare coverage pursuant to the provisions of Consolidated Omnibus Budget Reconciliation Act of 1985, as amended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the Company shall directly pay, or reimburse Executive for, the premium for Executive and Executive’s covered dependents from the Separation Date through the earlier of (i) the end of the Consulting Period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with the provisions of COBRA.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xml:space="preserv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w:t>
      </w:r>
      <w:r>
        <w:rPr>
          <w:rFonts w:ascii="Times New Roman;serif" w:hAnsi="Times New Roman;serif"/>
          <w:b w:val="false"/>
          <w:color w:val="000000"/>
          <w:sz w:val="22"/>
          <w:u w:val="single"/>
        </w:rPr>
        <w:t>Section 4(c)</w:t>
      </w:r>
      <w:r>
        <w:rPr>
          <w:rFonts w:ascii="Times New Roman;serif" w:hAnsi="Times New Roman;serif"/>
          <w:b w:val="false"/>
          <w:color w:val="000000"/>
          <w:sz w:val="22"/>
        </w:rPr>
        <w:t>,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w:t>
      </w:r>
      <w:r>
        <w:rPr>
          <w:rFonts w:ascii="Times New Roman;serif" w:hAnsi="Times New Roman;serif"/>
          <w:b w:val="false"/>
          <w:i/>
          <w:color w:val="000000"/>
          <w:sz w:val="22"/>
        </w:rPr>
        <w:t>Equity Awards</w:t>
      </w:r>
      <w:r>
        <w:rPr>
          <w:rFonts w:ascii="Times New Roman;serif" w:hAnsi="Times New Roman;serif"/>
          <w:b w:val="false"/>
          <w:color w:val="000000"/>
          <w:sz w:val="22"/>
        </w:rPr>
        <w:t xml:space="preserve">. During the Consulting Period, Executive’s outstanding, unvested Equity Awards shall continue to vest and, if applicable, become exercisable and the restrictions thereupon shall lapse in accordance with their original vesting schedules, subject to Executive continuing to provide the Transition Services to the Company.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(e)    </w:t>
      </w:r>
      <w:r>
        <w:rPr>
          <w:rFonts w:ascii="Times New Roman;serif" w:hAnsi="Times New Roman;serif"/>
          <w:b w:val="false"/>
          <w:i/>
          <w:color w:val="000000"/>
          <w:sz w:val="22"/>
        </w:rPr>
        <w:t>Independent Contractor Status</w:t>
      </w:r>
      <w:r>
        <w:rPr>
          <w:rFonts w:ascii="Times New Roman;serif" w:hAnsi="Times New Roman;serif"/>
          <w:b w:val="false"/>
          <w:color w:val="000000"/>
          <w:sz w:val="22"/>
        </w:rPr>
        <w:t xml:space="preserve">. Executive and the Company acknowledge and agree that, during the Consulting Period, Executive shall be an independent contractor. During the Consulting Period and thereafter, Executive shall not be an agent or employee of the Company and shall not be authorized to act on behalf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01040"/>
                <wp:effectExtent l="0" t="0" r="0" b="0"/>
                <wp:wrapNone/>
                <wp:docPr id="157" name="Frame15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Executive agrees to indemnify and hold the Company and the other entities released herein harmless for any tax claims or penalties resulting from any failure by Executive to make required personal income and self-employment tax payments.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Final Paycheck; Payment of Accrued Wages and Expenses</w:t>
      </w:r>
      <w:r>
        <w:rPr>
          <w:rFonts w:ascii="Times New Roman;serif" w:hAnsi="Times New Roman;serif"/>
          <w:b w:val="false"/>
          <w:color w:val="000000"/>
          <w:sz w:val="22"/>
        </w:rPr>
        <w:t>. As soon as administratively practicable on or after the Separation Date, the Company will pay Executive all accrued but unpaid base salary and any accrued but unpaid paid time off, subject to standard payroll deductions and withholdings. The Company will also reimburse Executive for all outstanding expenses incurred prior to the Separation Date which are consistent with the Company’s policies in effect from time to time with respect to travel, entertainment and other business expenses, subject to the Company’s requirements with respect to reporting and documenting such expenses. Executive is entitled to these payments regardless of whether Executive executes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Consideration for Release</w:t>
      </w:r>
      <w:r>
        <w:rPr>
          <w:rFonts w:ascii="Times New Roman;serif" w:hAnsi="Times New Roman;serif"/>
          <w:b w:val="false"/>
          <w:color w:val="000000"/>
          <w:sz w:val="22"/>
        </w:rPr>
        <w:t xml:space="preserve">. Without admission of any liability, fact or claim, the Company hereby agrees, subject to (i) this Agreement timely becoming effective and irrevocable, (ii) Executive’s continued services through the Planned Separation Date; (iii) the delivery to the Company of a copy of the General Release of Claims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Release of Claims</w:t>
      </w:r>
      <w:r>
        <w:rPr>
          <w:color w:val="000000"/>
        </w:rPr>
        <w:t>”</w:t>
      </w:r>
      <w:r>
        <w:rPr>
          <w:rFonts w:ascii="Times New Roman;serif" w:hAnsi="Times New Roman;serif"/>
          <w:b w:val="false"/>
          <w:color w:val="000000"/>
          <w:sz w:val="22"/>
        </w:rPr>
        <w:t>) that is signed by Executive on or after the Separation Date and becomes effective and irrevocable within 30 days after the Separation Date, and (iv) Executive not being in material breach of Executive’s obligations under this Agreement, to pay to Executive an amount equal to one month of Executive’s base salary as in effect as of the Retirement Date, less required withholding taxes, on the first payroll date after the date the Release of Claims becomes effective and irrevocable.</w:t>
      </w:r>
    </w:p>
    <w:p>
      <w:pPr>
        <w:pStyle w:val="TextBody"/>
        <w:bidi w:val="0"/>
        <w:spacing w:lineRule="auto" w:line="288" w:before="0" w:after="18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Executive’s Release of the Company</w:t>
      </w:r>
      <w:r>
        <w:rPr>
          <w:rFonts w:ascii="Times New Roman;serif" w:hAnsi="Times New Roman;serif"/>
          <w:b w:val="false"/>
          <w:color w:val="000000"/>
          <w:sz w:val="22"/>
        </w:rPr>
        <w:t xml:space="preserve">. Executive understands that by agreeing to the release provided by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Executive is agreeing not to sue, or otherwise file any claim against, the Company or any of its directors, officers, employees, investors or other agents for any reason whatsoever based on anything that is the subject of this release and that has occurred as of the date Executive signs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i/>
          <w:color w:val="000000"/>
          <w:sz w:val="22"/>
        </w:rPr>
        <w:t xml:space="preserve">Released Claims. </w:t>
      </w:r>
      <w:r>
        <w:rPr>
          <w:rFonts w:ascii="Times New Roman;serif" w:hAnsi="Times New Roman;serif"/>
          <w:b w:val="false"/>
          <w:color w:val="000000"/>
          <w:sz w:val="22"/>
        </w:rPr>
        <w:t>On behalf of Executive and Executive’s heirs, assigns, executors, administrators, trusts, spouse and estate, Executive hereby releases and forever discharges the “</w:t>
      </w:r>
      <w:r>
        <w:rPr>
          <w:rFonts w:ascii="Times New Roman;serif" w:hAnsi="Times New Roman;serif"/>
          <w:b w:val="false"/>
          <w:color w:val="000000"/>
          <w:sz w:val="22"/>
          <w:u w:val="single"/>
        </w:rPr>
        <w:t>Releasees</w:t>
      </w:r>
      <w:r>
        <w:rPr>
          <w:color w:val="000000"/>
        </w:rPr>
        <w:t xml:space="preserve">” </w:t>
      </w:r>
      <w:r>
        <w:rPr>
          <w:rFonts w:ascii="Times New Roman;serif" w:hAnsi="Times New Roman;serif"/>
          <w:b w:val="false"/>
          <w:color w:val="000000"/>
          <w:sz w:val="22"/>
        </w:rPr>
        <w:t>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which Executive now has or may hereafter have against the Releasees, or any of them, by reason of any matter, cause, or thing whatsoever from the beginning of time to the date Executive signs this Agreement,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01040"/>
                <wp:effectExtent l="0" t="0" r="0" b="0"/>
                <wp:wrapNone/>
                <wp:docPr id="158" name="Frame15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amended, 29 U.S.C. § 701 et seq.; the Age Discrimination in Employment Act (“</w:t>
      </w:r>
      <w:r>
        <w:rPr>
          <w:rFonts w:ascii="Times New Roman;serif" w:hAnsi="Times New Roman;serif"/>
          <w:b w:val="false"/>
          <w:color w:val="000000"/>
          <w:sz w:val="22"/>
          <w:u w:val="single"/>
        </w:rPr>
        <w:t>ADEA</w:t>
      </w:r>
      <w:r>
        <w:rPr>
          <w:color w:val="000000"/>
        </w:rPr>
        <w:t>”</w:t>
      </w:r>
      <w:r>
        <w:rPr>
          <w:rFonts w:ascii="Times New Roman;serif" w:hAnsi="Times New Roman;serif"/>
          <w:b w:val="false"/>
          <w:color w:val="000000"/>
          <w:sz w:val="22"/>
        </w:rPr>
        <w:t xml:space="preserve">), as amended, 29 U.S.C. § 621,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Massachusetts Fair Employment Practices Act., the Massachusetts Civil Rights Act, the Massachusetts Equal Rights Act, the Massachusetts Equal Pay Act, the Massachusetts Labor and Industries Act, Massachusetts Right of Privacy law), the Massachusetts Parental Leave Act, the Massachusetts Small Necessities Leave Act and any other federal, state or local laws of similar effect; the employment and civil rights laws of Massachusetts; Claims for breach of implied or express contract; Claims arising in tort, including, without limitation, Claims of wrongful dismissal or discharge, discrimination, harassment, retaliation, fraud, misrepresentation, defamation, libel, slander,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i/>
          <w:color w:val="000000"/>
          <w:sz w:val="22"/>
        </w:rPr>
        <w:t xml:space="preserve">Unreleased Claims. </w:t>
      </w:r>
      <w:r>
        <w:rPr>
          <w:rFonts w:ascii="Times New Roman;serif" w:hAnsi="Times New Roman;serif"/>
          <w:b w:val="false"/>
          <w:color w:val="000000"/>
          <w:sz w:val="22"/>
        </w:rPr>
        <w:t>Notwithstanding the generality of the foregoing, Executive does not release the following claims (the “</w:t>
      </w:r>
      <w:r>
        <w:rPr>
          <w:rFonts w:ascii="Times New Roman;serif" w:hAnsi="Times New Roman;serif"/>
          <w:b w:val="false"/>
          <w:color w:val="000000"/>
          <w:sz w:val="22"/>
          <w:u w:val="single"/>
        </w:rPr>
        <w:t>Unreleased Claims</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Claims for unemployment compensation or any state disability insurance benefits pursuant to the terms of applicable state law;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Claims for workers’ compensation insurance benefits under the terms of any worker’s compensation insurance policy or fund of the Company;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Claims to continued participation in certain of the Company’s group benefit plans pursuant to the terms and conditions of COBRA;</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Claims to accrued but unpaid base salary, accrued but unpaid paid time off or any benefit entitlements vested as of the date Executive signs this Agreement, pursuant to written terms of any Company or affiliate employee benefit plan, program, or policy, including to vested stock options;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    Claims for indemnification under any indemnification agreement, the Company’s bylaws or other organizational documents, applicable directors’ and officers’ insurance coverage, or any applicable law;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    Claims for rights that cannot be waived as a matter of law;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Executive’s right to enforce the terms of this Agreement;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(viii)    Executive’s right to bring to the attention of the Equal Employment Opportunity Commission claims of discrimination;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Executive does release Executive’s right to secure any damages for alleged discriminatory treatment.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01040"/>
                <wp:effectExtent l="0" t="0" r="0" b="0"/>
                <wp:wrapNone/>
                <wp:docPr id="159" name="Frame15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i/>
          <w:color w:val="000000"/>
          <w:sz w:val="22"/>
        </w:rPr>
        <w:t xml:space="preserve">ADEA/OWBPA Waiver and Acknowledgement. </w:t>
      </w:r>
      <w:r>
        <w:rPr>
          <w:rFonts w:ascii="Times New Roman;serif" w:hAnsi="Times New Roman;serif"/>
          <w:b w:val="false"/>
          <w:color w:val="000000"/>
          <w:sz w:val="22"/>
        </w:rPr>
        <w:t xml:space="preserve">Executive understands that the release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includes a release of claims Executive may have under the ADEA against any of the Releasees that may have existed on or prior to the date upon which Executive executes this Agreement. Executive understands that the ADEA is a federal statute that prohibits discrimination on the basis of age. Executive wishes to waive any and all claims under the ADEA that Executive may have against any of the Releasees as of the date upon which Executive executes this Agreement and hereby waives such claims. Executive understands that claims under the ADEA that may arise after the date on which Executive executes this Agreement are not waived. Executive acknowledges that Executive is receiving consideration to which Executive is not already entitled for the waiver of any and all claims under the ADEA. Executive is herein advised to consult with an attorney prior to signing this Agreement. In accordance with the Older Workers Benefit Protection Act of 1990, Executive has been advised of the following: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Executive should consult with an attorney before signing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    Executive has been given at least twenty-one (21) days after the date on which Executive received a copy of this Agreement to consider this Agreement (the “</w:t>
      </w:r>
      <w:r>
        <w:rPr>
          <w:rFonts w:ascii="Times New Roman;serif" w:hAnsi="Times New Roman;serif"/>
          <w:b w:val="false"/>
          <w:color w:val="000000"/>
          <w:sz w:val="22"/>
          <w:u w:val="single"/>
        </w:rPr>
        <w:t>Review Period</w:t>
      </w:r>
      <w:r>
        <w:rPr>
          <w:color w:val="000000"/>
        </w:rPr>
        <w:t>”</w:t>
      </w:r>
      <w:r>
        <w:rPr>
          <w:rFonts w:ascii="Times New Roman;serif" w:hAnsi="Times New Roman;serif"/>
          <w:b w:val="false"/>
          <w:color w:val="000000"/>
          <w:sz w:val="22"/>
        </w:rPr>
        <w:t>);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(iii)    Executive has seven (7) days after signing this Agreement to revoke it (the “</w:t>
      </w:r>
      <w:r>
        <w:rPr>
          <w:rFonts w:ascii="Times New Roman;serif" w:hAnsi="Times New Roman;serif"/>
          <w:b w:val="false"/>
          <w:color w:val="000000"/>
          <w:sz w:val="22"/>
          <w:u w:val="single"/>
        </w:rPr>
        <w:t>Revocation Period</w:t>
      </w:r>
      <w:r>
        <w:rPr>
          <w:color w:val="000000"/>
        </w:rPr>
        <w:t>”</w:t>
      </w:r>
      <w:r>
        <w:rPr>
          <w:rFonts w:ascii="Times New Roman;serif" w:hAnsi="Times New Roman;serif"/>
          <w:b w:val="false"/>
          <w:color w:val="000000"/>
          <w:sz w:val="22"/>
        </w:rPr>
        <w:t>). If Executive wishes to revoke this Agreement, Executive must deliver notice of Executive’s revocation in writing, no later than 11:59 p.m. PT on the 7th day following Executive’s execution of this Agreement to James Brady at jbrady@ardelyx.com. Executive understands that if Executive revokes this Agreement, it will be null and void in its entirety, and Executive will not be entitled to any payments or benefits provided in this Agreement that are not otherwise required by applicable law.</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Executive has been advised that this Agreement will not become effective or enforceable until after a timely signed Agreement has been timely delivered to the Company and the Revocation Period has expired with no revocation. If Executive does not revoke acceptance within the Revocation Period, Executive’s acceptance of this Agreement shall become binding and enforceable on the eighth day after Executive timely signs this Agreement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Non-Disparagement, Transition and Return of Company Property</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i/>
          <w:color w:val="000000"/>
          <w:sz w:val="22"/>
        </w:rPr>
        <w:t>Mutual Non-Disparagement</w:t>
      </w:r>
      <w:r>
        <w:rPr>
          <w:rFonts w:ascii="Times New Roman;serif" w:hAnsi="Times New Roman;serif"/>
          <w:b w:val="false"/>
          <w:color w:val="000000"/>
          <w:sz w:val="22"/>
        </w:rPr>
        <w:t>. Executive agrees that Executive shall not disparage, criticize or defame the Company, its affiliates and their respective affiliates, directors, officers, agents, partners, stockholders, employees, products, services, technology or business, either publicly or privately. The Company agrees that it shall not, and shall instruct its officers and directors to not, disparage, criticize or defame Executive. Nothing in this Section 7(a) shall have application to any evidence or testimony required by any court, arbitrator or government agency.</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01040"/>
                <wp:effectExtent l="0" t="0" r="0" b="0"/>
                <wp:wrapNone/>
                <wp:docPr id="160" name="Frame15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i/>
          <w:color w:val="000000"/>
          <w:sz w:val="22"/>
        </w:rPr>
        <w:t>Transition</w:t>
      </w:r>
      <w:r>
        <w:rPr>
          <w:rFonts w:ascii="Times New Roman;serif" w:hAnsi="Times New Roman;serif"/>
          <w:b w:val="false"/>
          <w:color w:val="000000"/>
          <w:sz w:val="22"/>
        </w:rPr>
        <w:t xml:space="preserve">. Each of the Company and Executive shall use their respective reasonable efforts to cooperate with each other in good faith to facilitate a smooth transition of Executive’s duties to other executive(s) of the Company.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i/>
          <w:color w:val="000000"/>
          <w:sz w:val="22"/>
        </w:rPr>
        <w:t>Return of Company Property</w:t>
      </w:r>
      <w:r>
        <w:rPr>
          <w:rFonts w:ascii="Times New Roman;serif" w:hAnsi="Times New Roman;serif"/>
          <w:b w:val="false"/>
          <w:color w:val="000000"/>
          <w:sz w:val="22"/>
        </w:rPr>
        <w:t>. On or before the end of the Consulting Period, Executive shall turn over to the Company all files, memoranda, records, and other documents, and any other physical or personal property which are the property of the Company and which Executive had in Executive’s possession, custody or control at the time Executive signed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Termination of Agreement</w:t>
      </w:r>
      <w:r>
        <w:rPr>
          <w:rFonts w:ascii="Times New Roman;serif" w:hAnsi="Times New Roman;serif"/>
          <w:b w:val="false"/>
          <w:color w:val="000000"/>
          <w:sz w:val="22"/>
        </w:rPr>
        <w:t xml:space="preserve">. Executive and the Company agree that this fixed-term Agreement will continue through the second anniversary of the Transition Date and may only be terminated prior by the Company for Cause. In the event the Company terminates this Agreement prior to the second anniversary of the Transition Date for any reason other than Cause, then Executive shall be entitled to liquidated damages in an amount equal to the remaining contractual payments due hereunder through the second anniversary of the Transition Date, including the acceleration of the vesting of Equity Awards that would have vested as of the second anniversary of the Transition Date, provided, that the payment of liquidated damages pursuant to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shall be conditioned on Executive’s delivery to the Company of a release of claims consistent with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of this Agreement that becomes effective and irrevocable within 30 days following such termination. In the event that the Agreement is terminated by the Company without Cause before the retainer rate is set under Section 3(b), for purposes of calculating liquidated damages, the retainer rate shall be half of the Executive’s base salary in effective during the Employment Period.</w:t>
      </w:r>
    </w:p>
    <w:p>
      <w:pPr>
        <w:pStyle w:val="TextBody"/>
        <w:bidi w:val="0"/>
        <w:spacing w:lineRule="auto" w:line="288" w:before="0" w:after="18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Executive Representations</w:t>
      </w:r>
      <w:r>
        <w:rPr>
          <w:rFonts w:ascii="Times New Roman;serif" w:hAnsi="Times New Roman;serif"/>
          <w:b w:val="false"/>
          <w:color w:val="000000"/>
          <w:sz w:val="22"/>
        </w:rPr>
        <w:t xml:space="preserve">. Executive warrants and represents that (a) Executive has not filed or authorized the filing of any complaints, charges or lawsuits against the Company or any affiliate of the Company with any governmental agency or court, and that if, unbeknownst to Executive, such a complaint, charge or lawsuit has been filed on Executive’s behalf, Executive will immediately cause it to be withdrawn and dismissed, (b) Executive has been paid all compensation, wages, bonuses, commissions, and/or benefits to which Executive may be entitled and no other compensation, wages, bonuses, commissions and/or benefits are due to Executive, except as provided in this Agreement, (c) Executive has no known workplace injuries or 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Executive is not aware of any violations of the Company’s anti-harassment or anti-discrimination policies that Executive has not already disclosed to the Company pursuant to the Company’s internal reporting procedure, (f) Executive will maintain, not disclose and not use any confidential and proprietary information of the Company or any of its affiliates that was in Executive’s possession or control as a result of Executive’s employment or engagement by the Company or any of its affiliates, provided, however, such confidentiality obligations shall cease to exist for any information that becomes publicly available without a breach of this Agreement or any other agreement or obligation to the Company or any of its affiliates, (g) Executive acknowledges that Executive has carefully read and fully understands all of the provisions of this Agreement and that Executive is voluntarily and knowingly entering into this Agreement, and (h) upon the execution and delivery of this Agreement by the Company and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01040"/>
                <wp:effectExtent l="0" t="0" r="0" b="0"/>
                <wp:wrapNone/>
                <wp:docPr id="161" name="Frame15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Executive, this Agreement will be a valid and binding obligation of Executive, enforceable in accordance with its terms. </w:t>
      </w:r>
    </w:p>
    <w:p>
      <w:pPr>
        <w:pStyle w:val="TextBody"/>
        <w:bidi w:val="0"/>
        <w:spacing w:lineRule="auto" w:line="288" w:before="0" w:after="18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No Assignment by Executive</w:t>
      </w:r>
      <w:r>
        <w:rPr>
          <w:rFonts w:ascii="Times New Roman;serif" w:hAnsi="Times New Roman;serif"/>
          <w:b w:val="false"/>
          <w:color w:val="000000"/>
          <w:sz w:val="22"/>
        </w:rPr>
        <w:t xml:space="preserve">.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 </w:t>
      </w:r>
    </w:p>
    <w:p>
      <w:pPr>
        <w:pStyle w:val="TextBody"/>
        <w:bidi w:val="0"/>
        <w:spacing w:lineRule="auto" w:line="288" w:before="0" w:after="18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construed and enforced in accordance with, and the rights of the parties shall be governed by, the laws of the Commonwealth of Massachusetts or, where applicable, United States federal law, in each case, without regard to any conflicts of laws provisions or those of any other state or commonwealth.</w:t>
      </w:r>
    </w:p>
    <w:p>
      <w:pPr>
        <w:pStyle w:val="TextBody"/>
        <w:bidi w:val="0"/>
        <w:spacing w:lineRule="auto" w:line="288" w:before="0" w:after="18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Dispute Resolution</w:t>
      </w:r>
      <w:r>
        <w:rPr>
          <w:rFonts w:ascii="Times New Roman;serif" w:hAnsi="Times New Roman;serif"/>
          <w:b w:val="false"/>
          <w:color w:val="000000"/>
          <w:sz w:val="22"/>
        </w:rPr>
        <w:t>. Except as excluded herein below, any controversy, dispute or claim arising out of or relating to this Agreement, or breach thereof, or Executive’s employment with or termination of employment from the Company (each, a “</w:t>
      </w:r>
      <w:r>
        <w:rPr>
          <w:rFonts w:ascii="Times New Roman;serif" w:hAnsi="Times New Roman;serif"/>
          <w:b w:val="false"/>
          <w:color w:val="000000"/>
          <w:sz w:val="22"/>
          <w:u w:val="single"/>
        </w:rPr>
        <w:t>Covered Claim</w:t>
      </w:r>
      <w:r>
        <w:rPr>
          <w:color w:val="000000"/>
        </w:rPr>
        <w:t>”</w:t>
      </w:r>
      <w:r>
        <w:rPr>
          <w:rFonts w:ascii="Times New Roman;serif" w:hAnsi="Times New Roman;serif"/>
          <w:b w:val="false"/>
          <w:color w:val="000000"/>
          <w:sz w:val="22"/>
        </w:rPr>
        <w:t xml:space="preserve">) shall be resolved by final and binding arbitration administered by JAMS. The arbitration shall be conducted by a single, neutral arbitrator, pursuant to JAMS’s Employment Arbitration Rules &amp; Procedures, available at https://www.jamsadr.com/rules-employment-arbitration/English, as in effect at the time of the initiation of arbitration, which the Company will provide to Executive upon reasonable request, in the county in which Executive currently works or last worked for the Company. Notwithstanding anything in this Agreement to the contrary, the arbitration provisions of this Agreement shall be governed by and enforceable pursuant to the Federal Arbitration Act, and, in all other respects, the arbitrator shall apply the substantive laws of California or applicable Federal law, with the same statutes of limitation and available remedies that would apply if the claims were brought in a court of law of competent jurisdiction. The costs unique to arbitration, including the arbitration administrative fees, arbitrator compensation and expenses, and any costs of any witnesses call by the arbitrator, that would not be incurred in a court proceeding shall be borne by the Company. Unless otherwise ordered by the arbitrator under applicable law, the Company and Executive shall each bear its, their, his, or her own expenses, such as expert witness fees, filing fees, and attorneys’ fees and costs. Nothing herein shall prevent the Company or Executive from seeking a statutory award of reasonable attorneys’ fees and costs under applicable law. THE COMPANY AND EXECUTIVE RECOGNIZE THAT, BY AGREEING TO ARBITRATE THEIR DISPUTES, EACH WAIVE ITS, THEIR, HIS, OR HER RIGHT TO A TRIAL BY JURY OF ANY COVERED CLAIM. THE COMPANY AND EXECUTIVE WAIVE ITS, THEIR, HIS, OR HER RIGHT TO BRING ANY COVERED CLAIM AS PART OF OR IN CONNECTION WITH A CLASS OR COLLECTIVE ACTION. Notwithstanding the foregoing, this section shall not preclude either party from seeking a temporary restraining order or a preliminary injunction from a court of competent jurisdiction if such relief is not available in a timely fashion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01040"/>
                <wp:effectExtent l="0" t="0" r="0" b="0"/>
                <wp:wrapNone/>
                <wp:docPr id="162" name="Frame16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through arbitration. Further, this arbitration agreement shall not apply to: (a) claims for unemployment and workers’ compensation benefits; (b) sexual harassment and sexual assault disputes arising under federal, state, local, or tribal law, unless Executive elects to arbitrate such disputes; (c) claims arising under the National Labor Relations Act or which are brought before the National Labor Relations Board; (d) claims brought before the Equal Employment Opportunity Commission or similar state or local agency, if Executive is required to exhaust Executive’s administrative remedies; provided, that any appeal from an award or denial of an award by any such agency or any further action upon receipt of a right-to-sue letter shall be arbitrated pursuant to the terms of this Agreement; and (e) any other claim, which by law cannot be subject to mandatory arbitration.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This Agreement, collectively with the Confidentiality Agreement, any indemnification agreement between Executive and the Company and any agreements evidencing Executive’s Equity Awards, comprises the entire agreement between the parties with regard to the subject matter hereof and supersedes, in their entirety, any other agreements between Executive and the Company with regard to the subject matter hereof, including, without limitation, the Offer Letter and Severance Agreement. Executive acknowledges that there are no other agreements, written, oral or implied, and that Executive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 </w:t>
      </w:r>
    </w:p>
    <w:p>
      <w:pPr>
        <w:pStyle w:val="TextBody"/>
        <w:bidi w:val="0"/>
        <w:spacing w:lineRule="auto" w:line="288" w:before="0" w:after="18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Company Assignment and Successors</w:t>
      </w:r>
      <w:r>
        <w:rPr>
          <w:rFonts w:ascii="Times New Roman;serif" w:hAnsi="Times New Roman;serif"/>
          <w:b w:val="false"/>
          <w:color w:val="000000"/>
          <w:sz w:val="22"/>
        </w:rPr>
        <w:t xml:space="preserve">.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 </w:t>
      </w:r>
    </w:p>
    <w:p>
      <w:pPr>
        <w:pStyle w:val="TextBody"/>
        <w:bidi w:val="0"/>
        <w:spacing w:lineRule="auto" w:line="288" w:before="0" w:after="18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Section 409A.</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Exempt from Section 409A</w:t>
      </w:r>
      <w:r>
        <w:rPr>
          <w:rFonts w:ascii="Times New Roman;serif" w:hAnsi="Times New Roman;serif"/>
          <w:b w:val="false"/>
          <w:color w:val="000000"/>
          <w:sz w:val="22"/>
        </w:rPr>
        <w:t>. It is intended that payments and benefits under this Agreement comply with, or be exempt from, the provisions of Section 409A of the Code and the Department of Treasury regulations and other interpretive guidance issued thereunder, including without limitation any such regulations or other guidance that may be issued after the date of this Agreement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This Agreement will be interpreted and administered in a manner consistent with this intent. Each payment and each provision of benefits described in this Agreement will be considered a separate payment and not one of a series of payments for purposes of Section 409A. In no event will any payment under this Agreement that constitutes “nonqualified deferred compensation” for purposes of Section 409A be subject to offset by any other amount unless otherwise permitted by Section 409A.</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Specific Exemptions</w:t>
      </w:r>
      <w:r>
        <w:rPr>
          <w:rFonts w:ascii="Times New Roman;serif" w:hAnsi="Times New Roman;serif"/>
          <w:b w:val="false"/>
          <w:color w:val="000000"/>
          <w:sz w:val="22"/>
        </w:rPr>
        <w:t xml:space="preserve">. If any reimbursements or in-kind benefits provided by the Company or any Releasee pursuant to this Agreement would constitute “nonqualified deferred compensation” for purposes of Section 409A, such reimbursements or in- kind benefits will be subject to the following rules: (A) the amounts to be reimbursed, or the in-kind benefits to be provided, will be determined pursuant to the terms of the applicable benefit plan, policy or agreement and will be limited to Executive’s lifetime and the lifetime of Executive’s eligible dependents; (B) the amounts eligible for reimbursement, or the in-kind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01040"/>
                <wp:effectExtent l="0" t="0" r="0" b="0"/>
                <wp:wrapNone/>
                <wp:docPr id="163" name="Frame16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benefits provided, during any calendar year may not affect the expenses eligible for reimbursement, or the in-kind benefits provided, in any other calendar year; (C) any reimbursement of an eligible expense will be made on or before the last day of the calendar year following the calendar year in which the expense was incurred; (D) Executive’s right to an in-kind benefit or reimbursement is not subject to liquidation or exchange for cash or another benefit and (E) if Executive is a “specified employee” within the meaning of Section 409A, no payments of any of such severance or other benefit shall be made for six (6) months plus one (1) day after the “separation from service,” or, if earlier, upon Executive’s death (the “</w:t>
      </w:r>
      <w:r>
        <w:rPr>
          <w:rFonts w:ascii="Times New Roman;serif" w:hAnsi="Times New Roman;serif"/>
          <w:b w:val="false"/>
          <w:color w:val="000000"/>
          <w:sz w:val="22"/>
          <w:u w:val="single"/>
        </w:rPr>
        <w:t>New Payment Date</w:t>
      </w:r>
      <w:r>
        <w:rPr>
          <w:color w:val="000000"/>
        </w:rPr>
        <w:t>”</w:t>
      </w:r>
      <w:r>
        <w:rPr>
          <w:rFonts w:ascii="Times New Roman;serif" w:hAnsi="Times New Roman;serif"/>
          <w:b w:val="false"/>
          <w:color w:val="000000"/>
          <w:sz w:val="22"/>
        </w:rPr>
        <w:t>).  The aggregate of any such payments that would have otherwise been paid during the period between the “separation from service” and the New Payment Date shall be paid to Executive in a lump sum on the New Payment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Taxes</w:t>
      </w:r>
      <w:r>
        <w:rPr>
          <w:rFonts w:ascii="Times New Roman;serif" w:hAnsi="Times New Roman;serif"/>
          <w:b w:val="false"/>
          <w:color w:val="000000"/>
          <w:sz w:val="22"/>
        </w:rPr>
        <w:t>. Executive understands and agrees that all payments under this Agreement will be subject to appropriate tax withholding and other deductions. To the extent any taxes may be payable by Executive for the benefits provided to Executive by this Agreement beyond those withheld by the Company, Executive agrees to pay them.</w:t>
      </w:r>
    </w:p>
    <w:p>
      <w:pPr>
        <w:pStyle w:val="TextBody"/>
        <w:bidi w:val="0"/>
        <w:spacing w:lineRule="auto" w:line="288" w:before="0" w:after="18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Maintaining Confidential Information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Nothing in this Agreement or the Confidentiality Agreement will be construed to prohibit Executive from (i) pursuing unemployment or workers compensation benefits; (ii) filing a charge or complaint with the Equal Employment Opportunity Commission (“</w:t>
      </w:r>
      <w:r>
        <w:rPr>
          <w:rFonts w:ascii="Times New Roman;serif" w:hAnsi="Times New Roman;serif"/>
          <w:b w:val="false"/>
          <w:color w:val="000000"/>
          <w:sz w:val="22"/>
          <w:u w:val="single"/>
        </w:rPr>
        <w:t>EEOC</w:t>
      </w:r>
      <w:r>
        <w:rPr>
          <w:color w:val="000000"/>
        </w:rPr>
        <w:t>”</w:t>
      </w:r>
      <w:r>
        <w:rPr>
          <w:rFonts w:ascii="Times New Roman;serif" w:hAnsi="Times New Roman;serif"/>
          <w:b w:val="false"/>
          <w:color w:val="000000"/>
          <w:sz w:val="22"/>
        </w:rPr>
        <w:t>), the National Labor Relations Board (“</w:t>
      </w:r>
      <w:r>
        <w:rPr>
          <w:rFonts w:ascii="Times New Roman;serif" w:hAnsi="Times New Roman;serif"/>
          <w:b w:val="false"/>
          <w:color w:val="000000"/>
          <w:sz w:val="22"/>
          <w:u w:val="single"/>
        </w:rPr>
        <w:t>NLRB</w:t>
      </w:r>
      <w:r>
        <w:rPr>
          <w:color w:val="000000"/>
        </w:rPr>
        <w:t>”</w:t>
      </w:r>
      <w:r>
        <w:rPr>
          <w:rFonts w:ascii="Times New Roman;serif" w:hAnsi="Times New Roman;serif"/>
          <w:b w:val="false"/>
          <w:color w:val="000000"/>
          <w:sz w:val="22"/>
        </w:rPr>
        <w:t>), or any similar state government agency or commission, provided, however, Executive releases and waives Executive’s right to receive damages or other relief in connection with any such matter to the maximum extent permitted by applicable law; (iii) communicating with, cooperating with, or reporting wrongdoing to the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the Financial Industry Regulatory Authority, the EEOC, the NLRB, the Occupational Safety and Health Administration, the Commodity Futures Trading Commission, the Department of Justice (“</w:t>
      </w:r>
      <w:r>
        <w:rPr>
          <w:rFonts w:ascii="Times New Roman;serif" w:hAnsi="Times New Roman;serif"/>
          <w:b w:val="false"/>
          <w:color w:val="000000"/>
          <w:sz w:val="22"/>
          <w:u w:val="single"/>
        </w:rPr>
        <w:t>DOJ</w:t>
      </w:r>
      <w:r>
        <w:rPr>
          <w:color w:val="000000"/>
        </w:rPr>
        <w:t>”</w:t>
      </w:r>
      <w:r>
        <w:rPr>
          <w:rFonts w:ascii="Times New Roman;serif" w:hAnsi="Times New Roman;serif"/>
          <w:b w:val="false"/>
          <w:color w:val="000000"/>
          <w:sz w:val="22"/>
        </w:rPr>
        <w:t>), or any other federal, state or local government agency or commission (collectively, “</w:t>
      </w:r>
      <w:r>
        <w:rPr>
          <w:rFonts w:ascii="Times New Roman;serif" w:hAnsi="Times New Roman;serif"/>
          <w:b w:val="false"/>
          <w:color w:val="000000"/>
          <w:sz w:val="22"/>
          <w:u w:val="single"/>
        </w:rPr>
        <w:t>Government Agencies</w:t>
      </w:r>
      <w:r>
        <w:rPr>
          <w:color w:val="000000"/>
        </w:rPr>
        <w:t>”</w:t>
      </w:r>
      <w:r>
        <w:rPr>
          <w:rFonts w:ascii="Times New Roman;serif" w:hAnsi="Times New Roman;serif"/>
          <w:b w:val="false"/>
          <w:color w:val="000000"/>
          <w:sz w:val="22"/>
        </w:rPr>
        <w:t xml:space="preserve">), or otherwise participating in any investigation or proceeding that may be conducted by a Government Agency, including providing documents or other information, without notice to the Company; (iv) receiving a reward for information provided to the SEC, the DOJ or any other Government Agency; (v) exercising any rights Executive may have under Section 7 of the U.S. National Labor Relations Act; (vi) testifying pursuant to a court order, subpoena, or written request from an administrative agency or legislature; (vii) discussing or disclosing information about unlawful acts in the workplace, such as harassment or discrimination based on a protected characteristic or any other conduct that Executive has reason to believe is unlawful; or (viii) engaging in any other protected conduct or filing claims that cannot be waived by applicable law. Furthermore, in accordance with 18 U.S.C. § 1833, notwithstanding anything to the contrary in the Confidentiality Agreement or this Agreement: (i) Executive shall not be in breach of the Confidentiality Agreement or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01040"/>
                <wp:effectExtent l="0" t="0" r="0" b="0"/>
                <wp:wrapNone/>
                <wp:docPr id="164" name="Frame16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proceeding, if Executive files any document containing the trade secret under seal, and does not disclose the trade secret, except pursuant to court order.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Executive’s Cooperation</w:t>
      </w:r>
      <w:r>
        <w:rPr>
          <w:rFonts w:ascii="Times New Roman;serif" w:hAnsi="Times New Roman;serif"/>
          <w:b w:val="false"/>
          <w:color w:val="000000"/>
          <w:sz w:val="22"/>
        </w:rPr>
        <w:t xml:space="preserve">.  After the end of the Consulting Period,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 any such request by the Company shall not be unduly burdensome or interfere with Executive’s personal schedule or ability to engage in gainful employment and (ii) this provision shall not apply to any such investigation or proceeding that arises out of or relates to a dispute between Executive and the Company and/or any of its affiliates or if Executive’s reasonable interests are adverse to the Company or its affiliates in any such investigation or proceeding. </w:t>
      </w:r>
    </w:p>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pStyle w:val="TextBody"/>
        <w:bidi w:val="0"/>
        <w:spacing w:lineRule="auto" w:line="288" w:before="0" w:after="180"/>
        <w:jc w:val="both"/>
        <w:rPr>
          <w:color w:val="000000"/>
        </w:rPr>
      </w:pPr>
      <w:r>
        <w:rPr>
          <w:color w:val="000000"/>
        </w:rPr>
        <w:t>    </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01040"/>
                <wp:effectExtent l="0" t="0" r="0" b="0"/>
                <wp:wrapNone/>
                <wp:docPr id="165" name="Frame16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have caused this Transition and Separation Agreement to be duly executed and delivered as of the date indicated next to their respective signatures below.</w:t>
      </w:r>
    </w:p>
    <w:p>
      <w:pPr>
        <w:pStyle w:val="TextBody"/>
        <w:bidi w:val="0"/>
        <w:spacing w:before="0" w:after="180"/>
        <w:jc w:val="both"/>
        <w:rPr/>
      </w:pPr>
      <w:r>
        <w:rPr/>
      </w:r>
    </w:p>
    <w:p>
      <w:pPr>
        <w:pStyle w:val="TextBody"/>
        <w:bidi w:val="0"/>
        <w:spacing w:before="0" w:after="180"/>
        <w:jc w:val="both"/>
        <w:rPr/>
      </w:pPr>
      <w:r>
        <w:rPr/>
      </w:r>
    </w:p>
    <w:tbl>
      <w:tblPr>
        <w:tblW w:w="5321" w:type="dxa"/>
        <w:jc w:val="left"/>
        <w:tblInd w:w="0" w:type="dxa"/>
        <w:tblLayout w:type="fixed"/>
        <w:tblCellMar>
          <w:top w:w="28" w:type="dxa"/>
          <w:left w:w="28" w:type="dxa"/>
          <w:bottom w:w="28" w:type="dxa"/>
          <w:right w:w="28" w:type="dxa"/>
        </w:tblCellMar>
      </w:tblPr>
      <w:tblGrid>
        <w:gridCol w:w="754"/>
        <w:gridCol w:w="663"/>
        <w:gridCol w:w="668"/>
        <w:gridCol w:w="109"/>
        <w:gridCol w:w="109"/>
        <w:gridCol w:w="109"/>
        <w:gridCol w:w="850"/>
        <w:gridCol w:w="850"/>
        <w:gridCol w:w="1209"/>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DATED: 12/17/2025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/s/ Elizabeth Grammer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Elizabeth Grammer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ARDELYX,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DATED: 12/16/2025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By: /s/ Mike Raab</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Mike Raab</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01040"/>
                <wp:effectExtent l="0" t="0" r="0" b="0"/>
                <wp:wrapNone/>
                <wp:docPr id="166" name="Frame16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GENERAL RELEASE OF CLAIMS</w:t>
      </w:r>
    </w:p>
    <w:p>
      <w:pPr>
        <w:pStyle w:val="TextBody"/>
        <w:bidi w:val="0"/>
        <w:spacing w:lineRule="auto" w:line="288" w:before="0" w:after="180"/>
        <w:jc w:val="left"/>
        <w:rPr/>
      </w:pPr>
      <w:r>
        <w:rPr>
          <w:color w:val="000000"/>
        </w:rPr>
        <w:t>    </w:t>
      </w:r>
      <w:r>
        <w:rPr>
          <w:rFonts w:ascii="Times New Roman;serif" w:hAnsi="Times New Roman;serif"/>
          <w:b w:val="false"/>
          <w:color w:val="000000"/>
          <w:sz w:val="22"/>
        </w:rPr>
        <w:t>This General Release of Claims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is entered into as of _________________, 2027, between Elizabeth Grammer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Ardelyx,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effective as of the eighth (8</w:t>
      </w:r>
      <w:r>
        <w:rPr>
          <w:rFonts w:ascii="Times New Roman;serif" w:hAnsi="Times New Roman;serif"/>
          <w:b w:val="false"/>
          <w:color w:val="000000"/>
          <w:sz w:val="14"/>
        </w:rPr>
        <w:t>th</w:t>
      </w:r>
      <w:r>
        <w:rPr>
          <w:rFonts w:ascii="Times New Roman;serif" w:hAnsi="Times New Roman;serif"/>
          <w:b w:val="false"/>
          <w:color w:val="000000"/>
          <w:sz w:val="22"/>
        </w:rPr>
        <w:t>) day after the date of Executive’s signature hereto.</w:t>
      </w:r>
    </w:p>
    <w:p>
      <w:pPr>
        <w:pStyle w:val="TextBody"/>
        <w:bidi w:val="0"/>
        <w:spacing w:lineRule="auto" w:line="288" w:before="0" w:after="180"/>
        <w:ind w:left="0" w:right="0" w:firstLine="720"/>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Executive’s Release of the Company</w:t>
      </w:r>
      <w:r>
        <w:rPr>
          <w:rFonts w:ascii="Times New Roman;serif" w:hAnsi="Times New Roman;serif"/>
          <w:b w:val="false"/>
          <w:color w:val="000000"/>
          <w:sz w:val="22"/>
        </w:rPr>
        <w:t>. Executive understands that by agreeing to this Release, Executive is agreeing not to sue, or otherwise file any claim against, the Company or any of its directors, officers, employees, investors or other agents for any reason whatsoever based on anything that is the subject of this Release and that has occurred as of the date Executive signs this Release.</w:t>
      </w:r>
    </w:p>
    <w:p>
      <w:pPr>
        <w:pStyle w:val="TextBody"/>
        <w:bidi w:val="0"/>
        <w:spacing w:lineRule="auto" w:line="288" w:before="0" w:after="180"/>
        <w:ind w:left="0" w:right="0" w:firstLine="1440"/>
        <w:jc w:val="left"/>
        <w:rPr/>
      </w:pPr>
      <w:r>
        <w:rPr>
          <w:rFonts w:ascii="Times New Roman;serif" w:hAnsi="Times New Roman;serif"/>
          <w:b w:val="false"/>
          <w:color w:val="000000"/>
          <w:sz w:val="22"/>
        </w:rPr>
        <w:t>(a)    On behalf of Executive and Executive’s heirs, assigns, executors, administrators, trusts, spouse and estate, Executive hereby releases and forever discharges the “</w:t>
      </w:r>
      <w:r>
        <w:rPr>
          <w:rFonts w:ascii="Times New Roman;serif" w:hAnsi="Times New Roman;serif"/>
          <w:b w:val="false"/>
          <w:color w:val="000000"/>
          <w:sz w:val="22"/>
          <w:u w:val="single"/>
        </w:rPr>
        <w:t>Releasees</w:t>
      </w:r>
      <w:r>
        <w:rPr>
          <w:color w:val="000000"/>
        </w:rPr>
        <w:t xml:space="preserve">” </w:t>
      </w:r>
      <w:r>
        <w:rPr>
          <w:rFonts w:ascii="Times New Roman;serif" w:hAnsi="Times New Roman;serif"/>
          <w:b w:val="false"/>
          <w:color w:val="000000"/>
          <w:sz w:val="22"/>
        </w:rPr>
        <w:t>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the Age Discrimination in Employment Act, as amended, 29 U.S.C. § 621,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Massachusetts Fair Employment Practices Act., the Massachusetts Civil Rights Act, the Massachusetts Equal Rights Act, the Massachusetts Equal Pay Act, the Massachusetts Labor and Industries Act, Massachusetts Right of Privacy law), the Massachusetts Parental Leave Act, the Massachusetts Small Necessities Leave Act and any other federal, state or local laws of similar effect; the employment and civil rights laws of Massachusetts; Claims for breach of implied or express contract; Claims arising in tort, including, without limitation, Claims of wrongful dismissal or discharge, discrimination, harassment, retaliation, fraud, misrepresentation, defamation, libel, slander,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01040"/>
                <wp:effectExtent l="0" t="0" r="0" b="0"/>
                <wp:wrapNone/>
                <wp:docPr id="167" name="Frame16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Notwithstanding the generality of the foregoing, Executive does not release the following claims:</w:t>
      </w:r>
    </w:p>
    <w:p>
      <w:pPr>
        <w:pStyle w:val="TextBody"/>
        <w:bidi w:val="0"/>
        <w:spacing w:lineRule="auto" w:line="288" w:before="0" w:after="180"/>
        <w:ind w:left="0" w:right="0" w:firstLine="1440"/>
        <w:jc w:val="left"/>
        <w:rPr/>
      </w:pPr>
      <w:r>
        <w:rPr>
          <w:rFonts w:ascii="Times New Roman;serif" w:hAnsi="Times New Roman;serif"/>
          <w:b w:val="false"/>
          <w:color w:val="000000"/>
          <w:sz w:val="22"/>
        </w:rPr>
        <w:t>(i)    Claims to enforce Executive’s rights under the Transition and Separation Agreement entered into between the Company and Executive on [________], 2025 (the “</w:t>
      </w:r>
      <w:r>
        <w:rPr>
          <w:rFonts w:ascii="Times New Roman;serif" w:hAnsi="Times New Roman;serif"/>
          <w:b w:val="false"/>
          <w:color w:val="000000"/>
          <w:sz w:val="22"/>
          <w:u w:val="single"/>
        </w:rPr>
        <w:t>Transition and Separation Agreement</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    Claims for unemployment compensation or any state disability insurance benefits pursuant to the terms of applicable state law; </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    Claims for workers’ compensation insurance benefits under the terms of any worker’s compensation insurance policy or fund of the Company;</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    Claims to continued participation in certain of the Company’s group benefit plans pursuant to the terms and conditions of COBRA;</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    Claims to accrued but unpaid base salary, accrued but unpaid paid time off or any benefit entitlements vested as the date of Executive’s employment termination, pursuant to written terms of any Company or affiliate employee benefit plan, program or policy, including to vested stock options;</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    Claims for indemnification under any indemnification agreement, the Company’s Bylaws or other organizational documents, applicable directors’ and officers’ insurance coverage, or any other applicable law;</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    Executive’s right to enforce the terms of this Agreement; and</w:t>
      </w:r>
    </w:p>
    <w:p>
      <w:pPr>
        <w:pStyle w:val="TextBody"/>
        <w:bidi w:val="0"/>
        <w:spacing w:lineRule="auto" w:line="288" w:before="0" w:after="180"/>
        <w:ind w:left="0" w:right="0" w:firstLine="1440"/>
        <w:jc w:val="left"/>
        <w:rPr/>
      </w:pPr>
      <w:r>
        <w:rPr>
          <w:rFonts w:ascii="Times New Roman;serif" w:hAnsi="Times New Roman;serif"/>
          <w:b w:val="false"/>
          <w:color w:val="000000"/>
          <w:sz w:val="22"/>
        </w:rPr>
        <w:t xml:space="preserve">(viii)    Executive’s right to bring to the attention of the Equal Employment Opportunity Commission claims of discrimination;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Executive does release Executive’s right to secure any damages for alleged discriminatory treatment.</w:t>
      </w:r>
    </w:p>
    <w:p>
      <w:pPr>
        <w:pStyle w:val="TextBody"/>
        <w:bidi w:val="0"/>
        <w:spacing w:lineRule="auto" w:line="288" w:before="0" w:after="180"/>
        <w:ind w:left="0" w:right="0" w:firstLine="1440"/>
        <w:jc w:val="left"/>
        <w:rPr/>
      </w:pPr>
      <w:r>
        <w:rPr>
          <w:rFonts w:ascii="Times New Roman;serif" w:hAnsi="Times New Roman;serif"/>
          <w:b w:val="false"/>
          <w:color w:val="000000"/>
          <w:sz w:val="22"/>
        </w:rPr>
        <w:t>(c)    </w:t>
      </w:r>
      <w:r>
        <w:rPr>
          <w:rFonts w:ascii="Times New Roman;serif" w:hAnsi="Times New Roman;serif"/>
          <w:b w:val="false"/>
          <w:i/>
          <w:color w:val="000000"/>
          <w:sz w:val="22"/>
        </w:rPr>
        <w:t xml:space="preserve">Acknowledgement. </w:t>
      </w:r>
      <w:r>
        <w:rPr>
          <w:rFonts w:ascii="Times New Roman;serif" w:hAnsi="Times New Roman;serif"/>
          <w:b w:val="false"/>
          <w:color w:val="000000"/>
          <w:sz w:val="22"/>
        </w:rPr>
        <w:t>In accordance with the Older Workers Benefit Protection Act of 1990, Executive has been advised of the following:</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Executive should consult with an attorney before signing this Agreement;</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    Executive has been given at least twenty-one (21) days to consider this Agreement;</w:t>
      </w:r>
    </w:p>
    <w:p>
      <w:pPr>
        <w:pStyle w:val="TextBody"/>
        <w:bidi w:val="0"/>
        <w:spacing w:lineRule="auto" w:line="288" w:before="0" w:after="18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    Executive has seven (7) days after signing this Agreement to revoke it. If Executive wishes to revoke this Agreement, Executive must deliver notice of Executive’s revocation in writing, no later than 5:00 p.m. on the 7th day following Executive’s execution of this Release to [__________], email: [__________@_______]. Executive understands that if Executive revokes this Release, it will be null and void in its entirety, and Executive will not be entitled to any payments or benefits provided in the Transition and Separation Agreement, other than as provided in Section 3 thereof.</w:t>
      </w:r>
    </w:p>
    <w:p>
      <w:pPr>
        <w:pStyle w:val="TextBody"/>
        <w:bidi w:val="0"/>
        <w:spacing w:lineRule="auto" w:line="288" w:before="0" w:after="180"/>
        <w:ind w:left="0" w:right="0" w:firstLine="720"/>
        <w:jc w:val="left"/>
        <w:rPr/>
      </w:pPr>
      <w:r>
        <w:rPr>
          <w:rFonts w:ascii="Times New Roman;serif" w:hAnsi="Times New Roman;serif"/>
          <w:b w:val="false"/>
          <w:color w:val="000000"/>
          <w:sz w:val="22"/>
        </w:rPr>
        <w:t>2.    </w:t>
      </w:r>
      <w:r>
        <w:rPr>
          <w:rFonts w:ascii="Times New Roman;serif" w:hAnsi="Times New Roman;serif"/>
          <w:b w:val="false"/>
          <w:color w:val="000000"/>
          <w:sz w:val="22"/>
          <w:u w:val="single"/>
        </w:rPr>
        <w:t>Executive Representations</w:t>
      </w:r>
      <w:r>
        <w:rPr>
          <w:rFonts w:ascii="Times New Roman;serif" w:hAnsi="Times New Roman;serif"/>
          <w:b w:val="false"/>
          <w:color w:val="000000"/>
          <w:sz w:val="22"/>
        </w:rPr>
        <w:t xml:space="preserve">. Executive warrants and represents that (a) Executive has not filed or authorized the filing of any complaints, charges or lawsuits against the Company or any of its affiliates with any governmental agency or court, and that if, unbeknownst to Executive, such a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01040"/>
                <wp:effectExtent l="0" t="0" r="0" b="0"/>
                <wp:wrapNone/>
                <wp:docPr id="168" name="Frame16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complaint, charge or lawsuit has been filed on Executive’s behalf, Executive will immediately cause it to be withdrawn and dismissed, (b) Executive has been paid all compensation, wages, bonuses, commissions, and/or benefits to which Executive may be entitled and no other compensation, wages, bonuses, commissions and/or benefits are due to Executive, except as provided in Sections 5 of the Transition and Separation Agreement, (c) Executive has no known workplace injuries or occupational diseases and has been provided and/or has not been denied any leave requested under the Family and Medical Leave Act or any similar state law, (d) the execution, delivery and performance of this Release by Executive does not and will not conflict with, breach, violate or cause a default under any agreement, contract or instrument to which Executive is a party or any judgment, order or decree to which Executive is subject, and (e) upon the execution and delivery of this Release by the Company and Executive, this Release will be a valid and binding obligation of Executive, enforceable in accordance with its terms.</w:t>
      </w:r>
    </w:p>
    <w:p>
      <w:pPr>
        <w:pStyle w:val="TextBody"/>
        <w:bidi w:val="0"/>
        <w:spacing w:lineRule="auto" w:line="288" w:before="0" w:after="180"/>
        <w:ind w:left="0" w:right="0" w:firstLine="72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Maintaining Confidential Information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Executive reaffirms Executive’s obligations under the Confidential Information Agreement (as defined in the Transition and Separation Agreement). Executive acknowledges and agrees that the payments and benefits provided in Section 4 of the Transition and Separation Agreement shall be subject to Executive’s continued compliance with Executive’s obligations under the Confidential Information Agreement. </w:t>
      </w:r>
    </w:p>
    <w:p>
      <w:pPr>
        <w:pStyle w:val="TextBody"/>
        <w:bidi w:val="0"/>
        <w:spacing w:lineRule="auto" w:line="288" w:before="0" w:after="180"/>
        <w:ind w:left="0" w:right="0" w:firstLine="72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Cooperation With the Company</w:t>
      </w:r>
      <w:r>
        <w:rPr>
          <w:rFonts w:ascii="Times New Roman;serif" w:hAnsi="Times New Roman;serif"/>
          <w:b w:val="false"/>
          <w:color w:val="000000"/>
          <w:sz w:val="22"/>
        </w:rPr>
        <w:t xml:space="preserve">. Executive reaffirms Executive’s obligations to cooperate with the Company pursuant to Section 14 of the Transition and Separation Agreement. </w:t>
      </w:r>
    </w:p>
    <w:p>
      <w:pPr>
        <w:pStyle w:val="TextBody"/>
        <w:bidi w:val="0"/>
        <w:spacing w:lineRule="auto" w:line="288" w:before="0" w:after="180"/>
        <w:ind w:left="0" w:right="0" w:firstLine="72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Severability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provisions of this Release are severable. If any provision is held to be invalid or unenforceable, it shall not affect the validity or enforceability of any other provision.</w:t>
      </w:r>
    </w:p>
    <w:p>
      <w:pPr>
        <w:pStyle w:val="TextBody"/>
        <w:bidi w:val="0"/>
        <w:spacing w:lineRule="auto" w:line="288" w:before="0" w:after="180"/>
        <w:ind w:left="0" w:right="0" w:firstLine="72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Choice of Law</w:t>
      </w:r>
      <w:r>
        <w:rPr>
          <w:rFonts w:ascii="Times New Roman;serif" w:hAnsi="Times New Roman;serif"/>
          <w:b w:val="false"/>
          <w:color w:val="000000"/>
          <w:sz w:val="22"/>
        </w:rPr>
        <w:t>. This Release shall in all respects be governed and construed in accordance with the laws of the Commonwealth of Massachusetts, including all matters of construction, validity and performance, without regard to conflicts of law principles.</w:t>
      </w:r>
    </w:p>
    <w:p>
      <w:pPr>
        <w:pStyle w:val="TextBody"/>
        <w:bidi w:val="0"/>
        <w:spacing w:lineRule="auto" w:line="288" w:before="0" w:after="180"/>
        <w:ind w:left="0" w:right="0" w:firstLine="720"/>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Integration Clause</w:t>
      </w:r>
      <w:r>
        <w:rPr>
          <w:rFonts w:ascii="Times New Roman;serif" w:hAnsi="Times New Roman;serif"/>
          <w:b w:val="false"/>
          <w:color w:val="000000"/>
          <w:sz w:val="22"/>
        </w:rPr>
        <w:t>. This Release and the Transition and Separation Agreement contain the Parties’ entire agreement with regard to the transition and separation of Executive’s employment, and supersede and replace any prior agreements as to those matters, whether oral or written. This Release may not be changed or modified, in whole or in part, except by an instrument in writing signed by Executive and the Chief Executive Officer of the Company.</w:t>
      </w:r>
    </w:p>
    <w:p>
      <w:pPr>
        <w:pStyle w:val="TextBody"/>
        <w:bidi w:val="0"/>
        <w:spacing w:lineRule="auto" w:line="288" w:before="0" w:after="180"/>
        <w:ind w:left="0" w:right="0" w:firstLine="720"/>
        <w:jc w:val="left"/>
        <w:rPr/>
      </w:pPr>
      <w:r>
        <w:rPr>
          <w:rFonts w:ascii="Times New Roman;serif" w:hAnsi="Times New Roman;serif"/>
          <w:b w:val="false"/>
          <w:color w:val="000000"/>
          <w:sz w:val="22"/>
        </w:rPr>
        <w:t>8.    </w:t>
      </w:r>
      <w:r>
        <w:rPr>
          <w:rFonts w:ascii="Times New Roman;serif" w:hAnsi="Times New Roman;serif"/>
          <w:b w:val="false"/>
          <w:color w:val="000000"/>
          <w:sz w:val="22"/>
          <w:u w:val="single"/>
        </w:rPr>
        <w:t>Execution in Counterparts</w:t>
      </w:r>
      <w:r>
        <w:rPr>
          <w:rFonts w:ascii="Times New Roman;serif" w:hAnsi="Times New Roman;serif"/>
          <w:b w:val="false"/>
          <w:color w:val="000000"/>
          <w:sz w:val="22"/>
        </w:rPr>
        <w:t>. This Release may be executed in counterparts with the same force and effectiveness as though executed in a single document. Facsimile signatures shall have the same force and effectiveness as original signatures.</w:t>
      </w:r>
    </w:p>
    <w:p>
      <w:pPr>
        <w:pStyle w:val="TextBody"/>
        <w:bidi w:val="0"/>
        <w:spacing w:lineRule="auto" w:line="288" w:before="0" w:after="180"/>
        <w:ind w:left="0" w:right="0" w:firstLine="720"/>
        <w:jc w:val="left"/>
        <w:rPr/>
      </w:pPr>
      <w:r>
        <w:rPr>
          <w:rFonts w:ascii="Times New Roman;serif" w:hAnsi="Times New Roman;serif"/>
          <w:b w:val="false"/>
          <w:color w:val="000000"/>
          <w:sz w:val="22"/>
        </w:rPr>
        <w:t>9.    </w:t>
      </w:r>
      <w:r>
        <w:rPr>
          <w:rFonts w:ascii="Times New Roman;serif" w:hAnsi="Times New Roman;serif"/>
          <w:b w:val="false"/>
          <w:color w:val="000000"/>
          <w:sz w:val="22"/>
          <w:u w:val="single"/>
        </w:rPr>
        <w:t>Intent to be Bound</w:t>
      </w:r>
      <w:r>
        <w:rPr>
          <w:rFonts w:ascii="Times New Roman;serif" w:hAnsi="Times New Roman;serif"/>
          <w:b w:val="false"/>
          <w:color w:val="000000"/>
          <w:sz w:val="22"/>
        </w:rPr>
        <w:t>. The Parties have carefully read this Release in its entirety; fully understand and agree to its terms and provisions; and intend and agree that it is final and binding on all Parties.</w:t>
      </w:r>
    </w:p>
    <w:p>
      <w:pPr>
        <w:pStyle w:val="TextBody"/>
        <w:bidi w:val="0"/>
        <w:spacing w:lineRule="auto" w:line="288" w:before="0" w:after="18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01040"/>
                <wp:effectExtent l="0" t="0" r="0" b="0"/>
                <wp:wrapNone/>
                <wp:docPr id="169" name="Frame16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have caused this General Release of Claims to be duly executed and delivered as of the date indicated next to their respective signatures below.</w:t>
      </w:r>
    </w:p>
    <w:p>
      <w:pPr>
        <w:pStyle w:val="TextBody"/>
        <w:bidi w:val="0"/>
        <w:spacing w:before="0" w:after="180"/>
        <w:jc w:val="both"/>
        <w:rPr/>
      </w:pPr>
      <w:r>
        <w:rPr/>
      </w:r>
    </w:p>
    <w:tbl>
      <w:tblPr>
        <w:tblW w:w="5608" w:type="dxa"/>
        <w:jc w:val="left"/>
        <w:tblInd w:w="0" w:type="dxa"/>
        <w:tblLayout w:type="fixed"/>
        <w:tblCellMar>
          <w:top w:w="28" w:type="dxa"/>
          <w:left w:w="28" w:type="dxa"/>
          <w:bottom w:w="28" w:type="dxa"/>
          <w:right w:w="28" w:type="dxa"/>
        </w:tblCellMar>
      </w:tblPr>
      <w:tblGrid>
        <w:gridCol w:w="1060"/>
        <w:gridCol w:w="931"/>
        <w:gridCol w:w="934"/>
        <w:gridCol w:w="238"/>
        <w:gridCol w:w="238"/>
        <w:gridCol w:w="243"/>
        <w:gridCol w:w="574"/>
        <w:gridCol w:w="574"/>
        <w:gridCol w:w="816"/>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________________</w:t>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Elizabeth Grammer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ARDELYX, INC.</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________________</w:t>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Title:</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10.15</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01040"/>
                <wp:effectExtent l="0" t="0" r="0" b="0"/>
                <wp:wrapNone/>
                <wp:docPr id="170" name="Frame16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ARDELYX,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FIFTH AMENDED AND RESTATED</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NON-EMPLOYEE DIRECTOR COMPENSATION PROGRAM</w:t>
      </w:r>
    </w:p>
    <w:p>
      <w:pPr>
        <w:pStyle w:val="TextBody"/>
        <w:bidi w:val="0"/>
        <w:spacing w:lineRule="auto" w:line="288" w:before="0" w:after="180"/>
        <w:ind w:left="0" w:right="0" w:firstLine="720"/>
        <w:jc w:val="both"/>
        <w:rPr/>
      </w:pPr>
      <w:r>
        <w:rPr>
          <w:rFonts w:ascii="Times New Roman;serif" w:hAnsi="Times New Roman;serif"/>
          <w:b w:val="false"/>
          <w:color w:val="000000"/>
          <w:sz w:val="24"/>
        </w:rPr>
        <w:t>Non-employee members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Ardelyx,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shall be eligible to receive cash and equity compensation as set forth in this Non-Employee Director Compensation Program (this “</w:t>
      </w:r>
      <w:r>
        <w:rPr>
          <w:rFonts w:ascii="Times New Roman;serif" w:hAnsi="Times New Roman;serif"/>
          <w:b/>
          <w:i/>
          <w:color w:val="000000"/>
          <w:sz w:val="24"/>
        </w:rPr>
        <w:t>Program</w:t>
      </w:r>
      <w:r>
        <w:rPr>
          <w:color w:val="000000"/>
        </w:rPr>
        <w:t>”</w:t>
      </w:r>
      <w:r>
        <w:rPr>
          <w:rFonts w:ascii="Times New Roman;serif" w:hAnsi="Times New Roman;serif"/>
          <w:b w:val="false"/>
          <w:color w:val="000000"/>
          <w:sz w:val="24"/>
        </w:rPr>
        <w:t>), which was adopted pursuant to the Board’s resolutions on May 23, 2014, and amended pursuant to the Board’s resolutions on the dates set forth below.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serif" w:hAnsi="Times New Roman;serif"/>
          <w:b/>
          <w:i/>
          <w:color w:val="000000"/>
          <w:sz w:val="24"/>
        </w:rPr>
        <w:t>Non-Employee Director</w:t>
      </w:r>
      <w:r>
        <w:rPr>
          <w:color w:val="000000"/>
        </w:rPr>
        <w:t>”</w:t>
      </w:r>
      <w:r>
        <w:rPr>
          <w:rFonts w:ascii="Times New Roman;serif" w:hAnsi="Times New Roman;serif"/>
          <w:b w:val="false"/>
          <w:color w:val="000000"/>
          <w:sz w:val="24"/>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as amended and restated herein, shall become effective on December 10,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Cash Compensation</w:t>
      </w:r>
      <w:r>
        <w:rPr>
          <w:rFonts w:ascii="Times New Roman;serif" w:hAnsi="Times New Roman;serif"/>
          <w:b w:val="false"/>
          <w:color w:val="000000"/>
          <w:sz w:val="24"/>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Annual Retainers</w:t>
      </w:r>
      <w:r>
        <w:rPr>
          <w:rFonts w:ascii="Times New Roman;serif" w:hAnsi="Times New Roman;serif"/>
          <w:b w:val="false"/>
          <w:color w:val="000000"/>
          <w:sz w:val="24"/>
        </w:rPr>
        <w:t xml:space="preserve">. Each Non-Employee Director shall be eligible to receive an annual retainer of $50,000 for service on the Board. </w:t>
      </w:r>
    </w:p>
    <w:p>
      <w:pPr>
        <w:pStyle w:val="TextBody"/>
        <w:bidi w:val="0"/>
        <w:spacing w:lineRule="auto" w:line="288" w:before="0" w:after="18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Additional Annual Retainers</w:t>
      </w:r>
      <w:r>
        <w:rPr>
          <w:rFonts w:ascii="Times New Roman;serif" w:hAnsi="Times New Roman;serif"/>
          <w:b w:val="false"/>
          <w:color w:val="000000"/>
          <w:sz w:val="24"/>
        </w:rPr>
        <w:t>. In addition, a Non-Employee Director shall receive the following annual retainers:</w:t>
      </w:r>
    </w:p>
    <w:p>
      <w:pPr>
        <w:pStyle w:val="TextBody"/>
        <w:bidi w:val="0"/>
        <w:spacing w:lineRule="auto" w:line="288" w:before="0" w:after="18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A Non-Employee Director serving as Chairman of the Board shall receive an additional annual retainer of $40,000 for such service.</w:t>
      </w:r>
    </w:p>
    <w:p>
      <w:pPr>
        <w:pStyle w:val="TextBody"/>
        <w:bidi w:val="0"/>
        <w:spacing w:lineRule="auto" w:line="288" w:before="0" w:after="180"/>
        <w:ind w:left="0" w:right="0" w:firstLine="216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Audit Committee</w:t>
      </w:r>
      <w:r>
        <w:rPr>
          <w:rFonts w:ascii="Times New Roman;serif" w:hAnsi="Times New Roman;serif"/>
          <w:b w:val="false"/>
          <w:color w:val="000000"/>
          <w:sz w:val="24"/>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pStyle w:val="TextBody"/>
        <w:bidi w:val="0"/>
        <w:spacing w:lineRule="auto" w:line="288" w:before="0" w:after="180"/>
        <w:ind w:left="0" w:right="0" w:firstLine="216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Compensation Committee</w:t>
      </w:r>
      <w:r>
        <w:rPr>
          <w:rFonts w:ascii="Times New Roman;serif" w:hAnsi="Times New Roman;serif"/>
          <w:b w:val="false"/>
          <w:color w:val="000000"/>
          <w:sz w:val="24"/>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pStyle w:val="TextBody"/>
        <w:bidi w:val="0"/>
        <w:spacing w:lineRule="auto" w:line="288" w:before="0" w:after="180"/>
        <w:ind w:left="0" w:right="0" w:firstLine="216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Nominating and Corporate Governance Committee</w:t>
      </w:r>
      <w:r>
        <w:rPr>
          <w:rFonts w:ascii="Times New Roman;serif" w:hAnsi="Times New Roman;serif"/>
          <w:b w:val="false"/>
          <w:color w:val="000000"/>
          <w:sz w:val="24"/>
        </w:rPr>
        <w:t xml:space="preserve">. A Non-Employee Director serving as Chairperson of the Nominating and Corporate Governance Committee shall receive an additional annual retainer of $10,000 for such service. A Non-Employee Director serving as a member of the Nominating and Corporate Governance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817880"/>
                <wp:effectExtent l="0" t="0" r="0" b="0"/>
                <wp:wrapNone/>
                <wp:docPr id="171" name="Frame169"/>
                <a:graphic xmlns:a="http://schemas.openxmlformats.org/drawingml/2006/main">
                  <a:graphicData uri="http://schemas.microsoft.com/office/word/2010/wordprocessingShape">
                    <wps:wsp>
                      <wps:cNvSpPr txBox="1"/>
                      <wps:spPr>
                        <a:xfrm>
                          <a:off x="0" y="0"/>
                          <a:ext cx="6480175" cy="8178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Committee (other than the Chairperson) shall receive an additional annual retainer of $5,000 for such service.</w:t>
      </w:r>
    </w:p>
    <w:p>
      <w:pPr>
        <w:pStyle w:val="TextBody"/>
        <w:bidi w:val="0"/>
        <w:spacing w:lineRule="auto" w:line="288" w:before="0" w:after="18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Payment of Retainers</w:t>
      </w:r>
      <w:r>
        <w:rPr>
          <w:rFonts w:ascii="Times New Roman;serif" w:hAnsi="Times New Roman;serif"/>
          <w:b w:val="false"/>
          <w:color w:val="000000"/>
          <w:sz w:val="24"/>
        </w:rPr>
        <w:t>. The annual retainers described in Sections 1(a) and 1(b) (the “</w:t>
      </w:r>
      <w:r>
        <w:rPr>
          <w:rFonts w:ascii="Times New Roman;serif" w:hAnsi="Times New Roman;serif"/>
          <w:b/>
          <w:i/>
          <w:color w:val="000000"/>
          <w:sz w:val="24"/>
        </w:rPr>
        <w:t>Annual Retainers</w:t>
      </w:r>
      <w:r>
        <w:rPr>
          <w:color w:val="000000"/>
        </w:rPr>
        <w:t>”</w:t>
      </w:r>
      <w:r>
        <w:rPr>
          <w:rFonts w:ascii="Times New Roman;serif" w:hAnsi="Times New Roman;serif"/>
          <w:b w:val="false"/>
          <w:color w:val="000000"/>
          <w:sz w:val="24"/>
        </w:rPr>
        <w:t>) shall be paid by the Company in a single cash lump sum immediately following the Effective Date and on the date of each annual meeting of the Company’s stockholders after the Effective Date. In the event a Non-Employee Director is initially elected or appointed to the Board or a committee thereunder on a date other than the date of an annual meeting of the Company’s stockholders, the Annual Retainers paid to such Non-Employee Director shall be paid on the date of election or appointment, prorated to reflect the number of months (rounded up to the next whole month) remaining until the next annual meeting of the Company’s stockholders.</w:t>
      </w:r>
    </w:p>
    <w:p>
      <w:pPr>
        <w:pStyle w:val="TextBody"/>
        <w:bidi w:val="0"/>
        <w:spacing w:lineRule="auto" w:line="288" w:before="0" w:after="18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Election to Receive Restricted Stock Units in Lieu of Annual Retainers</w:t>
      </w:r>
      <w:r>
        <w:rPr>
          <w:rFonts w:ascii="Times New Roman;serif" w:hAnsi="Times New Roman;serif"/>
          <w:b w:val="false"/>
          <w:color w:val="000000"/>
          <w:sz w:val="24"/>
        </w:rPr>
        <w:t xml:space="preserve">. </w:t>
      </w:r>
    </w:p>
    <w:p>
      <w:pPr>
        <w:pStyle w:val="TextBody"/>
        <w:bidi w:val="0"/>
        <w:spacing w:lineRule="auto" w:line="288" w:before="0" w:after="180"/>
        <w:jc w:val="both"/>
        <w:rPr/>
      </w:pPr>
      <w:r>
        <w:rPr>
          <w:rFonts w:ascii="Times New Roman;serif" w:hAnsi="Times New Roman;serif"/>
          <w:b w:val="false"/>
          <w:color w:val="000000"/>
          <w:sz w:val="24"/>
        </w:rPr>
        <w:t>Non-Employee Directors shall have the ability to elect to receive the Annual Retainers in an award of restricted stock units (a “</w:t>
      </w:r>
      <w:r>
        <w:rPr>
          <w:rFonts w:ascii="Times New Roman;serif" w:hAnsi="Times New Roman;serif"/>
          <w:b/>
          <w:i/>
          <w:color w:val="000000"/>
          <w:sz w:val="24"/>
        </w:rPr>
        <w:t>Retainer RSU Award</w:t>
      </w:r>
      <w:r>
        <w:rPr>
          <w:color w:val="000000"/>
        </w:rPr>
        <w:t>”</w:t>
      </w:r>
      <w:r>
        <w:rPr>
          <w:rFonts w:ascii="Times New Roman;serif" w:hAnsi="Times New Roman;serif"/>
          <w:b w:val="false"/>
          <w:color w:val="000000"/>
          <w:sz w:val="24"/>
        </w:rPr>
        <w:t>) in lieu of cash pursuant to an election form provided by the Company for such purpose. In the event that a Non-Employee Director timely makes an election to receive the Annual Retainers in Retainer RSU Award in lieu of cash, on the annual meeting of the Company’s stockholders, he or she will automatically be granted that number of fully vested restricted stock units calculated by dividing the aggregate amount of the Annual Retainers by the Fair Market Value (as defined in the Equity Plan (as defined below)) of a share of Company common stock on the date of grant, rounded down to the nearest whole restricted stock unit. The Retainer RSU Awards shall be granted under and shall be subject to the terms and provisions of the Company’s Amended and Restated 2014 Equity Incentive Award Plan or any other applicable Company equity incentive plan then-maintained by the Company (such plan, as may be amended from time to time, the “</w:t>
      </w:r>
      <w:r>
        <w:rPr>
          <w:rFonts w:ascii="Times New Roman;serif" w:hAnsi="Times New Roman;serif"/>
          <w:b/>
          <w:i/>
          <w:color w:val="000000"/>
          <w:sz w:val="24"/>
        </w:rPr>
        <w:t>Equity Plan</w:t>
      </w:r>
      <w:r>
        <w:rPr>
          <w:color w:val="000000"/>
        </w:rPr>
        <w:t>”</w:t>
      </w:r>
      <w:r>
        <w:rPr>
          <w:rFonts w:ascii="Times New Roman;serif" w:hAnsi="Times New Roman;serif"/>
          <w:b w:val="false"/>
          <w:color w:val="000000"/>
          <w:sz w:val="24"/>
        </w:rPr>
        <w:t>). In the event of any inconsistency between the Equity Plan and this Program, the terms of this Program shall control.</w:t>
      </w:r>
    </w:p>
    <w:p>
      <w:pPr>
        <w:pStyle w:val="TextBody"/>
        <w:bidi w:val="0"/>
        <w:spacing w:lineRule="auto" w:line="288" w:before="0" w:after="18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Election Method</w:t>
      </w:r>
      <w:r>
        <w:rPr>
          <w:rFonts w:ascii="Times New Roman;serif" w:hAnsi="Times New Roman;serif"/>
          <w:b w:val="false"/>
          <w:color w:val="000000"/>
          <w:sz w:val="24"/>
        </w:rPr>
        <w:t>. Each Retainer RSU Election must be submitted to the Company in the form and manner specified by the Board. Non-Employee Directors must complete and deliver the election form to the Company no later than 15 days prior to the next annual meeting of the Company’s stockholders, provided, that in the event the Board determines to permit the deferral of Retainer RSU Awards pursuant to Section 2(c), then the election to receive a Retainer RSU Award in lieu of cash must comply with the following timing requirements:</w:t>
      </w:r>
    </w:p>
    <w:p>
      <w:pPr>
        <w:pStyle w:val="TextBody"/>
        <w:bidi w:val="0"/>
        <w:spacing w:lineRule="auto" w:line="288" w:before="0" w:after="180"/>
        <w:ind w:left="0" w:right="0" w:firstLine="28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Initial Retainer RSU Election</w:t>
      </w:r>
      <w:r>
        <w:rPr>
          <w:rFonts w:ascii="Times New Roman;serif" w:hAnsi="Times New Roman;serif"/>
          <w:b w:val="false"/>
          <w:color w:val="000000"/>
          <w:sz w:val="24"/>
        </w:rPr>
        <w:t>. Each Non-Employee Director as of the date deferrals of restricted stock units are first permitted pursuant to Section 2(c) and each individual who first becomes a Non-Employee Director after the date such deferrals are first permitted may make a Retainer RSU Election with respect to the Annual Retainer scheduled to be paid after the Effective Date and in the same calendar year as such date or such individual first becomes a Non-Employee Director (the “</w:t>
      </w:r>
      <w:r>
        <w:rPr>
          <w:rFonts w:ascii="Times New Roman;serif" w:hAnsi="Times New Roman;serif"/>
          <w:b/>
          <w:i/>
          <w:color w:val="000000"/>
          <w:sz w:val="24"/>
        </w:rPr>
        <w:t>Initial Retainer RSU Election</w:t>
      </w:r>
      <w:r>
        <w:rPr>
          <w:color w:val="000000"/>
        </w:rPr>
        <w:t>”</w:t>
      </w:r>
      <w:r>
        <w:rPr>
          <w:rFonts w:ascii="Times New Roman;serif" w:hAnsi="Times New Roman;serif"/>
          <w:b w:val="false"/>
          <w:color w:val="000000"/>
          <w:sz w:val="24"/>
        </w:rPr>
        <w:t>). The Initial Retainer RSU Election must be submitted to the Company before the thirtieth day after deferrals of restricted stock units are first permitted or on or before the date that the individual first becomes a Non-Employee Director (the “</w:t>
      </w:r>
      <w:r>
        <w:rPr>
          <w:rFonts w:ascii="Times New Roman;serif" w:hAnsi="Times New Roman;serif"/>
          <w:b/>
          <w:i/>
          <w:color w:val="000000"/>
          <w:sz w:val="24"/>
        </w:rPr>
        <w:t>Initial Election Deadline</w:t>
      </w:r>
      <w:r>
        <w:rPr>
          <w:color w:val="000000"/>
        </w:rPr>
        <w:t>”</w:t>
      </w:r>
      <w:r>
        <w:rPr>
          <w:rFonts w:ascii="Times New Roman;serif" w:hAnsi="Times New Roman;serif"/>
          <w:b w:val="false"/>
          <w:color w:val="000000"/>
          <w:sz w:val="24"/>
        </w:rPr>
        <w:t xml:space="preserve">), and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77545"/>
                <wp:effectExtent l="0" t="0" r="0" b="0"/>
                <wp:wrapNone/>
                <wp:docPr id="172" name="Frame170"/>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the Initial Retainer RSU Election shall become final and irrevocable as of the Initial Election Deadline.</w:t>
      </w:r>
    </w:p>
    <w:p>
      <w:pPr>
        <w:pStyle w:val="TextBody"/>
        <w:bidi w:val="0"/>
        <w:spacing w:lineRule="auto" w:line="288" w:before="0" w:after="180"/>
        <w:ind w:left="0" w:right="0" w:firstLine="28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Annual Retainer RSU Election</w:t>
      </w:r>
      <w:r>
        <w:rPr>
          <w:rFonts w:ascii="Times New Roman;serif" w:hAnsi="Times New Roman;serif"/>
          <w:b w:val="false"/>
          <w:color w:val="000000"/>
          <w:sz w:val="24"/>
        </w:rPr>
        <w:t>. No later than December 31 of each calendar year, or such earlier deadline as may be established by the Board, in its discretion (the “</w:t>
      </w:r>
      <w:r>
        <w:rPr>
          <w:rFonts w:ascii="Times New Roman;serif" w:hAnsi="Times New Roman;serif"/>
          <w:b/>
          <w:i/>
          <w:color w:val="000000"/>
          <w:sz w:val="24"/>
        </w:rPr>
        <w:t>Annual Election Deadline</w:t>
      </w:r>
      <w:r>
        <w:rPr>
          <w:color w:val="000000"/>
        </w:rPr>
        <w:t>”</w:t>
      </w:r>
      <w:r>
        <w:rPr>
          <w:rFonts w:ascii="Times New Roman;serif" w:hAnsi="Times New Roman;serif"/>
          <w:b w:val="false"/>
          <w:color w:val="000000"/>
          <w:sz w:val="24"/>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serif" w:hAnsi="Times New Roman;serif"/>
          <w:b/>
          <w:i/>
          <w:color w:val="000000"/>
          <w:sz w:val="24"/>
        </w:rPr>
        <w:t>Annual Retainer RSU Election</w:t>
      </w:r>
      <w:r>
        <w:rPr>
          <w:color w:val="000000"/>
        </w:rPr>
        <w:t>”</w:t>
      </w:r>
      <w:r>
        <w:rPr>
          <w:rFonts w:ascii="Times New Roman;serif" w:hAnsi="Times New Roman;serif"/>
          <w:b w:val="false"/>
          <w:color w:val="000000"/>
          <w:sz w:val="24"/>
        </w:rPr>
        <w:t>). The Annual Retainer RSU Election must be submitted to the Company on or before the applicable Annual Election Deadline and shall become final and irrevocable for the subsequent calendar year as of the applicable Annual Election Deadline.</w:t>
      </w:r>
    </w:p>
    <w:p>
      <w:pPr>
        <w:pStyle w:val="TextBody"/>
        <w:bidi w:val="0"/>
        <w:spacing w:lineRule="auto" w:line="288" w:before="0" w:after="18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Equity Compensation</w:t>
      </w:r>
      <w:r>
        <w:rPr>
          <w:rFonts w:ascii="Times New Roman;serif" w:hAnsi="Times New Roman;serif"/>
          <w:b w:val="false"/>
          <w:color w:val="000000"/>
          <w:sz w:val="24"/>
        </w:rPr>
        <w:t>. Non-Employee Directors shall be granted the equity awards described below. The awards described below shall be granted under and shall be subject to the terms and provisions of the Equity Plan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In the event of any inconsistency between the Equity Plan and this Program, the terms of this Program shall control.</w:t>
      </w:r>
    </w:p>
    <w:p>
      <w:pPr>
        <w:pStyle w:val="TextBody"/>
        <w:bidi w:val="0"/>
        <w:spacing w:lineRule="auto" w:line="288" w:before="0" w:after="18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Initial Awards</w:t>
      </w:r>
      <w:r>
        <w:rPr>
          <w:rFonts w:ascii="Times New Roman;serif" w:hAnsi="Times New Roman;serif"/>
          <w:b w:val="false"/>
          <w:color w:val="000000"/>
          <w:sz w:val="24"/>
        </w:rPr>
        <w:t>. Each Non-Employee Director who is initially elected or appointed to the Board after the Effective Date shall be eligible to receive, on the date of such initial election or appointment, an equity grant comprised of an option to purchase shares of the Company’s common stock (the “</w:t>
      </w:r>
      <w:r>
        <w:rPr>
          <w:rFonts w:ascii="Times New Roman;serif" w:hAnsi="Times New Roman;serif"/>
          <w:b/>
          <w:i/>
          <w:color w:val="000000"/>
          <w:sz w:val="24"/>
        </w:rPr>
        <w:t>Initial Option Award</w:t>
      </w:r>
      <w:r>
        <w:rPr>
          <w:color w:val="000000"/>
        </w:rPr>
        <w:t>”</w:t>
      </w:r>
      <w:r>
        <w:rPr>
          <w:rFonts w:ascii="Times New Roman;serif" w:hAnsi="Times New Roman;serif"/>
          <w:b w:val="false"/>
          <w:color w:val="000000"/>
          <w:sz w:val="24"/>
        </w:rPr>
        <w:t>) and an award of restricted stock units (the “</w:t>
      </w:r>
      <w:r>
        <w:rPr>
          <w:rFonts w:ascii="Times New Roman;serif" w:hAnsi="Times New Roman;serif"/>
          <w:b/>
          <w:i/>
          <w:color w:val="000000"/>
          <w:sz w:val="24"/>
        </w:rPr>
        <w:t>Initial RSU Award</w:t>
      </w:r>
      <w:r>
        <w:rPr>
          <w:color w:val="000000"/>
        </w:rPr>
        <w:t xml:space="preserve">” </w:t>
      </w:r>
      <w:r>
        <w:rPr>
          <w:rFonts w:ascii="Times New Roman;serif" w:hAnsi="Times New Roman;serif"/>
          <w:b w:val="false"/>
          <w:color w:val="000000"/>
          <w:sz w:val="24"/>
        </w:rPr>
        <w:t>and together with the Initial Option Award, the “</w:t>
      </w:r>
      <w:r>
        <w:rPr>
          <w:rFonts w:ascii="Times New Roman;serif" w:hAnsi="Times New Roman;serif"/>
          <w:b/>
          <w:i/>
          <w:color w:val="000000"/>
          <w:sz w:val="24"/>
        </w:rPr>
        <w:t>Initial Awards</w:t>
      </w:r>
      <w:r>
        <w:rPr>
          <w:color w:val="000000"/>
        </w:rPr>
        <w:t>”</w:t>
      </w:r>
      <w:r>
        <w:rPr>
          <w:rFonts w:ascii="Times New Roman;serif" w:hAnsi="Times New Roman;serif"/>
          <w:b w:val="false"/>
          <w:color w:val="000000"/>
          <w:sz w:val="24"/>
        </w:rPr>
        <w:t xml:space="preserve">) with the split of the Initial Option Award and Initial RSU Award determined by the Board such that the aggregate grant date Fair Market Value of the Initial Awards is $450,000, but with a maximum number of shares of 200,000 shares of the Company’s common stock. No Non-Employee Director shall be granted more than one Initial Award. </w:t>
      </w:r>
    </w:p>
    <w:p>
      <w:pPr>
        <w:pStyle w:val="TextBody"/>
        <w:bidi w:val="0"/>
        <w:spacing w:lineRule="auto" w:line="288" w:before="0" w:after="18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Subsequent Awards</w:t>
      </w:r>
      <w:r>
        <w:rPr>
          <w:rFonts w:ascii="Times New Roman;serif" w:hAnsi="Times New Roman;serif"/>
          <w:b w:val="false"/>
          <w:color w:val="000000"/>
          <w:sz w:val="24"/>
        </w:rPr>
        <w:t>.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equity grant comprised of an option to purchase shares of the Company’s common stock (the “</w:t>
      </w:r>
      <w:r>
        <w:rPr>
          <w:rFonts w:ascii="Times New Roman;serif" w:hAnsi="Times New Roman;serif"/>
          <w:b/>
          <w:i/>
          <w:color w:val="000000"/>
          <w:sz w:val="24"/>
        </w:rPr>
        <w:t>Subsequent Option Award</w:t>
      </w:r>
      <w:r>
        <w:rPr>
          <w:color w:val="000000"/>
        </w:rPr>
        <w:t>”</w:t>
      </w:r>
      <w:r>
        <w:rPr>
          <w:rFonts w:ascii="Times New Roman;serif" w:hAnsi="Times New Roman;serif"/>
          <w:b w:val="false"/>
          <w:color w:val="000000"/>
          <w:sz w:val="24"/>
        </w:rPr>
        <w:t>) and an award of restricted stock units (the “</w:t>
      </w:r>
      <w:r>
        <w:rPr>
          <w:rFonts w:ascii="Times New Roman;serif" w:hAnsi="Times New Roman;serif"/>
          <w:b/>
          <w:i/>
          <w:color w:val="000000"/>
          <w:sz w:val="24"/>
        </w:rPr>
        <w:t>Subsequent RSU Award</w:t>
      </w:r>
      <w:r>
        <w:rPr>
          <w:color w:val="000000"/>
        </w:rPr>
        <w:t xml:space="preserve">” </w:t>
      </w:r>
      <w:r>
        <w:rPr>
          <w:rFonts w:ascii="Times New Roman;serif" w:hAnsi="Times New Roman;serif"/>
          <w:b w:val="false"/>
          <w:color w:val="000000"/>
          <w:sz w:val="24"/>
        </w:rPr>
        <w:t>and together with the Subsequent Option Award, the “</w:t>
      </w:r>
      <w:r>
        <w:rPr>
          <w:rFonts w:ascii="Times New Roman;serif" w:hAnsi="Times New Roman;serif"/>
          <w:b/>
          <w:i/>
          <w:color w:val="000000"/>
          <w:sz w:val="24"/>
        </w:rPr>
        <w:t>Subsequent Awards</w:t>
      </w:r>
      <w:r>
        <w:rPr>
          <w:color w:val="000000"/>
        </w:rPr>
        <w:t>”</w:t>
      </w:r>
      <w:r>
        <w:rPr>
          <w:rFonts w:ascii="Times New Roman;serif" w:hAnsi="Times New Roman;serif"/>
          <w:b w:val="false"/>
          <w:color w:val="000000"/>
          <w:sz w:val="24"/>
        </w:rPr>
        <w:t xml:space="preserve">) with the split of the Subsequent Option Award and Subsequent RSU Award determined by the Board such that the aggregate grant date Fair Market Value of the Subsequent Awards is $300,000, but covering a maximum of 100,000 shares of the Company’s common stock. For the avoidance of doubt, a Non-Employee Director elected for the first time to the Board at an annual meeting of the Company’s stockholders shall only receive Initial Awards in connection with such election, and shall not receive any Subsequent Awards on the date of such meeting as well.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77545"/>
                <wp:effectExtent l="0" t="0" r="0" b="0"/>
                <wp:wrapNone/>
                <wp:docPr id="173" name="Frame171"/>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Election to Defer Issuances of Restricted Stock Units</w:t>
      </w:r>
      <w:r>
        <w:rPr>
          <w:rFonts w:ascii="Times New Roman;serif" w:hAnsi="Times New Roman;serif"/>
          <w:b w:val="false"/>
          <w:color w:val="000000"/>
          <w:sz w:val="24"/>
        </w:rPr>
        <w:t>. The Board may, in its discretion, provide each Non-Employee Director with the opportunity to defer the issuance of the shares underlying the Retainer RSU Awards, Initial RSU Awards, and Subsequent RSU Awards, that would otherwise be issued to the Non-Employee Director in connection with the vesting or grant of the restricted stock units until the earliest of a fixed date properly elected by the Non-Employee Director, the Non-Employee Director’s Termination of Service or a Change in Control (each as defined in the Equity Plan). Any such deferral election (“</w:t>
      </w:r>
      <w:r>
        <w:rPr>
          <w:rFonts w:ascii="Times New Roman;serif" w:hAnsi="Times New Roman;serif"/>
          <w:b/>
          <w:i/>
          <w:color w:val="000000"/>
          <w:sz w:val="24"/>
        </w:rPr>
        <w:t>Deferral Election</w:t>
      </w:r>
      <w:r>
        <w:rPr>
          <w:color w:val="000000"/>
        </w:rPr>
        <w:t>”</w:t>
      </w:r>
      <w:r>
        <w:rPr>
          <w:rFonts w:ascii="Times New Roman;serif" w:hAnsi="Times New Roman;serif"/>
          <w:b w:val="false"/>
          <w:color w:val="000000"/>
          <w:sz w:val="24"/>
        </w:rPr>
        <w:t>) shall be subject to such rules, conditions and procedures as shall be determined by the Board, in its sole discretion, which rules, conditions and procedures shall at all times comply with the requirements of Section 409A of the Internal Revenue Code of 1986, as amended from time to time, unless otherwise specifically determined by the Board. If an individual elects to defer the delivery of the shares underlying the Retainer RSU Awards, Initial RSU Awards, and Subsequent RSU Awards, settlement of the deferred restricted stock units shall be made in accordance with the terms of the Deferral Election.</w:t>
      </w:r>
    </w:p>
    <w:p>
      <w:pPr>
        <w:pStyle w:val="TextBody"/>
        <w:bidi w:val="0"/>
        <w:spacing w:lineRule="auto" w:line="288" w:before="0" w:after="18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Election Method</w:t>
      </w:r>
      <w:r>
        <w:rPr>
          <w:rFonts w:ascii="Times New Roman;serif" w:hAnsi="Times New Roman;serif"/>
          <w:b w:val="false"/>
          <w:color w:val="000000"/>
          <w:sz w:val="24"/>
        </w:rPr>
        <w:t>. Each Deferral Election must be submitted to the Company in the form and manner specified by the Board. Deferral Elections must comply with the following timing requirements:</w:t>
      </w:r>
    </w:p>
    <w:p>
      <w:pPr>
        <w:pStyle w:val="TextBody"/>
        <w:bidi w:val="0"/>
        <w:spacing w:lineRule="auto" w:line="288" w:before="0" w:after="180"/>
        <w:ind w:left="0" w:right="0" w:firstLine="28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 During the thirty-day period immediately following the date the Board first determines to permit deferrals under this Program each Non-Employee Director and, solely in respect of each individual who first becomes a Non-Employee Director after the Effective Date, such Non-Employee Director may make a Deferral Election with respect to the Non-Employee Director’s Initial RSU Award, Subsequent RSU Awards and Retainer RSU Awards that otherwise would be granted after the date of such election and in the same calendar year as the date deferrals are first permitted or such individual first becomes a Non-Employee Director (the “</w:t>
      </w:r>
      <w:r>
        <w:rPr>
          <w:rFonts w:ascii="Times New Roman;serif" w:hAnsi="Times New Roman;serif"/>
          <w:b/>
          <w:i/>
          <w:color w:val="000000"/>
          <w:sz w:val="24"/>
        </w:rPr>
        <w:t>Initial Deferral Election</w:t>
      </w:r>
      <w:r>
        <w:rPr>
          <w:color w:val="000000"/>
        </w:rPr>
        <w:t>”</w:t>
      </w:r>
      <w:r>
        <w:rPr>
          <w:rFonts w:ascii="Times New Roman;serif" w:hAnsi="Times New Roman;serif"/>
          <w:b w:val="false"/>
          <w:color w:val="000000"/>
          <w:sz w:val="24"/>
        </w:rPr>
        <w:t>). The Initial Deferral Election must be submitted to the Company on or before the Initial Election Deadline, and the Initial Deferral Election shall become final and irrevocable as of the Initial Election Deadline.</w:t>
      </w:r>
    </w:p>
    <w:p>
      <w:pPr>
        <w:pStyle w:val="TextBody"/>
        <w:bidi w:val="0"/>
        <w:spacing w:lineRule="auto" w:line="288" w:before="0" w:after="180"/>
        <w:ind w:left="0" w:right="0" w:firstLine="28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Annual Deferral Election</w:t>
      </w:r>
      <w:r>
        <w:rPr>
          <w:rFonts w:ascii="Times New Roman;serif" w:hAnsi="Times New Roman;serif"/>
          <w:b w:val="false"/>
          <w:color w:val="000000"/>
          <w:sz w:val="24"/>
        </w:rPr>
        <w:t>. No later than the Annual Election Deadline, each individual who is a Non-Employee Director as of immediately before the Annual Election Deadline may make a Deferral Election with respect to the Subsequent RSU Award and Retainer RSU Awards to be granted in the following calendar year (the “</w:t>
      </w:r>
      <w:r>
        <w:rPr>
          <w:rFonts w:ascii="Times New Roman;serif" w:hAnsi="Times New Roman;serif"/>
          <w:b/>
          <w:i/>
          <w:color w:val="000000"/>
          <w:sz w:val="24"/>
        </w:rPr>
        <w:t>Annual Deferral Election</w:t>
      </w:r>
      <w:r>
        <w:rPr>
          <w:color w:val="000000"/>
        </w:rPr>
        <w:t>”</w:t>
      </w:r>
      <w:r>
        <w:rPr>
          <w:rFonts w:ascii="Times New Roman;serif" w:hAnsi="Times New Roman;serif"/>
          <w:b w:val="false"/>
          <w:color w:val="000000"/>
          <w:sz w:val="24"/>
        </w:rPr>
        <w:t>). The Annual Deferral Election must be submitted to the Company on or before the applicable Annual Election Deadline and shall become final and irrevocable for the subsequent calendar year as of the applicable Annual Election Deadline.</w:t>
      </w:r>
    </w:p>
    <w:p>
      <w:pPr>
        <w:pStyle w:val="TextBody"/>
        <w:bidi w:val="0"/>
        <w:spacing w:lineRule="auto" w:line="288" w:before="0" w:after="18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Termination of Service of Employee Directors</w:t>
      </w:r>
      <w:r>
        <w:rPr>
          <w:rFonts w:ascii="Times New Roman;serif" w:hAnsi="Times New Roman;serif"/>
          <w:b w:val="false"/>
          <w:color w:val="000000"/>
          <w:sz w:val="24"/>
        </w:rPr>
        <w:t xml:space="preserve">.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77545"/>
                <wp:effectExtent l="0" t="0" r="0" b="0"/>
                <wp:wrapNone/>
                <wp:docPr id="174" name="Frame172"/>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 xml:space="preserve">Terms of Awards Granted to Non-Employee Directors.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Purchase Price</w:t>
      </w:r>
      <w:r>
        <w:rPr>
          <w:rFonts w:ascii="Times New Roman;serif" w:hAnsi="Times New Roman;serif"/>
          <w:b w:val="false"/>
          <w:color w:val="000000"/>
          <w:sz w:val="24"/>
        </w:rPr>
        <w:t xml:space="preserve">. The per share exercise price of each option granted to a Non-Employee Director shall equal the Fair Market Value of a share of common stock on the date the option is granted. </w:t>
      </w:r>
    </w:p>
    <w:p>
      <w:pPr>
        <w:pStyle w:val="TextBody"/>
        <w:bidi w:val="0"/>
        <w:spacing w:lineRule="auto" w:line="288" w:before="0" w:after="180"/>
        <w:ind w:left="0" w:right="0" w:firstLine="216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Vesting</w:t>
      </w:r>
      <w:r>
        <w:rPr>
          <w:rFonts w:ascii="Times New Roman;serif" w:hAnsi="Times New Roman;serif"/>
          <w:b w:val="false"/>
          <w:color w:val="000000"/>
          <w:sz w:val="24"/>
        </w:rPr>
        <w:t>. Each Initial Option Award shall vest and become exercisable with respect to 1/36th of the shares subject to the Initial Option Award on each monthly anniversary of the date of grant, subject to the Non-Employee Director continuing in service on the Board through each such vesting date. Each Initial RSU Award shall vest with respect to 1/12th of the shares on each designated Company quarterly vest date following the date of grant, subject to the Non-Employee Director continuing in service on the Board through each such vesting date. Each Subsequent Option Award shall vest and become exercisable with respect to 1/12th of the shares subject to the Subsequent Option Award on each monthly anniversary of the date of grant, which vesting will accelerate in full immediately prior to the next annual meeting of the Company’s stockholders after the date of grant to the extent unvested as of such date, subject to the Non-Employee Director continuing in service on the Board through each such vesting date. Each Subsequent RSU Award shall vest with respect to 1/4th of the shares on each designated Company quarterly vest date following the date of grant, subject to the Non-Employee Director continuing in service on the Board through each such vesting date. Unless as otherwise specified herein, no portion of an Initial Award or Subsequent Award which is unvested and/or unexercisable at the time of a Non-Employee Director’s termination of service on the Board shall become vested and/or exercisable thereafter. All of a Non-Employee Director’s Initial Awards and Subsequent Awards, and any other stock options or other equity-based awards outstanding and held by the Non-Employee Director, shall vest in full immediately prior to the occurrence of a Change in Control, to the extent outstanding at such time.</w:t>
      </w:r>
    </w:p>
    <w:p>
      <w:pPr>
        <w:pStyle w:val="TextBody"/>
        <w:bidi w:val="0"/>
        <w:spacing w:lineRule="auto" w:line="288" w:before="0" w:after="180"/>
        <w:ind w:left="0" w:right="0" w:firstLine="216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each stock option granted to a Non-Employee Director shall be ten (10) years from the date the option is granted.</w:t>
      </w:r>
    </w:p>
    <w:p>
      <w:pPr>
        <w:pStyle w:val="TextBody"/>
        <w:bidi w:val="0"/>
        <w:spacing w:lineRule="auto" w:line="288" w:before="0" w:after="180"/>
        <w:ind w:left="0" w:right="0" w:firstLine="216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Equity Plan</w:t>
      </w:r>
      <w:r>
        <w:rPr>
          <w:rFonts w:ascii="Times New Roman;serif" w:hAnsi="Times New Roman;serif"/>
          <w:b w:val="false"/>
          <w:color w:val="000000"/>
          <w:sz w:val="24"/>
        </w:rPr>
        <w:t>. In the event of any inconsistency between the Equity Plan and this Program, the terms of this Program shall control.</w:t>
      </w:r>
    </w:p>
    <w:p>
      <w:pPr>
        <w:pStyle w:val="TextBody"/>
        <w:bidi w:val="0"/>
        <w:spacing w:lineRule="auto" w:line="288" w:before="0" w:after="18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Reimbursements</w:t>
      </w:r>
      <w:r>
        <w:rPr>
          <w:rFonts w:ascii="Times New Roman;serif" w:hAnsi="Times New Roman;serif"/>
          <w:b w:val="false"/>
          <w:color w:val="000000"/>
          <w:sz w:val="24"/>
        </w:rPr>
        <w:t xml:space="preserve">.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lineRule="auto" w:line="288" w:before="0" w:after="160"/>
        <w:jc w:val="left"/>
        <w:rPr>
          <w:rFonts w:ascii="Times New Roman;serif" w:hAnsi="Times New Roman;serif"/>
          <w:b w:val="false"/>
          <w:color w:val="000000"/>
          <w:sz w:val="21"/>
        </w:rPr>
      </w:pPr>
      <w:r>
        <w:rPr>
          <w:rFonts w:ascii="Times New Roman;serif" w:hAnsi="Times New Roman;serif"/>
          <w:b w:val="false"/>
          <w:color w:val="000000"/>
          <w:sz w:val="21"/>
        </w:rPr>
        <w:t>Adopted pursuant to Board resolution: May 23, 2014</w:t>
      </w:r>
    </w:p>
    <w:p>
      <w:pPr>
        <w:pStyle w:val="TextBody"/>
        <w:bidi w:val="0"/>
        <w:spacing w:lineRule="auto" w:line="288" w:before="0" w:after="160"/>
        <w:jc w:val="left"/>
        <w:rPr>
          <w:rFonts w:ascii="Times New Roman;serif" w:hAnsi="Times New Roman;serif"/>
          <w:b w:val="false"/>
          <w:color w:val="000000"/>
          <w:sz w:val="21"/>
        </w:rPr>
      </w:pPr>
      <w:r>
        <w:rPr>
          <w:rFonts w:ascii="Times New Roman;serif" w:hAnsi="Times New Roman;serif"/>
          <w:b w:val="false"/>
          <w:color w:val="000000"/>
          <w:sz w:val="21"/>
        </w:rPr>
        <w:t>Amended pursuant to Board resolution:</w:t>
      </w:r>
    </w:p>
    <w:p>
      <w:pPr>
        <w:pStyle w:val="TextBody"/>
        <w:bidi w:val="0"/>
        <w:spacing w:lineRule="auto" w:line="288" w:before="0" w:after="160"/>
        <w:jc w:val="left"/>
        <w:rPr>
          <w:rFonts w:ascii="Times New Roman;serif" w:hAnsi="Times New Roman;serif"/>
          <w:b w:val="false"/>
          <w:color w:val="000000"/>
          <w:sz w:val="21"/>
        </w:rPr>
      </w:pPr>
      <w:r>
        <w:rPr>
          <w:rFonts w:ascii="Times New Roman;serif" w:hAnsi="Times New Roman;serif"/>
          <w:b w:val="false"/>
          <w:color w:val="000000"/>
          <w:sz w:val="21"/>
        </w:rPr>
        <w:t xml:space="preserve">March 3, 2017; March 14, 2019; March 11, 2021; June 15, 2022; December 5, 2023; January 9, 2025; April 28, 2025 and December 10,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77545"/>
                <wp:effectExtent l="0" t="0" r="0" b="0"/>
                <wp:wrapNone/>
                <wp:docPr id="175" name="Frame173"/>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|US-DOCS\158962016.1||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CERTAIN INFORMATION IDENTIFIED BY “[***]” HAS BEEN EXCLUDED FROM THE EXHIBIT BECAUSE IT IS BOTH NOT MATERIAL AND IS THE TYPE OF INFORMATION THAT THE REGISTRANT TREATS AS PRIVATE OR CONFIDENTIAL.</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10.24(a)</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Confidential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LICENSE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KYOWA HAKKO KIRIN CO.,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ARDELYX,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November 27, 2017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Confidential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968"/>
        <w:gridCol w:w="754"/>
        <w:gridCol w:w="754"/>
        <w:gridCol w:w="1278"/>
        <w:gridCol w:w="1148"/>
        <w:gridCol w:w="1148"/>
        <w:gridCol w:w="1148"/>
        <w:gridCol w:w="1148"/>
        <w:gridCol w:w="1180"/>
        <w:gridCol w:w="203"/>
        <w:gridCol w:w="203"/>
        <w:gridCol w:w="273"/>
      </w:tblGrid>
      <w:tr>
        <w:trPr/>
        <w:tc>
          <w:tcPr>
            <w:tcW w:w="96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AND CONSTRUCTION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GRANT OF RIGHTS AND LICENSES; EXCLUSIVITY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Licenses to KHK</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Sublicenses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Distributorships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Provision of Development Data, Regulatory Documentation and Assistance. </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Rights Retained by Ardelyx</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License to Ardelyx</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Indication Development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2.08</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Implied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2.09</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Exclusivity Term</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Right of First Negotiation for Licensed Products Outside of the Field</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Right of First Negotiation for New NHE3 Inhibitor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2.12</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Exclusivity Covenant.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ARTICLE III. COLLABORATION GOVERNANCE; DEVELOPMENT AND COMMERCIALIZATION PLANS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3.01</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Steering Committee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3.02</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Composition of the SC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3.03</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Responsibilities of the SC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3.04</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Development Plans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3.05</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Commercialization Plans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3.06</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Meetings of the SC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3.07</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SC Decision Making</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3.08</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Joint Project Team</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3.09</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Alliance Managers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ARTICLE IV. GENERAL PROVISIONS ON DEVELOPMENT AND COMMERCIALIZATION; </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4.01</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Record Keeping</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4.02</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Conduct of Certain Development Activities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4.03</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Diligence Obligations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4.04</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Reports of Development Activities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4.05</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Regulatory Matters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4.06</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Adverse Event Reporting and Product Recall</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4.07</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General Provisions Regarding Commercialization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ARTICLE V. MANUFACTURE AND SUPPLY </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5.01</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Supply.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5.02</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Development Work</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5.03</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Technology Transfer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5.04</w:t>
            </w:r>
          </w:p>
        </w:tc>
        <w:tc>
          <w:tcPr>
            <w:tcW w:w="70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Manufacturing Option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55" w:type="dxa"/>
        <w:jc w:val="left"/>
        <w:tblInd w:w="0" w:type="dxa"/>
        <w:tblLayout w:type="fixed"/>
        <w:tblCellMar>
          <w:top w:w="28" w:type="dxa"/>
          <w:left w:w="28" w:type="dxa"/>
          <w:bottom w:w="28" w:type="dxa"/>
          <w:right w:w="28" w:type="dxa"/>
        </w:tblCellMar>
      </w:tblPr>
      <w:tblGrid>
        <w:gridCol w:w="578"/>
        <w:gridCol w:w="508"/>
        <w:gridCol w:w="511"/>
        <w:gridCol w:w="1282"/>
        <w:gridCol w:w="1282"/>
        <w:gridCol w:w="1282"/>
        <w:gridCol w:w="1282"/>
        <w:gridCol w:w="1282"/>
        <w:gridCol w:w="1288"/>
        <w:gridCol w:w="203"/>
        <w:gridCol w:w="203"/>
        <w:gridCol w:w="154"/>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5.05</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Technology Transfer upon Exercise of the Manufacturing Option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5.06</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Supply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5.07</w:t>
            </w:r>
          </w:p>
        </w:tc>
        <w:tc>
          <w:tcPr>
            <w:tcW w:w="76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Supply of Backup Licensed Compound</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CONSIDERATION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Upfront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Milestone Payments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Sales Related Milestones.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6.04</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Royalties.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6.05</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Combination Products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6.06</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Sales by Sublicensees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6.07</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Royalty Payments and Report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6.08</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Taxes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6.09</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Payments or Reports by Affiliates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6.10</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Mode of Payment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Payment Currency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Imports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Discounted Sales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CONFIDENTIALITY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Exceptions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Receipt of Third Party Information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7.04</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Exceptional Disclosure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7.05</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Legally Compelled Disclosure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7.06</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Survival</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7.07</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Prior Agreements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7.08</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Publications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 OWNERSHIP OF INTELLECTUAL PROPERTY AND PATENT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Disclosure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Prosecution and Maintenance of Patent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Third Party Patent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8.04</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Enforcement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8.05</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Trademarks, Packaging and Labeling.</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 REPRESENTATIONS, WARRANTIES, AND COVENANTS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Representations, Warranties, and Covenants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Manufacturing by Ardelyx and KHK.</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Debarment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9.04</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Anti-Bribery and Anti-Corruption Compliance.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9.05</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Disclaimer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 RECORD RETENTION, AUDIT AND USE OF NAME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10.01</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Records Retention; Audit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10.02</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Publicity Review</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10.03</w:t>
            </w:r>
          </w:p>
        </w:tc>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Use of Names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 TERM AND TERMINATION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02" w:type="dxa"/>
        <w:jc w:val="left"/>
        <w:tblInd w:w="0" w:type="dxa"/>
        <w:tblLayout w:type="fixed"/>
        <w:tblCellMar>
          <w:top w:w="28" w:type="dxa"/>
          <w:left w:w="28" w:type="dxa"/>
          <w:bottom w:w="28" w:type="dxa"/>
          <w:right w:w="28" w:type="dxa"/>
        </w:tblCellMar>
      </w:tblPr>
      <w:tblGrid>
        <w:gridCol w:w="516"/>
        <w:gridCol w:w="454"/>
        <w:gridCol w:w="455"/>
        <w:gridCol w:w="1169"/>
        <w:gridCol w:w="1169"/>
        <w:gridCol w:w="1169"/>
        <w:gridCol w:w="1169"/>
        <w:gridCol w:w="1169"/>
        <w:gridCol w:w="1172"/>
        <w:gridCol w:w="203"/>
        <w:gridCol w:w="203"/>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11.01</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11.02</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Rights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11.03</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Consequences of a KHK Triggered Termination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11.04</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Consequences of Ardelyx Triggered Termination (or Right to Terminate)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11.05</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Bankruptcy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11.06</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Surviving Rights and Obligations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 INDEMNIFICATION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12.01</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12.02</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Mechanism</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12.03</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XIII. DISPUTE RESOLUTION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13.01</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Referral of Disputes to the Parties Senior Executives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13.02</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Mediation and Arbitration.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13.03</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Preliminary Injunctions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13.04</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Patent Disputes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13.05</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XIV. MISCELLANEOUS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14.01</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 Performance by Affiliates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14.02</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Force Majeure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14.03</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Further Actions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14.04</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14.05</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Waiver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14.06</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14.07</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14.08</w:t>
            </w:r>
          </w:p>
        </w:tc>
        <w:tc>
          <w:tcPr>
            <w:tcW w:w="70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Confidential</w:t>
      </w:r>
    </w:p>
    <w:tbl>
      <w:tblPr>
        <w:tblW w:w="4174" w:type="dxa"/>
        <w:jc w:val="left"/>
        <w:tblInd w:w="0" w:type="dxa"/>
        <w:tblLayout w:type="fixed"/>
        <w:tblCellMar>
          <w:top w:w="28" w:type="dxa"/>
          <w:left w:w="28" w:type="dxa"/>
          <w:bottom w:w="28" w:type="dxa"/>
          <w:right w:w="28" w:type="dxa"/>
        </w:tblCellMar>
      </w:tblPr>
      <w:tblGrid>
        <w:gridCol w:w="516"/>
        <w:gridCol w:w="454"/>
        <w:gridCol w:w="455"/>
        <w:gridCol w:w="729"/>
        <w:gridCol w:w="729"/>
        <w:gridCol w:w="731"/>
        <w:gridCol w:w="203"/>
        <w:gridCol w:w="203"/>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14.09</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Entire Agreement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14.10</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Liability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14.11</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Partnership</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EXHIBITS</w:t>
      </w:r>
    </w:p>
    <w:tbl>
      <w:tblPr>
        <w:tblW w:w="7814" w:type="dxa"/>
        <w:jc w:val="left"/>
        <w:tblInd w:w="0" w:type="dxa"/>
        <w:tblLayout w:type="fixed"/>
        <w:tblCellMar>
          <w:top w:w="28" w:type="dxa"/>
          <w:left w:w="28" w:type="dxa"/>
          <w:bottom w:w="28" w:type="dxa"/>
          <w:right w:w="28" w:type="dxa"/>
        </w:tblCellMar>
      </w:tblPr>
      <w:tblGrid>
        <w:gridCol w:w="402"/>
        <w:gridCol w:w="353"/>
        <w:gridCol w:w="354"/>
        <w:gridCol w:w="1965"/>
        <w:gridCol w:w="1965"/>
        <w:gridCol w:w="2775"/>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Tenapanor Structure</w:t>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B:</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Compound Patents</w:t>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C:</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Patents</w:t>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D:</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Initial Delivery of Development Data and Regulatory Documentation</w:t>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E:</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Development API Supply</w:t>
            </w:r>
          </w:p>
        </w:tc>
      </w:tr>
      <w:tr>
        <w:trPr/>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Exhibit F:</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Development Product Supply</w:t>
            </w:r>
          </w:p>
        </w:tc>
      </w:tr>
    </w:tbl>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LICENSE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License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the November 27, 2017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Kyowa Hakko Kirin Co., Ltd., a Japanese corporation with a place of business at 1-9-2 Otemachi, Chiyoda-ku, Tokyo 100-0004, Japan (“</w:t>
      </w:r>
      <w:r>
        <w:rPr>
          <w:rFonts w:ascii="Times New Roman;serif" w:hAnsi="Times New Roman;serif"/>
          <w:b/>
          <w:color w:val="000000"/>
          <w:sz w:val="24"/>
        </w:rPr>
        <w:t>KHK</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Ardelyx, Inc.</w:t>
      </w:r>
      <w:r>
        <w:rPr>
          <w:rFonts w:ascii="Times New Roman;serif" w:hAnsi="Times New Roman;serif"/>
          <w:b w:val="false"/>
          <w:color w:val="000000"/>
          <w:sz w:val="24"/>
        </w:rPr>
        <w:t>, a Delaware corporation having its principal place of business at 34175 Ardenwood Boulevard, Fremont, California United States of America 94555 (“</w:t>
      </w:r>
      <w:r>
        <w:rPr>
          <w:rFonts w:ascii="Times New Roman;serif" w:hAnsi="Times New Roman;serif"/>
          <w:b/>
          <w:color w:val="000000"/>
          <w:sz w:val="24"/>
        </w:rPr>
        <w:t>Ardelyx</w:t>
      </w:r>
      <w:r>
        <w:rPr>
          <w:color w:val="000000"/>
        </w:rPr>
        <w:t>”</w:t>
      </w:r>
      <w:r>
        <w:rPr>
          <w:rFonts w:ascii="Times New Roman;serif" w:hAnsi="Times New Roman;serif"/>
          <w:b w:val="false"/>
          <w:color w:val="000000"/>
          <w:sz w:val="24"/>
        </w:rPr>
        <w:t>). Ardelyx and KHK are sometimes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KHK is a pharmaceutical company engaged in the research, development and commercialization of products useful in the amelioration, treatment or prevention of human diseases and conditions;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Ardelyx is a biotechnology company developing a certain proprietary compound known as tenapanor, having the structure set forth on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for use in the treatment of human diseases and disorders;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KHK and Ardelyx desire to establish a license agreement for the further development and commercialization of tenapanor (or its back-up compound(s)), with the objective of providing pharmaceutical products to patients derived from application of the expertise of each of Ardelyx and KHK.</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mutual agreements set forth below, and other good and valuable consideration, the receipt and sufficiency of which are hereby acknowledged, the Parties agree as follows: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DEFINITIONS AND CONSTRUCTION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following terms shall have the following meanings as used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1.01 </w:t>
      </w:r>
      <w:r>
        <w:rPr>
          <w:color w:val="000000"/>
        </w:rPr>
        <w:t>“</w:t>
      </w:r>
      <w:r>
        <w:rPr>
          <w:rFonts w:ascii="Times New Roman;serif" w:hAnsi="Times New Roman;serif"/>
          <w:b/>
          <w:color w:val="000000"/>
          <w:sz w:val="24"/>
        </w:rPr>
        <w:t>Additional Indication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2.07(a)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1.02 </w:t>
      </w:r>
      <w:r>
        <w:rPr>
          <w:color w:val="000000"/>
        </w:rPr>
        <w:t>“</w:t>
      </w:r>
      <w:r>
        <w:rPr>
          <w:rFonts w:ascii="Times New Roman;serif" w:hAnsi="Times New Roman;serif"/>
          <w:b/>
          <w:color w:val="000000"/>
          <w:sz w:val="24"/>
        </w:rPr>
        <w:t>Additional Patents</w:t>
      </w:r>
      <w:r>
        <w:rPr>
          <w:color w:val="000000"/>
        </w:rPr>
        <w:t xml:space="preserve">” </w:t>
      </w:r>
      <w:r>
        <w:rPr>
          <w:rFonts w:ascii="Times New Roman;serif" w:hAnsi="Times New Roman;serif"/>
          <w:b w:val="false"/>
          <w:color w:val="000000"/>
          <w:sz w:val="24"/>
        </w:rPr>
        <w:t xml:space="preserve">means the Patents listed in </w:t>
      </w:r>
      <w:r>
        <w:rPr>
          <w:rFonts w:ascii="Times New Roman;serif" w:hAnsi="Times New Roman;serif"/>
          <w:b/>
          <w:color w:val="000000"/>
          <w:sz w:val="24"/>
        </w:rPr>
        <w:t>Exhibit C</w:t>
      </w:r>
      <w:r>
        <w:rPr>
          <w:rFonts w:ascii="Times New Roman;serif" w:hAnsi="Times New Roman;serif"/>
          <w:b w:val="false"/>
          <w:color w:val="000000"/>
          <w:sz w:val="24"/>
        </w:rPr>
        <w:t xml:space="preserve">, and any Patents issuing after the Effective Date in the Territory claiming priority to any such Patents listed on </w:t>
      </w:r>
      <w:r>
        <w:rPr>
          <w:rFonts w:ascii="Times New Roman;serif" w:hAnsi="Times New Roman;serif"/>
          <w:b/>
          <w:color w:val="000000"/>
          <w:sz w:val="24"/>
        </w:rPr>
        <w:t>Exhibit C</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1.03 </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either Party, any Person controlling, controlled by or under common control with such Party, from time to time and for so long as such control exists. For purposes of this definition of Affiliate, “control” (and, with correlative meanings, the terms “controlled by” and “under common control with”) means (a) direct or indirect ownership of more than fifty percent (50%) of the stock or shares having the right to vote for the election of directors of a Person or (b) the possession, directly or indirectly, of the power to direct, or cause the direction of, the management or policies of a Person, whether through the ownership of voting securities, by contract or otherwise.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1.04 </w:t>
      </w:r>
      <w:r>
        <w:rPr>
          <w:color w:val="000000"/>
        </w:rPr>
        <w:t>“</w:t>
      </w:r>
      <w:r>
        <w:rPr>
          <w:rFonts w:ascii="Times New Roman;serif" w:hAnsi="Times New Roman;serif"/>
          <w:b/>
          <w:color w:val="000000"/>
          <w:sz w:val="24"/>
        </w:rPr>
        <w:t>Annual Net Sales</w:t>
      </w:r>
      <w:r>
        <w:rPr>
          <w:color w:val="000000"/>
        </w:rPr>
        <w:t xml:space="preserve">” </w:t>
      </w:r>
      <w:r>
        <w:rPr>
          <w:rFonts w:ascii="Times New Roman;serif" w:hAnsi="Times New Roman;serif"/>
          <w:b w:val="false"/>
          <w:color w:val="000000"/>
          <w:sz w:val="24"/>
        </w:rPr>
        <w:t>means the Net Sales made during any given Calendar Year.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1.05 </w:t>
      </w:r>
      <w:r>
        <w:rPr>
          <w:color w:val="000000"/>
        </w:rPr>
        <w:t>“</w:t>
      </w:r>
      <w:r>
        <w:rPr>
          <w:rFonts w:ascii="Times New Roman;serif" w:hAnsi="Times New Roman;serif"/>
          <w:b/>
          <w:color w:val="000000"/>
          <w:sz w:val="24"/>
        </w:rPr>
        <w:t>Anti-Corruption Laws</w:t>
      </w:r>
      <w:r>
        <w:rPr>
          <w:color w:val="000000"/>
        </w:rPr>
        <w:t xml:space="preserve">” </w:t>
      </w:r>
      <w:r>
        <w:rPr>
          <w:rFonts w:ascii="Times New Roman;serif" w:hAnsi="Times New Roman;serif"/>
          <w:b w:val="false"/>
          <w:color w:val="000000"/>
          <w:sz w:val="24"/>
        </w:rPr>
        <w:t>means the U.S. Foreign Corrupt Practices Act, as amended, the UK Bribery Act 2010, as amended, and any other applicable anti-corruption laws and laws for the prevention of fraud, racketeering, money laundering or terrorism.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1.06 </w:t>
      </w:r>
      <w:r>
        <w:rPr>
          <w:color w:val="000000"/>
        </w:rPr>
        <w:t>“</w:t>
      </w:r>
      <w:r>
        <w:rPr>
          <w:rFonts w:ascii="Times New Roman;serif" w:hAnsi="Times New Roman;serif"/>
          <w:b/>
          <w:color w:val="000000"/>
          <w:sz w:val="24"/>
        </w:rPr>
        <w:t>Applicable Laws</w:t>
      </w:r>
      <w:r>
        <w:rPr>
          <w:color w:val="000000"/>
        </w:rPr>
        <w:t xml:space="preserve">” </w:t>
      </w:r>
      <w:r>
        <w:rPr>
          <w:rFonts w:ascii="Times New Roman;serif" w:hAnsi="Times New Roman;serif"/>
          <w:b w:val="false"/>
          <w:color w:val="000000"/>
          <w:sz w:val="24"/>
        </w:rPr>
        <w:t>means all applicable statutes, ordinances, codes, executive or governmental orders, laws, rules and regulations of any jurisdiction where either Party operates or does business, including without limitation, any rules, regulations, guidelines or other requirements of Regulatory Health Authorities, that may be in effect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1.07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Know-How that [***]; provided, that, (i) such Know-How is used by [***] a Licensed Compound or a Licensed Product, (ii) such Know-How is [***] for a Licensed Product or Licensed Compound, or (iii) such Know-How [***] a Licensed Product in the Field. Ardelyx [***] Know-How specifically excludes any Excluded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1.08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all Patents that [***] (i) inventions that [***] of a Licensed Compound or a Licensed Product, (ii) [***] for a Licensed Product or Licensed Compound (collectively (i) and (ii) “</w:t>
      </w:r>
      <w:r>
        <w:rPr>
          <w:rFonts w:ascii="Times New Roman;serif" w:hAnsi="Times New Roman;serif"/>
          <w:b/>
          <w:color w:val="000000"/>
          <w:sz w:val="24"/>
        </w:rPr>
        <w:t xml:space="preserve">Ardelyx </w:t>
      </w:r>
      <w:r>
        <w:rPr>
          <w:rFonts w:ascii="Times New Roman;serif" w:hAnsi="Times New Roman;serif"/>
          <w:b w:val="false"/>
          <w:color w:val="000000"/>
          <w:sz w:val="24"/>
        </w:rPr>
        <w:t>[***]”), or (iii) is [***] a Licensed Product in the Field (“</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Use Patents</w:t>
      </w:r>
      <w:r>
        <w:rPr>
          <w:color w:val="000000"/>
        </w:rPr>
        <w:t>”</w:t>
      </w:r>
      <w:r>
        <w:rPr>
          <w:rFonts w:ascii="Times New Roman;serif" w:hAnsi="Times New Roman;serif"/>
          <w:b w:val="false"/>
          <w:color w:val="000000"/>
          <w:sz w:val="24"/>
        </w:rPr>
        <w:t>). Ardelyx [***] Patents specifically excludes Excluded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1.09 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 xml:space="preserve">” </w:t>
      </w:r>
      <w:r>
        <w:rPr>
          <w:rFonts w:ascii="Times New Roman;serif" w:hAnsi="Times New Roman;serif"/>
          <w:b w:val="false"/>
          <w:color w:val="000000"/>
          <w:sz w:val="24"/>
        </w:rPr>
        <w:t>means Ardelyx [***] Know-How and Ardelyx [***]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 </w:t>
      </w:r>
      <w:r>
        <w:rPr>
          <w:color w:val="000000"/>
        </w:rPr>
        <w:t>“</w:t>
      </w:r>
      <w:r>
        <w:rPr>
          <w:rFonts w:ascii="Times New Roman;serif" w:hAnsi="Times New Roman;serif"/>
          <w:b/>
          <w:color w:val="000000"/>
          <w:sz w:val="24"/>
        </w:rPr>
        <w:t>Ardelyx Controlled Patents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 </w:t>
      </w:r>
      <w:r>
        <w:rPr>
          <w:color w:val="000000"/>
        </w:rPr>
        <w:t>“</w:t>
      </w:r>
      <w:r>
        <w:rPr>
          <w:rFonts w:ascii="Times New Roman;serif" w:hAnsi="Times New Roman;serif"/>
          <w:b/>
          <w:color w:val="000000"/>
          <w:sz w:val="24"/>
        </w:rPr>
        <w:t>Ardelyx Development Data</w:t>
      </w:r>
      <w:r>
        <w:rPr>
          <w:color w:val="000000"/>
        </w:rPr>
        <w:t xml:space="preserve">” </w:t>
      </w:r>
      <w:r>
        <w:rPr>
          <w:rFonts w:ascii="Times New Roman;serif" w:hAnsi="Times New Roman;serif"/>
          <w:b w:val="false"/>
          <w:color w:val="000000"/>
          <w:sz w:val="24"/>
        </w:rPr>
        <w:t>means Development Data that (i) Ardelyx or its Affiliates Control as of the Effective Date, or (ii) that comes into the Control of Ardelyx or its Affiliates after the Effective Date, and in the case of each of (i) and (ii), that is necessary or useful to Exploit any Licensed Compound or Licensed Product pursuant to the rights granted to KHK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 </w:t>
      </w:r>
      <w:r>
        <w:rPr>
          <w:color w:val="000000"/>
        </w:rPr>
        <w:t>“</w:t>
      </w:r>
      <w:r>
        <w:rPr>
          <w:rFonts w:ascii="Times New Roman;serif" w:hAnsi="Times New Roman;serif"/>
          <w:b/>
          <w:color w:val="000000"/>
          <w:sz w:val="24"/>
        </w:rPr>
        <w:t>Ardelyx Sole Invention Patent</w:t>
      </w:r>
      <w:r>
        <w:rPr>
          <w:color w:val="000000"/>
        </w:rPr>
        <w:t xml:space="preserve">” </w:t>
      </w:r>
      <w:r>
        <w:rPr>
          <w:rFonts w:ascii="Times New Roman;serif" w:hAnsi="Times New Roman;serif"/>
          <w:b w:val="false"/>
          <w:color w:val="000000"/>
          <w:sz w:val="24"/>
        </w:rPr>
        <w:t>means any Patent claiming Sole Program Know-How owned solely by Ardelyx or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Section 1.13 Ardelyx Sole Invention Process and Formulation Patents</w:t>
      </w:r>
      <w:r>
        <w:rPr>
          <w:color w:val="000000"/>
        </w:rPr>
        <w:t xml:space="preserve">” </w:t>
      </w:r>
      <w:r>
        <w:rPr>
          <w:rFonts w:ascii="Times New Roman;serif" w:hAnsi="Times New Roman;serif"/>
          <w:b w:val="false"/>
          <w:color w:val="000000"/>
          <w:sz w:val="24"/>
        </w:rPr>
        <w:t>means all Ardelyx Sole Invention Patents which claim the Manufacture or formulation of a Licensed Compound or a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1.14 </w:t>
      </w:r>
      <w:r>
        <w:rPr>
          <w:color w:val="000000"/>
        </w:rPr>
        <w:t>“</w:t>
      </w:r>
      <w:r>
        <w:rPr>
          <w:rFonts w:ascii="Times New Roman;serif" w:hAnsi="Times New Roman;serif"/>
          <w:b/>
          <w:color w:val="000000"/>
          <w:sz w:val="24"/>
        </w:rPr>
        <w:t>Ardelyx Sole Invention Use Patents</w:t>
      </w:r>
      <w:r>
        <w:rPr>
          <w:color w:val="000000"/>
        </w:rPr>
        <w:t xml:space="preserve">” </w:t>
      </w:r>
      <w:r>
        <w:rPr>
          <w:rFonts w:ascii="Times New Roman;serif" w:hAnsi="Times New Roman;serif"/>
          <w:b w:val="false"/>
          <w:color w:val="000000"/>
          <w:sz w:val="24"/>
        </w:rPr>
        <w:t>means all Ardelyx Sole Invention Patents which claim methods for using a Licensed Product in the Field.</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1.15 </w:t>
      </w:r>
      <w:r>
        <w:rPr>
          <w:color w:val="000000"/>
        </w:rPr>
        <w:t>“</w:t>
      </w:r>
      <w:r>
        <w:rPr>
          <w:rFonts w:ascii="Times New Roman;serif" w:hAnsi="Times New Roman;serif"/>
          <w:b/>
          <w:color w:val="000000"/>
          <w:sz w:val="24"/>
        </w:rPr>
        <w:t>Ardelyx Trademark</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8.05(a)</w:t>
      </w:r>
      <w:r>
        <w:rPr>
          <w:rFonts w:ascii="Times New Roman;serif" w:hAnsi="Times New Roman;serif"/>
          <w:b w:val="false"/>
          <w:color w:val="000000"/>
          <w:sz w:val="24"/>
        </w:rPr>
        <w: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1.16 </w:t>
      </w:r>
      <w:r>
        <w:rPr>
          <w:color w:val="000000"/>
        </w:rPr>
        <w:t>“</w:t>
      </w:r>
      <w:r>
        <w:rPr>
          <w:rFonts w:ascii="Times New Roman;serif" w:hAnsi="Times New Roman;serif"/>
          <w:b/>
          <w:color w:val="000000"/>
          <w:sz w:val="24"/>
        </w:rPr>
        <w:t>Backup Licensed Compounds</w:t>
      </w:r>
      <w:r>
        <w:rPr>
          <w:color w:val="000000"/>
        </w:rPr>
        <w:t xml:space="preserve">” </w:t>
      </w:r>
      <w:r>
        <w:rPr>
          <w:rFonts w:ascii="Times New Roman;serif" w:hAnsi="Times New Roman;serif"/>
          <w:b w:val="false"/>
          <w:color w:val="000000"/>
          <w:sz w:val="24"/>
        </w:rPr>
        <w:t>means (i) any compound, other than the Lead Licensed Compound, that is claimed by the Compound Patent(s) and (ii) any [***] of any such compound described in (i) that Ardelyx or its Affiliates may Develop during the Term.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1.17 </w:t>
      </w:r>
      <w:r>
        <w:rPr>
          <w:color w:val="000000"/>
        </w:rPr>
        <w:t>“</w:t>
      </w:r>
      <w:r>
        <w:rPr>
          <w:rFonts w:ascii="Times New Roman;serif" w:hAnsi="Times New Roman;serif"/>
          <w:b/>
          <w:color w:val="000000"/>
          <w:sz w:val="24"/>
        </w:rPr>
        <w:t>Bankruptcy Code</w:t>
      </w:r>
      <w:r>
        <w:rPr>
          <w:color w:val="000000"/>
        </w:rPr>
        <w:t xml:space="preserve">” </w:t>
      </w:r>
      <w:r>
        <w:rPr>
          <w:rFonts w:ascii="Times New Roman;serif" w:hAnsi="Times New Roman;serif"/>
          <w:b w:val="false"/>
          <w:color w:val="000000"/>
          <w:sz w:val="24"/>
        </w:rPr>
        <w:t>means Title 11, United States Code, as amended, or analogous provisions of Applicable Laws outside the United States.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1.18 </w:t>
      </w:r>
      <w:r>
        <w:rPr>
          <w:color w:val="000000"/>
        </w:rPr>
        <w:t>“</w:t>
      </w:r>
      <w:r>
        <w:rPr>
          <w:rFonts w:ascii="Times New Roman;serif" w:hAnsi="Times New Roman;serif"/>
          <w:b/>
          <w:color w:val="000000"/>
          <w:sz w:val="24"/>
        </w:rPr>
        <w:t>Breaching Party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1.19 </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(a) a Saturday or a Sunday or (b) a day on which commercial banking institutions are authorized or required by Applicable Laws to be closed in New York City, New York or in Japan.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1.20 </w:t>
      </w:r>
      <w:r>
        <w:rPr>
          <w:color w:val="000000"/>
        </w:rPr>
        <w:t>“</w:t>
      </w:r>
      <w:r>
        <w:rPr>
          <w:rFonts w:ascii="Times New Roman;serif" w:hAnsi="Times New Roman;serif"/>
          <w:b/>
          <w:color w:val="000000"/>
          <w:sz w:val="24"/>
        </w:rPr>
        <w:t>Calendar Quarter</w:t>
      </w:r>
      <w:r>
        <w:rPr>
          <w:color w:val="000000"/>
        </w:rPr>
        <w:t xml:space="preserve">” </w:t>
      </w:r>
      <w:r>
        <w:rPr>
          <w:rFonts w:ascii="Times New Roman;serif" w:hAnsi="Times New Roman;serif"/>
          <w:b w:val="false"/>
          <w:color w:val="000000"/>
          <w:sz w:val="24"/>
        </w:rPr>
        <w:t>means each successive period of three (3) consecutive calendar months commencing on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24"/>
        </w:rPr>
        <w:t>January,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24"/>
        </w:rPr>
        <w:t>April,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24"/>
        </w:rPr>
        <w:t>July and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24"/>
        </w:rPr>
        <w:t>October.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1.21 </w:t>
      </w:r>
      <w:r>
        <w:rPr>
          <w:color w:val="000000"/>
        </w:rPr>
        <w:t>“</w:t>
      </w:r>
      <w:r>
        <w:rPr>
          <w:rFonts w:ascii="Times New Roman;serif" w:hAnsi="Times New Roman;serif"/>
          <w:b/>
          <w:color w:val="000000"/>
          <w:sz w:val="24"/>
        </w:rPr>
        <w:t>Calendar Year</w:t>
      </w:r>
      <w:r>
        <w:rPr>
          <w:color w:val="000000"/>
        </w:rPr>
        <w:t xml:space="preserve">” </w:t>
      </w:r>
      <w:r>
        <w:rPr>
          <w:rFonts w:ascii="Times New Roman;serif" w:hAnsi="Times New Roman;serif"/>
          <w:b w:val="false"/>
          <w:color w:val="000000"/>
          <w:sz w:val="24"/>
        </w:rPr>
        <w:t>means each successive period of twelve (12) consecutive calendar months commencing on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24"/>
        </w:rPr>
        <w:t>January.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1.22 </w:t>
      </w:r>
      <w:r>
        <w:rPr>
          <w:color w:val="000000"/>
        </w:rPr>
        <w:t>“</w:t>
      </w:r>
      <w:r>
        <w:rPr>
          <w:rFonts w:ascii="Times New Roman;serif" w:hAnsi="Times New Roman;serif"/>
          <w:b/>
          <w:color w:val="000000"/>
          <w:sz w:val="24"/>
        </w:rPr>
        <w:t>Clinical Trials</w:t>
      </w:r>
      <w:r>
        <w:rPr>
          <w:color w:val="000000"/>
        </w:rPr>
        <w:t xml:space="preserve">” </w:t>
      </w:r>
      <w:r>
        <w:rPr>
          <w:rFonts w:ascii="Times New Roman;serif" w:hAnsi="Times New Roman;serif"/>
          <w:b w:val="false"/>
          <w:color w:val="000000"/>
          <w:sz w:val="24"/>
        </w:rPr>
        <w:t>means any clinical study of a pharmaceutical product on human subjects to assess the dosing, safety and/or efficacy of such pharmaceutical product, including but not limited to phase 1 clinical trials, phase 2 clinical trials and phase 3 clinical trials and, if imposed by the Regulatory Authorities as a condition to Regulatory Approval, phase 4 clinical trials. For the avoidance of doubt, post-marketing surveillance clinical studies are not Clinical Trials.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1.23 </w:t>
      </w:r>
      <w:r>
        <w:rPr>
          <w:color w:val="000000"/>
        </w:rPr>
        <w:t>“</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means a product in form suitable for human or animal applications containing a Licensed Compound as an active ingredient and containing one or more other active ingredients, that is sold either as a fixed dose or as separate doses in a single package; provided, that if any other active ingredient is Controlled by Ardelyx and is not a Licensed Compound, it is understood that KHK is not being granted any license under any Intellectual Property Rights to Exploit such other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1.24 </w:t>
      </w:r>
      <w:r>
        <w:rPr>
          <w:color w:val="000000"/>
        </w:rPr>
        <w:t>“</w:t>
      </w:r>
      <w:r>
        <w:rPr>
          <w:rFonts w:ascii="Times New Roman;serif" w:hAnsi="Times New Roman;serif"/>
          <w:b/>
          <w:color w:val="000000"/>
          <w:sz w:val="24"/>
        </w:rPr>
        <w:t>Commercialization</w:t>
      </w:r>
      <w:r>
        <w:rPr>
          <w:color w:val="000000"/>
        </w:rPr>
        <w:t xml:space="preserve">” </w:t>
      </w:r>
      <w:r>
        <w:rPr>
          <w:rFonts w:ascii="Times New Roman;serif" w:hAnsi="Times New Roman;serif"/>
          <w:b w:val="false"/>
          <w:color w:val="000000"/>
          <w:sz w:val="24"/>
        </w:rPr>
        <w:t>means all activities undertaken relating to the import, marketing, promotion, pricing and reimbursement, detailing, medical education and medical liaison activities, shipping, handling, offering for sale and selling, customer service and support of a Licensed Product, advertising, education, planning, marketing, promotion, distribution, market and product support, and post-marketing surveillance.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1.25 </w:t>
      </w:r>
      <w:r>
        <w:rPr>
          <w:color w:val="000000"/>
        </w:rPr>
        <w:t>“</w:t>
      </w:r>
      <w:r>
        <w:rPr>
          <w:rFonts w:ascii="Times New Roman;serif" w:hAnsi="Times New Roman;serif"/>
          <w:b/>
          <w:color w:val="000000"/>
          <w:sz w:val="24"/>
        </w:rPr>
        <w:t>Commercialization Plan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3.05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1.26 </w:t>
      </w:r>
      <w:r>
        <w:rPr>
          <w:color w:val="000000"/>
        </w:rPr>
        <w:t>“</w:t>
      </w:r>
      <w:r>
        <w:rPr>
          <w:rFonts w:ascii="Times New Roman;serif" w:hAnsi="Times New Roman;serif"/>
          <w:b/>
          <w:color w:val="000000"/>
          <w:sz w:val="24"/>
        </w:rPr>
        <w:t>Commercialize</w:t>
      </w:r>
      <w:r>
        <w:rPr>
          <w:color w:val="000000"/>
        </w:rPr>
        <w:t xml:space="preserve">” </w:t>
      </w:r>
      <w:r>
        <w:rPr>
          <w:rFonts w:ascii="Times New Roman;serif" w:hAnsi="Times New Roman;serif"/>
          <w:b w:val="false"/>
          <w:color w:val="000000"/>
          <w:sz w:val="24"/>
        </w:rPr>
        <w:t>means the conduct of Commercialization activities.</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1.27 </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means the efforts and resources typically used by pharmaceutical companies to perform the obligations at issue, which efforts shall not be less than those efforts made or resources expended by the performing Party with respect to other products owned by it or to which it has similar rights, which product is at a similar stage of</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development or product life and is of similar market and commercial potential, taking into account [***] efficacy, safety, the competitiveness of the market place, the proprietary position of the products, the regulatory structure involved, the profitability of the applicable products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1.28 </w:t>
      </w:r>
      <w:r>
        <w:rPr>
          <w:color w:val="000000"/>
        </w:rPr>
        <w:t>“</w:t>
      </w:r>
      <w:r>
        <w:rPr>
          <w:rFonts w:ascii="Times New Roman;serif" w:hAnsi="Times New Roman;serif"/>
          <w:b w:val="false"/>
          <w:color w:val="000000"/>
          <w:sz w:val="24"/>
        </w:rPr>
        <w:t>[***]” shall have the meaning assigned in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1.29 </w:t>
      </w:r>
      <w:r>
        <w:rPr>
          <w:color w:val="000000"/>
        </w:rPr>
        <w:t>“</w:t>
      </w:r>
      <w:r>
        <w:rPr>
          <w:rFonts w:ascii="Times New Roman;serif" w:hAnsi="Times New Roman;serif"/>
          <w:b/>
          <w:color w:val="000000"/>
          <w:sz w:val="24"/>
        </w:rPr>
        <w:t>Comparable Licensed Product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 </w:t>
      </w:r>
      <w:r>
        <w:rPr>
          <w:color w:val="000000"/>
        </w:rPr>
        <w:t>“</w:t>
      </w:r>
      <w:r>
        <w:rPr>
          <w:rFonts w:ascii="Times New Roman;serif" w:hAnsi="Times New Roman;serif"/>
          <w:b/>
          <w:color w:val="000000"/>
          <w:sz w:val="24"/>
        </w:rPr>
        <w:t>Compound Patents</w:t>
      </w:r>
      <w:r>
        <w:rPr>
          <w:color w:val="000000"/>
        </w:rPr>
        <w:t xml:space="preserve">” </w:t>
      </w:r>
      <w:r>
        <w:rPr>
          <w:rFonts w:ascii="Times New Roman;serif" w:hAnsi="Times New Roman;serif"/>
          <w:b w:val="false"/>
          <w:color w:val="000000"/>
          <w:sz w:val="24"/>
        </w:rPr>
        <w:t xml:space="preserve">means the Patents listed in </w:t>
      </w:r>
      <w:r>
        <w:rPr>
          <w:rFonts w:ascii="Times New Roman;serif" w:hAnsi="Times New Roman;serif"/>
          <w:b/>
          <w:color w:val="000000"/>
          <w:sz w:val="24"/>
        </w:rPr>
        <w:t>Exhibit B</w:t>
      </w:r>
      <w:r>
        <w:rPr>
          <w:rFonts w:ascii="Times New Roman;serif" w:hAnsi="Times New Roman;serif"/>
          <w:b w:val="false"/>
          <w:color w:val="000000"/>
          <w:sz w:val="24"/>
        </w:rPr>
        <w:t xml:space="preserve">, and any Patents issuing after the Effective Date in the Territory claiming priority to any such Patents listed on </w:t>
      </w:r>
      <w:r>
        <w:rPr>
          <w:rFonts w:ascii="Times New Roman;serif" w:hAnsi="Times New Roman;serif"/>
          <w:b/>
          <w:color w:val="000000"/>
          <w:sz w:val="24"/>
        </w:rPr>
        <w:t>Exhibit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1.31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means nonpublic information and materials (including Information) of a Party that is disclosed or furnished in connection with this Agreement (whether oral or in writing or in any other form) by or on behalf of such Party to the other Party, its Affiliates or any of its designees before, on or after the Effective Date. Except as otherwise expressly provided in this Agreement. Ardelyx Development Data shall be the Confidential Information solely of Ardelyx and KHK Development Data shall be the Confidential Information solely of KHK. Joint Know-How and the terms and conditions of this Agreement shall be the Confidential Information jointly of the Parties.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1.32 </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means, with respect to an item of Know-How, Patent or other Intellectual Property 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this Agreement without breaching the terms of any agreement between such Party and any Third Party.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1.33 </w:t>
      </w:r>
      <w:r>
        <w:rPr>
          <w:color w:val="000000"/>
        </w:rPr>
        <w:t>“</w:t>
      </w:r>
      <w:r>
        <w:rPr>
          <w:rFonts w:ascii="Times New Roman;serif" w:hAnsi="Times New Roman;serif"/>
          <w:b/>
          <w:color w:val="000000"/>
          <w:sz w:val="24"/>
        </w:rPr>
        <w:t>Cost of Goods</w:t>
      </w:r>
      <w:r>
        <w:rPr>
          <w:color w:val="000000"/>
        </w:rPr>
        <w:t xml:space="preserve">” </w:t>
      </w:r>
      <w:r>
        <w:rPr>
          <w:rFonts w:ascii="Times New Roman;serif" w:hAnsi="Times New Roman;serif"/>
          <w:b w:val="false"/>
          <w:color w:val="000000"/>
          <w:sz w:val="24"/>
        </w:rPr>
        <w:t>means amounts [***], as the case may be, in all cases recorded in accordance with GAAP, wherein any estimates of the components of cost of goods that are adjusted in accordance with GAAP after invoicing KHK shall be provided in the following invoice with appropriate explanation as to the reason for the adjustment of estimates.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1.34 </w:t>
      </w:r>
      <w:r>
        <w:rPr>
          <w:color w:val="000000"/>
        </w:rPr>
        <w:t>“</w:t>
      </w:r>
      <w:r>
        <w:rPr>
          <w:rFonts w:ascii="Times New Roman;serif" w:hAnsi="Times New Roman;serif"/>
          <w:b/>
          <w:color w:val="000000"/>
          <w:sz w:val="24"/>
        </w:rPr>
        <w:t>Develop</w:t>
      </w:r>
      <w:r>
        <w:rPr>
          <w:color w:val="000000"/>
        </w:rPr>
        <w:t xml:space="preserve">” </w:t>
      </w:r>
      <w:r>
        <w:rPr>
          <w:rFonts w:ascii="Times New Roman;serif" w:hAnsi="Times New Roman;serif"/>
          <w:b w:val="false"/>
          <w:color w:val="000000"/>
          <w:sz w:val="24"/>
        </w:rPr>
        <w:t>means the conduct of Development activities.</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1.35 </w:t>
      </w:r>
      <w:r>
        <w:rPr>
          <w:color w:val="000000"/>
        </w:rPr>
        <w:t>“</w:t>
      </w:r>
      <w:r>
        <w:rPr>
          <w:rFonts w:ascii="Times New Roman;serif" w:hAnsi="Times New Roman;serif"/>
          <w:b/>
          <w:color w:val="000000"/>
          <w:sz w:val="24"/>
        </w:rPr>
        <w:t>Development</w:t>
      </w:r>
      <w:r>
        <w:rPr>
          <w:color w:val="000000"/>
        </w:rPr>
        <w:t xml:space="preserve">” </w:t>
      </w:r>
      <w:r>
        <w:rPr>
          <w:rFonts w:ascii="Times New Roman;serif" w:hAnsi="Times New Roman;serif"/>
          <w:b w:val="false"/>
          <w:color w:val="000000"/>
          <w:sz w:val="24"/>
        </w:rPr>
        <w:t xml:space="preserve">means all activities relating to obtaining Regulatory Approval of a Licensed Product, Licensed Product line extensions, alternative delivery systems and new indications therefor, and all activities relating to developing the ability to Manufacture the same. This includes, for example, (a) nonclinical testing, toxicology, formulation, clinical studies, and regulatory affairs, (b) manufacturing process development for finished forms of Licensed Products, CMC drug product development and manufacturing and quality assurance technical support activities prior to the First Commercial Sale of a Licensed Product anywhere in the Territory and (c) the conduct of advisory boards with relevant experts, e.g. clinical experts or payer representatives. Development shall [***]. For the avoidance of doubt, Development in the Territory includes all activities relating to obtaining Regulatory Approval of the Licensed Product in the Field in the Territory, such as nonclinical and clinical studies and any CMC drug product development that may be necessary for the Territory, as well as conducting </w:t>
      </w:r>
      <w:r>
        <w:rPr>
          <w:rFonts w:ascii="Times New Roman;serif" w:hAnsi="Times New Roman;serif"/>
          <w:b w:val="false"/>
          <w:i/>
          <w:color w:val="000000"/>
          <w:sz w:val="24"/>
        </w:rPr>
        <w:t>in vitro</w:t>
      </w:r>
      <w:r>
        <w:rPr>
          <w:rFonts w:ascii="Times New Roman;serif" w:hAnsi="Times New Roman;serif"/>
          <w:b w:val="false"/>
          <w:color w:val="000000"/>
          <w:sz w:val="24"/>
        </w:rPr>
        <w:t xml:space="preserve">,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in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i/>
          <w:color w:val="000000"/>
          <w:sz w:val="24"/>
        </w:rPr>
        <w:t>silico</w:t>
      </w:r>
      <w:r>
        <w:rPr>
          <w:color w:val="000000"/>
        </w:rPr>
        <w:t xml:space="preserve"> </w:t>
      </w:r>
      <w:r>
        <w:rPr>
          <w:rFonts w:ascii="Times New Roman;serif" w:hAnsi="Times New Roman;serif"/>
          <w:b w:val="false"/>
          <w:color w:val="000000"/>
          <w:sz w:val="24"/>
        </w:rPr>
        <w:t>studies for the purposes of determining which indication to pursue or of supporting Commercialization of the Licensed Product in the Field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1.36 </w:t>
      </w:r>
      <w:r>
        <w:rPr>
          <w:color w:val="000000"/>
        </w:rPr>
        <w:t>“</w:t>
      </w:r>
      <w:r>
        <w:rPr>
          <w:rFonts w:ascii="Times New Roman;serif" w:hAnsi="Times New Roman;serif"/>
          <w:b/>
          <w:color w:val="000000"/>
          <w:sz w:val="24"/>
        </w:rPr>
        <w:t>Development API Supply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1.37 </w:t>
      </w:r>
      <w:r>
        <w:rPr>
          <w:color w:val="000000"/>
        </w:rPr>
        <w:t>“</w:t>
      </w:r>
      <w:r>
        <w:rPr>
          <w:rFonts w:ascii="Times New Roman;serif" w:hAnsi="Times New Roman;serif"/>
          <w:b/>
          <w:color w:val="000000"/>
          <w:sz w:val="24"/>
        </w:rPr>
        <w:t>Development Data</w:t>
      </w:r>
      <w:r>
        <w:rPr>
          <w:color w:val="000000"/>
        </w:rPr>
        <w:t xml:space="preserve">” </w:t>
      </w:r>
      <w:r>
        <w:rPr>
          <w:rFonts w:ascii="Times New Roman;serif" w:hAnsi="Times New Roman;serif"/>
          <w:b w:val="false"/>
          <w:color w:val="000000"/>
          <w:sz w:val="24"/>
        </w:rPr>
        <w:t>means any and all research data, pharmacology data, chemistry, manufacturing and control data, nonclinical data, clinical data and all other documentation (including raw data).</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1.38 </w:t>
      </w:r>
      <w:r>
        <w:rPr>
          <w:color w:val="000000"/>
        </w:rPr>
        <w:t>“</w:t>
      </w:r>
      <w:r>
        <w:rPr>
          <w:rFonts w:ascii="Times New Roman;serif" w:hAnsi="Times New Roman;serif"/>
          <w:b/>
          <w:color w:val="000000"/>
          <w:sz w:val="24"/>
        </w:rPr>
        <w:t>Development Plan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3.04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1.39 </w:t>
      </w:r>
      <w:r>
        <w:rPr>
          <w:color w:val="000000"/>
        </w:rPr>
        <w:t>“</w:t>
      </w:r>
      <w:r>
        <w:rPr>
          <w:rFonts w:ascii="Times New Roman;serif" w:hAnsi="Times New Roman;serif"/>
          <w:b/>
          <w:color w:val="000000"/>
          <w:sz w:val="24"/>
        </w:rPr>
        <w:t>Development Product Supply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 </w:t>
      </w:r>
      <w:r>
        <w:rPr>
          <w:color w:val="000000"/>
        </w:rPr>
        <w:t>“</w:t>
      </w:r>
      <w:r>
        <w:rPr>
          <w:rFonts w:ascii="Times New Roman;serif" w:hAnsi="Times New Roman;serif"/>
          <w:b w:val="false"/>
          <w:color w:val="000000"/>
          <w:sz w:val="24"/>
        </w:rPr>
        <w:t>[***]” shall have the meaning assigned in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1.41 </w:t>
      </w:r>
      <w:r>
        <w:rPr>
          <w:color w:val="000000"/>
        </w:rPr>
        <w:t>“</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1.42 </w:t>
      </w:r>
      <w:r>
        <w:rPr>
          <w:color w:val="000000"/>
        </w:rPr>
        <w:t>“</w:t>
      </w:r>
      <w:r>
        <w:rPr>
          <w:rFonts w:ascii="Times New Roman;serif" w:hAnsi="Times New Roman;serif"/>
          <w:b/>
          <w:color w:val="000000"/>
          <w:sz w:val="24"/>
        </w:rPr>
        <w:t>Drug Approval Application</w:t>
      </w:r>
      <w:r>
        <w:rPr>
          <w:color w:val="000000"/>
        </w:rPr>
        <w:t xml:space="preserve">” </w:t>
      </w:r>
      <w:r>
        <w:rPr>
          <w:rFonts w:ascii="Times New Roman;serif" w:hAnsi="Times New Roman;serif"/>
          <w:b w:val="false"/>
          <w:color w:val="000000"/>
          <w:sz w:val="24"/>
        </w:rPr>
        <w:t>means an application for Regulatory Approval required before commercial sale or use of a Licensed Product as a drug in a regulatory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1.43 </w:t>
      </w: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shall have the meaning assigned in the first paragraph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1.44 </w:t>
      </w:r>
      <w:r>
        <w:rPr>
          <w:color w:val="000000"/>
        </w:rPr>
        <w:t>“</w:t>
      </w:r>
      <w:r>
        <w:rPr>
          <w:rFonts w:ascii="Times New Roman;serif" w:hAnsi="Times New Roman;serif"/>
          <w:b/>
          <w:color w:val="000000"/>
          <w:sz w:val="24"/>
        </w:rPr>
        <w:t>Excluded Know-How</w:t>
      </w:r>
      <w:r>
        <w:rPr>
          <w:color w:val="000000"/>
        </w:rPr>
        <w:t xml:space="preserve">” </w:t>
      </w:r>
      <w:r>
        <w:rPr>
          <w:rFonts w:ascii="Times New Roman;serif" w:hAnsi="Times New Roman;serif"/>
          <w:b w:val="false"/>
          <w:color w:val="000000"/>
          <w:sz w:val="24"/>
        </w:rPr>
        <w:t>means Know-How related to Ardelyx’s proprietary platform technology known as Ardelyx Primary Enterocyte and Colonocyte Culture System.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1.45 </w:t>
      </w:r>
      <w:r>
        <w:rPr>
          <w:color w:val="000000"/>
        </w:rPr>
        <w:t>“</w:t>
      </w:r>
      <w:r>
        <w:rPr>
          <w:rFonts w:ascii="Times New Roman;serif" w:hAnsi="Times New Roman;serif"/>
          <w:b/>
          <w:color w:val="000000"/>
          <w:sz w:val="24"/>
        </w:rPr>
        <w:t>Excluded Patents</w:t>
      </w:r>
      <w:r>
        <w:rPr>
          <w:color w:val="000000"/>
        </w:rPr>
        <w:t xml:space="preserve">” </w:t>
      </w:r>
      <w:r>
        <w:rPr>
          <w:rFonts w:ascii="Times New Roman;serif" w:hAnsi="Times New Roman;serif"/>
          <w:b w:val="false"/>
          <w:color w:val="000000"/>
          <w:sz w:val="24"/>
        </w:rPr>
        <w:t>means any Patents claiming aspects of Ardelyx’s proprietary platform technology known as Ardelyx Primary Enterocyte and Colonocyte Culture System.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1.46 </w:t>
      </w: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means to Develop, Manufacture, have Manufactured, Commercialize a product or process.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1.47 </w:t>
      </w:r>
      <w:r>
        <w:rPr>
          <w:color w:val="000000"/>
        </w:rPr>
        <w:t>“</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means the act of Exploiting a product or process.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1.48 </w:t>
      </w: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means the United States Food and Drug Administration or any successor thereto.</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1.49 </w:t>
      </w:r>
      <w:r>
        <w:rPr>
          <w:color w:val="000000"/>
        </w:rPr>
        <w:t>“</w:t>
      </w:r>
      <w:r>
        <w:rPr>
          <w:rFonts w:ascii="Times New Roman;serif" w:hAnsi="Times New Roman;serif"/>
          <w:b/>
          <w:color w:val="000000"/>
          <w:sz w:val="24"/>
        </w:rPr>
        <w:t>FFDCA</w:t>
      </w:r>
      <w:r>
        <w:rPr>
          <w:color w:val="000000"/>
        </w:rPr>
        <w:t xml:space="preserve">” </w:t>
      </w:r>
      <w:r>
        <w:rPr>
          <w:rFonts w:ascii="Times New Roman;serif" w:hAnsi="Times New Roman;serif"/>
          <w:b w:val="false"/>
          <w:color w:val="000000"/>
          <w:sz w:val="24"/>
        </w:rPr>
        <w:t>means the Federal Food, Drug, and Cosmetic Act, 21 U.S.C. §§ 301, et seq., as amended from time to time.</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1.50 </w:t>
      </w:r>
      <w:r>
        <w:rPr>
          <w:color w:val="000000"/>
        </w:rPr>
        <w:t>“</w:t>
      </w:r>
      <w:r>
        <w:rPr>
          <w:rFonts w:ascii="Times New Roman;serif" w:hAnsi="Times New Roman;serif"/>
          <w:b/>
          <w:color w:val="000000"/>
          <w:sz w:val="24"/>
        </w:rPr>
        <w:t>Field</w:t>
      </w:r>
      <w:r>
        <w:rPr>
          <w:color w:val="000000"/>
        </w:rPr>
        <w:t xml:space="preserve">” </w:t>
      </w:r>
      <w:r>
        <w:rPr>
          <w:rFonts w:ascii="Times New Roman;serif" w:hAnsi="Times New Roman;serif"/>
          <w:b w:val="false"/>
          <w:color w:val="000000"/>
          <w:sz w:val="24"/>
        </w:rPr>
        <w:t>means the treatment of any cardiorenal diseases and conditions, but excluding cancer.</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1.51 </w:t>
      </w:r>
      <w:r>
        <w:rPr>
          <w:color w:val="000000"/>
        </w:rPr>
        <w:t>“</w:t>
      </w:r>
      <w:r>
        <w:rPr>
          <w:rFonts w:ascii="Times New Roman;serif" w:hAnsi="Times New Roman;serif"/>
          <w:b/>
          <w:color w:val="000000"/>
          <w:sz w:val="24"/>
        </w:rPr>
        <w:t>Filing</w:t>
      </w:r>
      <w:r>
        <w:rPr>
          <w:color w:val="000000"/>
        </w:rPr>
        <w:t xml:space="preserve">” </w:t>
      </w:r>
      <w:r>
        <w:rPr>
          <w:rFonts w:ascii="Times New Roman;serif" w:hAnsi="Times New Roman;serif"/>
          <w:b w:val="false"/>
          <w:color w:val="000000"/>
          <w:sz w:val="24"/>
        </w:rPr>
        <w:t>means, with respect to a submission to a Regulatory Health Authority, the date that such submission is confirmed to have been received by the relevant Regulatory Health Authority.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1.52 </w:t>
      </w:r>
      <w:r>
        <w:rPr>
          <w:color w:val="000000"/>
        </w:rPr>
        <w:t>“</w:t>
      </w:r>
      <w:r>
        <w:rPr>
          <w:rFonts w:ascii="Times New Roman;serif" w:hAnsi="Times New Roman;serif"/>
          <w:b/>
          <w:color w:val="000000"/>
          <w:sz w:val="24"/>
        </w:rPr>
        <w:t>First Commercial Sale</w:t>
      </w:r>
      <w:r>
        <w:rPr>
          <w:color w:val="000000"/>
        </w:rPr>
        <w:t xml:space="preserve">” </w:t>
      </w:r>
      <w:r>
        <w:rPr>
          <w:rFonts w:ascii="Times New Roman;serif" w:hAnsi="Times New Roman;serif"/>
          <w:b w:val="false"/>
          <w:color w:val="000000"/>
          <w:sz w:val="24"/>
        </w:rPr>
        <w:t xml:space="preserve">means, with respect to any Licensed Product, the first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arm’s length sale for monetary value by KHK, its Affiliates, or its Sublicensees to a Third Party of such Licensed Product in the Territory;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no event shall any sale or distribution of a Licensed Product for use in a Clinical Trial or any sampling or similar uses or any sales prior to receipt of all Regulatory Approvals necessary to commence regular commercial sales be deemed a First Commercial Sale.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1.53 </w:t>
      </w:r>
      <w:r>
        <w:rPr>
          <w:color w:val="000000"/>
        </w:rPr>
        <w:t>“</w:t>
      </w:r>
      <w:r>
        <w:rPr>
          <w:rFonts w:ascii="Times New Roman;serif" w:hAnsi="Times New Roman;serif"/>
          <w:b/>
          <w:color w:val="000000"/>
          <w:sz w:val="24"/>
        </w:rPr>
        <w:t>FTE</w:t>
      </w:r>
      <w:r>
        <w:rPr>
          <w:color w:val="000000"/>
        </w:rPr>
        <w:t xml:space="preserve">” </w:t>
      </w:r>
      <w:r>
        <w:rPr>
          <w:rFonts w:ascii="Times New Roman;serif" w:hAnsi="Times New Roman;serif"/>
          <w:b w:val="false"/>
          <w:color w:val="000000"/>
          <w:sz w:val="24"/>
        </w:rPr>
        <w:t>means a full time equivalent person year of eighteen hundred and eighty (1,880) hours of scientific, technical or operational work (excluding administrative services).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1.54 </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United States Generally Accepted Accounting Principles, consistently applied.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1.55 </w:t>
      </w:r>
      <w:r>
        <w:rPr>
          <w:color w:val="000000"/>
        </w:rPr>
        <w:t>“</w:t>
      </w:r>
      <w:r>
        <w:rPr>
          <w:rFonts w:ascii="Times New Roman;serif" w:hAnsi="Times New Roman;serif"/>
          <w:b/>
          <w:color w:val="000000"/>
          <w:sz w:val="24"/>
        </w:rPr>
        <w:t>GCP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Clinical Practices</w:t>
      </w:r>
      <w:r>
        <w:rPr>
          <w:color w:val="000000"/>
        </w:rPr>
        <w:t xml:space="preserve">” </w:t>
      </w:r>
      <w:r>
        <w:rPr>
          <w:rFonts w:ascii="Times New Roman;serif" w:hAnsi="Times New Roman;serif"/>
          <w:b w:val="false"/>
          <w:color w:val="000000"/>
          <w:sz w:val="24"/>
        </w:rPr>
        <w:t>means the current standards, practices and procedures for clinical trials for pharmaceuticals, as set forth in the United States Code of Federal Regulations, ICH guidelines and applicable regulations, laws or rules as promulgated thereunder, as amended from time to time, and such comparable standards, practices and procedures promulgated by any Regulatory Authority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1.56 </w:t>
      </w:r>
      <w:r>
        <w:rPr>
          <w:color w:val="000000"/>
        </w:rPr>
        <w:t>“</w:t>
      </w:r>
      <w:r>
        <w:rPr>
          <w:rFonts w:ascii="Times New Roman;serif" w:hAnsi="Times New Roman;serif"/>
          <w:b/>
          <w:color w:val="000000"/>
          <w:sz w:val="24"/>
        </w:rPr>
        <w:t>Generic Product</w:t>
      </w:r>
      <w:r>
        <w:rPr>
          <w:color w:val="000000"/>
        </w:rPr>
        <w:t xml:space="preserve">” </w:t>
      </w:r>
      <w:r>
        <w:rPr>
          <w:rFonts w:ascii="Times New Roman;serif" w:hAnsi="Times New Roman;serif"/>
          <w:b w:val="false"/>
          <w:color w:val="000000"/>
          <w:sz w:val="24"/>
        </w:rPr>
        <w:t>means with respect to a Licensed Product in the Territory a product (a) that is sold in the Territory by a Third Party who is not a Sublicensee or a Distributor selling such product under authorization from KHK or its Affiliates, (b) that has received Regulatory Approval necessary for sale in the Territory, (c) that [***] and (d) that contains as the active ingredient the same compound (or, solely for products that are described by subsection (c)(ii), an equivalent salt thereof), as is contained in such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1.57 </w:t>
      </w:r>
      <w:r>
        <w:rPr>
          <w:color w:val="000000"/>
        </w:rPr>
        <w:t>“</w:t>
      </w:r>
      <w:r>
        <w:rPr>
          <w:rFonts w:ascii="Times New Roman;serif" w:hAnsi="Times New Roman;serif"/>
          <w:b/>
          <w:color w:val="000000"/>
          <w:sz w:val="24"/>
        </w:rPr>
        <w:t>GLP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Laboratory Practices</w:t>
      </w:r>
      <w:r>
        <w:rPr>
          <w:color w:val="000000"/>
        </w:rPr>
        <w:t xml:space="preserve">” </w:t>
      </w:r>
      <w:r>
        <w:rPr>
          <w:rFonts w:ascii="Times New Roman;serif" w:hAnsi="Times New Roman;serif"/>
          <w:b w:val="false"/>
          <w:color w:val="000000"/>
          <w:sz w:val="24"/>
        </w:rPr>
        <w:t>means good laboratory practices required under the regulations set forth in 21 C.F.R. Part 58, as in effect during the Term, and the requirements thereunder imposed by the FDA, and the equivalent practices promulgated by any Regulatory Authority in any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1.58 </w:t>
      </w:r>
      <w:r>
        <w:rPr>
          <w:color w:val="000000"/>
        </w:rPr>
        <w:t>“</w:t>
      </w:r>
      <w:r>
        <w:rPr>
          <w:rFonts w:ascii="Times New Roman;serif" w:hAnsi="Times New Roman;serif"/>
          <w:b/>
          <w:color w:val="000000"/>
          <w:sz w:val="24"/>
        </w:rPr>
        <w:t>GMP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Manufacturing Practices</w:t>
      </w:r>
      <w:r>
        <w:rPr>
          <w:color w:val="000000"/>
        </w:rPr>
        <w:t xml:space="preserve">” </w:t>
      </w:r>
      <w:r>
        <w:rPr>
          <w:rFonts w:ascii="Times New Roman;serif" w:hAnsi="Times New Roman;serif"/>
          <w:b w:val="false"/>
          <w:color w:val="000000"/>
          <w:sz w:val="24"/>
        </w:rPr>
        <w:t>means the current good manufacturing practices required under the applicable regulations set forth in 21 C.F.R. Subchapter C (Drugs) and Subchapter H (Medical Devices), including without limitation Parts 210–211, 808, 812, and 820, and the requirements thereunder imposed by the FDA, the EU/PIC guidelines (and the corresponding national laws and regulations), and the laws, regulations, guidelines, guidance, pharmaceutical industry standards and requirements in force that apply to the Manufacture of each Licensed Compound or Licensed Product in any jurisdiction, all as amended from time to time.</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1.59 </w:t>
      </w:r>
      <w:r>
        <w:rPr>
          <w:color w:val="000000"/>
        </w:rPr>
        <w:t>“</w:t>
      </w:r>
      <w:r>
        <w:rPr>
          <w:rFonts w:ascii="Times New Roman;serif" w:hAnsi="Times New Roman;serif"/>
          <w:b/>
          <w:color w:val="000000"/>
          <w:sz w:val="24"/>
        </w:rPr>
        <w:t>Government Official</w:t>
      </w:r>
      <w:r>
        <w:rPr>
          <w:color w:val="000000"/>
        </w:rPr>
        <w:t xml:space="preserve">” </w:t>
      </w:r>
      <w:r>
        <w:rPr>
          <w:rFonts w:ascii="Times New Roman;serif" w:hAnsi="Times New Roman;serif"/>
          <w:b w:val="false"/>
          <w:color w:val="000000"/>
          <w:sz w:val="24"/>
        </w:rPr>
        <w:t>means any Person employed by or acting on behalf of a Governmental Body, government-controlled entity or public international organization.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1.60 </w:t>
      </w:r>
      <w:r>
        <w:rPr>
          <w:color w:val="000000"/>
        </w:rPr>
        <w:t>“</w:t>
      </w:r>
      <w:r>
        <w:rPr>
          <w:rFonts w:ascii="Times New Roman;serif" w:hAnsi="Times New Roman;serif"/>
          <w:b/>
          <w:color w:val="000000"/>
          <w:sz w:val="24"/>
        </w:rPr>
        <w:t>Governmental Body</w:t>
      </w:r>
      <w:r>
        <w:rPr>
          <w:color w:val="000000"/>
        </w:rPr>
        <w:t xml:space="preserve">” </w:t>
      </w:r>
      <w:r>
        <w:rPr>
          <w:rFonts w:ascii="Times New Roman;serif" w:hAnsi="Times New Roman;serif"/>
          <w:b w:val="false"/>
          <w:color w:val="000000"/>
          <w:sz w:val="24"/>
        </w:rPr>
        <w:t>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or (d) self-regulatory organization (including the NASDAQ Global Market and the NASDAQ Global Select Market).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1.61 </w:t>
      </w:r>
      <w:r>
        <w:rPr>
          <w:color w:val="000000"/>
        </w:rPr>
        <w:t>“</w:t>
      </w:r>
      <w:r>
        <w:rPr>
          <w:rFonts w:ascii="Times New Roman;serif" w:hAnsi="Times New Roman;serif"/>
          <w:b/>
          <w:color w:val="000000"/>
          <w:sz w:val="24"/>
        </w:rPr>
        <w:t>IND</w:t>
      </w:r>
      <w:r>
        <w:rPr>
          <w:color w:val="000000"/>
        </w:rPr>
        <w:t xml:space="preserve">” </w:t>
      </w:r>
      <w:r>
        <w:rPr>
          <w:rFonts w:ascii="Times New Roman;serif" w:hAnsi="Times New Roman;serif"/>
          <w:b w:val="false"/>
          <w:color w:val="000000"/>
          <w:sz w:val="24"/>
        </w:rPr>
        <w:t>means an Investigational New Drug application or the equivalent filed with or submitted to the relevant Regulatory Health Authority, including, for example, the FDA, for authorization to commence human clinical trials.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1.62 </w:t>
      </w:r>
      <w:r>
        <w:rPr>
          <w:color w:val="000000"/>
        </w:rPr>
        <w:t>“</w:t>
      </w:r>
      <w:r>
        <w:rPr>
          <w:rFonts w:ascii="Times New Roman;serif" w:hAnsi="Times New Roman;serif"/>
          <w:b/>
          <w:color w:val="000000"/>
          <w:sz w:val="24"/>
        </w:rPr>
        <w:t>Indirect Taxes</w:t>
      </w:r>
      <w:r>
        <w:rPr>
          <w:color w:val="000000"/>
        </w:rPr>
        <w:t xml:space="preserve">” </w:t>
      </w:r>
      <w:r>
        <w:rPr>
          <w:rFonts w:ascii="Times New Roman;serif" w:hAnsi="Times New Roman;serif"/>
          <w:b w:val="false"/>
          <w:color w:val="000000"/>
          <w:sz w:val="24"/>
        </w:rPr>
        <w:t>means value added taxes, sales taxes, consumption taxes and other similar taxes.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1.63 </w:t>
      </w:r>
      <w:r>
        <w:rPr>
          <w:color w:val="000000"/>
        </w:rPr>
        <w:t>“</w:t>
      </w:r>
      <w:r>
        <w:rPr>
          <w:rFonts w:ascii="Times New Roman;serif" w:hAnsi="Times New Roman;serif"/>
          <w:b/>
          <w:color w:val="000000"/>
          <w:sz w:val="24"/>
        </w:rPr>
        <w:t>Information</w:t>
      </w:r>
      <w:r>
        <w:rPr>
          <w:color w:val="000000"/>
        </w:rPr>
        <w:t xml:space="preserve">” </w:t>
      </w:r>
      <w:r>
        <w:rPr>
          <w:rFonts w:ascii="Times New Roman;serif" w:hAnsi="Times New Roman;serif"/>
          <w:b w:val="false"/>
          <w:color w:val="000000"/>
          <w:sz w:val="24"/>
        </w:rPr>
        <w:t>means (a) Development Data necessary or useful to Exploit the Licensed Compounds and/or Licensed Products, and (b) Know-How, other than Development Data, necessary or useful to Exploit the Licensed Compounds and/or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1.64 </w:t>
      </w:r>
      <w:r>
        <w:rPr>
          <w:color w:val="000000"/>
        </w:rPr>
        <w:t>“</w:t>
      </w:r>
      <w:r>
        <w:rPr>
          <w:rFonts w:ascii="Times New Roman;serif" w:hAnsi="Times New Roman;serif"/>
          <w:b/>
          <w:color w:val="000000"/>
          <w:sz w:val="24"/>
        </w:rPr>
        <w:t>Initial Delivery of Development Data and Regulatory Documentation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2.04(a)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1.65 </w:t>
      </w:r>
      <w:r>
        <w:rPr>
          <w:color w:val="000000"/>
        </w:rPr>
        <w:t>“</w:t>
      </w:r>
      <w:r>
        <w:rPr>
          <w:rFonts w:ascii="Times New Roman;serif" w:hAnsi="Times New Roman;serif"/>
          <w:b/>
          <w:color w:val="000000"/>
          <w:sz w:val="24"/>
        </w:rPr>
        <w:t>Initial Indication</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1.66 </w:t>
      </w:r>
      <w:r>
        <w:rPr>
          <w:color w:val="000000"/>
        </w:rPr>
        <w:t>“</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IPR</w:t>
      </w:r>
      <w:r>
        <w:rPr>
          <w:color w:val="000000"/>
        </w:rPr>
        <w:t xml:space="preserve">” </w:t>
      </w:r>
      <w:r>
        <w:rPr>
          <w:rFonts w:ascii="Times New Roman;serif" w:hAnsi="Times New Roman;serif"/>
          <w:b w:val="false"/>
          <w:color w:val="000000"/>
          <w:sz w:val="24"/>
        </w:rPr>
        <w:t>means Patents, Trademarks, service marks, Know-How,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1.67 </w:t>
      </w:r>
      <w:r>
        <w:rPr>
          <w:color w:val="000000"/>
        </w:rPr>
        <w:t>“</w:t>
      </w:r>
      <w:r>
        <w:rPr>
          <w:rFonts w:ascii="Times New Roman;serif" w:hAnsi="Times New Roman;serif"/>
          <w:b/>
          <w:color w:val="000000"/>
          <w:sz w:val="24"/>
        </w:rPr>
        <w:t>Joint Know-How</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1.68 </w:t>
      </w:r>
      <w:r>
        <w:rPr>
          <w:color w:val="000000"/>
        </w:rPr>
        <w:t>“</w:t>
      </w:r>
      <w:r>
        <w:rPr>
          <w:rFonts w:ascii="Times New Roman;serif" w:hAnsi="Times New Roman;serif"/>
          <w:b/>
          <w:color w:val="000000"/>
          <w:sz w:val="24"/>
        </w:rPr>
        <w:t>Joint Patent</w:t>
      </w:r>
      <w:r>
        <w:rPr>
          <w:color w:val="000000"/>
        </w:rPr>
        <w:t xml:space="preserve">” </w:t>
      </w:r>
      <w:r>
        <w:rPr>
          <w:rFonts w:ascii="Times New Roman;serif" w:hAnsi="Times New Roman;serif"/>
          <w:b w:val="false"/>
          <w:color w:val="000000"/>
          <w:sz w:val="24"/>
        </w:rPr>
        <w:t>means any Patent claiming any invention within the Joint Know-How.</w:t>
      </w:r>
    </w:p>
    <w:p>
      <w:pPr>
        <w:pStyle w:val="TextBody"/>
        <w:bidi w:val="0"/>
        <w:spacing w:lineRule="auto" w:line="288" w:before="0" w:after="240"/>
        <w:ind w:left="0" w:right="0" w:firstLine="720"/>
        <w:jc w:val="both"/>
        <w:rPr/>
      </w:pPr>
      <w:r>
        <w:rPr>
          <w:rFonts w:ascii="Times New Roman;serif" w:hAnsi="Times New Roman;serif"/>
          <w:b/>
          <w:color w:val="000000"/>
          <w:sz w:val="24"/>
        </w:rPr>
        <w:t>Section 1.69 “Joint Project Team</w:t>
      </w:r>
      <w:r>
        <w:rPr>
          <w:color w:val="000000"/>
        </w:rPr>
        <w:t xml:space="preserve">” </w:t>
      </w:r>
      <w:r>
        <w:rPr>
          <w:rFonts w:ascii="Times New Roman;serif" w:hAnsi="Times New Roman;serif"/>
          <w:b w:val="false"/>
          <w:color w:val="000000"/>
          <w:sz w:val="24"/>
        </w:rPr>
        <w:t xml:space="preserve">means the committee described in </w:t>
      </w:r>
      <w:r>
        <w:rPr>
          <w:rFonts w:ascii="Times New Roman;serif" w:hAnsi="Times New Roman;serif"/>
          <w:b w:val="false"/>
          <w:color w:val="000000"/>
          <w:sz w:val="24"/>
          <w:u w:val="single"/>
        </w:rPr>
        <w:t>Section 3.08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1.70 </w:t>
      </w:r>
      <w:r>
        <w:rPr>
          <w:color w:val="000000"/>
        </w:rPr>
        <w:t>“</w:t>
      </w:r>
      <w:r>
        <w:rPr>
          <w:rFonts w:ascii="Times New Roman;serif" w:hAnsi="Times New Roman;serif"/>
          <w:b/>
          <w:color w:val="000000"/>
          <w:sz w:val="24"/>
        </w:rPr>
        <w:t>Joint Technology</w:t>
      </w:r>
      <w:r>
        <w:rPr>
          <w:color w:val="000000"/>
        </w:rPr>
        <w:t xml:space="preserve">” </w:t>
      </w:r>
      <w:r>
        <w:rPr>
          <w:rFonts w:ascii="Times New Roman;serif" w:hAnsi="Times New Roman;serif"/>
          <w:b w:val="false"/>
          <w:color w:val="000000"/>
          <w:sz w:val="24"/>
        </w:rPr>
        <w:t>means collectively, Joint Patents and Joint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1.71 </w:t>
      </w:r>
      <w:r>
        <w:rPr>
          <w:color w:val="000000"/>
        </w:rPr>
        <w:t>“</w:t>
      </w:r>
      <w:r>
        <w:rPr>
          <w:rFonts w:ascii="Times New Roman;serif" w:hAnsi="Times New Roman;serif"/>
          <w:b/>
          <w:color w:val="000000"/>
          <w:sz w:val="24"/>
        </w:rPr>
        <w:t xml:space="preserve">KHK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Know-How (a) that [***]; provided, that, (i) such Know-How is used by [***] a Licensed Compound or a Licensed Product, (ii) such Know-How is [***] for a Licensed Product or Licensed Compound, or (ii) such Know-How [***] a Licensed Product.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1.72 </w:t>
      </w:r>
      <w:r>
        <w:rPr>
          <w:color w:val="000000"/>
        </w:rPr>
        <w:t>“</w:t>
      </w:r>
      <w:r>
        <w:rPr>
          <w:rFonts w:ascii="Times New Roman;serif" w:hAnsi="Times New Roman;serif"/>
          <w:b/>
          <w:color w:val="000000"/>
          <w:sz w:val="24"/>
        </w:rPr>
        <w:t xml:space="preserve">KHK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all Patents (a) that [***]; provided, that, such Patents claim (i) inventions that [***] a Licensed Compound or a Licensed Product, (ii) [***] for</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a Licensed Product or Licensed Compound (collectively, “</w:t>
      </w:r>
      <w:r>
        <w:rPr>
          <w:rFonts w:ascii="Times New Roman;serif" w:hAnsi="Times New Roman;serif"/>
          <w:b/>
          <w:color w:val="000000"/>
          <w:sz w:val="24"/>
        </w:rPr>
        <w:t xml:space="preserve">KHK </w:t>
      </w:r>
      <w:r>
        <w:rPr>
          <w:rFonts w:ascii="Times New Roman;serif" w:hAnsi="Times New Roman;serif"/>
          <w:b w:val="false"/>
          <w:color w:val="000000"/>
          <w:sz w:val="24"/>
        </w:rPr>
        <w:t>[***]”), or (iii) is [***] a Licensed Product (“</w:t>
      </w:r>
      <w:r>
        <w:rPr>
          <w:rFonts w:ascii="Times New Roman;serif" w:hAnsi="Times New Roman;serif"/>
          <w:b/>
          <w:color w:val="000000"/>
          <w:sz w:val="24"/>
        </w:rPr>
        <w:t xml:space="preserve">KHK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1.73 </w:t>
      </w:r>
      <w:r>
        <w:rPr>
          <w:color w:val="000000"/>
        </w:rPr>
        <w:t>“</w:t>
      </w:r>
      <w:r>
        <w:rPr>
          <w:rFonts w:ascii="Times New Roman;serif" w:hAnsi="Times New Roman;serif"/>
          <w:b/>
          <w:color w:val="000000"/>
          <w:sz w:val="24"/>
        </w:rPr>
        <w:t xml:space="preserve">KHK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 xml:space="preserve">” </w:t>
      </w:r>
      <w:r>
        <w:rPr>
          <w:rFonts w:ascii="Times New Roman;serif" w:hAnsi="Times New Roman;serif"/>
          <w:b w:val="false"/>
          <w:color w:val="000000"/>
          <w:sz w:val="24"/>
        </w:rPr>
        <w:t>means KHK [***] Know-How and KHK [***]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1.74 </w:t>
      </w:r>
      <w:r>
        <w:rPr>
          <w:color w:val="000000"/>
        </w:rPr>
        <w:t>“</w:t>
      </w:r>
      <w:r>
        <w:rPr>
          <w:rFonts w:ascii="Times New Roman;serif" w:hAnsi="Times New Roman;serif"/>
          <w:b/>
          <w:color w:val="000000"/>
          <w:sz w:val="24"/>
        </w:rPr>
        <w:t>KHK Development Data</w:t>
      </w:r>
      <w:r>
        <w:rPr>
          <w:color w:val="000000"/>
        </w:rPr>
        <w:t xml:space="preserve">” </w:t>
      </w:r>
      <w:r>
        <w:rPr>
          <w:rFonts w:ascii="Times New Roman;serif" w:hAnsi="Times New Roman;serif"/>
          <w:b w:val="false"/>
          <w:color w:val="000000"/>
          <w:sz w:val="24"/>
        </w:rPr>
        <w:t>means any Development Data that comes into and under the Control of KHK or its Affiliates after the Effective Date that is necessary or useful to Exploit any Licensed Compound and/or Licensed Product outside the Territory or within the Territory and outside the Field.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1.75 </w:t>
      </w:r>
      <w:r>
        <w:rPr>
          <w:color w:val="000000"/>
        </w:rPr>
        <w:t>“</w:t>
      </w:r>
      <w:r>
        <w:rPr>
          <w:rFonts w:ascii="Times New Roman;serif" w:hAnsi="Times New Roman;serif"/>
          <w:b/>
          <w:color w:val="000000"/>
          <w:sz w:val="24"/>
        </w:rPr>
        <w:t>KHK Sole Invention Patent</w:t>
      </w:r>
      <w:r>
        <w:rPr>
          <w:color w:val="000000"/>
        </w:rPr>
        <w:t xml:space="preserve">” </w:t>
      </w:r>
      <w:r>
        <w:rPr>
          <w:rFonts w:ascii="Times New Roman;serif" w:hAnsi="Times New Roman;serif"/>
          <w:b w:val="false"/>
          <w:color w:val="000000"/>
          <w:sz w:val="24"/>
        </w:rPr>
        <w:t>means any Patent claiming Sole Program Know-How owned solely by KHK.</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1.76 </w:t>
      </w:r>
      <w:r>
        <w:rPr>
          <w:color w:val="000000"/>
        </w:rPr>
        <w:t>“</w:t>
      </w:r>
      <w:r>
        <w:rPr>
          <w:rFonts w:ascii="Times New Roman;serif" w:hAnsi="Times New Roman;serif"/>
          <w:b/>
          <w:color w:val="000000"/>
          <w:sz w:val="24"/>
        </w:rPr>
        <w:t>KHK Triggered Termination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1.77 </w:t>
      </w: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all inventions, discoveries, data, information (including scientific, technical or regulatory information), trade secrets, processes, means, methods, practices, formulae, instructions, procedures, techniques, materials, technology, results, analyses, designs, drawings, computer programs, apparatuses, specifications, technical assistance, laboratory, nonclinical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1.78 </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the good faith understanding of the officers of Ardelyx and its Affiliates, [***]. For clarity, for purposes of the representations and warranties set forth in </w:t>
      </w:r>
      <w:r>
        <w:rPr>
          <w:rFonts w:ascii="Times New Roman;serif" w:hAnsi="Times New Roman;serif"/>
          <w:b w:val="false"/>
          <w:color w:val="000000"/>
          <w:sz w:val="24"/>
          <w:u w:val="single"/>
        </w:rPr>
        <w:t>Section 9.01(b)</w:t>
      </w:r>
      <w:r>
        <w:rPr>
          <w:rFonts w:ascii="Times New Roman;serif" w:hAnsi="Times New Roman;serif"/>
          <w:b w:val="false"/>
          <w:color w:val="000000"/>
          <w:sz w:val="24"/>
        </w:rPr>
        <w:t>, “</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will not include obligations to conduct any special searches or analyses such as, but not limited to, any analysis of Ardelyx’s freedom to operate with respect to Patents relevant to Licensed Compounds or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1.79 </w:t>
      </w:r>
      <w:r>
        <w:rPr>
          <w:color w:val="000000"/>
        </w:rPr>
        <w:t>“</w:t>
      </w:r>
      <w:r>
        <w:rPr>
          <w:rFonts w:ascii="Times New Roman;serif" w:hAnsi="Times New Roman;serif"/>
          <w:b/>
          <w:color w:val="000000"/>
          <w:sz w:val="24"/>
        </w:rPr>
        <w:t>Lead Licensed Compound</w:t>
      </w:r>
      <w:r>
        <w:rPr>
          <w:color w:val="000000"/>
        </w:rPr>
        <w:t xml:space="preserve">” </w:t>
      </w:r>
      <w:r>
        <w:rPr>
          <w:rFonts w:ascii="Times New Roman;serif" w:hAnsi="Times New Roman;serif"/>
          <w:b w:val="false"/>
          <w:color w:val="000000"/>
          <w:sz w:val="24"/>
        </w:rPr>
        <w:t xml:space="preserve">means the compound of Ardelyx, known as tenapanor, having the structure set forth on </w:t>
      </w:r>
      <w:r>
        <w:rPr>
          <w:rFonts w:ascii="Times New Roman;serif" w:hAnsi="Times New Roman;serif"/>
          <w:b/>
          <w:color w:val="000000"/>
          <w:sz w:val="24"/>
        </w:rPr>
        <w:t>Exhibit A</w:t>
      </w:r>
      <w:r>
        <w:rPr>
          <w:rFonts w:ascii="Times New Roman;serif" w:hAnsi="Times New Roman;serif"/>
          <w:b w:val="false"/>
          <w:color w:val="000000"/>
          <w:sz w:val="24"/>
        </w:rPr>
        <w:t>, and any [***] of such compound.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1.80 </w:t>
      </w:r>
      <w:r>
        <w:rPr>
          <w:color w:val="000000"/>
        </w:rPr>
        <w:t>“</w:t>
      </w:r>
      <w:r>
        <w:rPr>
          <w:rFonts w:ascii="Times New Roman;serif" w:hAnsi="Times New Roman;serif"/>
          <w:b/>
          <w:color w:val="000000"/>
          <w:sz w:val="24"/>
        </w:rPr>
        <w:t>Lead Licensed Product</w:t>
      </w:r>
      <w:r>
        <w:rPr>
          <w:color w:val="000000"/>
        </w:rPr>
        <w:t xml:space="preserve">” </w:t>
      </w:r>
      <w:r>
        <w:rPr>
          <w:rFonts w:ascii="Times New Roman;serif" w:hAnsi="Times New Roman;serif"/>
          <w:b w:val="false"/>
          <w:color w:val="000000"/>
          <w:sz w:val="24"/>
        </w:rPr>
        <w:t>means a Licensed Product containing the Lead Licensed Compound as an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1.81 </w:t>
      </w:r>
      <w:r>
        <w:rPr>
          <w:color w:val="000000"/>
        </w:rPr>
        <w:t>“</w:t>
      </w:r>
      <w:r>
        <w:rPr>
          <w:rFonts w:ascii="Times New Roman;serif" w:hAnsi="Times New Roman;serif"/>
          <w:b/>
          <w:color w:val="000000"/>
          <w:sz w:val="24"/>
        </w:rPr>
        <w:t>Licensed Compounds</w:t>
      </w:r>
      <w:r>
        <w:rPr>
          <w:color w:val="000000"/>
        </w:rPr>
        <w:t xml:space="preserve">” </w:t>
      </w:r>
      <w:r>
        <w:rPr>
          <w:rFonts w:ascii="Times New Roman;serif" w:hAnsi="Times New Roman;serif"/>
          <w:b w:val="false"/>
          <w:color w:val="000000"/>
          <w:sz w:val="24"/>
        </w:rPr>
        <w:t>means the Lead Licensed Compound and any and all Backup Licensed Compounds.</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1.82 </w:t>
      </w:r>
      <w:r>
        <w:rPr>
          <w:color w:val="000000"/>
        </w:rPr>
        <w:t>“</w:t>
      </w:r>
      <w:r>
        <w:rPr>
          <w:rFonts w:ascii="Times New Roman;serif" w:hAnsi="Times New Roman;serif"/>
          <w:b/>
          <w:color w:val="000000"/>
          <w:sz w:val="24"/>
        </w:rPr>
        <w:t>Licensed Know-How</w:t>
      </w:r>
      <w:r>
        <w:rPr>
          <w:color w:val="000000"/>
        </w:rPr>
        <w:t xml:space="preserve">” </w:t>
      </w:r>
      <w:r>
        <w:rPr>
          <w:rFonts w:ascii="Times New Roman;serif" w:hAnsi="Times New Roman;serif"/>
          <w:b w:val="false"/>
          <w:color w:val="000000"/>
          <w:sz w:val="24"/>
        </w:rPr>
        <w:t>means (a) Know-How that Ardelyx or its Affiliates Control as of the Effective Date and (b) Sole Program Know-How owned by Ardelyx; provided that, such Know-How is necessary or useful to Exploit any Licensed Compound and/or Licensed</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Product pursuant to the terms and conditions of this Agreement. Licensed Know-How specifically excludes the Ardelyx [***] Know-How and the Excluded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1.83 </w:t>
      </w:r>
      <w:r>
        <w:rPr>
          <w:color w:val="000000"/>
        </w:rPr>
        <w:t>“</w:t>
      </w:r>
      <w:r>
        <w:rPr>
          <w:rFonts w:ascii="Times New Roman;serif" w:hAnsi="Times New Roman;serif"/>
          <w:b/>
          <w:color w:val="000000"/>
          <w:sz w:val="24"/>
        </w:rPr>
        <w:t>Licensed Patents</w:t>
      </w:r>
      <w:r>
        <w:rPr>
          <w:color w:val="000000"/>
        </w:rPr>
        <w:t xml:space="preserve">” </w:t>
      </w:r>
      <w:r>
        <w:rPr>
          <w:rFonts w:ascii="Times New Roman;serif" w:hAnsi="Times New Roman;serif"/>
          <w:b w:val="false"/>
          <w:color w:val="000000"/>
          <w:sz w:val="24"/>
        </w:rPr>
        <w:t>means (a) the Compound Patents, (b) the Additional Patents, and (c) all Ardelyx Sole Invention Patents; provided that in the case of (b) and (c) above, such Patents claim any inventions necessary or useful for the Exploitation of the Licensed Compounds and/or Licensed Products pursuant to the terms and conditions of this Agreement. Licensed Patents exclude Ardelyx [***] Patents and the Excluded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1.84 </w:t>
      </w:r>
      <w:r>
        <w:rPr>
          <w:color w:val="000000"/>
        </w:rPr>
        <w:t>“</w:t>
      </w:r>
      <w:r>
        <w:rPr>
          <w:rFonts w:ascii="Times New Roman;serif" w:hAnsi="Times New Roman;serif"/>
          <w:b/>
          <w:color w:val="000000"/>
          <w:sz w:val="24"/>
        </w:rPr>
        <w:t>Licensed Product</w:t>
      </w:r>
      <w:r>
        <w:rPr>
          <w:color w:val="000000"/>
        </w:rPr>
        <w:t xml:space="preserve">” </w:t>
      </w:r>
      <w:r>
        <w:rPr>
          <w:rFonts w:ascii="Times New Roman;serif" w:hAnsi="Times New Roman;serif"/>
          <w:b w:val="false"/>
          <w:color w:val="000000"/>
          <w:sz w:val="24"/>
        </w:rPr>
        <w:t>means any and all pharmaceutical preparations, compositions and formulations in forms suitable for human applications containing a Licensed Compound as an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1.85 </w:t>
      </w:r>
      <w:r>
        <w:rPr>
          <w:color w:val="000000"/>
        </w:rPr>
        <w:t>“</w:t>
      </w:r>
      <w:r>
        <w:rPr>
          <w:rFonts w:ascii="Times New Roman;serif" w:hAnsi="Times New Roman;serif"/>
          <w:b/>
          <w:color w:val="000000"/>
          <w:sz w:val="24"/>
        </w:rPr>
        <w:t>Licensed Technology</w:t>
      </w:r>
      <w:r>
        <w:rPr>
          <w:color w:val="000000"/>
        </w:rPr>
        <w:t xml:space="preserve">” </w:t>
      </w:r>
      <w:r>
        <w:rPr>
          <w:rFonts w:ascii="Times New Roman;serif" w:hAnsi="Times New Roman;serif"/>
          <w:b w:val="false"/>
          <w:color w:val="000000"/>
          <w:sz w:val="24"/>
        </w:rPr>
        <w:t>means all Licensed Patents and Licensed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1.86 </w:t>
      </w:r>
      <w:r>
        <w:rPr>
          <w:color w:val="000000"/>
        </w:rPr>
        <w:t>“</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means any and all direct or indirect liabilities, claims, actions, damages, losses or expenses, including interest, penalties, and reasonable lawyers’ fees and disbursements. In calculating Losses, the legal duty to mitigate on the part of the Party suffering the Loss shall be taken into account.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1.87 </w:t>
      </w:r>
      <w:r>
        <w:rPr>
          <w:color w:val="000000"/>
        </w:rPr>
        <w:t>“</w:t>
      </w:r>
      <w:r>
        <w:rPr>
          <w:rFonts w:ascii="Times New Roman;serif" w:hAnsi="Times New Roman;serif"/>
          <w:b/>
          <w:color w:val="000000"/>
          <w:sz w:val="24"/>
        </w:rPr>
        <w:t>Manufacture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Manufacturing</w:t>
      </w:r>
      <w:r>
        <w:rPr>
          <w:color w:val="000000"/>
        </w:rPr>
        <w:t xml:space="preserve">” </w:t>
      </w:r>
      <w:r>
        <w:rPr>
          <w:rFonts w:ascii="Times New Roman;serif" w:hAnsi="Times New Roman;serif"/>
          <w:b w:val="false"/>
          <w:color w:val="000000"/>
          <w:sz w:val="24"/>
        </w:rPr>
        <w:t>means activities in connection with the synthesis, manufacture, processing, formulating, testing (including, without limitation quality control, quality assurance, lot release testing, and development of any relevant analytical methods), bulk packaging or storage and delivery of Licensed Compound or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1.88 </w:t>
      </w:r>
      <w:r>
        <w:rPr>
          <w:color w:val="000000"/>
        </w:rPr>
        <w:t>“</w:t>
      </w:r>
      <w:r>
        <w:rPr>
          <w:rFonts w:ascii="Times New Roman;serif" w:hAnsi="Times New Roman;serif"/>
          <w:b/>
          <w:color w:val="000000"/>
          <w:sz w:val="24"/>
        </w:rPr>
        <w:t>Manufacturing Option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5.04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1.89 </w:t>
      </w:r>
      <w:r>
        <w:rPr>
          <w:color w:val="000000"/>
        </w:rPr>
        <w:t>“</w:t>
      </w:r>
      <w:r>
        <w:rPr>
          <w:rFonts w:ascii="Times New Roman;serif" w:hAnsi="Times New Roman;serif"/>
          <w:b/>
          <w:color w:val="000000"/>
          <w:sz w:val="24"/>
        </w:rPr>
        <w:t>Material Anti-Corruption Law Violation</w:t>
      </w:r>
      <w:r>
        <w:rPr>
          <w:color w:val="000000"/>
        </w:rPr>
        <w:t xml:space="preserve">” </w:t>
      </w:r>
      <w:r>
        <w:rPr>
          <w:rFonts w:ascii="Times New Roman;serif" w:hAnsi="Times New Roman;serif"/>
          <w:b w:val="false"/>
          <w:color w:val="000000"/>
          <w:sz w:val="24"/>
        </w:rPr>
        <w:t>means a violation of an Anti-Corruption Law relating to the subject matter of this Agreement which would, if it were publicly known, be reasonably expected to have a material adverse effect on the Party committing such violation or on the reputation of the other Party because of its relationship with the Party committing such violation.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1.90 </w:t>
      </w:r>
      <w:r>
        <w:rPr>
          <w:color w:val="000000"/>
        </w:rPr>
        <w:t>“</w:t>
      </w:r>
      <w:r>
        <w:rPr>
          <w:rFonts w:ascii="Times New Roman;serif" w:hAnsi="Times New Roman;serif"/>
          <w:b/>
          <w:color w:val="000000"/>
          <w:sz w:val="24"/>
        </w:rPr>
        <w:t>Materials</w:t>
      </w:r>
      <w:r>
        <w:rPr>
          <w:color w:val="000000"/>
        </w:rPr>
        <w:t xml:space="preserve">” </w:t>
      </w:r>
      <w:r>
        <w:rPr>
          <w:rFonts w:ascii="Times New Roman;serif" w:hAnsi="Times New Roman;serif"/>
          <w:b w:val="false"/>
          <w:color w:val="000000"/>
          <w:sz w:val="24"/>
        </w:rPr>
        <w:t>means compounds, compositions of matter, intermediates or assays necessary or useful for the Development, Manufacture or Commercialization of Licensed Compounds or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1.91 </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 the gross amount invoiced by a Party, its Affiliate and Sublicensees for sales of Licensed Products to a Third Party (including Distributors but excluding, for the avoidance of doubt, Sublicensees) less deductions for the following:</w:t>
      </w:r>
    </w:p>
    <w:p>
      <w:pPr>
        <w:pStyle w:val="TextBody"/>
        <w:bidi w:val="0"/>
        <w:spacing w:lineRule="auto" w:line="288" w:before="0" w:after="24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(a) customary trade, quantity discounts, including cash, settlement discounts, or chargebacks actually granted, allowed, or incurred in the ordinary course of business in connection with the sale of the Licensed Products;</w:t>
      </w:r>
    </w:p>
    <w:p>
      <w:pPr>
        <w:pStyle w:val="TextBody"/>
        <w:bidi w:val="0"/>
        <w:spacing w:lineRule="auto" w:line="288" w:before="0" w:after="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(b) credits to customers, not in excess of the selling price of the Licensed Products, on account of defects, rejection, recalls, or return of the Licensed Products;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(c) Distributors’ fees, rebates, or allowances actually granted or allowed, including without limitation government and managed care rebates;</w:t>
      </w:r>
    </w:p>
    <w:p>
      <w:pPr>
        <w:pStyle w:val="TextBody"/>
        <w:bidi w:val="0"/>
        <w:spacing w:lineRule="auto" w:line="288" w:before="0" w:after="24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(d) Indirect Taxes and excise taxes or customs duties paid by the selling entity and any other governmental charges imposed upon the sale; importation, use or distribution of the Licensed Products; and</w:t>
      </w:r>
    </w:p>
    <w:p>
      <w:pPr>
        <w:pStyle w:val="TextBody"/>
        <w:bidi w:val="0"/>
        <w:spacing w:lineRule="auto" w:line="288" w:before="0" w:after="24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(e) transportation costs, distribution expenses, special packaging and related insurance charges actually incurred.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1.92 </w:t>
      </w:r>
      <w:r>
        <w:rPr>
          <w:color w:val="000000"/>
        </w:rPr>
        <w:t>“</w:t>
      </w:r>
      <w:r>
        <w:rPr>
          <w:rFonts w:ascii="Times New Roman;serif" w:hAnsi="Times New Roman;serif"/>
          <w:b/>
          <w:color w:val="000000"/>
          <w:sz w:val="24"/>
        </w:rPr>
        <w:t>NHE-3</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1.93 </w:t>
      </w:r>
      <w:r>
        <w:rPr>
          <w:color w:val="000000"/>
        </w:rPr>
        <w:t>“</w:t>
      </w:r>
      <w:r>
        <w:rPr>
          <w:rFonts w:ascii="Times New Roman;serif" w:hAnsi="Times New Roman;serif"/>
          <w:b/>
          <w:color w:val="000000"/>
          <w:sz w:val="24"/>
        </w:rPr>
        <w:t>Non-Breaching Party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1.94 </w:t>
      </w:r>
      <w:r>
        <w:rPr>
          <w:color w:val="000000"/>
        </w:rPr>
        <w:t>“</w:t>
      </w:r>
      <w:r>
        <w:rPr>
          <w:rFonts w:ascii="Times New Roman;serif" w:hAnsi="Times New Roman;serif"/>
          <w:b/>
          <w:color w:val="000000"/>
          <w:sz w:val="24"/>
        </w:rPr>
        <w:t>Other Ingredients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1.95 </w:t>
      </w:r>
      <w:r>
        <w:rPr>
          <w:color w:val="000000"/>
        </w:rPr>
        <w:t>“</w:t>
      </w:r>
      <w:r>
        <w:rPr>
          <w:rFonts w:ascii="Times New Roman;serif" w:hAnsi="Times New Roman;serif"/>
          <w:b/>
          <w:color w:val="000000"/>
          <w:sz w:val="24"/>
        </w:rPr>
        <w:t>Party Representatives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9.04(a)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1.96 </w:t>
      </w:r>
      <w:r>
        <w:rPr>
          <w:color w:val="000000"/>
        </w:rPr>
        <w:t>“</w:t>
      </w:r>
      <w:r>
        <w:rPr>
          <w:rFonts w:ascii="Times New Roman;serif" w:hAnsi="Times New Roman;serif"/>
          <w:b/>
          <w:color w:val="000000"/>
          <w:sz w:val="24"/>
        </w:rPr>
        <w:t>Patent</w:t>
      </w:r>
      <w:r>
        <w:rPr>
          <w:color w:val="000000"/>
        </w:rPr>
        <w:t xml:space="preserve">” </w:t>
      </w:r>
      <w:r>
        <w:rPr>
          <w:rFonts w:ascii="Times New Roman;serif" w:hAnsi="Times New Roman;serif"/>
          <w:b w:val="false"/>
          <w:color w:val="000000"/>
          <w:sz w:val="24"/>
        </w:rPr>
        <w:t>means (a) all national, regional and international patents and patent applications, including provisional patent applications, (b)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1.97 </w:t>
      </w:r>
      <w:r>
        <w:rPr>
          <w:color w:val="000000"/>
        </w:rPr>
        <w:t>“</w:t>
      </w:r>
      <w:r>
        <w:rPr>
          <w:rFonts w:ascii="Times New Roman;serif" w:hAnsi="Times New Roman;serif"/>
          <w:b/>
          <w:color w:val="000000"/>
          <w:sz w:val="24"/>
        </w:rPr>
        <w:t>Payments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1.98 </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sole proprietorship, corporation, partnership, association, joint-stock company, trust, unincorporated organization, joint venture or other similar entity or organization, including a government or political subdivision, department or agency of a government.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1.99 </w:t>
      </w:r>
      <w:r>
        <w:rPr>
          <w:color w:val="000000"/>
        </w:rPr>
        <w:t>“</w:t>
      </w:r>
      <w:r>
        <w:rPr>
          <w:rFonts w:ascii="Times New Roman;serif" w:hAnsi="Times New Roman;serif"/>
          <w:b/>
          <w:color w:val="000000"/>
          <w:sz w:val="24"/>
        </w:rPr>
        <w:t>Phase 2 Clinical Trial</w:t>
      </w:r>
      <w:r>
        <w:rPr>
          <w:color w:val="000000"/>
        </w:rPr>
        <w:t xml:space="preserve">” </w:t>
      </w:r>
      <w:r>
        <w:rPr>
          <w:rFonts w:ascii="Times New Roman;serif" w:hAnsi="Times New Roman;serif"/>
          <w:b w:val="false"/>
          <w:color w:val="000000"/>
          <w:sz w:val="24"/>
        </w:rPr>
        <w:t>means any clinical study that is not intended to be used as a Pivotal Study for purposes of seeking Regulatory Approval and that is conducted on human patients who have the relevant disease or condition with primary endpoints to establish the efficacy of a Licensed Product for its intended use and to define warnings, precautions, and adverse reactions that may be associated with the pharmaceutical product in the dosage range to be prescribed. “Phase 2 Clinical Trial” shall include without limitation any clinical trial that would satisfy requirements of 21 C.F.R. § 312.21(b).</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1.100 </w:t>
      </w:r>
      <w:r>
        <w:rPr>
          <w:color w:val="000000"/>
        </w:rPr>
        <w:t>“</w:t>
      </w:r>
      <w:r>
        <w:rPr>
          <w:rFonts w:ascii="Times New Roman;serif" w:hAnsi="Times New Roman;serif"/>
          <w:b/>
          <w:color w:val="000000"/>
          <w:sz w:val="24"/>
        </w:rPr>
        <w:t>Pivotal Trial</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Pivotal Clinical Study</w:t>
      </w:r>
      <w:r>
        <w:rPr>
          <w:color w:val="000000"/>
        </w:rPr>
        <w:t xml:space="preserve">” </w:t>
      </w:r>
      <w:r>
        <w:rPr>
          <w:rFonts w:ascii="Times New Roman;serif" w:hAnsi="Times New Roman;serif"/>
          <w:b w:val="false"/>
          <w:color w:val="000000"/>
          <w:sz w:val="24"/>
        </w:rPr>
        <w:t>means a randomized, well-controlled, appropriately powered pivotal human clinical study or studies as defined in 21 C.F.R. § 312.21(c), as amended, or its equivalent, as appropriate, in foreign jurisdictions, the results of which, if the pre-defined endpoints are met, are intended to provide data necessary to support Regulatory Approval for a Licensed Product in a particular country.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1.101 </w:t>
      </w:r>
      <w:r>
        <w:rPr>
          <w:color w:val="000000"/>
        </w:rPr>
        <w:t>“</w:t>
      </w:r>
      <w:r>
        <w:rPr>
          <w:rFonts w:ascii="Times New Roman;serif" w:hAnsi="Times New Roman;serif"/>
          <w:b/>
          <w:color w:val="000000"/>
          <w:sz w:val="24"/>
        </w:rPr>
        <w:t>Product Trademark</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1.102 </w:t>
      </w: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any and all approvals (including without limitation pricing and reimbursement approvals), product or establishment licenses, registrations, or authorizations of any regional, federal, state, or local Regulatory Health Authority, department, bureau, or other governmental entity, necessary to commercially distribute, sell or market a Licensed Product in a regulatory jurisdiction, including, where applicable, (a) pricing or reimbursement approval in such jurisdiction, (b) pre- and post-approval marketing authorizations (including any prerequisite Manufacturing approval or authorization related thereto), (c) labeling approval and (d) technical, medical and scientific licenses.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1.103 </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1.104 </w:t>
      </w:r>
      <w:r>
        <w:rPr>
          <w:color w:val="000000"/>
        </w:rPr>
        <w:t>“</w:t>
      </w:r>
      <w:r>
        <w:rPr>
          <w:rFonts w:ascii="Times New Roman;serif" w:hAnsi="Times New Roman;serif"/>
          <w:b/>
          <w:color w:val="000000"/>
          <w:sz w:val="24"/>
        </w:rPr>
        <w:t>Regulatory Documentation</w:t>
      </w:r>
      <w:r>
        <w:rPr>
          <w:color w:val="000000"/>
        </w:rPr>
        <w:t xml:space="preserve">” </w:t>
      </w:r>
      <w:r>
        <w:rPr>
          <w:rFonts w:ascii="Times New Roman;serif" w:hAnsi="Times New Roman;serif"/>
          <w:b w:val="false"/>
          <w:color w:val="000000"/>
          <w:sz w:val="24"/>
        </w:rPr>
        <w:t>means all applications, registrations, licenses, authorizations and approvals, all 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Licensed Compounds or Licensed Products, including all INDs, Regulatory Approvals, regulatory drug lists, advertising and promotion documents, adverse event files and complaint files.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1.105 </w:t>
      </w:r>
      <w:r>
        <w:rPr>
          <w:color w:val="000000"/>
        </w:rPr>
        <w:t>“</w:t>
      </w:r>
      <w:r>
        <w:rPr>
          <w:rFonts w:ascii="Times New Roman;serif" w:hAnsi="Times New Roman;serif"/>
          <w:b/>
          <w:color w:val="000000"/>
          <w:sz w:val="24"/>
        </w:rPr>
        <w:t>Regulatory Exclusivity</w:t>
      </w:r>
      <w:r>
        <w:rPr>
          <w:color w:val="000000"/>
        </w:rPr>
        <w:t xml:space="preserve">” </w:t>
      </w:r>
      <w:r>
        <w:rPr>
          <w:rFonts w:ascii="Times New Roman;serif" w:hAnsi="Times New Roman;serif"/>
          <w:b w:val="false"/>
          <w:color w:val="000000"/>
          <w:sz w:val="24"/>
        </w:rPr>
        <w:t xml:space="preserve">means any exclusive marketing rights or data exclusivity rights conferred by any Regulatory Health Authority in the </w:t>
      </w:r>
      <w:r>
        <w:rPr>
          <w:rFonts w:ascii="Times New Roman;serif" w:hAnsi="Times New Roman;serif"/>
          <w:b w:val="false"/>
          <w:color w:val="000000"/>
          <w:sz w:val="24"/>
          <w:u w:val="single"/>
        </w:rPr>
        <w:t>Territory</w:t>
      </w:r>
      <w:r>
        <w:rPr>
          <w:color w:val="000000"/>
        </w:rPr>
        <w:t xml:space="preserve"> </w:t>
      </w:r>
      <w:r>
        <w:rPr>
          <w:rFonts w:ascii="Times New Roman;serif" w:hAnsi="Times New Roman;serif"/>
          <w:b w:val="false"/>
          <w:color w:val="000000"/>
          <w:sz w:val="24"/>
        </w:rPr>
        <w:t>with respect to a Licensed Product other than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1.106 </w:t>
      </w:r>
      <w:r>
        <w:rPr>
          <w:color w:val="000000"/>
        </w:rPr>
        <w:t>“</w:t>
      </w:r>
      <w:r>
        <w:rPr>
          <w:rFonts w:ascii="Times New Roman;serif" w:hAnsi="Times New Roman;serif"/>
          <w:b/>
          <w:color w:val="000000"/>
          <w:sz w:val="24"/>
        </w:rPr>
        <w:t>Regulatory Health Authority</w:t>
      </w:r>
      <w:r>
        <w:rPr>
          <w:color w:val="000000"/>
        </w:rPr>
        <w:t xml:space="preserve">” </w:t>
      </w:r>
      <w:r>
        <w:rPr>
          <w:rFonts w:ascii="Times New Roman;serif" w:hAnsi="Times New Roman;serif"/>
          <w:b w:val="false"/>
          <w:color w:val="000000"/>
          <w:sz w:val="24"/>
        </w:rPr>
        <w:t>means any applicable national (for example, FDA or Japan’s Pharmaceuticals and Medical Devices Agency), supra-national, regional, state, provincial or local regulatory health authority, department, bureau, commission, council, or other government entity regulating or otherwise exercising authority with respect to the Exploitation of Licensed Compounds or Licensed Products in the Territory pursuant to the terms and conditions of this Agreement, including any such entity involved in the granting of Regulatory Approval for pharmaceutical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1.107 </w:t>
      </w:r>
      <w:r>
        <w:rPr>
          <w:color w:val="000000"/>
        </w:rPr>
        <w:t>“</w:t>
      </w:r>
      <w:r>
        <w:rPr>
          <w:rFonts w:ascii="Times New Roman;serif" w:hAnsi="Times New Roman;serif"/>
          <w:b/>
          <w:color w:val="000000"/>
          <w:sz w:val="24"/>
        </w:rPr>
        <w:t>Review Period</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7.08</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1.108 </w:t>
      </w:r>
      <w:r>
        <w:rPr>
          <w:color w:val="000000"/>
        </w:rPr>
        <w:t>“</w:t>
      </w:r>
      <w:r>
        <w:rPr>
          <w:rFonts w:ascii="Times New Roman;serif" w:hAnsi="Times New Roman;serif"/>
          <w:b/>
          <w:color w:val="000000"/>
          <w:sz w:val="24"/>
        </w:rPr>
        <w:t>Safety Agreement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4.06</w:t>
      </w:r>
      <w:r>
        <w:rPr>
          <w:rFonts w:ascii="Times New Roman;serif" w:hAnsi="Times New Roman;serif"/>
          <w:b w:val="false"/>
          <w:color w:val="000000"/>
          <w:sz w:val="24"/>
        </w:rPr>
        <w: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1.109 </w:t>
      </w:r>
      <w:r>
        <w:rPr>
          <w:color w:val="000000"/>
        </w:rPr>
        <w:t>“</w:t>
      </w:r>
      <w:r>
        <w:rPr>
          <w:rFonts w:ascii="Times New Roman;serif" w:hAnsi="Times New Roman;serif"/>
          <w:b/>
          <w:color w:val="000000"/>
          <w:sz w:val="24"/>
        </w:rPr>
        <w:t>Senior Executives</w:t>
      </w:r>
      <w:r>
        <w:rPr>
          <w:color w:val="000000"/>
        </w:rPr>
        <w:t xml:space="preserve">” </w:t>
      </w:r>
      <w:r>
        <w:rPr>
          <w:rFonts w:ascii="Times New Roman;serif" w:hAnsi="Times New Roman;serif"/>
          <w:b w:val="false"/>
          <w:color w:val="000000"/>
          <w:sz w:val="24"/>
        </w:rPr>
        <w:t>means (a) the Chief Executive Officer of Ardelyx and (b) the Chief Executive Officer of KHK or, in either case, an individual nominated by the relevant Chief Executive Officer.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1.110 </w:t>
      </w:r>
      <w:r>
        <w:rPr>
          <w:color w:val="000000"/>
        </w:rPr>
        <w:t>“</w:t>
      </w:r>
      <w:r>
        <w:rPr>
          <w:rFonts w:ascii="Times New Roman;serif" w:hAnsi="Times New Roman;serif"/>
          <w:b/>
          <w:color w:val="000000"/>
          <w:sz w:val="24"/>
        </w:rPr>
        <w:t>Sole Invention Patent</w:t>
      </w:r>
      <w:r>
        <w:rPr>
          <w:color w:val="000000"/>
        </w:rPr>
        <w:t xml:space="preserve">” </w:t>
      </w:r>
      <w:r>
        <w:rPr>
          <w:rFonts w:ascii="Times New Roman;serif" w:hAnsi="Times New Roman;serif"/>
          <w:b w:val="false"/>
          <w:color w:val="000000"/>
          <w:sz w:val="24"/>
        </w:rPr>
        <w:t>means any Patent claiming any invention within the Sole Program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1.111 </w:t>
      </w:r>
      <w:r>
        <w:rPr>
          <w:color w:val="000000"/>
        </w:rPr>
        <w:t>“</w:t>
      </w:r>
      <w:r>
        <w:rPr>
          <w:rFonts w:ascii="Times New Roman;serif" w:hAnsi="Times New Roman;serif"/>
          <w:b/>
          <w:color w:val="000000"/>
          <w:sz w:val="24"/>
        </w:rPr>
        <w:t>Sole Program Know-How</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1.112 </w:t>
      </w:r>
      <w:r>
        <w:rPr>
          <w:color w:val="000000"/>
        </w:rPr>
        <w:t>“</w:t>
      </w:r>
      <w:r>
        <w:rPr>
          <w:rFonts w:ascii="Times New Roman;serif" w:hAnsi="Times New Roman;serif"/>
          <w:b/>
          <w:color w:val="000000"/>
          <w:sz w:val="24"/>
        </w:rPr>
        <w:t>Specifications</w:t>
      </w:r>
      <w:r>
        <w:rPr>
          <w:color w:val="000000"/>
        </w:rPr>
        <w:t xml:space="preserve">” </w:t>
      </w:r>
      <w:r>
        <w:rPr>
          <w:rFonts w:ascii="Times New Roman;serif" w:hAnsi="Times New Roman;serif"/>
          <w:b w:val="false"/>
          <w:color w:val="000000"/>
          <w:sz w:val="24"/>
        </w:rPr>
        <w:t>means the specifications applicable to the Manufacture, packaging and labeling of Licensed Compound or Licensed Products in effect at a given time.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1.113 </w:t>
      </w:r>
      <w:r>
        <w:rPr>
          <w:color w:val="000000"/>
        </w:rPr>
        <w:t>“</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1.114 </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Taxation</w:t>
      </w:r>
      <w:r>
        <w:rPr>
          <w:color w:val="000000"/>
        </w:rPr>
        <w:t xml:space="preserve">” </w:t>
      </w:r>
      <w:r>
        <w:rPr>
          <w:rFonts w:ascii="Times New Roman;serif" w:hAnsi="Times New Roman;serif"/>
          <w:b w:val="false"/>
          <w:color w:val="000000"/>
          <w:sz w:val="24"/>
        </w:rPr>
        <w:t>means any form of tax or taxation, levy, duty, charge, social security charge, contribution or withholding of whatever nature (including any related fine, penalty, surcharge or interest) imposed by, or payable to, a Tax Authority.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1.115 </w:t>
      </w:r>
      <w:r>
        <w:rPr>
          <w:color w:val="000000"/>
        </w:rPr>
        <w:t>“</w:t>
      </w:r>
      <w:r>
        <w:rPr>
          <w:rFonts w:ascii="Times New Roman;serif" w:hAnsi="Times New Roman;serif"/>
          <w:b/>
          <w:color w:val="000000"/>
          <w:sz w:val="24"/>
        </w:rPr>
        <w:t>Tax Authority</w:t>
      </w:r>
      <w:r>
        <w:rPr>
          <w:color w:val="000000"/>
        </w:rPr>
        <w:t xml:space="preserve">” </w:t>
      </w:r>
      <w:r>
        <w:rPr>
          <w:rFonts w:ascii="Times New Roman;serif" w:hAnsi="Times New Roman;serif"/>
          <w:b w:val="false"/>
          <w:color w:val="000000"/>
          <w:sz w:val="24"/>
        </w:rPr>
        <w:t>means any government, state or municipality, or any local, state, federal or other fiscal, revenue, customs, or excise authority, body or official anywhere in the world, authorized to levy Tax.</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1.116 </w:t>
      </w: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1.117 </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Japan.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1.118 </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Person other than Ardelyx or KHK, or their respective Affiliates.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1.119 </w:t>
      </w:r>
      <w:r>
        <w:rPr>
          <w:color w:val="000000"/>
        </w:rPr>
        <w:t>“</w:t>
      </w:r>
      <w:r>
        <w:rPr>
          <w:rFonts w:ascii="Times New Roman;serif" w:hAnsi="Times New Roman;serif"/>
          <w:b/>
          <w:color w:val="000000"/>
          <w:sz w:val="24"/>
        </w:rPr>
        <w:t>Third Party Claims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12.01(a)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1.120 </w:t>
      </w:r>
      <w:r>
        <w:rPr>
          <w:color w:val="000000"/>
        </w:rPr>
        <w:t>“</w:t>
      </w:r>
      <w:r>
        <w:rPr>
          <w:rFonts w:ascii="Times New Roman;serif" w:hAnsi="Times New Roman;serif"/>
          <w:b/>
          <w:color w:val="000000"/>
          <w:sz w:val="24"/>
        </w:rPr>
        <w:t>Third Party Compensation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6.04(e).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1.121 </w:t>
      </w:r>
      <w:r>
        <w:rPr>
          <w:color w:val="000000"/>
        </w:rPr>
        <w:t>“</w:t>
      </w:r>
      <w:r>
        <w:rPr>
          <w:rFonts w:ascii="Times New Roman;serif" w:hAnsi="Times New Roman;serif"/>
          <w:b/>
          <w:color w:val="000000"/>
          <w:sz w:val="24"/>
        </w:rPr>
        <w:t>Trademark</w:t>
      </w:r>
      <w:r>
        <w:rPr>
          <w:color w:val="000000"/>
        </w:rPr>
        <w:t xml:space="preserve">” </w:t>
      </w:r>
      <w:r>
        <w:rPr>
          <w:rFonts w:ascii="Times New Roman;serif" w:hAnsi="Times New Roman;serif"/>
          <w:b w:val="false"/>
          <w:color w:val="000000"/>
          <w:sz w:val="24"/>
        </w:rPr>
        <w:t>means any registered trademark, application for registration thereof, trade name, service mark, service name, brand, domain name, trade dress, logo, slogan or other indicia of origin or ownership, including the goodwill and activities associated with each of the foregoing.</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1.122 </w:t>
      </w:r>
      <w:r>
        <w:rPr>
          <w:color w:val="000000"/>
        </w:rPr>
        <w:t>“</w:t>
      </w:r>
      <w:r>
        <w:rPr>
          <w:rFonts w:ascii="Times New Roman;serif" w:hAnsi="Times New Roman;serif"/>
          <w:b/>
          <w:color w:val="000000"/>
          <w:sz w:val="24"/>
        </w:rPr>
        <w:t>Transfer Price</w:t>
      </w:r>
      <w:r>
        <w:rPr>
          <w:color w:val="000000"/>
        </w:rPr>
        <w:t xml:space="preserve">” </w:t>
      </w:r>
      <w:r>
        <w:rPr>
          <w:rFonts w:ascii="Times New Roman;serif" w:hAnsi="Times New Roman;serif"/>
          <w:b w:val="false"/>
          <w:color w:val="000000"/>
          <w:sz w:val="24"/>
        </w:rPr>
        <w:t>means (i) with respect to Lead Licensed Compound, Lead Licensed Product, and placebo supplied by Ardelyx for KHK’s [***], (ii) with respect to Lead Licensed Compound, Lead Licensed Product supplied by Ardelyx for KHK’s [***] and (iii) with respect to Materials and any other physical materials that KHK requests that Ardelyx deliver and which Ardelyx agrees to deliver which are supplied by Ardelyx to KHK during the Term, [***].</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1.123 </w:t>
      </w:r>
      <w:r>
        <w:rPr>
          <w:color w:val="000000"/>
        </w:rPr>
        <w:t>“</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(a) a claim of an issued and unexpired Patent within the Licensed Patents, Ardelyx [***] Patents, Joint Patents, or [***] covering a method of using</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Licensed Product as applicable, that has not been held unpatentable, invalid, or unenforceable by a court or other government agency of competent jurisdiction in an unappealable decision or has not been admitted to be invalid or unenforceable through reissue, re-examination, disclaimer, or otherwise or (b) a claim of a pending patent application within the Licensed Patents, Ardelyx [***] Patents, Joints Patents or [***] covering a method of using the Licensed Product, as applicable, which patent application has not been abandoned, finally rejected or expired without the possibility of appeal or re-filing. For purposes hereof, a claim in a patent application that has not been granted within [***] ([***]) years of the priority date for such claim shall not be considered to be a Valid Claim unless and until such claim issues thereafter such that it is included in subsection (a).</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1.124 </w:t>
      </w:r>
      <w:r>
        <w:rPr>
          <w:color w:val="000000"/>
        </w:rPr>
        <w:t>“</w:t>
      </w:r>
      <w:r>
        <w:rPr>
          <w:rFonts w:ascii="Times New Roman;serif" w:hAnsi="Times New Roman;serif"/>
          <w:b/>
          <w:color w:val="000000"/>
          <w:sz w:val="24"/>
        </w:rPr>
        <w:t>Written Disclosure</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1.125 Construction</w:t>
      </w:r>
      <w:r>
        <w:rPr>
          <w:rFonts w:ascii="Times New Roman;serif" w:hAnsi="Times New Roman;serif"/>
          <w:b w:val="false"/>
          <w:color w:val="000000"/>
          <w:sz w:val="24"/>
        </w:rPr>
        <w:t>. Except where the context requires otherwise, whenever used in this Agreement, the singular includes the plural, the plural includes the singular, the use of any gender is applicable to all genders and the word “</w:t>
      </w:r>
      <w:r>
        <w:rPr>
          <w:rFonts w:ascii="Times New Roman;serif" w:hAnsi="Times New Roman;serif"/>
          <w:b/>
          <w:color w:val="000000"/>
          <w:sz w:val="24"/>
        </w:rPr>
        <w:t>or</w:t>
      </w:r>
      <w:r>
        <w:rPr>
          <w:color w:val="000000"/>
        </w:rPr>
        <w:t xml:space="preserve">” </w:t>
      </w:r>
      <w:r>
        <w:rPr>
          <w:rFonts w:ascii="Times New Roman;serif" w:hAnsi="Times New Roman;serif"/>
          <w:b w:val="false"/>
          <w:color w:val="000000"/>
          <w:sz w:val="24"/>
        </w:rPr>
        <w:t>has the inclusive meaning represented by the phrase “</w:t>
      </w:r>
      <w:r>
        <w:rPr>
          <w:rFonts w:ascii="Times New Roman;serif" w:hAnsi="Times New Roman;serif"/>
          <w:b/>
          <w:color w:val="000000"/>
          <w:sz w:val="24"/>
        </w:rPr>
        <w:t>and/or</w:t>
      </w:r>
      <w:r>
        <w:rPr>
          <w:color w:val="000000"/>
        </w:rPr>
        <w:t>”</w:t>
      </w:r>
      <w:r>
        <w:rPr>
          <w:rFonts w:ascii="Times New Roman;serif" w:hAnsi="Times New Roman;serif"/>
          <w:b w:val="false"/>
          <w:color w:val="000000"/>
          <w:sz w:val="24"/>
        </w:rPr>
        <w:t>. Whenever this Agreement refers to a number of days, unless otherwise specified, such number refers to calendar days. The term “</w:t>
      </w:r>
      <w:r>
        <w:rPr>
          <w:rFonts w:ascii="Times New Roman;serif" w:hAnsi="Times New Roman;serif"/>
          <w:b/>
          <w:color w:val="000000"/>
          <w:sz w:val="24"/>
        </w:rPr>
        <w:t>including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includes</w:t>
      </w:r>
      <w:r>
        <w:rPr>
          <w:color w:val="000000"/>
        </w:rPr>
        <w:t xml:space="preserve">” </w:t>
      </w:r>
      <w:r>
        <w:rPr>
          <w:rFonts w:ascii="Times New Roman;serif" w:hAnsi="Times New Roman;serif"/>
          <w:b w:val="false"/>
          <w:color w:val="000000"/>
          <w:sz w:val="24"/>
        </w:rPr>
        <w:t>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GRANT OF RIGHTS AND LICENSES; EXCLUSIVITY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2.01 </w:t>
      </w:r>
      <w:r>
        <w:rPr>
          <w:rFonts w:ascii="Times New Roman;serif" w:hAnsi="Times New Roman;serif"/>
          <w:b/>
          <w:color w:val="000000"/>
          <w:sz w:val="24"/>
          <w:u w:val="single"/>
        </w:rPr>
        <w:t>Licenses to KHK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Subject to the terms of this Agreement, Ardelyx grants to KHK an exclusive right and license (including with regard to Ardelyx and its Affiliates, except with respect to the retained rights set forth in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below) under the (A) Licensed Technology, (B) Ardelyx’s rights in the Joint Technology and (C) Ardelyx [***] Technology to (i) Develop, have Developed, Commercialize (but not Manufacture), have Commercialized (but not have Manufactured), import, and otherwise use the Licensed Products in Field in the Territory, and (ii) Manufacture, have Manufactured, package and have packaged the Licensed Products (but not the Licensed Compound) within or outside of the Territory, in the case of (i) and (ii), for the sole purpose of Developing and Commercializing Licensed Products, in each case in the Field and in the Territory.</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Effective as of the exercise of the Manufacturing Option under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 xml:space="preserve">Ardelyx hereby grants to KHK a non-exclusive license under the (i) Licensed Technology, (ii) Ardelyx’s rights in the Joint Technology, and (iii) Ardelyx [***] Technology to Manufacture and to have Manufactured Lead Licensed Compound within or outside of the Territory, for the sole purpose of Developing and Commercializing Licensed Products in the Field and in the Territory. Effective as KHK’s assumption of responsibility for the Manufacture of Licensed Compound (other than the Lead Licensed Compound) under </w:t>
      </w:r>
      <w:r>
        <w:rPr>
          <w:rFonts w:ascii="Times New Roman;serif" w:hAnsi="Times New Roman;serif"/>
          <w:b w:val="false"/>
          <w:color w:val="000000"/>
          <w:sz w:val="24"/>
          <w:u w:val="single"/>
        </w:rPr>
        <w:t>Section 5.07</w:t>
      </w:r>
      <w:r>
        <w:rPr>
          <w:rFonts w:ascii="Times New Roman;serif" w:hAnsi="Times New Roman;serif"/>
          <w:b w:val="false"/>
          <w:color w:val="000000"/>
          <w:sz w:val="24"/>
        </w:rPr>
        <w:t>, Ardelyx hereby grants to KHK a non-exclusive license under the (i) Licensed Technology, (ii) Ardelyx’s rights in the Joint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Technology, and (iii) Ardelyx [***] Technology to Manufacture and to have Manufactured Licensed Compound (other than the Lead Licensed Compound) within or outside of the Territory, for the sole purpose of Developing and Commercializing Licensed Products in the Field and in the Territory.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(c) Ardelyx [***] (i) cause each of its licensees to grant back to Ardelyx, with a right to sublicense KHK without additional consideration [***] (A) Know-How that arises under [***] agreement with Ardelyx and such licensee; provided that such Know-How embodies or relates to [***]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w:t>
      </w:r>
      <w:r>
        <w:rPr>
          <w:rFonts w:ascii="Times New Roman;serif" w:hAnsi="Times New Roman;serif"/>
          <w:b w:val="false"/>
          <w:color w:val="000000"/>
          <w:sz w:val="24"/>
        </w:rPr>
        <w:t>) and (B) Patents that arise under [***] agreement between Ardelyx and such licensee; provided that such Patents claim [***],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w:t>
      </w:r>
      <w:r>
        <w:rPr>
          <w:color w:val="000000"/>
        </w:rPr>
        <w:t>”</w:t>
      </w:r>
      <w:r>
        <w:rPr>
          <w:rFonts w:ascii="Times New Roman;serif" w:hAnsi="Times New Roman;serif"/>
          <w:b w:val="false"/>
          <w:color w:val="000000"/>
          <w:sz w:val="24"/>
        </w:rPr>
        <w:t>) (collectively (A) and (B),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w:t>
      </w:r>
      <w:r>
        <w:rPr>
          <w:rFonts w:ascii="Times New Roman;serif" w:hAnsi="Times New Roman;serif"/>
          <w:b w:val="false"/>
          <w:color w:val="000000"/>
          <w:sz w:val="24"/>
        </w:rPr>
        <w:t>) and (ii) [***] cause each of its licensees to grant back to Ardelyx, with a right to sublicense KHK without additional consideration [***] (A) Know-How that arises under [***] agreement with Ardelyx and such licensee; provided that [***] or [***] Know-How that arises under [***] agreement with Ardelyx and such licensee and that [***]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w:t>
      </w:r>
      <w:r>
        <w:rPr>
          <w:rFonts w:ascii="Times New Roman;serif" w:hAnsi="Times New Roman;serif"/>
          <w:b w:val="false"/>
          <w:color w:val="000000"/>
          <w:sz w:val="24"/>
        </w:rPr>
        <w:t>), and (B) Patents that arise under [***] agreement between Ardelyx and such licensee; provided that such Patents claim the Ardelyx Licensee [***] Know-How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(collectively, (A) and (B), “</w:t>
      </w:r>
      <w:r>
        <w:rPr>
          <w:rFonts w:ascii="Times New Roman;serif" w:hAnsi="Times New Roman;serif"/>
          <w:b/>
          <w:color w:val="000000"/>
          <w:sz w:val="24"/>
        </w:rPr>
        <w:t xml:space="preserve">Ardelyx 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w:t>
      </w:r>
      <w:r>
        <w:rPr>
          <w:rFonts w:ascii="Times New Roman;serif" w:hAnsi="Times New Roman;serif"/>
          <w:b w:val="false"/>
          <w:color w:val="000000"/>
          <w:sz w:val="24"/>
        </w:rPr>
        <w:t>). [***] For clarity, Ardelyx Licensee [***] Know-How and Ardelyx Licensee [***] Patents are included in the [***] and in the [***], respectively. To the extent that Ardelyx has obtained a license, with the right to sublicense KHK without additional consideration to the Ardelyx Licensee [***] Know-How and the Ardelyx Licensee [***] Patents, the Ardelyx Licensee [***] Know-How and the Ardelyx Licensee [***] Patents are included in [***], and [***], respectively.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2.02 </w:t>
      </w:r>
      <w:r>
        <w:rPr>
          <w:rFonts w:ascii="Times New Roman;serif" w:hAnsi="Times New Roman;serif"/>
          <w:b/>
          <w:color w:val="000000"/>
          <w:sz w:val="24"/>
          <w:u w:val="single"/>
        </w:rPr>
        <w:t>Sublicenses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KHK shall have the right to grant sublicenses, through multiple tiers of sublicenses, under the licenses granted to KHK hereunder, to its Affiliates, and to any other Person with the prior written consent of Ardelyx, such consent not to be unreasonably withheld, delayed or conditioned. Notwithstanding the above, to the extent that KHK is unsuccessful, under </w:t>
      </w:r>
      <w:r>
        <w:rPr>
          <w:rFonts w:ascii="Times New Roman;serif" w:hAnsi="Times New Roman;serif"/>
          <w:b w:val="false"/>
          <w:color w:val="000000"/>
          <w:sz w:val="24"/>
          <w:u w:val="single"/>
        </w:rPr>
        <w:t>Section 2.02(c)</w:t>
      </w:r>
      <w:r>
        <w:rPr>
          <w:color w:val="000000"/>
        </w:rPr>
        <w:t xml:space="preserve"> </w:t>
      </w:r>
      <w:r>
        <w:rPr>
          <w:rFonts w:ascii="Times New Roman;serif" w:hAnsi="Times New Roman;serif"/>
          <w:b w:val="false"/>
          <w:color w:val="000000"/>
          <w:sz w:val="24"/>
        </w:rPr>
        <w:t>in obtaining from its Sublicensee, [***], a grant back to KHK, with a right to sublicense Ardelyx without additional consideration, of the KHK Sublicensee [***] Technology, KHK shall not have the right to grant such Sublicensee a sublicense under any Ardelyx [***], or under any Ardelyx [***] Know-How that Ardelyx, its Affiliates or licensees is using [***].</w:t>
      </w:r>
    </w:p>
    <w:p>
      <w:pPr>
        <w:pStyle w:val="TextBody"/>
        <w:bidi w:val="0"/>
        <w:spacing w:lineRule="auto" w:line="288" w:before="0" w:after="0"/>
        <w:ind w:left="0" w:right="0" w:firstLine="720"/>
        <w:jc w:val="both"/>
        <w:rPr/>
      </w:pPr>
      <w:r>
        <w:rPr>
          <w:rFonts w:ascii="Times New Roman;serif" w:hAnsi="Times New Roman;serif"/>
          <w:b w:val="false"/>
          <w:color w:val="000000"/>
          <w:sz w:val="24"/>
        </w:rPr>
        <w:t>(b) Where KHK or its Affiliates grants such sublicense to a Person that is not an Affiliate of KHK, and such Person is not a Distributor, such Person shall be a “</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for the purposes of this Agreement, and any Person to which a Sublicensee grants a further sublicense shall also be a Sublicensee;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Person that (i) is granted a sublicense under a license granted to KHK 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solely to enable such Person to provide Development services or contract manufacturing services for KHK, its Affiliates or Sublicensees and (ii) does not have the right to distribute, market or sell the Licensed Products shall not be a “</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for purposes of this Agreement. KHK, its Affiliates and its Sublicensees shall ensure that all Persons to which they grant sublicenses comply with all terms and conditions of this Agreement. KHK shall remain liable for any action or failure to act by any Sublicensee, or any other Party that is granted a sublicense under the licenses granted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by KHK, its Affiliates or its Sublicensees, if such action or failure to act by the Sublicensee, or other sublicensee,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would have constituted a breach of this Agreement if such action or failure were committed by KHK.</w:t>
      </w:r>
    </w:p>
    <w:p>
      <w:pPr>
        <w:pStyle w:val="TextBody"/>
        <w:bidi w:val="0"/>
        <w:spacing w:lineRule="auto" w:line="288" w:before="0" w:after="240"/>
        <w:ind w:left="0" w:right="0" w:firstLine="720"/>
        <w:jc w:val="both"/>
        <w:rPr/>
      </w:pPr>
      <w:r>
        <w:rPr>
          <w:rFonts w:ascii="Times New Roman;serif" w:hAnsi="Times New Roman;serif"/>
          <w:b w:val="false"/>
          <w:color w:val="000000"/>
          <w:sz w:val="24"/>
        </w:rPr>
        <w:t>(c) KHK [***] (i) cause each of its Sublicensees to grant back to KHK, with a right to sublicense Ardelyx without additional consideration [***] (A) Know-How that arises under [***] agreement with KHK and such Sublicensee; provided that such Know-How embodies or relates to [***] (“</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w:t>
      </w:r>
      <w:r>
        <w:rPr>
          <w:rFonts w:ascii="Times New Roman;serif" w:hAnsi="Times New Roman;serif"/>
          <w:b w:val="false"/>
          <w:color w:val="000000"/>
          <w:sz w:val="24"/>
        </w:rPr>
        <w:t>) and (B) Patents that arise under [***] agreement between KHK and such Sublicensee; provided that such Patents claim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(collectively (A) and (B), “</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w:t>
      </w:r>
      <w:r>
        <w:rPr>
          <w:rFonts w:ascii="Times New Roman;serif" w:hAnsi="Times New Roman;serif"/>
          <w:b w:val="false"/>
          <w:color w:val="000000"/>
          <w:sz w:val="24"/>
        </w:rPr>
        <w:t>) and (ii) [***] cause each of its Sublicensees to grant back to KHK, with a right to sublicense Ardelyx without additional consideration [***] (A) Know-How that arises under [***] agreement with KHK and such Sublicensee; provided that [***] or [***] Know-How that arises under [***] agreement with KHK and such Sublicensee and that [***] (“</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w:t>
      </w:r>
      <w:r>
        <w:rPr>
          <w:rFonts w:ascii="Times New Roman;serif" w:hAnsi="Times New Roman;serif"/>
          <w:b w:val="false"/>
          <w:color w:val="000000"/>
          <w:sz w:val="24"/>
        </w:rPr>
        <w:t>), and (B) Patents that arise under [***] agreement between KHK and such Sublicensee; provided that such Patents claim the KHK Sublicensee [***] Know-How (“</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(collectively, (A) and (B), “</w:t>
      </w:r>
      <w:r>
        <w:rPr>
          <w:rFonts w:ascii="Times New Roman;serif" w:hAnsi="Times New Roman;serif"/>
          <w:b/>
          <w:color w:val="000000"/>
          <w:sz w:val="24"/>
        </w:rPr>
        <w:t xml:space="preserve">KHK Sublicensee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w:t>
      </w:r>
      <w:r>
        <w:rPr>
          <w:rFonts w:ascii="Times New Roman;serif" w:hAnsi="Times New Roman;serif"/>
          <w:b w:val="false"/>
          <w:color w:val="000000"/>
          <w:sz w:val="24"/>
        </w:rPr>
        <w:t>). For clarity, KHK Sublicensee [***] Know-How and KHK Sublicensee [***] Patents are included in KHK [***] Know-How and KHK [***] Patents, respectively. To the extent that KHK has obtained a license, with the right to sublicense Ardelyx without additional consideration, to the KHK Sublicensee [***] Know-How and the KHK Sublicensee [***] Patents, the KHK Sublicensee [***] Know-How and the KHK Sublicensee [***] Patents are included in KHK [***] Know-How, and KHK [***] Patents, respectively.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2.03 </w:t>
      </w:r>
      <w:r>
        <w:rPr>
          <w:rFonts w:ascii="Times New Roman;serif" w:hAnsi="Times New Roman;serif"/>
          <w:b/>
          <w:color w:val="000000"/>
          <w:sz w:val="24"/>
          <w:u w:val="single"/>
        </w:rPr>
        <w:t>Distributorships</w:t>
      </w:r>
      <w:r>
        <w:rPr>
          <w:rFonts w:ascii="Times New Roman;serif" w:hAnsi="Times New Roman;serif"/>
          <w:b w:val="false"/>
          <w:color w:val="000000"/>
          <w:sz w:val="24"/>
        </w:rPr>
        <w:t>. KHK, its Affiliates and its Sublicensees shall have the right, in their sole discretion, to appoint any other Persons in the Territory to distribute, market and sell the Licensed Products, with or without packaging rights. In circumstances where such appointed Person purchases its requirements of Licensed Products from KHK, its Affiliates or its Sublicensees, but does not otherwise make any royalty or other payment to KHK, its Affiliates or its Sublicensees with respect to Intellectual Property Rights, and where such Person is not an Affiliate of KHK and neither KHK nor any of its Affiliates shares in the profits from, or has an equivalent interest in the proceeds from, the sale of Licensed Products by such Person, that Person shall be a “</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for purposes of this Agreement. The term “packaging rights” in this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shall mean the right for the Distributor to package Licensed Products supplied in unpackaged bulk form into individual ready-for-sale packs. KHK shall remain liable for any action or failure to act by the Distributor, if such action or failure to act by the Distributor would have constituted a breach of this Agreement if such action or failure were committed by KHK.</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2.04 </w:t>
      </w:r>
      <w:r>
        <w:rPr>
          <w:rFonts w:ascii="Times New Roman;serif" w:hAnsi="Times New Roman;serif"/>
          <w:b/>
          <w:color w:val="000000"/>
          <w:sz w:val="24"/>
          <w:u w:val="single"/>
        </w:rPr>
        <w:t>Provision of Development Data, Regulatory Documentation and Assistance</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In the furtherance of the rights and licenses granted by Ardelyx to KHK under this Agreement, as soon as reasonably practicable, Ardelyx shall furnish [***], to KHK a data package in electronic format that shall include Development Data and Regulatory Documentation described on </w:t>
      </w:r>
      <w:r>
        <w:rPr>
          <w:rFonts w:ascii="Times New Roman;serif" w:hAnsi="Times New Roman;serif"/>
          <w:b/>
          <w:color w:val="000000"/>
          <w:sz w:val="24"/>
        </w:rPr>
        <w:t>Exhibit D</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Initial Delivery of Development Data and Regulatory Documentation</w:t>
      </w:r>
      <w:r>
        <w:rPr>
          <w:color w:val="000000"/>
        </w:rPr>
        <w:t>”</w:t>
      </w:r>
      <w:r>
        <w:rPr>
          <w:rFonts w:ascii="Times New Roman;serif" w:hAnsi="Times New Roman;serif"/>
          <w:b w:val="false"/>
          <w:color w:val="000000"/>
          <w:sz w:val="24"/>
        </w:rPr>
        <w:t>). Ardelyx shall, [***] provide KHK with the Initial Delivery of Development Data and Regulatory Documentation electronically in the formats of (i) CDISC (Clinical Data Interchange Standards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Consortium), and (ii) additionally, other formats, if any, in which Ardelyx files such data with the FDA.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During the Term, [***], (i) as soon as reasonably practicable following request by KHK, Ardelyx shall provide KHK with copies of [***] additional Ardelyx Development Data and Regulatory Documentation specifically requested by KHK that [***] would be necessary or useful to Develop, Manufacture or Commercialize Licensed Products in the Field in the Territory, and (ii) as soon as reasonably practicable, Ardelyx shall disclose Ardelyx [***] Know-How and Sole Program Know-How that comes to Ardelyx’s Control (or that are reasonably requested by KHK) and that have not previously been provided to KHK by Ardelyx. Subject to, and limited by, the provisions of </w:t>
      </w:r>
      <w:r>
        <w:rPr>
          <w:rFonts w:ascii="Times New Roman;serif" w:hAnsi="Times New Roman;serif"/>
          <w:b w:val="false"/>
          <w:color w:val="000000"/>
          <w:sz w:val="24"/>
          <w:u w:val="single"/>
        </w:rPr>
        <w:t>Section 2.01(c)</w:t>
      </w:r>
      <w:r>
        <w:rPr>
          <w:color w:val="000000"/>
        </w:rPr>
        <w:t xml:space="preserve"> </w:t>
      </w:r>
      <w:r>
        <w:rPr>
          <w:rFonts w:ascii="Times New Roman;serif" w:hAnsi="Times New Roman;serif"/>
          <w:b w:val="false"/>
          <w:color w:val="000000"/>
          <w:sz w:val="24"/>
        </w:rPr>
        <w:t xml:space="preserve">above relating specifically to Ardelyx’s obligations with respect to Ardelyx Licensee [***] Technology and Ardelyx Licensee [***] Technology, Ardelyx shall (A) obtain rights and licenses from its licensees, research and clinical partners or other Third Parties with which Ardelyx conducts Development or Manufacturing with respect to the Licensed Compound and/or Licensed Product to grant Ardelyx such rights and licenses as necessary to enable Ardelyx to comply with the obligations set forth in this </w:t>
      </w:r>
      <w:r>
        <w:rPr>
          <w:rFonts w:ascii="Times New Roman;serif" w:hAnsi="Times New Roman;serif"/>
          <w:b w:val="false"/>
          <w:color w:val="000000"/>
          <w:sz w:val="24"/>
          <w:u w:val="single"/>
        </w:rPr>
        <w:t>Section 2.04(b)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During the Term, [***], (i) as soon as reasonably practicable following request by Ardelyx, KHK shall provide Ardelyx with copies of KHK Development Data and Regulatory Documentation specifically requested by Ardelyx and that [***] would be necessary or useful to Develop, Manufacture or Commercialize Licensed Products outside of the Territory, or outside of the Field in the Territory, and (ii) as soon as reasonably practicable, KHK shall disclose KHK [***] Technology and Sole Program Know-How that comes to KHK’s Control (or that are reasonably requested by Ardelyx) and that have not previously been provided to Ardelyx by KHK. Subject to, and limited by, the provisions of </w:t>
      </w:r>
      <w:r>
        <w:rPr>
          <w:rFonts w:ascii="Times New Roman;serif" w:hAnsi="Times New Roman;serif"/>
          <w:b w:val="false"/>
          <w:color w:val="000000"/>
          <w:sz w:val="24"/>
          <w:u w:val="single"/>
        </w:rPr>
        <w:t>Section 2.02(c)</w:t>
      </w:r>
      <w:r>
        <w:rPr>
          <w:color w:val="000000"/>
        </w:rPr>
        <w:t xml:space="preserve"> </w:t>
      </w:r>
      <w:r>
        <w:rPr>
          <w:rFonts w:ascii="Times New Roman;serif" w:hAnsi="Times New Roman;serif"/>
          <w:b w:val="false"/>
          <w:color w:val="000000"/>
          <w:sz w:val="24"/>
        </w:rPr>
        <w:t xml:space="preserve">above relating specifically to KHK’s obligations with respect to KHK Sublicensee [***] Technology and KHK Sublicensee [***] Technology, KHK shall obtain rights and licenses from KHK’s Sublicensees, research and clinical partners or other Third Parties with which KHK conducts Development or Manufacturing with respect to the Licensed Compound and/or Licensed Product to grant KHK such rights and licenses as necessary to enable KHK to comply with the obligations set forth in this </w:t>
      </w:r>
      <w:r>
        <w:rPr>
          <w:rFonts w:ascii="Times New Roman;serif" w:hAnsi="Times New Roman;serif"/>
          <w:b w:val="false"/>
          <w:color w:val="000000"/>
          <w:sz w:val="24"/>
          <w:u w:val="single"/>
        </w:rPr>
        <w:t>Section 2.04(c)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 KHK, its Affiliates and its Sublicensees shall have the right to reference Regulatory Documentation of Licensed Products for the Initial Indication and any Additional Indication, to the extent such Regulatory Documentation are Controlled by Ardelyx, its Affiliates or licensees (including any future licensees), in connection with any Regulatory Approval that KHK or its Affiliates or Sublicensees may seek for Exploitation of Licensed Products in the Initial Indication and any Additional Indication in Field and in the Territory.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 Ardelyx, its Affiliates and its licensees shall have the right to reference Regulatory Documentation for Licensed Products for the Initial Indication and any Additional Indication, to the extent such Regulatory Documentation are Controlled by KHK or its Affiliates or Sublicensees, in connection with any Regulatory Approvals that Ardelyx, its Affiliates or licensees (including those in the future) may seek for use of Licensed Products in the Initial Indication and any Additional Indication outside of the Territory, or outside of the Field in the Territory.</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 In addition to the foregoing Section </w:t>
      </w:r>
      <w:r>
        <w:rPr>
          <w:rFonts w:ascii="Times New Roman;serif" w:hAnsi="Times New Roman;serif"/>
          <w:b w:val="false"/>
          <w:color w:val="000000"/>
          <w:sz w:val="24"/>
          <w:u w:val="single"/>
        </w:rPr>
        <w:t>2.04(a)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2.04(b)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2.04(d)</w:t>
      </w:r>
      <w:r>
        <w:rPr>
          <w:rFonts w:ascii="Times New Roman;serif" w:hAnsi="Times New Roman;serif"/>
          <w:b w:val="false"/>
          <w:color w:val="000000"/>
          <w:sz w:val="24"/>
        </w:rPr>
        <w:t xml:space="preserve">, Ardelyx shall provide to KHK reasonable assistance as KHK may request in order to assist KHK in obtaining Regulatory Approval for the Licensed Product in the Territory;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KHK shall (i) [***] and (ii) in the event that Ardelyx is required to spend any FTE hours in supporting KHK under this </w:t>
      </w:r>
      <w:r>
        <w:rPr>
          <w:rFonts w:ascii="Times New Roman;serif" w:hAnsi="Times New Roman;serif"/>
          <w:b w:val="false"/>
          <w:color w:val="000000"/>
          <w:sz w:val="24"/>
          <w:u w:val="single"/>
        </w:rPr>
        <w:t>Section 2.04(f)</w:t>
      </w:r>
      <w:r>
        <w:rPr>
          <w:color w:val="000000"/>
        </w:rPr>
        <w:t xml:space="preserve"> </w:t>
      </w:r>
      <w:r>
        <w:rPr>
          <w:rFonts w:ascii="Times New Roman;serif" w:hAnsi="Times New Roman;serif"/>
          <w:b w:val="false"/>
          <w:color w:val="000000"/>
          <w:sz w:val="24"/>
        </w:rPr>
        <w:t xml:space="preserve">for any purpose, including [***] KHK shall reimburse Ardelyx for such FTE hours spent by Ardelyx pursuant to this </w:t>
      </w:r>
      <w:r>
        <w:rPr>
          <w:rFonts w:ascii="Times New Roman;serif" w:hAnsi="Times New Roman;serif"/>
          <w:b w:val="false"/>
          <w:color w:val="000000"/>
          <w:sz w:val="24"/>
          <w:u w:val="single"/>
        </w:rPr>
        <w:t>Section 2.04(f)</w:t>
      </w:r>
      <w:r>
        <w:rPr>
          <w:color w:val="000000"/>
        </w:rPr>
        <w:t xml:space="preserve"> </w:t>
      </w:r>
      <w:r>
        <w:rPr>
          <w:rFonts w:ascii="Times New Roman;serif" w:hAnsi="Times New Roman;serif"/>
          <w:b w:val="false"/>
          <w:color w:val="000000"/>
          <w:sz w:val="24"/>
        </w:rPr>
        <w:t>at a rate of US $[***] annually or an hourly rate of US $[***]. Notwithstanding the foregoing, until KHK, its Affiliates or Sublicensees obtain Regulatory Approval for the Lead Licensed Product in the Territory, Ardelyx shall, [***] maintain or cause its contract manufacturing organizations and contract research organizations to maintain Ardelyx Development Data for the Licensed Product consisting of GMP, GCP and GLP data that Ardelyx is required to file with the FDA in order to obtain Regulatory Approval in the United States, and Ardelyx shall [***] of any such Ardelyx Development Data in connection with any Regulatory Documentation for the Lead Licensed Product. If any such GLP, GCP or GMP Ardelyx Development Data that Ardelyx is required to file with the FDA in order to obtain Regulatory Approval for the Lead Licensed Product in the United States is missing, destroyed or cannot be traced and any additional Clinical Trials or nonclinical studies are required to be conducted by KHK, its Affiliates or Sublicensees as a result thereof, the Parties shall discuss in good faith the possibility of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2.05 </w:t>
      </w:r>
      <w:r>
        <w:rPr>
          <w:rFonts w:ascii="Times New Roman;serif" w:hAnsi="Times New Roman;serif"/>
          <w:b/>
          <w:color w:val="000000"/>
          <w:sz w:val="24"/>
          <w:u w:val="single"/>
        </w:rPr>
        <w:t>Rights Retained by Ardelyx</w:t>
      </w:r>
      <w:r>
        <w:rPr>
          <w:rFonts w:ascii="Times New Roman;serif" w:hAnsi="Times New Roman;serif"/>
          <w:b w:val="false"/>
          <w:color w:val="000000"/>
          <w:sz w:val="24"/>
        </w:rPr>
        <w:t>. Notwithstanding the foregoing, Ardelyx retains the right under (i) the Licensed Technology, (ii) Ardelyx’s rights in the Joint Technology and (iii) Ardelyx [***] Technology to Exploit the Licensed Compounds and the Licensed Products outside the Field and/or outside the Territory and to conduct any other activities expressly assigned to Ardelyx under this Agreement, including the Manufacturing of the Licensed Compound and the Lead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2.06 </w:t>
      </w:r>
      <w:r>
        <w:rPr>
          <w:rFonts w:ascii="Times New Roman;serif" w:hAnsi="Times New Roman;serif"/>
          <w:b/>
          <w:color w:val="000000"/>
          <w:sz w:val="24"/>
          <w:u w:val="single"/>
        </w:rPr>
        <w:t>License to Ardelyx</w:t>
      </w:r>
      <w:r>
        <w:rPr>
          <w:rFonts w:ascii="Times New Roman;serif" w:hAnsi="Times New Roman;serif"/>
          <w:b w:val="false"/>
          <w:color w:val="000000"/>
          <w:sz w:val="24"/>
        </w:rPr>
        <w:t>. KHK grants to Ardelyx an exclusive, fully paid, royalty free, sublicensable, irrevocable license under the KHK [***] Technology, any Sole Program Know-How owned by KHK, the KHK Sole Invention Patents, and KHK’s interest in the Joint Technology to Exploit the Licensed Compounds and Licensed Products outside the Field and/or outside the Territory. Notwithstanding the above,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2.07 </w:t>
      </w:r>
      <w:r>
        <w:rPr>
          <w:rFonts w:ascii="Times New Roman;serif" w:hAnsi="Times New Roman;serif"/>
          <w:b/>
          <w:color w:val="000000"/>
          <w:sz w:val="24"/>
          <w:u w:val="single"/>
        </w:rPr>
        <w:t>Additional Indication Development</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 If either Party, its Affiliates or licensees (or Sublicensees, in the case of KHK) elect to Develop a Licensed Product in the Field pursuant to the terms of this Agreement for an indication other than the Initial Indication (“</w:t>
      </w:r>
      <w:r>
        <w:rPr>
          <w:rFonts w:ascii="Times New Roman;serif" w:hAnsi="Times New Roman;serif"/>
          <w:b/>
          <w:color w:val="000000"/>
          <w:sz w:val="24"/>
        </w:rPr>
        <w:t>Additional Indication</w:t>
      </w:r>
      <w:r>
        <w:rPr>
          <w:color w:val="000000"/>
        </w:rPr>
        <w:t>”</w:t>
      </w:r>
      <w:r>
        <w:rPr>
          <w:rFonts w:ascii="Times New Roman;serif" w:hAnsi="Times New Roman;serif"/>
          <w:b w:val="false"/>
          <w:color w:val="000000"/>
          <w:sz w:val="24"/>
        </w:rPr>
        <w:t>), and such Party (the “</w:t>
      </w:r>
      <w:r>
        <w:rPr>
          <w:rFonts w:ascii="Times New Roman;serif" w:hAnsi="Times New Roman;serif"/>
          <w:b/>
          <w:color w:val="000000"/>
          <w:sz w:val="24"/>
        </w:rPr>
        <w:t>Initiating Party</w:t>
      </w:r>
      <w:r>
        <w:rPr>
          <w:color w:val="000000"/>
        </w:rPr>
        <w:t>”</w:t>
      </w:r>
      <w:r>
        <w:rPr>
          <w:rFonts w:ascii="Times New Roman;serif" w:hAnsi="Times New Roman;serif"/>
          <w:b w:val="false"/>
          <w:color w:val="000000"/>
          <w:sz w:val="24"/>
        </w:rPr>
        <w:t>) conducts a Phase 2 Clinical Trial for such Additional Indication outside of the Territory in the case of Ardelyx or in the Territory in the case of KHK, the Party conducting such Phase 2 Clinical Trial shall share any and all Development Data generated therefrom (“</w:t>
      </w:r>
      <w:r>
        <w:rPr>
          <w:rFonts w:ascii="Times New Roman;serif" w:hAnsi="Times New Roman;serif"/>
          <w:b/>
          <w:color w:val="000000"/>
          <w:sz w:val="24"/>
        </w:rPr>
        <w:t>Phase 2 Data</w:t>
      </w:r>
      <w:r>
        <w:rPr>
          <w:color w:val="000000"/>
        </w:rPr>
        <w:t>”</w:t>
      </w:r>
      <w:r>
        <w:rPr>
          <w:rFonts w:ascii="Times New Roman;serif" w:hAnsi="Times New Roman;serif"/>
          <w:b w:val="false"/>
          <w:color w:val="000000"/>
          <w:sz w:val="24"/>
        </w:rPr>
        <w:t>) with the other Party (the “</w:t>
      </w:r>
      <w:r>
        <w:rPr>
          <w:rFonts w:ascii="Times New Roman;serif" w:hAnsi="Times New Roman;serif"/>
          <w:b/>
          <w:color w:val="000000"/>
          <w:sz w:val="24"/>
        </w:rPr>
        <w:t>Responding Party</w:t>
      </w:r>
      <w:r>
        <w:rPr>
          <w:color w:val="000000"/>
        </w:rPr>
        <w:t>”</w:t>
      </w:r>
      <w:r>
        <w:rPr>
          <w:rFonts w:ascii="Times New Roman;serif" w:hAnsi="Times New Roman;serif"/>
          <w:b w:val="false"/>
          <w:color w:val="000000"/>
          <w:sz w:val="24"/>
        </w:rPr>
        <w:t>). Such Phase 2 Data shall be deemed Ardelyx Development Data if generated by Ardelyx, its Affiliates or licensees, or KHK Development Data if generated by KHK, its Affiliates or Sublicensees. Following the delivery of the Phase 2 Data, the Parties shall discuss in good faith whether to proceed with a Pivotal Clinical Study for the Additional Indication that would include both clinical sites in the Territory and clinical sites outside of the Territory, and such decision shall occur within the time frame presented by the Initiating Party when the Phase 2 Data is presented to the Responding Party, which time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frame shall be no more than [***] ([***]) days after the delivery of the Phase 2 Data unless the Parties shall agree otherwise. For clarity, (i) neither Party shall be obligated to proceed with a Pivotal Clinical Study regardless of whether it is the Initiating Party or the Responding Party, (ii) KHK, its Affiliates or its Sublicensees shall not be obligated to include any clinical sites outside of the Territory if KHK is the Initiating Party, and (iii) Ardelyx, its Affiliates or its licensees shall not be obligated to include any clinical sites within the Territory if Ardelyx is the Initiating Party. Should the Parties determine to proceed collaboratively with a Pivotal Clinical Study that includes both clinical sites in the Territory and clinical sites outside of the Territory, the mechanism set out in </w:t>
      </w:r>
      <w:r>
        <w:rPr>
          <w:rFonts w:ascii="Times New Roman;serif" w:hAnsi="Times New Roman;serif"/>
          <w:b w:val="false"/>
          <w:color w:val="000000"/>
          <w:sz w:val="24"/>
          <w:u w:val="single"/>
        </w:rPr>
        <w:t>Sections 2.07(b)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2.07(c)</w:t>
      </w:r>
      <w:r>
        <w:rPr>
          <w:color w:val="000000"/>
        </w:rPr>
        <w:t xml:space="preserve"> </w:t>
      </w:r>
      <w:r>
        <w:rPr>
          <w:rFonts w:ascii="Times New Roman;serif" w:hAnsi="Times New Roman;serif"/>
          <w:b w:val="false"/>
          <w:color w:val="000000"/>
          <w:sz w:val="24"/>
        </w:rPr>
        <w:t>below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If Ardelyx is the Initiating Party and Ardelyx and KHK agree to proceed with a global Pivotal Clinical Study that includes both clinical sites in the Territory and clinical sites outside of the Territory, [***] shall [***] attributable to [***]. Either Party, and their respective Affiliates, licensees and Sublicensees, may use the data generated by the global Pivotal Clinical Study at no cost for the purposes of any regulatory submission in the Territory (in the case of KHK, its Affiliates and Sublicensees) or outside the Territory (in the case of Ardelyx, its Affiliates or licensees). KHK shall pay relevant milestone payments to the extent that the Additional Indication triggers milestone payments, as well as any applicable royalties and sales milestones. In the event that the Parties determine not to proceed with a global Pivotal Clinical Study that includes both clinical sites in the Territory and clinical sites outside of the Territory, Ardelyx may proceed with a Pivotal Clinical Study at its own cost outside the Territory without including clinical sites in the Territory</w:t>
      </w:r>
      <w:r>
        <w:rPr>
          <w:rFonts w:ascii="Times New Roman;serif" w:hAnsi="Times New Roman;serif"/>
          <w:b/>
          <w:color w:val="000000"/>
          <w:sz w:val="24"/>
        </w:rPr>
        <w:t xml:space="preserve">. </w:t>
      </w:r>
      <w:r>
        <w:rPr>
          <w:rFonts w:ascii="Times New Roman;serif" w:hAnsi="Times New Roman;serif"/>
          <w:b w:val="false"/>
          <w:color w:val="000000"/>
          <w:sz w:val="24"/>
        </w:rPr>
        <w:t>KHK, its Affiliates or Sublicensees may elect to pursue the Additional Indication by conducting a Pivotal Clinical Study or a bridging study at its own cost in the Territory. KHK shall pay relevant milestone payments to the extent that the Additional Indication triggers milestone payments, as well as any applicable royalties and sales milestones. Either Party, and their respective Affiliates, licensees and Sublicensees may use the data generated by the other Party (Ardelyx Development Data if generated by Ardelyx and KHK Development Data if generated by KHK) at no cost for the purposes of any regulatory submission in the Territory (in the case of KHK, its Affiliates and Sublicensees) or outside of the Territory (in the case of Ardelyx, its Affiliates or licensees),</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KHK is the Initiating Party, and KHK and Ardelyx agree to proceed with a global Pivotal Clinical Study that includes both clinical sites in the Territory and clinical sites outside of the Territory, [***] shall [***] attributable to [***]. Either Party, and their respective Affiliates, licensees and Sublicensees, as the case may be, may use the data generated by the global Pivotal Clinical Study at no cost for the purposes of any regulatory submission in the Territory (in the case of KHK, its Affiliates or Sublicensees) or outside the Territory (in the case of Ardelyx, its Affiliates or licensees). KHK shall pay relevant milestone payments to the extent that the Additional Indication triggers such milestone payment, as well as any applicable royalties and sales milestones. In the event that the Parties determine not to proceed with a global Pivotal Clinical Study that includes both clinical sites in the Territory and clinical sites outside of the Territory, KHK may proceed with a Pivotal Clinical Study at its own cost, in the Territory. KHK shall pay relevant milestone payments to the extent that the Additional Indication triggers such milestones, as well as any applicable royalties and sales milestones. Ardelyx, its Affiliates or licensees may elect to pursue the Additional Indication by conducting its own Pivotal Clinical Study outside the Territory at Ardelyx’s cost. In such circumstances, KHK may pursue the Additional Indication by conducting a bridging study in the Territory at its own cost. Either Party, and their respective</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Affiliates, licensees and Sublicensees, may use the data generated by the other Party (Ardelyx Development Data if generated by Ardelyx and KHK Development Data if generated by KHK) at no cost for the purposes of any regulatory submission in the Territory (in the case of KHK, its Affiliates and Sublicensees) or outside the Territory (in the case of Ardelyx, its Affiliates or licensees).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2.08 </w:t>
      </w:r>
      <w:r>
        <w:rPr>
          <w:rFonts w:ascii="Times New Roman;serif" w:hAnsi="Times New Roman;serif"/>
          <w:b/>
          <w:color w:val="000000"/>
          <w:sz w:val="24"/>
          <w:u w:val="single"/>
        </w:rPr>
        <w:t>No Implied Rights</w:t>
      </w:r>
      <w:r>
        <w:rPr>
          <w:rFonts w:ascii="Times New Roman;serif" w:hAnsi="Times New Roman;serif"/>
          <w:b w:val="false"/>
          <w:color w:val="000000"/>
          <w:sz w:val="24"/>
        </w:rPr>
        <w:t>. This Agreement confers no right, license, or interest by implication, estoppel, or otherwise under any Patents, Know-How, or 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 Without limiting the generality of the foregoing, no license or other rights are granted to KHK under this Agreement to any compounds claimed or disclosed in any Ardelyx [***] Patents or any Licensed Patents, other than the Lead Licensed Compound and the Backup Licensed Compounds.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2.09 </w:t>
      </w:r>
      <w:r>
        <w:rPr>
          <w:rFonts w:ascii="Times New Roman;serif" w:hAnsi="Times New Roman;serif"/>
          <w:b/>
          <w:color w:val="000000"/>
          <w:sz w:val="24"/>
          <w:u w:val="single"/>
        </w:rPr>
        <w:t>Exclusivity Term</w:t>
      </w:r>
      <w:r>
        <w:rPr>
          <w:rFonts w:ascii="Times New Roman;serif" w:hAnsi="Times New Roman;serif"/>
          <w:b w:val="false"/>
          <w:color w:val="000000"/>
          <w:sz w:val="24"/>
        </w:rPr>
        <w:t xml:space="preserve">. KHK’s exclusive licenses granted under </w:t>
      </w:r>
      <w:r>
        <w:rPr>
          <w:rFonts w:ascii="Times New Roman;serif" w:hAnsi="Times New Roman;serif"/>
          <w:b w:val="false"/>
          <w:color w:val="000000"/>
          <w:sz w:val="24"/>
          <w:u w:val="single"/>
        </w:rPr>
        <w:t>Section 2.01</w:t>
      </w:r>
      <w:r>
        <w:rPr>
          <w:rFonts w:ascii="Times New Roman;serif" w:hAnsi="Times New Roman;serif"/>
          <w:b w:val="false"/>
          <w:color w:val="000000"/>
          <w:sz w:val="24"/>
        </w:rPr>
        <w:t xml:space="preserve">, shall expire with respect to each separate Licensed Product on the date when KHK’s obligation to pay royalties with respect to such Licensed Product expires pursuant to </w:t>
      </w:r>
      <w:r>
        <w:rPr>
          <w:rFonts w:ascii="Times New Roman;serif" w:hAnsi="Times New Roman;serif"/>
          <w:b w:val="false"/>
          <w:color w:val="000000"/>
          <w:sz w:val="24"/>
          <w:u w:val="single"/>
        </w:rPr>
        <w:t>Section 6.04(d)</w:t>
      </w:r>
      <w:r>
        <w:rPr>
          <w:rFonts w:ascii="Times New Roman;serif" w:hAnsi="Times New Roman;serif"/>
          <w:b w:val="false"/>
          <w:color w:val="000000"/>
          <w:sz w:val="24"/>
        </w:rPr>
        <w:t>. Upon expiry of KHK’s exclusive licenses with respect to a Licensed Product in the Territory, KHK’s licenses with respect to such Licensed Product in the Territory shall become non-exclusive, fully paid-up, perpetual and irrevocable and the Net Sales of such Licensed Product in the Territory shall be excluded from the royalty and sales milestone calculations under Section</w:t>
      </w:r>
      <w:r>
        <w:rPr>
          <w:color w:val="000000"/>
          <w:u w:val="single"/>
        </w:rPr>
        <w:t xml:space="preserve"> </w:t>
      </w:r>
      <w:r>
        <w:rPr>
          <w:rFonts w:ascii="Times New Roman;serif" w:hAnsi="Times New Roman;serif"/>
          <w:b w:val="false"/>
          <w:color w:val="000000"/>
          <w:sz w:val="24"/>
          <w:u w:val="single"/>
        </w:rPr>
        <w:t>6.04</w:t>
      </w:r>
      <w:r>
        <w:rPr>
          <w:color w:val="000000"/>
        </w:rPr>
        <w:t xml:space="preserve"> </w:t>
      </w:r>
      <w:r>
        <w:rPr>
          <w:rFonts w:ascii="Times New Roman;serif" w:hAnsi="Times New Roman;serif"/>
          <w:b w:val="false"/>
          <w:color w:val="000000"/>
          <w:sz w:val="24"/>
        </w:rPr>
        <w:t xml:space="preserve">(including the thresholds and ceilings). KHK and its Affiliates and Sublicensees shall be allowed to continue exercising KHK’s rights under the licenses granted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with respect to such Licensed Product on a non-exclusive basis in the Territory with no further consideration to Ardelyx.</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2.10 </w:t>
      </w:r>
      <w:r>
        <w:rPr>
          <w:rFonts w:ascii="Times New Roman;serif" w:hAnsi="Times New Roman;serif"/>
          <w:b/>
          <w:color w:val="000000"/>
          <w:sz w:val="24"/>
          <w:u w:val="single"/>
        </w:rPr>
        <w:t>Right of First Negotiation for Licensed Products Outside of the Field.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Ardelyx hereby grants to KHK the exclusive right of first negotiation as set forth in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with respect to the grant of rights to Develop and/or Commercialize outside of the Field in the Territory a Licensed Compound that is being Developed or Commercialized by KHK, its Affiliates or Sublicensees (“</w:t>
      </w:r>
      <w:r>
        <w:rPr>
          <w:rFonts w:ascii="Times New Roman;serif" w:hAnsi="Times New Roman;serif"/>
          <w:b/>
          <w:color w:val="000000"/>
          <w:sz w:val="24"/>
        </w:rPr>
        <w:t>ROFN Licensed Product</w:t>
      </w:r>
      <w:r>
        <w:rPr>
          <w:color w:val="000000"/>
        </w:rPr>
        <w:t>”</w:t>
      </w:r>
      <w:r>
        <w:rPr>
          <w:rFonts w:ascii="Times New Roman;serif" w:hAnsi="Times New Roman;serif"/>
          <w:b w:val="false"/>
          <w:color w:val="000000"/>
          <w:sz w:val="24"/>
        </w:rPr>
        <w:t>) in the Field in the Territory.</w:t>
      </w:r>
    </w:p>
    <w:p>
      <w:pPr>
        <w:pStyle w:val="TextBody"/>
        <w:bidi w:val="0"/>
        <w:spacing w:lineRule="auto" w:line="288" w:before="0" w:after="0"/>
        <w:ind w:left="0" w:right="0" w:firstLine="720"/>
        <w:jc w:val="both"/>
        <w:rPr/>
      </w:pPr>
      <w:r>
        <w:rPr>
          <w:rFonts w:ascii="Times New Roman;serif" w:hAnsi="Times New Roman;serif"/>
          <w:b w:val="false"/>
          <w:color w:val="000000"/>
          <w:sz w:val="24"/>
        </w:rPr>
        <w:t>(b) During the Term, if Ardelyx decides to (i) Develop and/or Commercialize a ROFN Licensed Product outside of the Field in the Territory, or to grant a Third Party a license under the Licensed Technology, Ardelyx’s rights in the Joint Technology and/or Ardelyx [***] Technology to Develop and/or Commercialize such ROFN Licensed Product outside of the Field in the Territory (“</w:t>
      </w:r>
      <w:r>
        <w:rPr>
          <w:rFonts w:ascii="Times New Roman;serif" w:hAnsi="Times New Roman;serif"/>
          <w:b/>
          <w:color w:val="000000"/>
          <w:sz w:val="24"/>
        </w:rPr>
        <w:t>Ardelyx License</w:t>
      </w:r>
      <w:r>
        <w:rPr>
          <w:color w:val="000000"/>
        </w:rPr>
        <w:t>”</w:t>
      </w:r>
      <w:r>
        <w:rPr>
          <w:rFonts w:ascii="Times New Roman;serif" w:hAnsi="Times New Roman;serif"/>
          <w:b w:val="false"/>
          <w:color w:val="000000"/>
          <w:sz w:val="24"/>
        </w:rPr>
        <w:t>), Ardelyx shall notify KHK in writing, and shall provide to KHK [***] information regarding the Development and/or Commercialization activities undertaken by Ardelyx with respect to the ROFN Licensed Product [***]. KHK shall have [***] ([***]) days from receipt of such written notice to notify Ardelyx in writing if KHK would like to exercise its right of first negotiation with respect to the ROFN Licensed Product. Upon any exercise by KHK of such right, the Parties shall enter into exclusive good faith negotiations for a period of up to [***] ([***]) days (“</w:t>
      </w:r>
      <w:r>
        <w:rPr>
          <w:rFonts w:ascii="Times New Roman;serif" w:hAnsi="Times New Roman;serif"/>
          <w:b/>
          <w:color w:val="000000"/>
          <w:sz w:val="24"/>
        </w:rPr>
        <w:t>Negotiation Period</w:t>
      </w:r>
      <w:r>
        <w:rPr>
          <w:color w:val="000000"/>
        </w:rPr>
        <w:t>”</w:t>
      </w:r>
      <w:r>
        <w:rPr>
          <w:rFonts w:ascii="Times New Roman;serif" w:hAnsi="Times New Roman;serif"/>
          <w:b w:val="false"/>
          <w:color w:val="000000"/>
          <w:sz w:val="24"/>
        </w:rPr>
        <w:t>) (unless extended upon mutual agreement of the parties) regarding the terms and conditions of a definitive agreement.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(c) If (i) Ardelyx and KHK cannot reach mutually agreeable terms and conditions of an Ardelyx License during the Negotiation Period, (ii) the Parties otherwise mutually agree in writing to terminate negotiations, or (iii) KHK fails to exercise its right of first negotiation within the [***] ([***]) day period set forth in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(or KHK indicates in writing that it elects not to exercise such right), then Ardelyx shall be free to Develop and/or Commercialize the ROFN Licensed Product in the Territory outside of the Field or negotiate and enter into an Ardelyx License with a Third Party;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upon written request from KHK, Ardelyx shall use or cause its Third Party licensee to use Commercially Reasonable Efforts to [***] that is [***] at the expiration or termination of the Negotiation Period, [***]. Further, Ardelyx shall not, and shall cause its Third Party licensee not to, Commercialize the ROFN Licensed Product using [***] at the expiration or termination of the Negotiation Period pursuant to the terms and conditions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2.11 </w:t>
      </w:r>
      <w:r>
        <w:rPr>
          <w:rFonts w:ascii="Times New Roman;serif" w:hAnsi="Times New Roman;serif"/>
          <w:b/>
          <w:color w:val="000000"/>
          <w:sz w:val="24"/>
          <w:u w:val="single"/>
        </w:rPr>
        <w:t>Right of First Negotiation New NHE3 Inhibitors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In the event that Ardelyx, its Affiliates or licensee generates [***] a NHE3 inhibitor that is owned by Ardelyx but is not a Licensed Compound, and such [***] was conducted to evaluate the use of the NHE3 inhibitor to treat a [***] (the “</w:t>
      </w:r>
      <w:r>
        <w:rPr>
          <w:rFonts w:ascii="Times New Roman;serif" w:hAnsi="Times New Roman;serif"/>
          <w:b/>
          <w:color w:val="000000"/>
          <w:sz w:val="24"/>
        </w:rPr>
        <w:t>Licensed Product Indication</w:t>
      </w:r>
      <w:r>
        <w:rPr>
          <w:color w:val="000000"/>
        </w:rPr>
        <w:t>”</w:t>
      </w:r>
      <w:r>
        <w:rPr>
          <w:rFonts w:ascii="Times New Roman;serif" w:hAnsi="Times New Roman;serif"/>
          <w:b w:val="false"/>
          <w:color w:val="000000"/>
          <w:sz w:val="24"/>
        </w:rPr>
        <w:t xml:space="preserve">) at the time that Ardelyx completes the [***] (as documented in the most recent Development Plan or Commercialization Plan delivered to the SC prior to the completion of Ardelyx’s [***]), then such NHE3 inhibitor shall be a </w:t>
      </w:r>
      <w:r>
        <w:rPr>
          <w:color w:val="000000"/>
        </w:rPr>
        <w:t>“</w:t>
      </w:r>
      <w:r>
        <w:rPr>
          <w:rFonts w:ascii="Times New Roman;serif" w:hAnsi="Times New Roman;serif"/>
          <w:b/>
          <w:color w:val="000000"/>
          <w:sz w:val="24"/>
        </w:rPr>
        <w:t>ROFN New Product</w:t>
      </w:r>
      <w:r>
        <w:rPr>
          <w:rFonts w:ascii="Times New Roman;serif" w:hAnsi="Times New Roman;serif"/>
          <w:b w:val="false"/>
          <w:color w:val="000000"/>
          <w:sz w:val="24"/>
        </w:rPr>
        <w:t>.” For clarity, if KHK elects to [***] after the time that Ardelyx completes the [***], then the NHE3 inhibitor shall not be a ROFN New Product.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Ardelyx hereby grants to KHK the exclusive right of first negotiation as set forth in this Section 2.11 with respect to the grant of rights to Develop and/or Commercialize a ROFN New Product in the Territory for the Licensed Product Indication.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During the Term, if Ardelyx decides to (i) Develop and/or Commercialize a ROFN New Product in the Territory for the Licensed Product Indication, or to grant a Third Party a license to Develop and/or Commercialize such ROFN New Product in the Territory for the Licensed Product Indication, (“Ardelyx NHE3 License”), Ardelyx shall notify KHK in writing, and shall provide to KHK [***] information regarding the Development and/or Commercialization activities undertaken by Ardelyx with respect to the ROFN New Product [***]. KHK shall have [***] ([***]) days from receipt of such written notice to notify Ardelyx in writing if KHK would like to exercise its right of first negotiation with respect to the ROFN New Product. Upon any exercise by KHK of such right, the Parties shall enter into exclusive good faith negotiations for a period of up to [***] ([***]) days (“Negotiation Period”) (unless extended upon mutual agreement of the parties) regarding the terms and conditions of a definitive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(i) Ardelyx and KHK cannot reach mutually agreeable terms and conditions of an Ardelyx NHE3 License during the Negotiation Period, (ii) the Parties otherwise mutually agree in writing to terminate negotiations, or (iii) KHK fails to exercise its right of first negotiation within the [***] ([***]) day period set forth in Section 2.11(c) (or KHK indicates in writing that it elects not to exercise such right), then Ardelyx shall be free to Develop and/or Commercialize the ROFN New Product in the Territory or negotiate and enter into an Ardelyx NHE3 License with a Third Party.</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2.12 </w:t>
      </w:r>
      <w:r>
        <w:rPr>
          <w:rFonts w:ascii="Times New Roman;serif" w:hAnsi="Times New Roman;serif"/>
          <w:b/>
          <w:color w:val="000000"/>
          <w:sz w:val="24"/>
          <w:u w:val="single"/>
        </w:rPr>
        <w:t>Exclusivity Covenant.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During the period starting on the Effective Date and continuing until [***] (such period being the “</w:t>
      </w:r>
      <w:r>
        <w:rPr>
          <w:rFonts w:ascii="Times New Roman;serif" w:hAnsi="Times New Roman;serif"/>
          <w:b/>
          <w:color w:val="000000"/>
          <w:sz w:val="24"/>
        </w:rPr>
        <w:t>Covenant Period 1</w:t>
      </w:r>
      <w:r>
        <w:rPr>
          <w:color w:val="000000"/>
        </w:rPr>
        <w:t>”</w:t>
      </w:r>
      <w:r>
        <w:rPr>
          <w:rFonts w:ascii="Times New Roman;serif" w:hAnsi="Times New Roman;serif"/>
          <w:b w:val="false"/>
          <w:color w:val="000000"/>
          <w:sz w:val="24"/>
        </w:rPr>
        <w:t xml:space="preserve">), KHK, its Affiliates and Sublicensees shall not, except as otherwise expressly permitted in this Agreement, either by themselves or through a Third Party, [***]. If this Agreement is terminated as a result of a [***]), then for the purpose of this </w:t>
      </w:r>
      <w:r>
        <w:rPr>
          <w:rFonts w:ascii="Times New Roman;serif" w:hAnsi="Times New Roman;serif"/>
          <w:b w:val="false"/>
          <w:color w:val="000000"/>
          <w:sz w:val="24"/>
          <w:u w:val="single"/>
        </w:rPr>
        <w:t>Section 2.12(a)</w:t>
      </w:r>
      <w:r>
        <w:rPr>
          <w:rFonts w:ascii="Times New Roman;serif" w:hAnsi="Times New Roman;serif"/>
          <w:b w:val="false"/>
          <w:color w:val="000000"/>
          <w:sz w:val="24"/>
        </w:rPr>
        <w:t>, the Covenant Period 1 shall expire on the [***] ([***]) anniversary of the effective date of the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During the period starting on the Effective Date and continuing until the earlier to occur of (i) [***] and (ii) [***] (such period being the “</w:t>
      </w:r>
      <w:r>
        <w:rPr>
          <w:rFonts w:ascii="Times New Roman;serif" w:hAnsi="Times New Roman;serif"/>
          <w:b/>
          <w:color w:val="000000"/>
          <w:sz w:val="24"/>
        </w:rPr>
        <w:t>Covenant Period 2</w:t>
      </w:r>
      <w:r>
        <w:rPr>
          <w:color w:val="000000"/>
        </w:rPr>
        <w:t>”</w:t>
      </w:r>
      <w:r>
        <w:rPr>
          <w:rFonts w:ascii="Times New Roman;serif" w:hAnsi="Times New Roman;serif"/>
          <w:b w:val="false"/>
          <w:color w:val="000000"/>
          <w:sz w:val="24"/>
        </w:rPr>
        <w:t xml:space="preserve">), KHK, its Affiliates and Sublicensees shall not, except as otherwise expressly permitted in this Agreement, either by themselves or through a Third Party, [***]. If this Agreement is terminated as a result of a [***], then for the purpose of this </w:t>
      </w:r>
      <w:r>
        <w:rPr>
          <w:rFonts w:ascii="Times New Roman;serif" w:hAnsi="Times New Roman;serif"/>
          <w:b w:val="false"/>
          <w:color w:val="000000"/>
          <w:sz w:val="24"/>
          <w:u w:val="single"/>
        </w:rPr>
        <w:t>Section 2.12(b)</w:t>
      </w:r>
      <w:r>
        <w:rPr>
          <w:rFonts w:ascii="Times New Roman;serif" w:hAnsi="Times New Roman;serif"/>
          <w:b w:val="false"/>
          <w:color w:val="000000"/>
          <w:sz w:val="24"/>
        </w:rPr>
        <w:t>, the Covenant Period 2 shall expire on the [***] ([***]) anniversary of the effective date of the [***], unless the Covenant Period 2 has expired prior to such date by reason of the expiry or termination of the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During Covenant Period 1, Ardelyx, its Affiliates and each of its licensees shall not, except as otherwise expressly permitted in this Agreement, either by themselves or through a Third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Notwithstanding the aforesaid, neither Party’s (nor that of its Affiliates’) direct or indirect acquisition of or merger with, in whole or in part, a Person (or group of companies) or the business of a Person (or group of companies) having any activity contravening the covenants set forth above in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shall constitute a breach of such covenants by the Party, if, [***] the Party either (i) provides the other Party with written notice of its, or its Affiliates’, as the case may be, [***] or (ii) in the case of KHK, exercises its right to terminate this Agreement pursuant to </w:t>
      </w:r>
      <w:r>
        <w:rPr>
          <w:rFonts w:ascii="Times New Roman;serif" w:hAnsi="Times New Roman;serif"/>
          <w:b w:val="false"/>
          <w:color w:val="000000"/>
          <w:sz w:val="24"/>
          <w:u w:val="single"/>
        </w:rPr>
        <w:t>Section 11.02(b)(i)</w:t>
      </w:r>
      <w:r>
        <w:rPr>
          <w:rFonts w:ascii="Times New Roman;serif" w:hAnsi="Times New Roman;serif"/>
          <w:b w:val="false"/>
          <w:color w:val="000000"/>
          <w:sz w:val="24"/>
        </w:rPr>
        <w:t>, in which case such termination shall be effective [***]</w:t>
      </w:r>
      <w:r>
        <w:rPr>
          <w:color w:val="000000"/>
        </w:rPr>
        <w:t xml:space="preserve"> </w:t>
      </w:r>
      <w:r>
        <w:rPr>
          <w:rFonts w:ascii="Times New Roman;serif" w:hAnsi="Times New Roman;serif"/>
          <w:b/>
          <w:color w:val="000000"/>
          <w:sz w:val="24"/>
        </w:rPr>
        <w:t>(</w:t>
      </w:r>
      <w:r>
        <w:rPr>
          <w:rFonts w:ascii="Times New Roman;serif" w:hAnsi="Times New Roman;serif"/>
          <w:b w:val="false"/>
          <w:color w:val="000000"/>
          <w:sz w:val="24"/>
        </w:rPr>
        <w:t>[***]</w:t>
      </w:r>
      <w:r>
        <w:rPr>
          <w:rFonts w:ascii="Times New Roman;serif" w:hAnsi="Times New Roman;serif"/>
          <w:b/>
          <w:color w:val="000000"/>
          <w:sz w:val="24"/>
        </w:rPr>
        <w:t xml:space="preserve">) </w:t>
      </w:r>
      <w:r>
        <w:rPr>
          <w:rFonts w:ascii="Times New Roman;serif" w:hAnsi="Times New Roman;serif"/>
          <w:b w:val="false"/>
          <w:color w:val="000000"/>
          <w:sz w:val="24"/>
        </w:rPr>
        <w:t xml:space="preserve">days after Ardelyx’s receipt of a written notice of termination from KHK. In the event that a Party provides a written notice of its or its Affiliates’ [***] pursuant to the above, then (X) such the Party shall (or, as the case may be, cause its relevant Affiliate to) diligently pursue [***] and in any case, [***] under which the relevant business was acquired, and (Y) neither the Party nor its Affiliates, as the case may be, shall [***]. KHK shall, notwithstanding anything to the contrary in this </w:t>
      </w:r>
      <w:r>
        <w:rPr>
          <w:rFonts w:ascii="Times New Roman;serif" w:hAnsi="Times New Roman;serif"/>
          <w:b w:val="false"/>
          <w:color w:val="000000"/>
          <w:sz w:val="24"/>
          <w:u w:val="single"/>
        </w:rPr>
        <w:t>Section 2.12(d)</w:t>
      </w:r>
      <w:r>
        <w:rPr>
          <w:rFonts w:ascii="Times New Roman;serif" w:hAnsi="Times New Roman;serif"/>
          <w:b w:val="false"/>
          <w:color w:val="000000"/>
          <w:sz w:val="24"/>
        </w:rPr>
        <w:t xml:space="preserve">, at all times continue to be obligated to use Commercially Reasonable Efforts to Develop or Commercialize Licensed Products in accordance with its obligations under and subject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The words [***] and all variations thereof included in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with reference to products discussed in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shall include the activities described in the [***], but with such activities being with respect to such products described in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rather than with respect to Licensed Product as set forth in the definition.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(f) The Parties agree that the restrictions contained in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this </w:t>
      </w:r>
      <w:r>
        <w:rPr>
          <w:rFonts w:ascii="Times New Roman;serif" w:hAnsi="Times New Roman;serif"/>
          <w:b w:val="false"/>
          <w:color w:val="000000"/>
          <w:sz w:val="24"/>
          <w:u w:val="single"/>
        </w:rPr>
        <w:t>Section 2.12.</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COLLABORATION GOVERNANCE; DEVELOPMENT AND</w:t>
        <w:br/>
        <w:t>COMMERCIALIZATION PLANS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3.01 </w:t>
      </w:r>
      <w:r>
        <w:rPr>
          <w:rFonts w:ascii="Times New Roman;serif" w:hAnsi="Times New Roman;serif"/>
          <w:b/>
          <w:color w:val="000000"/>
          <w:sz w:val="24"/>
          <w:u w:val="single"/>
        </w:rPr>
        <w:t>Steering Committee</w:t>
      </w:r>
      <w:r>
        <w:rPr>
          <w:rFonts w:ascii="Times New Roman;serif" w:hAnsi="Times New Roman;serif"/>
          <w:b w:val="false"/>
          <w:color w:val="000000"/>
          <w:sz w:val="24"/>
        </w:rPr>
        <w:t xml:space="preserve">. Ardelyx and KHK shall establish a steering committee in accordance with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SC</w:t>
      </w:r>
      <w:r>
        <w:rPr>
          <w:color w:val="000000"/>
        </w:rPr>
        <w:t>”</w:t>
      </w:r>
      <w:r>
        <w:rPr>
          <w:rFonts w:ascii="Times New Roman;serif" w:hAnsi="Times New Roman;serif"/>
          <w:b w:val="false"/>
          <w:color w:val="000000"/>
          <w:sz w:val="24"/>
        </w:rPr>
        <w:t>). The SC shall remain in effect from the Effective Date through the Term. The SC shall serve as a forum for discussing and sharing Information in accordance with this Agreement and discussing strategy regarding the Development and Commercialization of the Licensed Products, among other activities.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3.02 </w:t>
      </w:r>
      <w:r>
        <w:rPr>
          <w:rFonts w:ascii="Times New Roman;serif" w:hAnsi="Times New Roman;serif"/>
          <w:b/>
          <w:color w:val="000000"/>
          <w:sz w:val="24"/>
          <w:u w:val="single"/>
        </w:rPr>
        <w:t>Composition of the SC</w:t>
      </w:r>
      <w:r>
        <w:rPr>
          <w:rFonts w:ascii="Times New Roman;serif" w:hAnsi="Times New Roman;serif"/>
          <w:b w:val="false"/>
          <w:color w:val="000000"/>
          <w:sz w:val="24"/>
        </w:rPr>
        <w:t>. Each Party shall appoint [***] ([***]) representatives as its voting members of the SC. The first meeting of the SC shall be held within [***] ([***]) days of the Effective Date. The SC shall be chaired by a representative of [***]. The chairperson shall be responsible for calling meetings, setting the agenda, circulating the agenda at least [***] ([***]) days prior to each meeting and distributing minutes of the meetings within [***] ([***]) days following such meetings (provided that the chairperson may elect to delegate the performance of its responsibilities to other members of the SC from time to time), but shall not otherwise have any greater power or authority than any other member of the SC. Alliance Managers shall coordinate to schedule the subsequent SC meetings and the date for each subsequent SC meeting shall be established at least [***] ([***]) months in advance of the scheduled meeting, or – with regard to meetings that are called for on shorter notice – as early as reasonably practicable in advance of such meeting. Each Party shall disclose to the chairperson any proposed agenda items, along with appropriate Information at least [***] ([***]) Business Days in advance of each meeting of the SC. With respect to the first members of the SC selected by each Party, at least one (1) member selected by Ardelyx and one (1) member selected by KHK shall have [***], and all of the members of the SC shall have such expertise as appropriate to the activities of the SC. Each Party may replace its members of the SC upon written notice to the other Party and shall replace its members as the expertise required by the SC changes over time and as the Licensed Products advance through Development and Commercialization. From time to time, the SC may invite non-voting personnel of either Party having formulation, Manufacturing, Commercialization, marketing or other expertise to participate in discussions of the SC. Up to one (1) alternate voting member designated by a Party may serve temporarily in the absence of a permanent voting member appointed by such Party, and either Party may also designate one or more non-voting consultants to such Party who are under written obligations of confidentiality to such Party as SC observers who may attend the SC meetings in an observational capacity only.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3.03 </w:t>
      </w:r>
      <w:r>
        <w:rPr>
          <w:rFonts w:ascii="Times New Roman;serif" w:hAnsi="Times New Roman;serif"/>
          <w:b/>
          <w:color w:val="000000"/>
          <w:sz w:val="24"/>
          <w:u w:val="single"/>
        </w:rPr>
        <w:t>Responsibilities of the SC</w:t>
      </w:r>
      <w:r>
        <w:rPr>
          <w:rFonts w:ascii="Times New Roman;serif" w:hAnsi="Times New Roman;serif"/>
          <w:b w:val="false"/>
          <w:color w:val="000000"/>
          <w:sz w:val="24"/>
        </w:rPr>
        <w:t>. The SC’s responsibilities shall include, among others,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reviewing and discussing each Development Plan, and each Commercialization Plan and any amendments thereto;</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reviewing KHK’s progress under each Development Plan and Commercialization Plan;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facilitating the exchange of Information and regulatory strategies between the Parties with respect to the Development of the Licensed Product both in the Territory and outside the Territory as well as both in the Field and outside the Field;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discussing such other matters as the Parties mutually agree to discuss at the SC.</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3.04 </w:t>
      </w:r>
      <w:r>
        <w:rPr>
          <w:rFonts w:ascii="Times New Roman;serif" w:hAnsi="Times New Roman;serif"/>
          <w:b/>
          <w:color w:val="000000"/>
          <w:sz w:val="24"/>
          <w:u w:val="single"/>
        </w:rPr>
        <w:t>Development Plans</w:t>
      </w:r>
      <w:r>
        <w:rPr>
          <w:rFonts w:ascii="Times New Roman;serif" w:hAnsi="Times New Roman;serif"/>
          <w:b w:val="false"/>
          <w:color w:val="000000"/>
          <w:sz w:val="24"/>
        </w:rPr>
        <w:t>. Following the Effective Date, KHK shall prepare the draft Development Plan and hold consultations with PMDA to finalize the draft Development Plan (the finalized plan, as amended from time to time in accordance with this Agreement being the “</w:t>
      </w:r>
      <w:r>
        <w:rPr>
          <w:rFonts w:ascii="Times New Roman;serif" w:hAnsi="Times New Roman;serif"/>
          <w:b/>
          <w:color w:val="000000"/>
          <w:sz w:val="24"/>
        </w:rPr>
        <w:t>Development Plan</w:t>
      </w:r>
      <w:r>
        <w:rPr>
          <w:color w:val="000000"/>
        </w:rPr>
        <w:t>”</w:t>
      </w:r>
      <w:r>
        <w:rPr>
          <w:rFonts w:ascii="Times New Roman;serif" w:hAnsi="Times New Roman;serif"/>
          <w:b w:val="false"/>
          <w:color w:val="000000"/>
          <w:sz w:val="24"/>
        </w:rPr>
        <w:t xml:space="preserve">). The finalization of the draft Development Plan shall be effected by KHK within [***] ([***]) months after the issuance of the minutes of the final consultations with PMDA. During the Term, KHK shall consult with Ardelyx while finalizing each Development Plan and shall take into consideration any reasonable concerns of Ardelyx in finalizing each such Development Plan. Any material deviations from the draft Development Plan and from each Development Plan including, but not limited to, [***] shall be reviewed and discussed at SC. Other than as set forth in </w:t>
      </w:r>
      <w:r>
        <w:rPr>
          <w:rFonts w:ascii="Times New Roman;serif" w:hAnsi="Times New Roman;serif"/>
          <w:b w:val="false"/>
          <w:color w:val="000000"/>
          <w:sz w:val="24"/>
          <w:u w:val="single"/>
        </w:rPr>
        <w:t>Section 3.07</w:t>
      </w:r>
      <w:r>
        <w:rPr>
          <w:rFonts w:ascii="Times New Roman;serif" w:hAnsi="Times New Roman;serif"/>
          <w:b w:val="false"/>
          <w:color w:val="000000"/>
          <w:sz w:val="24"/>
        </w:rPr>
        <w:t>, and notwithstanding that [***] agrees to consider in good faith all reasonable concerns of [***] with respect to each Development Plan and all material changes thereto, [***] shall have the final decision making authority with respect to each Development Plan.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3.05 </w:t>
      </w:r>
      <w:r>
        <w:rPr>
          <w:rFonts w:ascii="Times New Roman;serif" w:hAnsi="Times New Roman;serif"/>
          <w:b/>
          <w:color w:val="000000"/>
          <w:sz w:val="24"/>
          <w:u w:val="single"/>
        </w:rPr>
        <w:t>Commercialization Plans</w:t>
      </w:r>
      <w:r>
        <w:rPr>
          <w:rFonts w:ascii="Times New Roman;serif" w:hAnsi="Times New Roman;serif"/>
          <w:b w:val="false"/>
          <w:color w:val="000000"/>
          <w:sz w:val="24"/>
        </w:rPr>
        <w:t>. The planned activities regarding Commercialization of the Licensed Product in the Field in the Territory to be conducted by KHK shall be set out in a commercialization plan. KHK shall present an initial commercialization plan to the SC within [***] ([***]) months after [***] (the initial commercialization plan, as amended from time to time in accordance with this Agreement, being the “</w:t>
      </w:r>
      <w:r>
        <w:rPr>
          <w:rFonts w:ascii="Times New Roman;serif" w:hAnsi="Times New Roman;serif"/>
          <w:b/>
          <w:color w:val="000000"/>
          <w:sz w:val="24"/>
        </w:rPr>
        <w:t>Commercialization Plan</w:t>
      </w:r>
      <w:r>
        <w:rPr>
          <w:rFonts w:ascii="Times New Roman;serif" w:hAnsi="Times New Roman;serif"/>
          <w:b w:val="false"/>
          <w:color w:val="000000"/>
          <w:sz w:val="24"/>
        </w:rPr>
        <w:t xml:space="preserve">.” The Commercialization Plan shall consist of non-binding sales forecasts and planned promotional activities. The initial Commercialization Plan shall include the following, among other things, [***]. KHK shall provide an annual update of the Commercialization Plan every December that covers the following calendar year until the SC shall unanimously determine that such annual updates are no longer required. [***] shall consider in good faith all reasonable concerns of [***] with respect to each Commercialization Plan, and all material changes thereto. However, other than as set forth in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below, [***] shall have the final decision making authority with respect to each Commercialization Plan.</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3.06 </w:t>
      </w:r>
      <w:r>
        <w:rPr>
          <w:rFonts w:ascii="Times New Roman;serif" w:hAnsi="Times New Roman;serif"/>
          <w:b/>
          <w:color w:val="000000"/>
          <w:sz w:val="24"/>
          <w:u w:val="single"/>
        </w:rPr>
        <w:t>Meetings of the SC</w:t>
      </w:r>
      <w:r>
        <w:rPr>
          <w:rFonts w:ascii="Times New Roman;serif" w:hAnsi="Times New Roman;serif"/>
          <w:b w:val="false"/>
          <w:color w:val="000000"/>
          <w:sz w:val="24"/>
        </w:rPr>
        <w:t xml:space="preserve">. The SC shall hold meetings at such times and places as shall be determined by a majority of the entire membership of the committee, but in no event, shall such meetings be held less frequently than once [***] ([***]) [***] through the first [***] ([***]) years following the First Commercial Sale of a Licensed Product in the Territory. Meetings of the SC shall alternate between the offices of the Parties, unless otherwise agreed upon by the members of the SC, or may be held via internet, telephonically or by videoconference;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least [***] ([***]) meetings per year shall be held in person until [***] ([***]) years following the First Commercial Sale of a Licensed Product in the Territory. Thereafter, the SC may determine how frequently to require meetings of the SC and how frequently to require in person meetings of the SC. Meetings of the SC shall be effective if at least [***] ([***]) representatives of each Party are in attendance or participating in the meeting. Each Party shall be responsible for the expenses incurred in connection with its employees, consultants and its members of the SC attending or otherwise participating in SC meetings.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3.07 </w:t>
      </w:r>
      <w:r>
        <w:rPr>
          <w:rFonts w:ascii="Times New Roman;serif" w:hAnsi="Times New Roman;serif"/>
          <w:b/>
          <w:color w:val="000000"/>
          <w:sz w:val="24"/>
          <w:u w:val="single"/>
        </w:rPr>
        <w:t>SC Decision Making</w:t>
      </w:r>
      <w:r>
        <w:rPr>
          <w:rFonts w:ascii="Times New Roman;serif" w:hAnsi="Times New Roman;serif"/>
          <w:b w:val="false"/>
          <w:color w:val="000000"/>
          <w:sz w:val="24"/>
        </w:rPr>
        <w:t xml:space="preserve">. The SC shall make decisions within its remit only by [***]. The presence of [***] ([***]) SC members representing each Party shall constitute a quorum. In the event that [***] on a matter before it for decision within [***] ([***]) days after the matter was first considered by it, then [***] shall have the final decision making authority except for decisions that (i) [***]; or (ii) [***], with respect to which decisions, [***] shall have the right to refer such matter to the Senior Executives, who shall meet (in person, via internet, telephonically or by videoconference) and attempt to resolve the matter within [***] ([***]) days of such referral. If Senior Executives of the Parties are unable to reach an agreement, the Parties shall follow the procedures as set forth in </w:t>
      </w:r>
      <w:r>
        <w:rPr>
          <w:rFonts w:ascii="Times New Roman;serif" w:hAnsi="Times New Roman;serif"/>
          <w:b w:val="false"/>
          <w:color w:val="000000"/>
          <w:sz w:val="24"/>
          <w:u w:val="single"/>
        </w:rPr>
        <w:t>Article XIII</w:t>
      </w:r>
      <w:r>
        <w:rPr>
          <w:rFonts w:ascii="Times New Roman;serif" w:hAnsi="Times New Roman;serif"/>
          <w:b w:val="false"/>
          <w:color w:val="000000"/>
          <w:sz w:val="24"/>
        </w:rPr>
        <w:t xml:space="preserve">. Notwithstanding that the Development Plans and the Commercialization Plans are to be presented to the SC without a formal approval by SC, if (i) [***]; or (ii) [***], then [***] shall have the right to refer such matter to the Senior Executives, who shall meet (in person, via internet, telephonically or by videoconference) and attempt to resolve the matter within [***] ([***]) days of such referral. If Senior Executives of the Parties are unable to reach an agreement, the Parties shall follow the procedures as set forth in </w:t>
      </w:r>
      <w:r>
        <w:rPr>
          <w:rFonts w:ascii="Times New Roman;serif" w:hAnsi="Times New Roman;serif"/>
          <w:b w:val="false"/>
          <w:color w:val="000000"/>
          <w:sz w:val="24"/>
          <w:u w:val="single"/>
        </w:rPr>
        <w:t>Article XIII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3.08 </w:t>
      </w:r>
      <w:r>
        <w:rPr>
          <w:rFonts w:ascii="Times New Roman;serif" w:hAnsi="Times New Roman;serif"/>
          <w:b/>
          <w:color w:val="000000"/>
          <w:sz w:val="24"/>
          <w:u w:val="single"/>
        </w:rPr>
        <w:t>Joint Project Team</w:t>
      </w:r>
      <w:r>
        <w:rPr>
          <w:rFonts w:ascii="Times New Roman;serif" w:hAnsi="Times New Roman;serif"/>
          <w:b w:val="false"/>
          <w:color w:val="000000"/>
          <w:sz w:val="24"/>
        </w:rPr>
        <w:t>. As a subcommittee of the Steering Committee, the Parties shall establish a Joint Project Team (the “</w:t>
      </w:r>
      <w:r>
        <w:rPr>
          <w:rFonts w:ascii="Times New Roman;serif" w:hAnsi="Times New Roman;serif"/>
          <w:b/>
          <w:color w:val="000000"/>
          <w:sz w:val="24"/>
        </w:rPr>
        <w:t>JPT</w:t>
      </w:r>
      <w:r>
        <w:rPr>
          <w:color w:val="000000"/>
        </w:rPr>
        <w:t>”</w:t>
      </w:r>
      <w:r>
        <w:rPr>
          <w:rFonts w:ascii="Times New Roman;serif" w:hAnsi="Times New Roman;serif"/>
          <w:b w:val="false"/>
          <w:color w:val="000000"/>
          <w:sz w:val="24"/>
        </w:rPr>
        <w:t>). The JPT shall remain in effect as from the Effective Date and continue in effect until such time as the Parties shall mutually determine that the JPT is no longer necessary. The JPT shall serve as a joint working group for the purpose of implementing the Development Plan, coordinating the practical aspects of the Parties’ collaboration under this Agreement, handling day-to-day issues in relation thereto, facilitating communication between the Parties in respect thereof and otherwise performing such specific tasks as may be assigned to it by the SC. The JPT shall consist of two project leaders, one appointed by KHK and the other by Ardelyx, and such additional members as each Party may appoint from time to time as necessary or useful for the performance of the JPT’s responsibilities hereunder. Each Party shall have the right to withdraw or replace its JPT representatives upon written notice to the other Party, provided that any such substitute representative shall have substantially the equivalent position and experience as the representative that such person replaces, and further provided that replacements for the Parties’ respective project leaders shall be subject to the prior written consent of the other Party, such consent not to be unreasonably withheld, delayed or conditioned. Each Party shall bear its own expenses of its JPT members related to such members’ participation on the JPT.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3.09 </w:t>
      </w:r>
      <w:r>
        <w:rPr>
          <w:rFonts w:ascii="Times New Roman;serif" w:hAnsi="Times New Roman;serif"/>
          <w:b/>
          <w:color w:val="000000"/>
          <w:sz w:val="24"/>
          <w:u w:val="single"/>
        </w:rPr>
        <w:t>Alliance Managers</w:t>
      </w:r>
      <w:r>
        <w:rPr>
          <w:rFonts w:ascii="Times New Roman;serif" w:hAnsi="Times New Roman;serif"/>
          <w:b w:val="false"/>
          <w:color w:val="000000"/>
          <w:sz w:val="24"/>
        </w:rPr>
        <w:t>. As soon as practicable after the Effective Date, each Party shall appoint a representative to act as its alliance manager under this Agreement (the “</w:t>
      </w:r>
      <w:r>
        <w:rPr>
          <w:rFonts w:ascii="Times New Roman;serif" w:hAnsi="Times New Roman;serif"/>
          <w:b/>
          <w:color w:val="000000"/>
          <w:sz w:val="24"/>
        </w:rPr>
        <w:t>Alliance Manager</w:t>
      </w:r>
      <w:r>
        <w:rPr>
          <w:color w:val="000000"/>
        </w:rPr>
        <w:t>”</w:t>
      </w:r>
      <w:r>
        <w:rPr>
          <w:rFonts w:ascii="Times New Roman;serif" w:hAnsi="Times New Roman;serif"/>
          <w:b w:val="false"/>
          <w:color w:val="000000"/>
          <w:sz w:val="24"/>
        </w:rPr>
        <w:t>). The Alliance Managers shall serve as the key contact point between the Parties. A Party may replace its Alliance Manager at any time by providing written notice to the other Party.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PROVISIONS ON DEVELOPMENT AND COMMERCIALIZATION;</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4.01 </w:t>
      </w:r>
      <w:r>
        <w:rPr>
          <w:rFonts w:ascii="Times New Roman;serif" w:hAnsi="Times New Roman;serif"/>
          <w:b/>
          <w:color w:val="000000"/>
          <w:sz w:val="24"/>
          <w:u w:val="single"/>
        </w:rPr>
        <w:t>Record Keeping</w:t>
      </w:r>
      <w:r>
        <w:rPr>
          <w:rFonts w:ascii="Times New Roman;serif" w:hAnsi="Times New Roman;serif"/>
          <w:b w:val="false"/>
          <w:color w:val="000000"/>
          <w:sz w:val="24"/>
        </w:rPr>
        <w:t>. Each Party shall maintain, or cause to be maintained, records of its activities under this Agreement in sufficient detail and in good scientific manner appropriate for patent and regulatory purposes in accordance with Applicable Laws.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4.02 </w:t>
      </w:r>
      <w:r>
        <w:rPr>
          <w:rFonts w:ascii="Times New Roman;serif" w:hAnsi="Times New Roman;serif"/>
          <w:b/>
          <w:color w:val="000000"/>
          <w:sz w:val="24"/>
          <w:u w:val="single"/>
        </w:rPr>
        <w:t>Conduct of Certain Development Activities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xml:space="preserve">, any clinical trial(s) and other Development studies that are commenced after the Effective Date to support Regulatory Approval of Licensed Products in the Field in the Territory shall be conducted solely by KHK, at [***]. Subject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any clinical trial(s) and other Development studies commenced after the Effective Date to support Regulatory Approval of Licensed Products outside the Field and/or outside the Territory shall be conducted solely by Ardelyx, at Ardelyx’s sole expense.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4.03 </w:t>
      </w:r>
      <w:r>
        <w:rPr>
          <w:rFonts w:ascii="Times New Roman;serif" w:hAnsi="Times New Roman;serif"/>
          <w:b/>
          <w:color w:val="000000"/>
          <w:sz w:val="24"/>
          <w:u w:val="single"/>
        </w:rPr>
        <w:t>Diligence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KHK shall use Commercially Reasonable Efforts at its own cost and expense to carry out its activities under this Agreement to develop (including to seek Regulatory Approval in the Territory), Manufacture (as set forth herein) and Commercialize the Lead Licensed Product in the Territory [***]. KHK shall act reasonably in preparing the Development Plan and Commercialization Plan, and any amendments thereto. For purposes of this </w:t>
      </w:r>
      <w:r>
        <w:rPr>
          <w:rFonts w:ascii="Times New Roman;serif" w:hAnsi="Times New Roman;serif"/>
          <w:b w:val="false"/>
          <w:color w:val="000000"/>
          <w:sz w:val="24"/>
          <w:u w:val="single"/>
        </w:rPr>
        <w:t>Section 4.03(a)</w:t>
      </w:r>
      <w:r>
        <w:rPr>
          <w:color w:val="000000"/>
        </w:rPr>
        <w:t xml:space="preserve"> </w:t>
      </w:r>
      <w:r>
        <w:rPr>
          <w:rFonts w:ascii="Times New Roman;serif" w:hAnsi="Times New Roman;serif"/>
          <w:b w:val="false"/>
          <w:color w:val="000000"/>
          <w:sz w:val="24"/>
        </w:rPr>
        <w:t>the Parties agree that in order to be deemed to have utilized Commercially Reasonable Efforts carrying out its activities under this Agreement, KHK shall, at a minimum, meet the timelines and objectives set forth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 within [***] ([***]) months after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 on or before [***] ([***]) months following [***], provided that [***] (A) [***] and (B)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 within [***] ([***]) months after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 within [***] ([***]) months after [***], as long as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 such that [***] of which [***] in the Territory within [***] ([***]) months [***];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 such that it [***] in the Territory for [***] ([***]) years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If Ardelyx believes that KHK may be in material breach of its obligations under </w:t>
      </w:r>
      <w:r>
        <w:rPr>
          <w:rFonts w:ascii="Times New Roman;serif" w:hAnsi="Times New Roman;serif"/>
          <w:b w:val="false"/>
          <w:color w:val="000000"/>
          <w:sz w:val="24"/>
          <w:u w:val="single"/>
        </w:rPr>
        <w:t>Section 4.03(a)</w:t>
      </w:r>
      <w:r>
        <w:rPr>
          <w:rFonts w:ascii="Times New Roman;serif" w:hAnsi="Times New Roman;serif"/>
          <w:b w:val="false"/>
          <w:color w:val="000000"/>
          <w:sz w:val="24"/>
        </w:rPr>
        <w:t xml:space="preserve">, then Ardelyx may exercise its rights under </w:t>
      </w:r>
      <w:r>
        <w:rPr>
          <w:rFonts w:ascii="Times New Roman;serif" w:hAnsi="Times New Roman;serif"/>
          <w:b w:val="false"/>
          <w:color w:val="000000"/>
          <w:sz w:val="24"/>
          <w:u w:val="single"/>
        </w:rPr>
        <w:t>Section 13.02(a)</w:t>
      </w:r>
      <w:r>
        <w:rPr>
          <w:color w:val="000000"/>
        </w:rPr>
        <w:t xml:space="preserve"> </w:t>
      </w:r>
      <w:r>
        <w:rPr>
          <w:rFonts w:ascii="Times New Roman;serif" w:hAnsi="Times New Roman;serif"/>
          <w:b w:val="false"/>
          <w:color w:val="000000"/>
          <w:sz w:val="24"/>
        </w:rPr>
        <w:t xml:space="preserve">or proceed directly to exercise its rights under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4.04 </w:t>
      </w:r>
      <w:r>
        <w:rPr>
          <w:rFonts w:ascii="Times New Roman;serif" w:hAnsi="Times New Roman;serif"/>
          <w:b/>
          <w:color w:val="000000"/>
          <w:sz w:val="24"/>
          <w:u w:val="single"/>
        </w:rPr>
        <w:t>Reports of Development Activities</w:t>
      </w:r>
      <w:r>
        <w:rPr>
          <w:rFonts w:ascii="Times New Roman;serif" w:hAnsi="Times New Roman;serif"/>
          <w:b w:val="false"/>
          <w:color w:val="000000"/>
          <w:sz w:val="24"/>
        </w:rPr>
        <w:t>. KHK shall report on the Development activities of the Licensed Product undertaken by it in accordance with the Development Plan at each meeting of the SC or at such other intervals as may be set forth in the Development Plan. The Development reports shall include a reasonably detailed summary of all results, data and material inventions, if any, obtained from such Development activities. In addition, KHK shall, at its own expense, make appropriate scientific or regulatory personnel available to Ardelyx, either by telephone or in person as the Parties may mutually agree, as reasonably required to keep Ardelyx informed of Development activities conducted by KHK.</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4.05 </w:t>
      </w:r>
      <w:r>
        <w:rPr>
          <w:rFonts w:ascii="Times New Roman;serif" w:hAnsi="Times New Roman;serif"/>
          <w:b/>
          <w:color w:val="000000"/>
          <w:sz w:val="24"/>
          <w:u w:val="single"/>
        </w:rPr>
        <w:t>Regulatory Matters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(a) KHK shall have the responsibility of preparing, filing and submitting all regulatory filings related to the Licensed Compounds and Licensed Products with the Regulatory Health Authority in the Territory for any indication in the Field pursued by KHK, including all applications for Regulatory Approval. Ardelyx shall provide [***] Development Data relating to the Manufacturing of the Licensed Compound and Licensed Product [***]. [***] shall be responsible for filing a Drug Master File, or any similar document, unless KHK is required in its Drug Approval Application to provide Information relating to the Manufacture of the Licensed Compound and Licensed Product [***], and [***] to provide such information to KHK. In such case, [***], shall file a Drug Master File, or any similar document to support KHK’s Drug Approval Application. KHK shall own any and all applications for Regulatory Approvals, the Regulatory Approvals, and other regulatory filings related to the Licensed Compounds and Licensed Products, which shall be held in the name of KHK. Such regulatory filings shall include, in the format required by the applicable Regulatory Health Authorities, the data and information required to be submitted to such Regulatory Health Authorities for Regulatory Approval of the Licensed Products for the indication in the Field pursued by KHK in the Territory. KHK shall, subject to the conditions and within the limitations set forth in </w:t>
      </w:r>
      <w:r>
        <w:rPr>
          <w:rFonts w:ascii="Times New Roman;serif" w:hAnsi="Times New Roman;serif"/>
          <w:b w:val="false"/>
          <w:color w:val="000000"/>
          <w:sz w:val="24"/>
          <w:u w:val="single"/>
        </w:rPr>
        <w:t>Section 4.03(a)</w:t>
      </w:r>
      <w:r>
        <w:rPr>
          <w:rFonts w:ascii="Times New Roman;serif" w:hAnsi="Times New Roman;serif"/>
          <w:b w:val="false"/>
          <w:color w:val="000000"/>
          <w:sz w:val="24"/>
        </w:rPr>
        <w:t xml:space="preserve">, use Commercially Reasonable Efforts to obtain Regulatory Approval for Licensed Products [***] in the Territory. Upon request by KHK, Ardelyx shall use Commercially Reasonable Efforts to assist KHK in seeking and obtaining Regulatory Approvals for the Licensed Products, including without limitation: (i) [***]; (ii) [***]; (iii) [***]; and (iv) [***]. Notwithstanding the above, Ardelyx’s obligation in (iv) above, shall be limited to [***], and within [***] ([***]) days following the [***], KHK shall provide Ardelyx with [***]. [***]. As set forth in </w:t>
      </w:r>
      <w:r>
        <w:rPr>
          <w:rFonts w:ascii="Times New Roman;serif" w:hAnsi="Times New Roman;serif"/>
          <w:b w:val="false"/>
          <w:color w:val="000000"/>
          <w:sz w:val="24"/>
          <w:u w:val="single"/>
        </w:rPr>
        <w:t>Section 2.04(f)</w:t>
      </w:r>
      <w:r>
        <w:rPr>
          <w:rFonts w:ascii="Times New Roman;serif" w:hAnsi="Times New Roman;serif"/>
          <w:b w:val="false"/>
          <w:color w:val="000000"/>
          <w:sz w:val="24"/>
        </w:rPr>
        <w:t xml:space="preserve">, KHK shall (i) [***], and (ii) in the event that Ardelyx is required to spend any FTE hours in supporting KHK under this </w:t>
      </w:r>
      <w:r>
        <w:rPr>
          <w:rFonts w:ascii="Times New Roman;serif" w:hAnsi="Times New Roman;serif"/>
          <w:b w:val="false"/>
          <w:color w:val="000000"/>
          <w:sz w:val="24"/>
          <w:u w:val="single"/>
        </w:rPr>
        <w:t>Section 4.05(a)</w:t>
      </w:r>
      <w:r>
        <w:rPr>
          <w:color w:val="000000"/>
        </w:rPr>
        <w:t xml:space="preserve"> </w:t>
      </w:r>
      <w:r>
        <w:rPr>
          <w:rFonts w:ascii="Times New Roman;serif" w:hAnsi="Times New Roman;serif"/>
          <w:b w:val="false"/>
          <w:color w:val="000000"/>
          <w:sz w:val="24"/>
        </w:rPr>
        <w:t xml:space="preserve">[***], KHK shall reimburse Ardelyx for the additional FTE hours spent by Ardelyx under this </w:t>
      </w:r>
      <w:r>
        <w:rPr>
          <w:rFonts w:ascii="Times New Roman;serif" w:hAnsi="Times New Roman;serif"/>
          <w:b w:val="false"/>
          <w:color w:val="000000"/>
          <w:sz w:val="24"/>
          <w:u w:val="single"/>
        </w:rPr>
        <w:t>Section 4.05(a)</w:t>
      </w:r>
      <w:r>
        <w:rPr>
          <w:color w:val="000000"/>
        </w:rPr>
        <w:t xml:space="preserve"> </w:t>
      </w:r>
      <w:r>
        <w:rPr>
          <w:rFonts w:ascii="Times New Roman;serif" w:hAnsi="Times New Roman;serif"/>
          <w:b w:val="false"/>
          <w:color w:val="000000"/>
          <w:sz w:val="24"/>
        </w:rPr>
        <w:t>at a rate of US $[***] per FTE and with an hourly FTE basis of $US [***] per hour).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During the Term, KHK shall report to Ardelyx regarding the status of each pending or proposed IND equivalent application or Drug Approval Application covering a Licensed Product in the Territory.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KHK shall notify Ardelyx of any request for [***] and KHK shall allow [***]. The foregoing shall apply with respect to [***]. KHK shall as soon as reasonably practicable furnish Ardelyx with copies of all substantive correspondence KHK has had with any Regulatory Health Authority, and contact reports concerning substantive conversations or substantive meetings with any Regulatory Health Authority, in each case relating to any such IND equivalent or Drug Approval Application.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4.06 </w:t>
      </w:r>
      <w:r>
        <w:rPr>
          <w:rFonts w:ascii="Times New Roman;serif" w:hAnsi="Times New Roman;serif"/>
          <w:b/>
          <w:color w:val="000000"/>
          <w:sz w:val="24"/>
          <w:u w:val="single"/>
        </w:rPr>
        <w:t>Adverse Event Reporting and Product Recall</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 Each Party agrees to provide the other Party with the necessary safety information required by Regulatory Health Authorities to comply with Applicable Laws. Ardelyx shall hold the safety database for the Licensed Compounds and the Licensed Products and KHK shall provide safety information as required by Applicable Laws, in a timely manner. As promptly as possible following the Effective Date, but no later than the commencement of the first clinical trial by KHK in the Territory, the Parties shall enter into a detailed safety agreement (the “</w:t>
      </w:r>
      <w:r>
        <w:rPr>
          <w:rFonts w:ascii="Times New Roman;serif" w:hAnsi="Times New Roman;serif"/>
          <w:b/>
          <w:color w:val="000000"/>
          <w:sz w:val="24"/>
        </w:rPr>
        <w:t>Safety Agreement</w:t>
      </w:r>
      <w:r>
        <w:rPr>
          <w:color w:val="000000"/>
        </w:rPr>
        <w:t>”</w:t>
      </w:r>
      <w:r>
        <w:rPr>
          <w:rFonts w:ascii="Times New Roman;serif" w:hAnsi="Times New Roman;serif"/>
          <w:b w:val="false"/>
          <w:color w:val="000000"/>
          <w:sz w:val="24"/>
        </w:rPr>
        <w: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governing, among other things, appropriate adverse event reporting procedures relating to Licensed Products and reflecting the provisions set forth above in this </w:t>
      </w:r>
      <w:r>
        <w:rPr>
          <w:rFonts w:ascii="Times New Roman;serif" w:hAnsi="Times New Roman;serif"/>
          <w:b w:val="false"/>
          <w:color w:val="000000"/>
          <w:sz w:val="24"/>
          <w:u w:val="single"/>
        </w:rPr>
        <w:t>Section 4.06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that any government agency or authority issues or requests a recall or takes similar action in connection with the Licensed Compounds or the Licensed Products, or in the event either Party determines that an event, incident or circumstance has occurred that may result in the need for a recall or market withdrawal, the Party notified of or desiring such recall or market withdrawal shall promptly advise the other Party thereof.</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4.07 </w:t>
      </w:r>
      <w:r>
        <w:rPr>
          <w:rFonts w:ascii="Times New Roman;serif" w:hAnsi="Times New Roman;serif"/>
          <w:b/>
          <w:color w:val="000000"/>
          <w:sz w:val="24"/>
          <w:u w:val="single"/>
        </w:rPr>
        <w:t>General Provisions Regarding Commercialization</w:t>
      </w:r>
      <w:r>
        <w:rPr>
          <w:rFonts w:ascii="Times New Roman;serif" w:hAnsi="Times New Roman;serif"/>
          <w:b w:val="false"/>
          <w:color w:val="000000"/>
          <w:sz w:val="24"/>
        </w:rPr>
        <w:t xml:space="preserve">. KHK shall control and perform, itself or through its Affiliates, Sublicensees or Distributors, the Commercialization of all Licensed Products in the Field throughout the Territory and, as a result, shall, subject to the conditions and within the limitations set forth in </w:t>
      </w:r>
      <w:r>
        <w:rPr>
          <w:rFonts w:ascii="Times New Roman;serif" w:hAnsi="Times New Roman;serif"/>
          <w:b w:val="false"/>
          <w:color w:val="000000"/>
          <w:sz w:val="24"/>
          <w:u w:val="single"/>
        </w:rPr>
        <w:t>Section 4.03(a)</w:t>
      </w:r>
      <w:r>
        <w:rPr>
          <w:rFonts w:ascii="Times New Roman;serif" w:hAnsi="Times New Roman;serif"/>
          <w:b w:val="false"/>
          <w:color w:val="000000"/>
          <w:sz w:val="24"/>
        </w:rPr>
        <w:t>, be obligated and responsible for using Commercially Reasonable Efforts to carry out each Commercialization Plan. For the avoidance of doubt KHK (or, as the case may be, its Affiliates or Sublicensees) shall book all of their sales of each Licensed Product, coordinate the Manufacture and supply of all Licensed Products (but not Licensed Compounds) required for Commercialization, invoice Third Parties (including Distributors) that purchase Licensed Products from KHK (or its Affiliates or Sublicensees), and collect payment for all Licensed Products sold by KHK (or its Affiliates or Sublicensees). Except to the extent otherwise described in this Agreement, KHK shall be solely responsible for, and shall bear all costs relating to, the Commercialization of the Licensed Products in the Territory. With respect to Commercialization of Licensed Products, such Commercialization shall be conducted independently of Ardelyx by KHK, its Affiliates and Sublicenses.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MANUFACTURE AND SUPPLY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5.01 </w:t>
      </w:r>
      <w:r>
        <w:rPr>
          <w:rFonts w:ascii="Times New Roman;serif" w:hAnsi="Times New Roman;serif"/>
          <w:b/>
          <w:color w:val="000000"/>
          <w:sz w:val="24"/>
          <w:u w:val="single"/>
        </w:rPr>
        <w:t>Supply</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 Ardelyx shall be responsible for supplying the Lead Licensed Compound for use in the Development and Regulatory Approval of the Licensed Products under this Agreement (the “</w:t>
      </w:r>
      <w:r>
        <w:rPr>
          <w:rFonts w:ascii="Times New Roman;serif" w:hAnsi="Times New Roman;serif"/>
          <w:b/>
          <w:color w:val="000000"/>
          <w:sz w:val="24"/>
        </w:rPr>
        <w:t>Development API Supply</w:t>
      </w:r>
      <w:r>
        <w:rPr>
          <w:color w:val="000000"/>
        </w:rPr>
        <w:t>”</w:t>
      </w:r>
      <w:r>
        <w:rPr>
          <w:rFonts w:ascii="Times New Roman;serif" w:hAnsi="Times New Roman;serif"/>
          <w:b w:val="false"/>
          <w:color w:val="000000"/>
          <w:sz w:val="24"/>
        </w:rPr>
        <w:t xml:space="preserve">) as well as Materials. The Parties have agreed to the quantities of and timing for delivery of initial quantities of Development API Supply and Materials as described on </w:t>
      </w:r>
      <w:r>
        <w:rPr>
          <w:rFonts w:ascii="Times New Roman;serif" w:hAnsi="Times New Roman;serif"/>
          <w:b/>
          <w:color w:val="000000"/>
          <w:sz w:val="24"/>
        </w:rPr>
        <w:t>Exhibit E</w:t>
      </w:r>
      <w:r>
        <w:rPr>
          <w:rFonts w:ascii="Times New Roman;serif" w:hAnsi="Times New Roman;serif"/>
          <w:b w:val="false"/>
          <w:color w:val="000000"/>
          <w:sz w:val="24"/>
        </w:rPr>
        <w:t xml:space="preserve">. Ardelyx shall also be responsible for supplying the Lead Licensed Product and placebos for KHK’s Development activities hereunder, and the Parties have agreed to the quantity and delivery time as described in </w:t>
      </w:r>
      <w:r>
        <w:rPr>
          <w:rFonts w:ascii="Times New Roman;serif" w:hAnsi="Times New Roman;serif"/>
          <w:b/>
          <w:color w:val="000000"/>
          <w:sz w:val="24"/>
        </w:rPr>
        <w:t>Exhibit F</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Development Product Supply</w:t>
      </w:r>
      <w:r>
        <w:rPr>
          <w:color w:val="000000"/>
        </w:rPr>
        <w:t>”</w:t>
      </w:r>
      <w:r>
        <w:rPr>
          <w:rFonts w:ascii="Times New Roman;serif" w:hAnsi="Times New Roman;serif"/>
          <w:b w:val="false"/>
          <w:color w:val="000000"/>
          <w:sz w:val="24"/>
        </w:rPr>
        <w:t>). The Parties acknowledge that KHK may request changes to the timing and quantities set forth on Exhibit E and Exhibit F from time to time following the consultations with PMDA, and Ardelyx shall use Commercially Reasonable Effort to comply with such changes in Development API Supply or Development Product Supply. All Development API Supply, Materials and Development Product Supply delivered to KHK for Development purposes prior to such time as the first Licensed Product has received Regulatory Approval shall be at the [***] Price (but with regard to the Materials at the Transfer Price as set out in Section 1.122 (iii)). Ardelyx shall use Commercially Reasonable Efforts to deliver the Development API Supply and the Development Product Supply required by KHK and agreed to by Ardelyx. KHK shall use Commercially Reasonable Efforts to Develop a process for the Manufacture of the Lead Licensed Product and to scale up or scale down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that process to Manufacture and supply the Lead Licensed Product in such volumes as reasonably take into account the anticipated demand for the Lead Licensed Product for use in the Field throughout the Territory. KHK shall use Commercially Reasonable Efforts to make necessary filings to obtain, or to cause a Third Party Manufacturer of the Lead Licensed Product to make necessary filings to obtain, Regulatory Approval for the Manufacture of the Lead Licensed Product.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Ardelyx shall be responsible for: (i) supplying the Lead Licensed Compound for use in the Commercialization of the Licensed Products under this Agreement (the “</w:t>
      </w:r>
      <w:r>
        <w:rPr>
          <w:rFonts w:ascii="Times New Roman;serif" w:hAnsi="Times New Roman;serif"/>
          <w:b/>
          <w:color w:val="000000"/>
          <w:sz w:val="24"/>
        </w:rPr>
        <w:t>Commercial API Supply</w:t>
      </w:r>
      <w:r>
        <w:rPr>
          <w:color w:val="000000"/>
        </w:rPr>
        <w:t>”</w:t>
      </w:r>
      <w:r>
        <w:rPr>
          <w:rFonts w:ascii="Times New Roman;serif" w:hAnsi="Times New Roman;serif"/>
          <w:b w:val="false"/>
          <w:color w:val="000000"/>
          <w:sz w:val="24"/>
        </w:rPr>
        <w:t>); and (ii) [***]. Ardelyx shall continue to supply Lead Licensed Product to KHK for Commercialization until such time as KHK assumes responsibility for such supply hereunder (“</w:t>
      </w:r>
      <w:r>
        <w:rPr>
          <w:rFonts w:ascii="Times New Roman;serif" w:hAnsi="Times New Roman;serif"/>
          <w:b/>
          <w:color w:val="000000"/>
          <w:sz w:val="24"/>
        </w:rPr>
        <w:t>Temporary Commercial Product Supply</w:t>
      </w:r>
      <w:r>
        <w:rPr>
          <w:color w:val="000000"/>
        </w:rPr>
        <w:t>”</w:t>
      </w:r>
      <w:r>
        <w:rPr>
          <w:rFonts w:ascii="Times New Roman;serif" w:hAnsi="Times New Roman;serif"/>
          <w:b w:val="false"/>
          <w:color w:val="000000"/>
          <w:sz w:val="24"/>
        </w:rPr>
        <w:t>). Commercial API Supply and Temporary Commercial Product Supply shall be delivered to KHK at the [***] Price. Additionally, any Development API Supply and Development Product Supply delivered to KHK for Development that is to be conducted after the Regulatory Approval has been received for the first Licensed Product shall be delivered to KHK at the [***]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Parties agree and acknowledge that a separate manufacturing and supply agreement (“</w:t>
      </w:r>
      <w:r>
        <w:rPr>
          <w:rFonts w:ascii="Times New Roman;serif" w:hAnsi="Times New Roman;serif"/>
          <w:b/>
          <w:color w:val="000000"/>
          <w:sz w:val="24"/>
        </w:rPr>
        <w:t>MSA</w:t>
      </w:r>
      <w:r>
        <w:rPr>
          <w:color w:val="000000"/>
        </w:rPr>
        <w:t>”</w:t>
      </w:r>
      <w:r>
        <w:rPr>
          <w:rFonts w:ascii="Times New Roman;serif" w:hAnsi="Times New Roman;serif"/>
          <w:b w:val="false"/>
          <w:color w:val="000000"/>
          <w:sz w:val="24"/>
        </w:rPr>
        <w:t>) is required to be entered into between the Parties to further govern the supply obligations undertaken by Ardelyx hereunder. The Parties shall also enter into a separate Quality Assurance Agreement (“</w:t>
      </w:r>
      <w:r>
        <w:rPr>
          <w:rFonts w:ascii="Times New Roman;serif" w:hAnsi="Times New Roman;serif"/>
          <w:b/>
          <w:color w:val="000000"/>
          <w:sz w:val="24"/>
        </w:rPr>
        <w:t>QAA</w:t>
      </w:r>
      <w:r>
        <w:rPr>
          <w:color w:val="000000"/>
        </w:rPr>
        <w:t>”</w:t>
      </w:r>
      <w:r>
        <w:rPr>
          <w:rFonts w:ascii="Times New Roman;serif" w:hAnsi="Times New Roman;serif"/>
          <w:b w:val="false"/>
          <w:color w:val="000000"/>
          <w:sz w:val="24"/>
        </w:rPr>
        <w:t>) that shall define the manufacturing and supply quality responsibilities of the Parties for the Lead Licensed Compound and the Lead Licensed Product. Notwithstanding foregoing, if Ardelyx has a contract manufacturing organization Manufacture the Lead Licensed Compound or the Lead Licensed Product, Ardelyx shall cause such contract manufacturing organization to be a party to the QAA if required by Applicable Law. The MSA and the QAA shall be negotiated in good faith between the Parties and shall be executed as promptly as possible following the Effective Date. The Parties’ objective is that the MSA and the QAA for Development API Supply and Development Product Supply shall be entered into as soon as possible and within [***] ([***]) days of the Effective Date. The MSA and QAA for Commercial API Supply and Temporary Commercial Product Supply, if needed, shall be entered into at least [***] ([***]) month prior to the date of the expected Regulatory Approval of the Licensed Product in the Territory.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When KHK’s obligation to pay a royalty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expires with respect to a Licensed Product, unless KHK has exercised the Manufacturing Option, at the option of [***], one of the following shall occur: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5.02 </w:t>
      </w:r>
      <w:r>
        <w:rPr>
          <w:rFonts w:ascii="Times New Roman;serif" w:hAnsi="Times New Roman;serif"/>
          <w:b/>
          <w:color w:val="000000"/>
          <w:sz w:val="24"/>
          <w:u w:val="single"/>
        </w:rPr>
        <w:t>Development Work</w:t>
      </w:r>
      <w:r>
        <w:rPr>
          <w:rFonts w:ascii="Times New Roman;serif" w:hAnsi="Times New Roman;serif"/>
          <w:b w:val="false"/>
          <w:color w:val="000000"/>
          <w:sz w:val="24"/>
        </w:rPr>
        <w:t>. In the event that Ardelyx is required to engage in any Development activities [***] for the purposes of (i) [***], (ii) [***], and (iii) [***], then in any such event KHK shall reimburse Ardelyx for [***] (calculated on an FTE basis of US $[***] per</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FTE and with an hourly FTE basis of $US [***] per hour) and [***] incurred by Ardelyx in connection with completing such Development work.</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5.03 </w:t>
      </w:r>
      <w:r>
        <w:rPr>
          <w:rFonts w:ascii="Times New Roman;serif" w:hAnsi="Times New Roman;serif"/>
          <w:b/>
          <w:color w:val="000000"/>
          <w:sz w:val="24"/>
          <w:u w:val="single"/>
        </w:rPr>
        <w:t>Technology Transfer</w:t>
      </w:r>
      <w:r>
        <w:rPr>
          <w:rFonts w:ascii="Times New Roman;serif" w:hAnsi="Times New Roman;serif"/>
          <w:b w:val="false"/>
          <w:color w:val="000000"/>
          <w:sz w:val="24"/>
        </w:rPr>
        <w:t xml:space="preserve">. The SC shall coordinate the transfer of all Licensed Know-How, Ardelyx [***] Know-How, and Ardelyx Development Data that have not previously been delivered to KHK and are necessary and/or useful to Manufacture the Lead Licensed Product as currently being Manufactured. Such transfer shall take place in a manner and at such time as not to disrupt the manufacture and delivery of the Development API Supply or the Development Product Supply in satisfaction of the obligations set forth in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Exhibit F</w:t>
      </w:r>
      <w:r>
        <w:rPr>
          <w:rFonts w:ascii="Times New Roman;serif" w:hAnsi="Times New Roman;serif"/>
          <w:b w:val="false"/>
          <w:color w:val="000000"/>
          <w:sz w:val="24"/>
        </w:rPr>
        <w:t>.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5.04 </w:t>
      </w:r>
      <w:r>
        <w:rPr>
          <w:rFonts w:ascii="Times New Roman;serif" w:hAnsi="Times New Roman;serif"/>
          <w:b/>
          <w:color w:val="000000"/>
          <w:sz w:val="24"/>
          <w:u w:val="single"/>
        </w:rPr>
        <w:t>Manufacturing Option</w:t>
      </w:r>
      <w:r>
        <w:rPr>
          <w:rFonts w:ascii="Times New Roman;serif" w:hAnsi="Times New Roman;serif"/>
          <w:b w:val="false"/>
          <w:color w:val="000000"/>
          <w:sz w:val="24"/>
        </w:rPr>
        <w:t>. Notwithstanding anything to the contrary set forth herein, KHK shall have the right to exercise its option to assume responsibility for the manufacture of the Lead Licensed Compound (“</w:t>
      </w:r>
      <w:r>
        <w:rPr>
          <w:rFonts w:ascii="Times New Roman;serif" w:hAnsi="Times New Roman;serif"/>
          <w:b/>
          <w:color w:val="000000"/>
          <w:sz w:val="24"/>
        </w:rPr>
        <w:t>Manufacturing Option</w:t>
      </w:r>
      <w:r>
        <w:rPr>
          <w:color w:val="000000"/>
        </w:rPr>
        <w:t>”</w:t>
      </w:r>
      <w:r>
        <w:rPr>
          <w:rFonts w:ascii="Times New Roman;serif" w:hAnsi="Times New Roman;serif"/>
          <w:b w:val="false"/>
          <w:color w:val="000000"/>
          <w:sz w:val="24"/>
        </w:rPr>
        <w:t>) in the event that: (i) [***]; (ii) [***]; or (iii) [***]. In the event that KHK exercises the Manufacturing Option, Ardelyx shall continue to supply, and KHK shall continue to purchase, all of KHK’s requirement for the Commercialization of Lead Licensed Product for a period of [***] ([***]) years. Thereafter, Ardelyx shall no longer be obligated to supply Lead Licensed Compound to KHK and KHK shall no longer be obligated to purchase Lead Licensed Compound from Ardelyx.</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5.05 </w:t>
      </w:r>
      <w:r>
        <w:rPr>
          <w:rFonts w:ascii="Times New Roman;serif" w:hAnsi="Times New Roman;serif"/>
          <w:b/>
          <w:color w:val="000000"/>
          <w:sz w:val="24"/>
          <w:u w:val="single"/>
        </w:rPr>
        <w:t>Technology Transfer upon Exercise of the Manufacturing Option</w:t>
      </w:r>
      <w:r>
        <w:rPr>
          <w:rFonts w:ascii="Times New Roman;serif" w:hAnsi="Times New Roman;serif"/>
          <w:b w:val="false"/>
          <w:color w:val="000000"/>
          <w:sz w:val="24"/>
        </w:rPr>
        <w:t xml:space="preserve">. In the event that KHK exercises the Manufacturing Option set forth in </w:t>
      </w:r>
      <w:r>
        <w:rPr>
          <w:rFonts w:ascii="Times New Roman;serif" w:hAnsi="Times New Roman;serif"/>
          <w:b w:val="false"/>
          <w:color w:val="000000"/>
          <w:sz w:val="24"/>
          <w:u w:val="single"/>
        </w:rPr>
        <w:t>Section 5.04</w:t>
      </w:r>
      <w:r>
        <w:rPr>
          <w:rFonts w:ascii="Times New Roman;serif" w:hAnsi="Times New Roman;serif"/>
          <w:b w:val="false"/>
          <w:color w:val="000000"/>
          <w:sz w:val="24"/>
        </w:rPr>
        <w:t>, Ardelyx shall promptly transfer to KHK all Licensed Know-How, Ardelyx [***] Know-How, and Ardelyx Development Data, in each case to the extent not previously provided to KHK, [***] for KHK, its Affiliates or Sublicensees or their contract manufacturers to Manufacture the Licensed Compound as being Manufactured at the time of the exercise of the Manufacturing Option (the “</w:t>
      </w:r>
      <w:r>
        <w:rPr>
          <w:rFonts w:ascii="Times New Roman;serif" w:hAnsi="Times New Roman;serif"/>
          <w:b/>
          <w:color w:val="000000"/>
          <w:sz w:val="24"/>
        </w:rPr>
        <w:t>API Technology Transfer</w:t>
      </w:r>
      <w:r>
        <w:rPr>
          <w:color w:val="000000"/>
        </w:rPr>
        <w:t>”</w:t>
      </w:r>
      <w:r>
        <w:rPr>
          <w:rFonts w:ascii="Times New Roman;serif" w:hAnsi="Times New Roman;serif"/>
          <w:b w:val="false"/>
          <w:color w:val="000000"/>
          <w:sz w:val="24"/>
        </w:rPr>
        <w:t>). [***] In addition, Ardelyx shall provide KHK with reasonable assistance to facilitate the practice of such Manufacturing rights by KHK, its Affiliate or its Sublicensee, including making regulatory filings available to KHK and providing reasonable technical and other assistance in order to enable KHK to practice the foregoing Manufacturing rights in accordance with Applicable Law. In the event that Ardelyx and its contract manufacturing organizations are required to continue to provide KHK, its Affiliates or its Sublicensees with reasonable assistance to facilitate the practice of such Manufacturing rights after the API Technology Transfer is complete, KHK shall reimburse Ardelyx for [***] at an FTE rate of US $[***] per FTE and with an hourly FTE basis of $US [***] per hour).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5.06 </w:t>
      </w:r>
      <w:r>
        <w:rPr>
          <w:rFonts w:ascii="Times New Roman;serif" w:hAnsi="Times New Roman;serif"/>
          <w:b/>
          <w:color w:val="000000"/>
          <w:sz w:val="24"/>
          <w:u w:val="single"/>
        </w:rPr>
        <w:t>Other Supply</w:t>
      </w:r>
      <w:r>
        <w:rPr>
          <w:rFonts w:ascii="Times New Roman;serif" w:hAnsi="Times New Roman;serif"/>
          <w:b w:val="false"/>
          <w:color w:val="000000"/>
          <w:sz w:val="24"/>
        </w:rPr>
        <w:t xml:space="preserve">. Notwithstanding anything to the contrary herein, KHK shall not supply Licensed Compound or Licensed Products to any Third Party for any Third Party use, other than to Develop and Commercialize Licensed Products in compliance with this Agreement. In addition, KHK shall not license any Third Party (other than a Sublicensee or other sublicensee consistent with the terms and conditions of this Agreement) to make or have made Licensed Compounds or Licensed Products, except to carry out the provisions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5.07 </w:t>
      </w:r>
      <w:r>
        <w:rPr>
          <w:rFonts w:ascii="Times New Roman;serif" w:hAnsi="Times New Roman;serif"/>
          <w:b/>
          <w:color w:val="000000"/>
          <w:sz w:val="24"/>
          <w:u w:val="single"/>
        </w:rPr>
        <w:t>Supply of Backup Licensed Compound</w:t>
      </w:r>
      <w:r>
        <w:rPr>
          <w:rFonts w:ascii="Times New Roman;serif" w:hAnsi="Times New Roman;serif"/>
          <w:b w:val="false"/>
          <w:color w:val="000000"/>
          <w:sz w:val="24"/>
        </w:rPr>
        <w:t>. In the event that KHK Exploits a Licensed Product which contains a Backup Licensed Compound in the Territory, both Parties shall discuss the supply of such Licensed Product or Backup Licensed Compound in good faith. If Ardelyx decides not to supply such Licensed Product or Backup Licensed Compound to the Territory, KHK shall be entitled to assume responsibility for the Manufacture of such Licensed</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Product and Backup Licensed Compound. In the event that Ardelyx has commenced any Manufacturing efforts with respect to such Licensed Product or Backup Compound, Ardelyx shall conduct Technology Transfer to KHK in accordance with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5.05</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CONSIDERATION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6.01 </w:t>
      </w:r>
      <w:r>
        <w:rPr>
          <w:rFonts w:ascii="Times New Roman;serif" w:hAnsi="Times New Roman;serif"/>
          <w:b/>
          <w:color w:val="000000"/>
          <w:sz w:val="24"/>
          <w:u w:val="single"/>
        </w:rPr>
        <w:t>Upfront</w:t>
      </w:r>
      <w:r>
        <w:rPr>
          <w:rFonts w:ascii="Times New Roman;serif" w:hAnsi="Times New Roman;serif"/>
          <w:b w:val="false"/>
          <w:color w:val="000000"/>
          <w:sz w:val="24"/>
        </w:rPr>
        <w:t>. As payment for the rights and licenses granted to KHK by Ardelyx under this Agreement, KHK shall pay to Ardelyx a nonrefundable one-time upfront payment of 30 million U.S. dollars (U.S. $30,000,000) within [***] ([***]) days after the Effective Date. The upfront payment shall not be creditable against any other payments KHK is obligated to make to Ardelyx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6.02 </w:t>
      </w:r>
      <w:r>
        <w:rPr>
          <w:rFonts w:ascii="Times New Roman;serif" w:hAnsi="Times New Roman;serif"/>
          <w:b/>
          <w:color w:val="000000"/>
          <w:sz w:val="24"/>
          <w:u w:val="single"/>
        </w:rPr>
        <w:t>Milestone Payments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KHK shall make the following one-time, nonrefundable milestone payments to Ardelyx within [***] ([***]) days following the first achievement of each of the following milestone events for a Licensed Product, subject to the limitations and additional provisions set forth below in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tbl>
      <w:tblPr>
        <w:tblW w:w="7365" w:type="dxa"/>
        <w:jc w:val="left"/>
        <w:tblInd w:w="0" w:type="dxa"/>
        <w:tblLayout w:type="fixed"/>
        <w:tblCellMar>
          <w:top w:w="28" w:type="dxa"/>
          <w:left w:w="28" w:type="dxa"/>
          <w:bottom w:w="28" w:type="dxa"/>
          <w:right w:w="28" w:type="dxa"/>
        </w:tblCellMar>
      </w:tblPr>
      <w:tblGrid>
        <w:gridCol w:w="1499"/>
        <w:gridCol w:w="1318"/>
        <w:gridCol w:w="1322"/>
        <w:gridCol w:w="360"/>
        <w:gridCol w:w="360"/>
        <w:gridCol w:w="361"/>
        <w:gridCol w:w="627"/>
        <w:gridCol w:w="627"/>
        <w:gridCol w:w="891"/>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Milestone Event for a Licensed Product</w:t>
            </w:r>
          </w:p>
        </w:tc>
        <w:tc>
          <w:tcPr>
            <w:tcW w:w="1081"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Milestone</w:t>
              <w:br/>
              <w:t xml:space="preserve">Number </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Milestone Payment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USD [***]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c>
          <w:tcPr>
            <w:tcW w:w="2145"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single" w:sz="8" w:space="0" w:color="000000"/>
              <w:left w:val="single" w:sz="8" w:space="0" w:color="000000"/>
              <w:bottom w:val="single" w:sz="8" w:space="0" w:color="000000"/>
            </w:tcBorders>
            <w:tcMar>
              <w:top w:w="3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c>
          <w:tcPr>
            <w:tcW w:w="2145" w:type="dxa"/>
            <w:gridSpan w:val="3"/>
            <w:tcBorders>
              <w:top w:val="single" w:sz="8" w:space="0" w:color="000000"/>
              <w:left w:val="single" w:sz="8" w:space="0" w:color="000000"/>
              <w:bottom w:val="single" w:sz="8" w:space="0" w:color="000000"/>
              <w:right w:val="single" w:sz="8" w:space="0" w:color="000000"/>
            </w:tcBorders>
            <w:tcMar>
              <w:top w:w="30" w:type="dxa"/>
              <w:left w:w="49"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USD [***]</w:t>
            </w:r>
          </w:p>
        </w:tc>
      </w:tr>
    </w:tbl>
    <w:p>
      <w:pPr>
        <w:pStyle w:val="TextBody"/>
        <w:bidi w:val="0"/>
        <w:spacing w:lineRule="auto" w:line="288" w:before="0" w:after="240"/>
        <w:jc w:val="both"/>
        <w:rPr/>
      </w:pPr>
      <w:r>
        <w:rPr>
          <w:rFonts w:ascii="Times New Roman;serif" w:hAnsi="Times New Roman;serif"/>
          <w:b w:val="false"/>
          <w:color w:val="000000"/>
          <w:sz w:val="24"/>
        </w:rPr>
        <w:t xml:space="preserve">The milestones for the [***] (Milestone Number [***]) shall not apply to the [***] if [***]. In such case, the [***] shall trigger Milestone Numbers [***], and the next indication pursued by KHK that is not subject to exceptions set forth herein shall trigger Milestone Numbers [***]). With respect to [***], Milestone Numbers [***]) shall not apply if (i) [***], or (ii) [***], or (iii) [***]. For clarity, Milestones [***] shall each be paid once before the obligation to pay milestones under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expires, regardless of [***] from the milestone obligations.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With respect to the milestones set forth in </w:t>
      </w:r>
      <w:r>
        <w:rPr>
          <w:rFonts w:ascii="Times New Roman;serif" w:hAnsi="Times New Roman;serif"/>
          <w:b w:val="false"/>
          <w:color w:val="000000"/>
          <w:sz w:val="24"/>
          <w:u w:val="single"/>
        </w:rPr>
        <w:t>Section 6.02(a)</w:t>
      </w:r>
      <w:r>
        <w:rPr>
          <w:rFonts w:ascii="Times New Roman;serif" w:hAnsi="Times New Roman;serif"/>
          <w:b w:val="false"/>
          <w:color w:val="000000"/>
          <w:sz w:val="24"/>
        </w:rPr>
        <w:t>, it is the intention of the Parties that each preceding milestone will be earned before the subsequent milestone is earned,</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and that no milestones shall be skipped. For example, [***] KHK shall pay Ardelyx both milestone 01 and milestone 02 when milestone 02 is earned.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Each of the milestones set forth in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eligible to be earned individually.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Notwithstanding anything else set forth herein, none of the milestone payments set forth in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(i.e., none of milestones number 01 through 07) shall be payable more than once irrespective of the number of Licensed Products or indications that have achieved the relevant milestone events set forth in </w:t>
      </w:r>
      <w:r>
        <w:rPr>
          <w:rFonts w:ascii="Times New Roman;serif" w:hAnsi="Times New Roman;serif"/>
          <w:b w:val="false"/>
          <w:color w:val="000000"/>
          <w:sz w:val="24"/>
          <w:u w:val="single"/>
        </w:rPr>
        <w:t>Section 6.02(a)</w:t>
      </w:r>
      <w:r>
        <w:rPr>
          <w:rFonts w:ascii="Times New Roman;serif" w:hAnsi="Times New Roman;serif"/>
          <w:b w:val="false"/>
          <w:color w:val="000000"/>
          <w:sz w:val="24"/>
        </w:rPr>
        <w:t>, in which such milestone events have been achieved.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No payments pursuant to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shall be creditable against any other payments KHK is obligated to make to Ardelyx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6.03 </w:t>
      </w:r>
      <w:r>
        <w:rPr>
          <w:rFonts w:ascii="Times New Roman;serif" w:hAnsi="Times New Roman;serif"/>
          <w:b/>
          <w:color w:val="000000"/>
          <w:sz w:val="24"/>
          <w:u w:val="single"/>
        </w:rPr>
        <w:t>Sales Related Milestones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KHK shall make the following one-time, nonrefundable milestone payments to Ardelyx within [***] ([***]) days following the first achievement of each of the following milestones, subject to the limitations and additional provisions set forth below in this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tbl>
      <w:tblPr>
        <w:tblW w:w="4558" w:type="dxa"/>
        <w:jc w:val="left"/>
        <w:tblInd w:w="0" w:type="dxa"/>
        <w:tblLayout w:type="fixed"/>
        <w:tblCellMar>
          <w:top w:w="28" w:type="dxa"/>
          <w:left w:w="28" w:type="dxa"/>
          <w:bottom w:w="28" w:type="dxa"/>
          <w:right w:w="28" w:type="dxa"/>
        </w:tblCellMar>
      </w:tblPr>
      <w:tblGrid>
        <w:gridCol w:w="657"/>
        <w:gridCol w:w="578"/>
        <w:gridCol w:w="579"/>
        <w:gridCol w:w="801"/>
        <w:gridCol w:w="801"/>
        <w:gridCol w:w="1142"/>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Milestone Event </w:t>
            </w:r>
          </w:p>
        </w:tc>
        <w:tc>
          <w:tcPr>
            <w:tcW w:w="2744"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Milestone Payment</w:t>
            </w:r>
          </w:p>
        </w:tc>
      </w:tr>
      <w:tr>
        <w:trPr/>
        <w:tc>
          <w:tcPr>
            <w:tcW w:w="1814"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744"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Japanese Yen</w:t>
            </w:r>
          </w:p>
        </w:tc>
      </w:tr>
      <w:tr>
        <w:trPr/>
        <w:tc>
          <w:tcPr>
            <w:tcW w:w="1814"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744"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Japanese Yen</w:t>
            </w:r>
          </w:p>
        </w:tc>
      </w:tr>
      <w:tr>
        <w:trPr/>
        <w:tc>
          <w:tcPr>
            <w:tcW w:w="1814"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744"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Japanese Yen</w:t>
            </w:r>
          </w:p>
        </w:tc>
      </w:tr>
      <w:tr>
        <w:trPr/>
        <w:tc>
          <w:tcPr>
            <w:tcW w:w="1814"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744"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Japanese Yen</w:t>
            </w:r>
          </w:p>
        </w:tc>
      </w:tr>
      <w:tr>
        <w:trPr/>
        <w:tc>
          <w:tcPr>
            <w:tcW w:w="1814" w:type="dxa"/>
            <w:gridSpan w:val="3"/>
            <w:tcBorders>
              <w:top w:val="single" w:sz="8" w:space="0" w:color="000000"/>
              <w:left w:val="single" w:sz="8" w:space="0" w:color="000000"/>
              <w:bottom w:val="single" w:sz="8" w:space="0" w:color="000000"/>
            </w:tcBorders>
            <w:tcMar>
              <w:top w:w="3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744" w:type="dxa"/>
            <w:gridSpan w:val="3"/>
            <w:tcBorders>
              <w:top w:val="single" w:sz="8" w:space="0" w:color="000000"/>
              <w:left w:val="single" w:sz="8" w:space="0" w:color="000000"/>
              <w:bottom w:val="single" w:sz="8" w:space="0" w:color="000000"/>
              <w:right w:val="single" w:sz="8" w:space="0" w:color="000000"/>
            </w:tcBorders>
            <w:tcMar>
              <w:top w:w="30" w:type="dxa"/>
              <w:left w:w="49"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Japanese Yen</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In the event that more than one of the sales milestones set forth in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is achieved in the same Calendar Year, the payment associated with each sales milestone achieved in such Calendar Year shall be due and payable by KHK to Ardelyx following the end of such Calendar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Notwithstanding anything else set forth herein, no milestone payment pursuant to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be made more than once.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 payments pursuant to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be creditable against any other payments KHK is obligated to make to Ardelyx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6.04 </w:t>
      </w:r>
      <w:r>
        <w:rPr>
          <w:rFonts w:ascii="Times New Roman;serif" w:hAnsi="Times New Roman;serif"/>
          <w:b/>
          <w:color w:val="000000"/>
          <w:sz w:val="24"/>
          <w:u w:val="single"/>
        </w:rPr>
        <w:t>Royalties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Subject to the provisions set forth below in </w:t>
      </w:r>
      <w:r>
        <w:rPr>
          <w:rFonts w:ascii="Times New Roman;serif" w:hAnsi="Times New Roman;serif"/>
          <w:b w:val="false"/>
          <w:color w:val="000000"/>
          <w:sz w:val="24"/>
          <w:u w:val="single"/>
        </w:rPr>
        <w:t>Section 6.04(b)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6.04(e)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6.05</w:t>
      </w:r>
      <w:r>
        <w:rPr>
          <w:rFonts w:ascii="Times New Roman;serif" w:hAnsi="Times New Roman;serif"/>
          <w:b w:val="false"/>
          <w:color w:val="000000"/>
          <w:sz w:val="24"/>
        </w:rPr>
        <w:t>, KHK shall pay to Ardelyx a royalty on aggregate Annual Net Sales of the Licensed Products made by KHK, its Affiliates, or its Sublicensees at a rate of [***] ([***]%).</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Sales between KHK, its Affiliates and Sublicensees shall not be subject to royalties hereunder. Royalties shall be calculated on KHK’s, its Affiliates’ and Sublicensees’ sales of the Licensed Products to a Third Party, including Distributors (but excluding for the avoidance of doubt Sublicensees).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at any time, a Generic Product receives Regulatory Approval then (i) the royalties that would otherwise have been payable on Net Sales of such Licensed Product in the Territory under this Agreement shall be reduced to [***] percent ([***]%) effective as of the first day of the first Calendar Quarter following the Calendar Quarter in which the NHI Price of the Licensed Product is reduced to a NHI Price being less than [***] percent ([***]%) of the NHI Price in effect immediately prior to the launch of the Generic Product, and (ii) to [***] percent ([***]%) effective as of the first day of the first Calendar Quarter following the Calendar Quarter in which the NHI Price of the Licensed Product is reduced to a NHI Price being less than [***] percent ([***]%) of the NHI Price in effect immediately prior to the launch of the Generic Product.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KHK’s s obligation to pay royalties due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shall commence with respect to each separate Licensed Product, on the date of the First Commercial Sale of such Licensed Product in the Territory and shall expire with respect to such Licensed Product, at the latest of: (i) the [***] ([***]) anniversary of the First Commercial Sale of such Licensed Product in the Territory, (ii) the date on which there is no longer a Valid Claim that covers the Exploitation of the Licensed Product or the Licensed Compound contained within such Licensed Product in the Territory, and (iii) the expiration of all Regulatory Exclusivities associated with the indication of [***] for such Licensed Product in the Territory; provided that in the event that the only Valid Claim that claims the Licensed Product is a [***], the royalty that would otherwise have been payable on Net Sales of such Licensed Product shall be reduced to [***] percent ([***]%) subject to the reduction of the Third Party Compensation set out in </w:t>
      </w:r>
      <w:r>
        <w:rPr>
          <w:rFonts w:ascii="Times New Roman;serif" w:hAnsi="Times New Roman;serif"/>
          <w:b w:val="false"/>
          <w:color w:val="000000"/>
          <w:sz w:val="24"/>
          <w:u w:val="single"/>
        </w:rPr>
        <w:t>Section 6.04(e)</w:t>
      </w:r>
      <w:r>
        <w:rPr>
          <w:rFonts w:ascii="Times New Roman;serif" w:hAnsi="Times New Roman;serif"/>
          <w:b w:val="false"/>
          <w:color w:val="000000"/>
          <w:sz w:val="24"/>
        </w:rPr>
        <w:t xml:space="preserve">. At such time as KHK’s obligation to pay royalties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have expired with respect to a Licensed Product, the license granted to KHK under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shall automatically, and without further action on the part of Ardelyx or KHK, become non-exclusive, fully-paid, irrevocable and perpetual with respect to such Licensed Product and the Net Sales of such Licensed Product shall be excluded from royalty calculations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(including for purposes of applying thresholds and ceilings) and shall be excluded from the sales milestones set forth in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ind w:left="0" w:right="0" w:firstLine="720"/>
        <w:jc w:val="both"/>
        <w:rPr/>
      </w:pPr>
      <w:r>
        <w:rPr>
          <w:rFonts w:ascii="Times New Roman;serif" w:hAnsi="Times New Roman;serif"/>
          <w:b w:val="false"/>
          <w:color w:val="000000"/>
          <w:sz w:val="24"/>
        </w:rPr>
        <w:t>(e) If, during the Term, (i) KHK obtains a license to Exploit any Third Party Patent in the Territory that (i) [***] required for KHK to Develop, Manufacture and Commercialize the Lead Licensed Compound or the Lead Licensed Product (as Manufactured and formulated by Ardelyx prior to the transfer of the responsibility to KHK for the Manufacture of Lead Licensed Product and with regard to the Lead Licensed Compound prior to the exercise of the Manufacturing Option, if such exercise occurred) in accordance with the terms of this Agreement [***], and (ii) which [***] would, in the absence of such license, be infringed by the Development, Manufacture or Commercialization of the Licensed Compound or the Licensed Product (as Manufactured and formulated by Ardelyx prior to the transfer of the responsibility to KHK for the Manufacture of the Lead Licensed Product and with regard to the Lead Licensed Compound prior to the exercise of the Manufacturing Option, if such exercise occurred) in the Territory [***], (iii) KHK does not have any other [***] alternatives available to avoid such infringement, and (iv) KHK is required to pay to such Third Party a royalty, milestone payments or other monetary compensation in consideration for the grant of such license (“</w:t>
      </w:r>
      <w:r>
        <w:rPr>
          <w:rFonts w:ascii="Times New Roman;serif" w:hAnsi="Times New Roman;serif"/>
          <w:b/>
          <w:color w:val="000000"/>
          <w:sz w:val="24"/>
        </w:rPr>
        <w:t>Third Party Compensation</w:t>
      </w:r>
      <w:r>
        <w:rPr>
          <w:color w:val="000000"/>
        </w:rPr>
        <w:t>”</w:t>
      </w:r>
      <w:r>
        <w:rPr>
          <w:rFonts w:ascii="Times New Roman;serif" w:hAnsi="Times New Roman;serif"/>
          <w:b w:val="false"/>
          <w:color w:val="000000"/>
          <w:sz w:val="24"/>
        </w:rPr>
        <w:t>), then for the period</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lineRule="auto" w:line="288" w:before="240" w:after="240"/>
        <w:jc w:val="both"/>
        <w:rPr/>
      </w:pPr>
      <w:r>
        <w:rPr>
          <w:rFonts w:ascii="Times New Roman;serif" w:hAnsi="Times New Roman;serif"/>
          <w:b w:val="false"/>
          <w:color w:val="000000"/>
          <w:sz w:val="24"/>
        </w:rPr>
        <w:t xml:space="preserve">during which KHK owes royalties to Ardelyx hereunder, the amounts that would otherwise have been payable as royalties to Ardelyx under this Agreement shall be reduced by [***] Third Party Compensation payable by or on behalf of KHK to such Third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no event shall the amount of the royalties payable by KHK to Ardelyx be reduced by more than [***] percent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6.05 </w:t>
      </w:r>
      <w:r>
        <w:rPr>
          <w:rFonts w:ascii="Times New Roman;serif" w:hAnsi="Times New Roman;serif"/>
          <w:b/>
          <w:color w:val="000000"/>
          <w:sz w:val="24"/>
          <w:u w:val="single"/>
        </w:rPr>
        <w:t>Combination Products</w:t>
      </w:r>
      <w:r>
        <w:rPr>
          <w:rFonts w:ascii="Times New Roman;serif" w:hAnsi="Times New Roman;serif"/>
          <w:b w:val="false"/>
          <w:color w:val="000000"/>
          <w:sz w:val="24"/>
        </w:rPr>
        <w:t>. In the event Ardelyx is entitled to receive royalties under this Agreement from any Licensed Product sold in the form of a Combination Product in the Territory, then Net Sales for such Combination Product shall be calculated by multiplying the actual Net Sales of such Combination Product in the Territory by the fraction A/(A+B), where A is the [***] price (“[***]</w:t>
      </w:r>
      <w:r>
        <w:rPr>
          <w:color w:val="000000"/>
        </w:rPr>
        <w:t xml:space="preserve"> </w:t>
      </w:r>
      <w:r>
        <w:rPr>
          <w:rFonts w:ascii="Times New Roman;serif" w:hAnsi="Times New Roman;serif"/>
          <w:b/>
          <w:color w:val="000000"/>
          <w:sz w:val="24"/>
        </w:rPr>
        <w:t>Price</w:t>
      </w:r>
      <w:r>
        <w:rPr>
          <w:color w:val="000000"/>
        </w:rPr>
        <w:t>”</w:t>
      </w:r>
      <w:r>
        <w:rPr>
          <w:rFonts w:ascii="Times New Roman;serif" w:hAnsi="Times New Roman;serif"/>
          <w:b w:val="false"/>
          <w:color w:val="000000"/>
          <w:sz w:val="24"/>
        </w:rPr>
        <w:t>) in the Territory of a Licensed Product, containing the same amount of Licensed Compound as the sole active ingredient as the Combination Product in question (a “</w:t>
      </w:r>
      <w:r>
        <w:rPr>
          <w:rFonts w:ascii="Times New Roman;serif" w:hAnsi="Times New Roman;serif"/>
          <w:b/>
          <w:color w:val="000000"/>
          <w:sz w:val="24"/>
        </w:rPr>
        <w:t>Comparable Licensed Product</w:t>
      </w:r>
      <w:r>
        <w:rPr>
          <w:color w:val="000000"/>
        </w:rPr>
        <w:t>”</w:t>
      </w:r>
      <w:r>
        <w:rPr>
          <w:rFonts w:ascii="Times New Roman;serif" w:hAnsi="Times New Roman;serif"/>
          <w:b w:val="false"/>
          <w:color w:val="000000"/>
          <w:sz w:val="24"/>
        </w:rPr>
        <w:t>), if sold separately, and B is the [***] price in the Territory of the ready for sale form of a product containing the same amount of the other therapeutically active ingredient(s) in the Combination Product that are not Licensed Compounds (the “</w:t>
      </w:r>
      <w:r>
        <w:rPr>
          <w:rFonts w:ascii="Times New Roman;serif" w:hAnsi="Times New Roman;serif"/>
          <w:b/>
          <w:color w:val="000000"/>
          <w:sz w:val="24"/>
        </w:rPr>
        <w:t>Other Ingredients</w:t>
      </w:r>
      <w:r>
        <w:rPr>
          <w:color w:val="000000"/>
        </w:rPr>
        <w:t>”</w:t>
      </w:r>
      <w:r>
        <w:rPr>
          <w:rFonts w:ascii="Times New Roman;serif" w:hAnsi="Times New Roman;serif"/>
          <w:b w:val="false"/>
          <w:color w:val="000000"/>
          <w:sz w:val="24"/>
        </w:rPr>
        <w:t xml:space="preserve">), if sold separately. If the Other Ingredients are not sold separately in the Territory, Net Sales for the purpose of determining royalties of the Combination Product shall be calculated by multiplying actual Net Sales of such Combination Product by the fraction A/C where A is the standard sales price in the Territory of a Comparable Licensed Product, if sold separately, and C is the standard sales price of the Combination Product in the Territory. If a Comparable Licensed Product is not sold separately, Net Sales for the purpose of determining royalties of the Combination Product shall be calculated by multiplying actual Net Sales of such Combination Product by the fraction (C-B)/C, where B is the [***] price in the Territory of the Other Ingredients and C is the [***] price in the Territory of the Combination Product. For the purpose of the above, the NHI price for a Comparable Licensed Product and for each Other Ingredient shall be for a quantity comparable to that used in the Combination Product in question and of the same class, purity and potency. If neither a Comparable Licensed Product nor the Other Ingredients are sold separately in the Territory, Net Sales for the purposes of determining royalties of such Combination Product shall be determined by the Parties on the basis of a fair market value of such Comparable Licensed Product and Other Ingredient to be negotiated by the Parties in good faith, taking into account costs, overheads and profit of the relevant Licensed Compound(s), the Other Ingredients and the Combination Product. For purposes of the calculations set forth in this </w:t>
      </w:r>
      <w:r>
        <w:rPr>
          <w:rFonts w:ascii="Times New Roman;serif" w:hAnsi="Times New Roman;serif"/>
          <w:b w:val="false"/>
          <w:color w:val="000000"/>
          <w:sz w:val="24"/>
          <w:u w:val="single"/>
        </w:rPr>
        <w:t>Section 6.05</w:t>
      </w:r>
      <w:r>
        <w:rPr>
          <w:rFonts w:ascii="Times New Roman;serif" w:hAnsi="Times New Roman;serif"/>
          <w:b w:val="false"/>
          <w:color w:val="000000"/>
          <w:sz w:val="24"/>
        </w:rPr>
        <w:t>, prior to the First Commercial Sale of a Combination Product, the JDC shall discuss the calculations set forth herein, including the standard sale prices to be used in such calculation.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6.06 </w:t>
      </w:r>
      <w:r>
        <w:rPr>
          <w:rFonts w:ascii="Times New Roman;serif" w:hAnsi="Times New Roman;serif"/>
          <w:b/>
          <w:color w:val="000000"/>
          <w:sz w:val="24"/>
          <w:u w:val="single"/>
        </w:rPr>
        <w:t>Sales by Sublicensees</w:t>
      </w:r>
      <w:r>
        <w:rPr>
          <w:rFonts w:ascii="Times New Roman;serif" w:hAnsi="Times New Roman;serif"/>
          <w:b w:val="false"/>
          <w:color w:val="000000"/>
          <w:sz w:val="24"/>
        </w:rPr>
        <w:t>. In the event KHK grants sublicenses to one or more Sublicensees to make or sell Licensed Products to the extent permitted hereunder, such sublicenses shall include without limitation an obligation for the Sublicensee to account for and report its Net Sales of such Licensed Products on the same basis as if such sales were Net Sales by KHK, and KHK shall pay royalties and sales milestones to Ardelyx as if the Net Sales of the Sublicensee were Net Sales of KHK.</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6.07 </w:t>
      </w:r>
      <w:r>
        <w:rPr>
          <w:rFonts w:ascii="Times New Roman;serif" w:hAnsi="Times New Roman;serif"/>
          <w:b/>
          <w:color w:val="000000"/>
          <w:sz w:val="24"/>
          <w:u w:val="single"/>
        </w:rPr>
        <w:t>Royalty Payments and Report</w:t>
      </w:r>
      <w:r>
        <w:rPr>
          <w:rFonts w:ascii="Times New Roman;serif" w:hAnsi="Times New Roman;serif"/>
          <w:b w:val="false"/>
          <w:color w:val="000000"/>
          <w:sz w:val="24"/>
        </w:rPr>
        <w:t xml:space="preserve">. The royalties payable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shall be calculated quarterly as of the last day of March, June, September and December respectively for the Calendar Quarter ending on that date. KHK shall deliver to Ardelyx a report summarizing the Net Sales of Licensed Products during each Calendar Quarter following the First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Commercial Sale of a Licensed Product in the Territory. A draft of such report shall be provided within [***] ([***]) days the end of each Calendar Quarter for which royalties are due from KHK to allow Ardelyx to estimate its royalty payments from KHK. A final report shall be delivered within [***] ([***]) days following the end of each Calendar Quarter for which royalties are due from KHK. Any royalties payable to Ardelyx or its designee under this Agreement shall be paid on the due date for the report in the foregoing sentence of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 xml:space="preserve">Section 6.08 </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royalties, milestones and other amounts payable by KHK to Ardelyx pursuant to this Agreement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shall not be reduced on account of Taxes unless required by Applicable Laws. KHK shall deduct or withhold from the Payments any Taxes that it is required by Applicable Laws to deduct or withhold. Notwithstanding the foregoing, if Ardelyx is entitled (whether under any applicable tax treaty or otherwise under Applicable Laws) to a reduction in the rate of, or the elimination of, withholding Tax, it may deliver to KHK or the appropriate governmental authority (with the assistance of KHK to the extent that this is reasonably required and is expressly requested in writing) the prescribed forms necessary to reduce the applicable rate of withholding or to relieve KHK of its obligation to withhold Tax, and KHK shall apply the reduced rate of withholding, or dispense with withholding, as the case may be. If, in accordance with the foregoing, KHK withholds any Tax, it shall make timely payment to the proper Tax Authority of the withheld Tax, in accordance with Applicable Laws, and send to Ardelyx proof of such payment as soon as reasonably practicable following that payment. KHK agrees to take reasonable and lawful efforts to minimize such Taxes to Ardelyx. KHK shall cooperate with Ardelyx as reasonably requested in any claim for refund or application to any Tax Authority. If KHK intends to withhold Tax from any Payment, KHK shall inform Ardelyx reasonably in advance of making such Payment to permit Ardelyx an opportunity to provide Japanese forms or information or obtain Japanese Tax Authority approval as may be available to reduce or eliminate such withholding. If Ardelyx desires, it may request cooperation from KHK in any claim for refund or application to the Japanese Tax Authority.</w:t>
      </w:r>
    </w:p>
    <w:p>
      <w:pPr>
        <w:pStyle w:val="TextBody"/>
        <w:bidi w:val="0"/>
        <w:spacing w:lineRule="auto" w:line="288"/>
        <w:ind w:left="0" w:right="0" w:firstLine="720"/>
        <w:jc w:val="both"/>
        <w:rPr/>
      </w:pPr>
      <w:r>
        <w:rPr>
          <w:rFonts w:ascii="Times New Roman;serif" w:hAnsi="Times New Roman;serif"/>
          <w:b w:val="false"/>
          <w:color w:val="000000"/>
          <w:sz w:val="24"/>
        </w:rPr>
        <w:t xml:space="preserve">(b) Notwithstanding anything to the contrary herein, if (i) KHK redomiciles or assigns its rights or obligations under this Agreement, (ii) as a result of such redomiciliation or assignment, KHK (or its assignee) is required by Applicable Law to withhold taxes, or such redomiciliation or assignment results in the imposition of Indirect Taxes that were not otherwise applicable, from or in respect of any amount payable under this Agreement, and (iii) such withholding taxes or Indirect Taxes exceed the amount of withholding taxes or Indirect Taxes that would have been applicable but for such redomiciliation or assignment, then any such amount payable to Ardelyx pursuant to this Agreement shall be increased to take into account such withholding taxes or Indirect Taxes as may be necessary so that, after making all required withholdings (including withholdings on the additional amounts payable) and/or paying such Indirect Taxes, as the case may be, Ardelyx receives an amount equal to the sum it would have received had no such increased withholding been made and no such Indirect Taxes had been imposed. The obligation to pay additional amounts pursuant to the preceding sentence shall not apply, however, to the extent such increased withholding tax or Indirect Taxes would not have been imposed but for the assignment by Ardelyx of its rights or obligations under this Agreement or the redomiciliation of Ardelyx outside of the United States, to the extent such assignment or redomiciliation occurs after the redomiciliation or assignment by KHK described in the first sentence of this </w:t>
      </w:r>
      <w:r>
        <w:rPr>
          <w:rFonts w:ascii="Times New Roman;serif" w:hAnsi="Times New Roman;serif"/>
          <w:b w:val="false"/>
          <w:color w:val="000000"/>
          <w:sz w:val="24"/>
          <w:u w:val="single"/>
        </w:rPr>
        <w:t>(a)</w:t>
      </w:r>
      <w:r>
        <w:rPr>
          <w:rFonts w:ascii="Times New Roman;serif" w:hAnsi="Times New Roman;serif"/>
          <w:b w:val="false"/>
          <w:color w:val="000000"/>
          <w:sz w:val="24"/>
        </w:rPr>
        <w:t xml:space="preserve">. Solely for purposes of this </w:t>
      </w:r>
      <w:r>
        <w:rPr>
          <w:rFonts w:ascii="Times New Roman;serif" w:hAnsi="Times New Roman;serif"/>
          <w:b w:val="false"/>
          <w:color w:val="000000"/>
          <w:sz w:val="24"/>
          <w:u w:val="single"/>
        </w:rPr>
        <w:t>(a)</w:t>
      </w:r>
      <w:r>
        <w:rPr>
          <w:rFonts w:ascii="Times New Roman;serif" w:hAnsi="Times New Roman;serif"/>
          <w:b w:val="false"/>
          <w:color w:val="000000"/>
          <w:sz w:val="24"/>
        </w:rPr>
        <w:t>, a</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Party’s “domicile” shall include its jurisdiction of incorporation or tax residence and a “redomiciliation” shall include a reincorporation or other action resulting in a change in tax residence of the applicable Party or its assignee.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Notwithstanding anything to the contrary contained in this </w:t>
      </w:r>
      <w:r>
        <w:rPr>
          <w:rFonts w:ascii="Times New Roman;serif" w:hAnsi="Times New Roman;serif"/>
          <w:b w:val="false"/>
          <w:color w:val="000000"/>
          <w:sz w:val="24"/>
          <w:u w:val="single"/>
        </w:rPr>
        <w:t>Section 6.08(b)</w:t>
      </w:r>
      <w:r>
        <w:rPr>
          <w:color w:val="000000"/>
        </w:rPr>
        <w:t xml:space="preserve"> </w:t>
      </w:r>
      <w:r>
        <w:rPr>
          <w:rFonts w:ascii="Times New Roman;serif" w:hAnsi="Times New Roman;serif"/>
          <w:b w:val="false"/>
          <w:color w:val="000000"/>
          <w:sz w:val="24"/>
        </w:rPr>
        <w:t>or elsewhere in this Agreement, the following shall apply with respect to Indirect Taxes. All Payments are exclusive of Indirect Taxes. If any Indirect Taxes are chargeable in respect of any Payments, KHK shall pay such Indirect Taxes at the applicable rate in respect of any such Payments following the receipt, where applicable, of an Indirect Taxes invoice issued by Ardelyx in respect of those Payments, such Indirect Taxes to be payable on the due date of the payment of the Payments to which such Indirect Taxes relate or at the time such Indirect Taxes are required to be collected by Ardelyx, in the case of payment of Indirect Taxes to Ardelyx. The Parties shall issue invoices for all goods and services supplied under this Agreement consistent with Indirect Tax requirements, and to the extent any invoice is not initially issued in an appropriate form, KHK shall promptly inform Ardelyx and shall cooperate with Ardelyx to provide such information or assistance as may be necessary to enable the issuance of such invoice consistent with Indirect Tax requirements.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6.09 </w:t>
      </w:r>
      <w:r>
        <w:rPr>
          <w:rFonts w:ascii="Times New Roman;serif" w:hAnsi="Times New Roman;serif"/>
          <w:b/>
          <w:color w:val="000000"/>
          <w:sz w:val="24"/>
          <w:u w:val="single"/>
        </w:rPr>
        <w:t>Payments or Reports by Affiliates</w:t>
      </w:r>
      <w:r>
        <w:rPr>
          <w:rFonts w:ascii="Times New Roman;serif" w:hAnsi="Times New Roman;serif"/>
          <w:b w:val="false"/>
          <w:color w:val="000000"/>
          <w:sz w:val="24"/>
        </w:rPr>
        <w:t>. Any Payment required under any provision of this Agreement to be made to Ardelyx or any report required to be made by KHK shall be made by an Affiliate of KHK if such Affiliate is designated by KHK as the appropriate payer or reporting entity.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6.10 </w:t>
      </w:r>
      <w:r>
        <w:rPr>
          <w:rFonts w:ascii="Times New Roman;serif" w:hAnsi="Times New Roman;serif"/>
          <w:b/>
          <w:color w:val="000000"/>
          <w:sz w:val="24"/>
          <w:u w:val="single"/>
        </w:rPr>
        <w:t>Mode of Payment</w:t>
      </w:r>
      <w:r>
        <w:rPr>
          <w:rFonts w:ascii="Times New Roman;serif" w:hAnsi="Times New Roman;serif"/>
          <w:b w:val="false"/>
          <w:color w:val="000000"/>
          <w:sz w:val="24"/>
        </w:rPr>
        <w:t xml:space="preserve">. All payments set forth in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shall be remitted by wire transfer to the bank account of Ardelyx in the United States as designated in writing to KHK.</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6.11 </w:t>
      </w:r>
      <w:r>
        <w:rPr>
          <w:rFonts w:ascii="Times New Roman;serif" w:hAnsi="Times New Roman;serif"/>
          <w:b/>
          <w:color w:val="000000"/>
          <w:sz w:val="24"/>
          <w:u w:val="single"/>
        </w:rPr>
        <w:t>Payment Currency</w:t>
      </w:r>
      <w:r>
        <w:rPr>
          <w:rFonts w:ascii="Times New Roman;serif" w:hAnsi="Times New Roman;serif"/>
          <w:b w:val="false"/>
          <w:color w:val="000000"/>
          <w:sz w:val="24"/>
        </w:rPr>
        <w:t>. Payments by KHK under this Agreement shall be paid to Ardelyx in the currency in which the payments are expressed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6.12 </w:t>
      </w:r>
      <w:r>
        <w:rPr>
          <w:rFonts w:ascii="Times New Roman;serif" w:hAnsi="Times New Roman;serif"/>
          <w:b/>
          <w:color w:val="000000"/>
          <w:sz w:val="24"/>
          <w:u w:val="single"/>
        </w:rPr>
        <w:t>Imports</w:t>
      </w:r>
      <w:r>
        <w:rPr>
          <w:rFonts w:ascii="Times New Roman;serif" w:hAnsi="Times New Roman;serif"/>
          <w:b w:val="false"/>
          <w:color w:val="000000"/>
          <w:sz w:val="24"/>
        </w:rPr>
        <w:t>. For the avoidance of doubt, the Parties acknowledge and agree that none of the milestones or royalties payable under this Agreement are related to the license (or right) to import or any import of Licensed Products. KHK shall be responsible for any import clearance, including payment of any import duties and similar charges, in connection with any Licensed Products or Licensed Compounds transferred to KHK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6.13 </w:t>
      </w:r>
      <w:r>
        <w:rPr>
          <w:rFonts w:ascii="Times New Roman;serif" w:hAnsi="Times New Roman;serif"/>
          <w:b/>
          <w:color w:val="000000"/>
          <w:sz w:val="24"/>
          <w:u w:val="single"/>
        </w:rPr>
        <w:t>Discounted Sales</w:t>
      </w:r>
      <w:r>
        <w:rPr>
          <w:rFonts w:ascii="Times New Roman;serif" w:hAnsi="Times New Roman;serif"/>
          <w:b w:val="false"/>
          <w:color w:val="000000"/>
          <w:sz w:val="24"/>
        </w:rPr>
        <w:t>. In the event that one or more Licensed Products is included as part of a package of products offered to customers of KHK, and discounts on packages including Licensed Products are offered independently in the Territory, KHK shall not discount the price of the Licensed Products sold as part of a package unreasonably compared to the discount KHK offers on prices of the other products included in such package.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CONFIDENTIALITY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7.01 </w:t>
      </w:r>
      <w:r>
        <w:rPr>
          <w:rFonts w:ascii="Times New Roman;serif" w:hAnsi="Times New Roman;serif"/>
          <w:b/>
          <w:color w:val="000000"/>
          <w:sz w:val="24"/>
          <w:u w:val="single"/>
        </w:rPr>
        <w:t>Confidentiality</w:t>
      </w:r>
      <w:r>
        <w:rPr>
          <w:rFonts w:ascii="Times New Roman;serif" w:hAnsi="Times New Roman;serif"/>
          <w:b/>
          <w:color w:val="000000"/>
          <w:sz w:val="24"/>
        </w:rPr>
        <w:t xml:space="preserve">. </w:t>
      </w:r>
      <w:r>
        <w:rPr>
          <w:rFonts w:ascii="Times New Roman;serif" w:hAnsi="Times New Roman;serif"/>
          <w:b w:val="false"/>
          <w:color w:val="000000"/>
          <w:sz w:val="24"/>
        </w:rPr>
        <w:t>The Parties agree that the Party receiving Confidential Information disclosed by or on behalf of the other Party pursuant to this Agreement, unless it has obtained the prior written consent of the other Party, shall, and shall cause its officers, directors, employees, agents, Affiliates, licensees, Sublicensees and other sublicensees to keep confidential and not publish or otherwise disclose or use for any purpose other than to conduct its activities under this Agreement or otherwise as expressly authorized or licensed by this Agreement any Confidential Information furnished to it by or on behalf of the other Party pursuant to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7.02 </w:t>
      </w:r>
      <w:r>
        <w:rPr>
          <w:rFonts w:ascii="Times New Roman;serif" w:hAnsi="Times New Roman;serif"/>
          <w:b/>
          <w:color w:val="000000"/>
          <w:sz w:val="24"/>
          <w:u w:val="single"/>
        </w:rPr>
        <w:t>Exceptions</w:t>
      </w:r>
      <w:r>
        <w:rPr>
          <w:rFonts w:ascii="Times New Roman;serif" w:hAnsi="Times New Roman;serif"/>
          <w:b w:val="false"/>
          <w:color w:val="000000"/>
          <w:sz w:val="24"/>
        </w:rPr>
        <w:t xml:space="preserve">. Notwithstanding the foregoing, the obligations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shall not apply in respect of Confidential Information to the extent that it can be established by the receiving Party that such Confidential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was already known to the receiving Party, other than under an obligation of confidentiality, at the time of its disclosure to the receiving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was generally available to the public or otherwise part of the public domain at the time of its disclosure to the receiving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was independently developed without use of the disclosing Party’s information, as evidenced by contemporaneous written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became generally available to the public or otherwise part of the public domain after its disclosure to the receiving Party and other than through any act or omission of the receiving Party in breach of this Agreement;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was disclosed to the receiving Party, other than under an obligation of confidentiality, by a Third Party who had no obligation to the disclosing Party not to disclose such information to others.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7.03 </w:t>
      </w:r>
      <w:r>
        <w:rPr>
          <w:rFonts w:ascii="Times New Roman;serif" w:hAnsi="Times New Roman;serif"/>
          <w:b/>
          <w:color w:val="000000"/>
          <w:sz w:val="24"/>
          <w:u w:val="single"/>
        </w:rPr>
        <w:t>Receipt of Third Party Information</w:t>
      </w:r>
      <w:r>
        <w:rPr>
          <w:rFonts w:ascii="Times New Roman;serif" w:hAnsi="Times New Roman;serif"/>
          <w:b w:val="false"/>
          <w:color w:val="000000"/>
          <w:sz w:val="24"/>
        </w:rPr>
        <w:t>. Neither Party shall knowingly receive documents relating to Licensed Products or Licensed Compounds under an obligation of confidentiality to Third Parties that require the Party receiving such documents to withhold access to the other Party and without such Party’s written consent.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7.04 </w:t>
      </w:r>
      <w:r>
        <w:rPr>
          <w:rFonts w:ascii="Times New Roman;serif" w:hAnsi="Times New Roman;serif"/>
          <w:b/>
          <w:color w:val="000000"/>
          <w:sz w:val="24"/>
          <w:u w:val="single"/>
        </w:rPr>
        <w:t>Exceptional Disclosure</w:t>
      </w:r>
      <w:r>
        <w:rPr>
          <w:rFonts w:ascii="Times New Roman;serif" w:hAnsi="Times New Roman;serif"/>
          <w:b w:val="false"/>
          <w:color w:val="000000"/>
          <w:sz w:val="24"/>
        </w:rPr>
        <w:t>. Each Party may disclose Confidential Information without the prior written consent of the other Party to the extent that such disclosure is: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made to a patent office for the purposes of filing or enforcing a Patent as permitted in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reasonable measures shall be taken to assure confidential treatment of such information, to the extent such protection is available;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made by a Party or its Affiliates, Distributors, licensees, Sublicensees or other sublicensees, to Regulatory Health Authority for the purposes of any filing, application or request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for Regulatory Approval for Licensed Compounds or Licensed Products as permitted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made to investment bankers, financial advisors, or actual or potential investors, licensees, or sublicensees hereunder, contractors or subcontractors hereunder or acquirers of all or substantially all of the assets to which this Agreement relates;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disclosures as per subsection (c),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7.05 </w:t>
      </w:r>
      <w:r>
        <w:rPr>
          <w:rFonts w:ascii="Times New Roman;serif" w:hAnsi="Times New Roman;serif"/>
          <w:b/>
          <w:color w:val="000000"/>
          <w:sz w:val="24"/>
          <w:u w:val="single"/>
        </w:rPr>
        <w:t>Legally Compelled Disclosure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may disclose, without the prior written consent of the other Party, Confidential Information required by law, order, or regulation of a government agency or a court of competent jurisdiction, or by the rules of a securities exchange, provided that the Party required to make such disclosure shall give the other Party reasonable advance notice of and an opportunity to comment on any such required disclosure in order for the disclosing party (who controls the Confidential Information) to have sufficient time to seek protective orders or any available limitations on or exemptions from such disclosure requirement where applicable and practicable;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7.06 </w:t>
      </w:r>
      <w:r>
        <w:rPr>
          <w:rFonts w:ascii="Times New Roman;serif" w:hAnsi="Times New Roman;serif"/>
          <w:b/>
          <w:color w:val="000000"/>
          <w:sz w:val="24"/>
          <w:u w:val="single"/>
        </w:rPr>
        <w:t>Survival</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7.03</w:t>
      </w:r>
      <w:r>
        <w:rPr>
          <w:rFonts w:ascii="Times New Roman;serif" w:hAnsi="Times New Roman;serif"/>
          <w:b w:val="false"/>
          <w:color w:val="000000"/>
          <w:sz w:val="24"/>
        </w:rPr>
        <w:t>) shall survive the termination or expiration of this Agreement for a period of (i) [***] ([***]) years if termination occurs prior to the First Commercial Sale of the Lead Licensed Product, (ii) [***] ([***]) years if the termination occurs after the First Commercial Sale of the Lead Licensed Product and less than [***] ([***]) years after the First Commercial Sale of the Lead Licensed Product, or (ii) [***] ([***]) years if the termination or expiration occurs [***] ([***]) or more years after the First Commercial Sale of the Lead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7.07 </w:t>
      </w:r>
      <w:r>
        <w:rPr>
          <w:rFonts w:ascii="Times New Roman;serif" w:hAnsi="Times New Roman;serif"/>
          <w:b/>
          <w:color w:val="000000"/>
          <w:sz w:val="24"/>
          <w:u w:val="single"/>
        </w:rPr>
        <w:t>Termination of Prior Agreements</w:t>
      </w:r>
      <w:r>
        <w:rPr>
          <w:rFonts w:ascii="Times New Roman;serif" w:hAnsi="Times New Roman;serif"/>
          <w:b w:val="false"/>
          <w:color w:val="000000"/>
          <w:sz w:val="24"/>
        </w:rPr>
        <w:t>. This Agreement supersedes, in the relationship between the Parties hereunder, the Confidentiality Agreement between Ardelyx and KHK dated as of April 14, 2017, the Three-Way Confidentiality Agreement among Ardelyx, KHK and Patheon dated as of October 30, 2017, the Three-Way Confidentiality Agreement among Ardelyx, KHK and Hovione dated as of November 3, 2017, and the Three-Way Confidentiality Agreement among Ardelyx, KHK and Dottikon dated as of November 3, 2017 (the “</w:t>
      </w:r>
      <w:r>
        <w:rPr>
          <w:rFonts w:ascii="Times New Roman;serif" w:hAnsi="Times New Roman;serif"/>
          <w:b/>
          <w:color w:val="000000"/>
          <w:sz w:val="24"/>
        </w:rPr>
        <w:t>CDA</w:t>
      </w:r>
      <w:r>
        <w:rPr>
          <w:color w:val="000000"/>
        </w:rPr>
        <w:t>”</w:t>
      </w:r>
      <w:r>
        <w:rPr>
          <w:rFonts w:ascii="Times New Roman;serif" w:hAnsi="Times New Roman;serif"/>
          <w:b w:val="false"/>
          <w:color w:val="000000"/>
          <w:sz w:val="24"/>
        </w:rPr>
        <w:t xml:space="preserve">). All Information exchanged between the Parties under the CDA shall be deemed Confidential Information and shall be subject to the terms of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and shall be included within the definitions of Licensed Know-How and KHK [***] Know-How, only if applicable.</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7.08 </w:t>
      </w:r>
      <w:r>
        <w:rPr>
          <w:rFonts w:ascii="Times New Roman;serif" w:hAnsi="Times New Roman;serif"/>
          <w:b/>
          <w:color w:val="000000"/>
          <w:sz w:val="24"/>
          <w:u w:val="single"/>
        </w:rPr>
        <w:t>Publications</w:t>
      </w:r>
      <w:r>
        <w:rPr>
          <w:rFonts w:ascii="Times New Roman;serif" w:hAnsi="Times New Roman;serif"/>
          <w:b w:val="false"/>
          <w:color w:val="000000"/>
          <w:sz w:val="24"/>
        </w:rPr>
        <w:t xml:space="preserve">. Except as required by law, each Party agrees that it shall not publish or publicly present any information relating to Licensed Compounds or Licensed Products in the Field, excluding marketing materials such as presentation materials or leaflets, (a) without the opportunity for prior review by the other Party and (b) other than in compliance with this </w:t>
      </w:r>
      <w:r>
        <w:rPr>
          <w:rFonts w:ascii="Times New Roman;serif" w:hAnsi="Times New Roman;serif"/>
          <w:b w:val="false"/>
          <w:color w:val="000000"/>
          <w:sz w:val="24"/>
          <w:u w:val="single"/>
        </w:rPr>
        <w:t>Section 7.08</w:t>
      </w:r>
      <w:r>
        <w:rPr>
          <w:rFonts w:ascii="Times New Roman;serif" w:hAnsi="Times New Roman;serif"/>
          <w:b w:val="false"/>
          <w:color w:val="000000"/>
          <w:sz w:val="24"/>
        </w:rPr>
        <w:t>. Each Party shall provide to the other Party the opportunity to review any proposed publications or presentations (i) to be made at medical conference but limited to abstracts or manuscripts; (ii) other than (i) described hereabove that relate to Licensed Compounds or Licensed Products in the Field as early as reasonably practical, but at least in the case of (i) above [***]</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days, and in the case of (ii) above [***] ([***]) days prior to their intended submission for publication or presentation (collectively the “</w:t>
      </w:r>
      <w:r>
        <w:rPr>
          <w:rFonts w:ascii="Times New Roman;serif" w:hAnsi="Times New Roman;serif"/>
          <w:b/>
          <w:color w:val="000000"/>
          <w:sz w:val="24"/>
        </w:rPr>
        <w:t>Review Period</w:t>
      </w:r>
      <w:r>
        <w:rPr>
          <w:color w:val="000000"/>
        </w:rPr>
        <w:t>”</w:t>
      </w:r>
      <w:r>
        <w:rPr>
          <w:rFonts w:ascii="Times New Roman;serif" w:hAnsi="Times New Roman;serif"/>
          <w:b w:val="false"/>
          <w:color w:val="000000"/>
          <w:sz w:val="24"/>
        </w:rPr>
        <w:t xml:space="preserve">) and such submitting Party agrees, upon written request from the other Party within the Review Period , not to submit such abstract or manuscript for publication or to make such presentation until the other Party agrees, which agreement shall not be unreasonably withheld. The other Party shall have in the case of (i) above [***] ([***]) days, and in the case of (ii) above [***] ([***]) days after its receipt of any such publication or presentation to notify the submitting Party in writing of any specific objections to the intended publication or presentation. Each Party shall, in any such publication or presentation, delete from the proposed disclosure any Confidential Information of the other Party. Additionally, if the other Party notifies the submitting Party within the Review Period that the other Party objects to such disclosure on the basis that a patent application claiming information contained in such disclosure should be filed prior to such disclosure, the submitting Party agrees to reasonably delay disclosure of the relevant information, for up to [***] ([***]) days after the other Party’s timely notification of its objection as per the above, or until such application has been filed, if earlier. Once any such abstract or manuscript is accepted for publication or presentation, the submitting Party may use only the same subject matter in whole or in part, in another publication or presentation under this </w:t>
      </w:r>
      <w:r>
        <w:rPr>
          <w:rFonts w:ascii="Times New Roman;serif" w:hAnsi="Times New Roman;serif"/>
          <w:b w:val="false"/>
          <w:color w:val="000000"/>
          <w:sz w:val="24"/>
          <w:u w:val="single"/>
        </w:rPr>
        <w:t>Section 7.08</w:t>
      </w:r>
      <w:r>
        <w:rPr>
          <w:rFonts w:ascii="Times New Roman;serif" w:hAnsi="Times New Roman;serif"/>
          <w:b w:val="false"/>
          <w:color w:val="000000"/>
          <w:sz w:val="24"/>
        </w:rPr>
        <w:t xml:space="preserve">, provided that the wording used in such new publication or presentation does not go beyond the scope of the subject matter disclosed in the previously approved publication or presentation. Notwithstanding the above, the obligations of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shall not apply to publications and/or presentations that have been submitted by Ardelyx prior to the Effective Date.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OWNERSHIP OF INTELLECTUAL PROPERTY AND PATENT RIGHTS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8.01 </w:t>
      </w:r>
      <w:r>
        <w:rPr>
          <w:rFonts w:ascii="Times New Roman;serif" w:hAnsi="Times New Roman;serif"/>
          <w:b/>
          <w:color w:val="000000"/>
          <w:sz w:val="24"/>
          <w:u w:val="single"/>
        </w:rPr>
        <w:t>Disclosure</w:t>
      </w:r>
      <w:r>
        <w:rPr>
          <w:rFonts w:ascii="Times New Roman;serif" w:hAnsi="Times New Roman;serif"/>
          <w:b w:val="false"/>
          <w:color w:val="000000"/>
          <w:sz w:val="24"/>
        </w:rPr>
        <w:t>. During the Term, the Parties shall promptly disclose to one another all Joint Technology and Sole Program Know-How (whether patentable or not).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Ownership</w:t>
      </w:r>
      <w:r>
        <w:rPr>
          <w:rFonts w:ascii="Times New Roman;serif" w:hAnsi="Times New Roman;serif"/>
          <w:b/>
          <w:color w:val="000000"/>
          <w:sz w:val="24"/>
        </w:rPr>
        <w:t xml:space="preserve">. </w:t>
      </w:r>
      <w:r>
        <w:rPr>
          <w:rFonts w:ascii="Times New Roman;serif" w:hAnsi="Times New Roman;serif"/>
          <w:b w:val="false"/>
          <w:color w:val="000000"/>
          <w:sz w:val="24"/>
        </w:rPr>
        <w:t xml:space="preserve">Inventorship of all inventions and other Know-How conceived or first made after the Effective Date in the course of the Parties’ performance under this Agreement shall be determined in accordance with the laws of inventorship of the United States. Subject to the licenses granted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and to the other provisions of this Agreement, all such inventions and other Know-How invented by employees or independent contractors of one Party (“</w:t>
      </w:r>
      <w:r>
        <w:rPr>
          <w:rFonts w:ascii="Times New Roman;serif" w:hAnsi="Times New Roman;serif"/>
          <w:b/>
          <w:color w:val="000000"/>
          <w:sz w:val="24"/>
        </w:rPr>
        <w:t>Sole Program Know-How</w:t>
      </w:r>
      <w:r>
        <w:rPr>
          <w:color w:val="000000"/>
        </w:rPr>
        <w:t>”</w:t>
      </w:r>
      <w:r>
        <w:rPr>
          <w:rFonts w:ascii="Times New Roman;serif" w:hAnsi="Times New Roman;serif"/>
          <w:b w:val="false"/>
          <w:color w:val="000000"/>
          <w:sz w:val="24"/>
        </w:rPr>
        <w:t>) shall be solely owned by the inventing Party, and any inventions and Know-How that are invented jointly by employees or independent contractors of each Party shall be owned jointly by the Parties (“</w:t>
      </w:r>
      <w:r>
        <w:rPr>
          <w:rFonts w:ascii="Times New Roman;serif" w:hAnsi="Times New Roman;serif"/>
          <w:b/>
          <w:color w:val="000000"/>
          <w:sz w:val="24"/>
        </w:rPr>
        <w:t>Joint Know-How</w:t>
      </w:r>
      <w:r>
        <w:rPr>
          <w:color w:val="000000"/>
        </w:rPr>
        <w:t>”</w:t>
      </w:r>
      <w:r>
        <w:rPr>
          <w:rFonts w:ascii="Times New Roman;serif" w:hAnsi="Times New Roman;serif"/>
          <w:b w:val="false"/>
          <w:color w:val="000000"/>
          <w:sz w:val="24"/>
        </w:rPr>
        <w:t>). For clarity, Ardelyx’s Development and Commercialization of a Licensed Compound or Licensed Product outside of the Field and/or outside of the Territory shall not be activities performed in the course of Ardelyx’s performance under this Agreement, and any inventions and other Know-How conceived or first made during the course of such Development and Commercialization shall be Ardelyx [***] Technology rather than Sole Program Know-How owned by Ardelyx.</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the extent permissible under Applicable Laws, each Party shall cause each employee and contractor conducting work on such Party’s behalf under this Agreement to sign a contract that (i) compels prompt disclosure to such Party of all inventions and Know-How conceived or reduced to practice by such employee or contractor during any performance under this Agreement, (ii) automatically assigns to such Party all right, title and interest in and to all such</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inventions and Know-How and all Intellectual Property Rights therein, and (iii) obligates such persons to similar obligations of confidentiality as set forth in this Agreement. Each Party shall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8.02 </w:t>
      </w:r>
      <w:r>
        <w:rPr>
          <w:rFonts w:ascii="Times New Roman;serif" w:hAnsi="Times New Roman;serif"/>
          <w:b/>
          <w:color w:val="000000"/>
          <w:sz w:val="24"/>
          <w:u w:val="single"/>
        </w:rPr>
        <w:t>Prosecution and Maintenance of Patent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Ardelyx</w:t>
      </w:r>
      <w:r>
        <w:rPr>
          <w:rFonts w:ascii="Times New Roman;serif" w:hAnsi="Times New Roman;serif"/>
          <w:b w:val="false"/>
          <w:color w:val="000000"/>
          <w:sz w:val="24"/>
        </w:rPr>
        <w:t>. “</w:t>
      </w:r>
      <w:r>
        <w:rPr>
          <w:rFonts w:ascii="Times New Roman;serif" w:hAnsi="Times New Roman;serif"/>
          <w:b/>
          <w:color w:val="000000"/>
          <w:sz w:val="24"/>
        </w:rPr>
        <w:t>Ardelyx Controlled Patents</w:t>
      </w:r>
      <w:r>
        <w:rPr>
          <w:color w:val="000000"/>
        </w:rPr>
        <w:t xml:space="preserve">” </w:t>
      </w:r>
      <w:r>
        <w:rPr>
          <w:rFonts w:ascii="Times New Roman;serif" w:hAnsi="Times New Roman;serif"/>
          <w:b w:val="false"/>
          <w:color w:val="000000"/>
          <w:sz w:val="24"/>
        </w:rPr>
        <w:t xml:space="preserve">shall collectively include Licensed Patents, Ardelyx [***] Patents and Joint Patents. Ardelyx (or with respect to Ardelyx [***] Patents, Ardelyx or its licensor) shall be primarily responsible for and control the worldwide preparation, filing, prosecution (including without limitation conducting any interferences, oppositions, reissue proceedings, reexaminations and patent term extensions) and maintenance of the Ardelyx Controlled Patents;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all Ardelyx Controlled Patents, other than Ardelyx [***], Ardelyx shall provide KHK with advance copies of, and a reasonable opportunity to comment upon, proposed patent filings, related prosecution strategies and proposed correspondence with patent officials or patent attorneys, all to the extent in the Territory and relating to any Ardelyx Controlled Patents (other than the Ardelyx [***]), and shall consider comments received from KHK with respect to such proposed filings, strategies and correspondence in the Territory in good faith and shall not unreasonably reject such comments. Ardelyx agrees to discuss in good faith any changes reasonably requested by KHK to such filings, strategies and correspondence in the Territory promptly upon their being received.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KHK</w:t>
      </w:r>
      <w:r>
        <w:rPr>
          <w:rFonts w:ascii="Times New Roman;serif" w:hAnsi="Times New Roman;serif"/>
          <w:b w:val="false"/>
          <w:color w:val="000000"/>
          <w:sz w:val="24"/>
        </w:rPr>
        <w:t>. “</w:t>
      </w:r>
      <w:r>
        <w:rPr>
          <w:rFonts w:ascii="Times New Roman;serif" w:hAnsi="Times New Roman;serif"/>
          <w:b/>
          <w:color w:val="000000"/>
          <w:sz w:val="24"/>
        </w:rPr>
        <w:t>KHK Controlled Patents</w:t>
      </w:r>
      <w:r>
        <w:rPr>
          <w:color w:val="000000"/>
        </w:rPr>
        <w:t xml:space="preserve">” </w:t>
      </w:r>
      <w:r>
        <w:rPr>
          <w:rFonts w:ascii="Times New Roman;serif" w:hAnsi="Times New Roman;serif"/>
          <w:b w:val="false"/>
          <w:color w:val="000000"/>
          <w:sz w:val="24"/>
        </w:rPr>
        <w:t xml:space="preserve">shall collectively include KHK Sole Invention Patents and KHK [***] Patents. KHK (or with respect to KHK [***] Patents, KHK or its licensor) shall be primarily responsible for and control the worldwide preparation, filing, prosecution (including without limitation conducting any interferences, oppositions, reissue proceedings, reexaminations and patent term extensions) and maintenance of the KHK Controlled Patents;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KHK with respect to all KHK Controlled Patents, other than KHK [***], KHK shall provide Ardelyx with advance copies of, and a reasonable opportunity to comment upon, proposed patent filings, related prosecution strategies and proposed correspondence with patent officials or patent attorneys, and shall consider comments received from Ardelyx with respect to such proposed filings, strategies and correspondence in good faith and shall not unreasonably reject such comments. KHK agrees to discuss in good faith any changes reasonably requested by Ardelyx to such filings, strategies and correspondence promptly upon their being received.</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The Party responsible for prosecuting Patents pursuant to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 xml:space="preserve">shall provide all documentation it is required to provide pursuant to such Sections so as to provide the other Party a reasonable opportunity to review and comment thereon in advance of filing. A Party providing comments in accordance with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 xml:space="preserve">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 information in confidence pursuant to </w:t>
      </w:r>
      <w:r>
        <w:rPr>
          <w:rFonts w:ascii="Times New Roman;serif" w:hAnsi="Times New Roman;serif"/>
          <w:b w:val="false"/>
          <w:color w:val="000000"/>
          <w:sz w:val="24"/>
          <w:u w:val="single"/>
        </w:rPr>
        <w:t>Article VII</w:t>
      </w:r>
      <w:r>
        <w:rPr>
          <w:rFonts w:ascii="Times New Roman;serif" w:hAnsi="Times New Roman;serif"/>
          <w:b w:val="false"/>
          <w:color w:val="000000"/>
          <w:sz w:val="24"/>
        </w:rPr>
        <w:t>, except (for the avoidance of doubt) for patent applications that have been published and official correspondence that is publicly available.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(d) Other than as set forth in </w:t>
      </w:r>
      <w:r>
        <w:rPr>
          <w:rFonts w:ascii="Times New Roman;serif" w:hAnsi="Times New Roman;serif"/>
          <w:b w:val="false"/>
          <w:color w:val="000000"/>
          <w:sz w:val="24"/>
          <w:u w:val="single"/>
        </w:rPr>
        <w:t>Section 8.02(e) or (f)</w:t>
      </w:r>
      <w:r>
        <w:rPr>
          <w:color w:val="000000"/>
        </w:rPr>
        <w:t xml:space="preserve"> </w:t>
      </w:r>
      <w:r>
        <w:rPr>
          <w:rFonts w:ascii="Times New Roman;serif" w:hAnsi="Times New Roman;serif"/>
          <w:b w:val="false"/>
          <w:color w:val="000000"/>
          <w:sz w:val="24"/>
        </w:rPr>
        <w:t xml:space="preserve">below, after the Effective Date, the Party prosecuting patent applications and maintaining Patents pursuant to this </w:t>
      </w:r>
      <w:r>
        <w:rPr>
          <w:rFonts w:ascii="Times New Roman;serif" w:hAnsi="Times New Roman;serif"/>
          <w:b w:val="false"/>
          <w:color w:val="000000"/>
          <w:sz w:val="24"/>
          <w:u w:val="single"/>
        </w:rPr>
        <w:t>Section 8.02(d)</w:t>
      </w:r>
      <w:r>
        <w:rPr>
          <w:color w:val="000000"/>
        </w:rPr>
        <w:t xml:space="preserve"> </w:t>
      </w:r>
      <w:r>
        <w:rPr>
          <w:rFonts w:ascii="Times New Roman;serif" w:hAnsi="Times New Roman;serif"/>
          <w:b w:val="false"/>
          <w:color w:val="000000"/>
          <w:sz w:val="24"/>
        </w:rPr>
        <w:t>shall be solely responsible for all costs and expenses associated with the filing, prosecution and maintenance of such Patents.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If Ardelyx (or in the case of Ardelyx [***] Patents, Ardelyx and/or Ardelyx’s licensor (for the avoidance of doubt in any case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Ardelyx’s licensee might be Ardelyx’s licensor)) decide not to file, prosecute or maintain Ardelyx Controlled Patents in the Territory, Ardelyx shall give KHK reasonable notice to that effect sufficiently in advance of any deadline for any filing with respect to such Patent to permit KHK to carry out such activity (but with respect to Ardelyx [***] Patents only to the extent that the Patent is an Ardelyx [***] Patent). After receiving such notice, KHK may elect by written notice to Ardelyx within [***] ([***]) days after receiving such notice from Ardelyx, to file, prosecute and maintain the relevant Patent in the Territory, at its sole cost and expense; provided, however, that the claims of the Patent being filed, prosecuted or maintained by KHK shall be limited to claims within the Field and KHK shall not file, prosecute or maintain claims that are outside of the Field without the prior written consent of Ardelyx. For the avoidance of doubt, where Ardelyx is in receipt of an official action with a shortened response deadline of [***] ([***]) days or less, Ardelyx shall communicate such notice to KHK as soon as possible and KHK make its election (pursuant to the foregoing sentence) no later than [***] ([***]) days prior to the deadline. If KHK does so elect, then Ardelyx shall cooperate with KHK as necessary to enable KHK to file, prosecute or maintain such Patent, including the execution and filing of appropriate instruments and to facilitate the transition of such patent activities to KHK.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If KHK (or in the case of KHK [***] Patents, KHK and/or KHK’s licensor (for the avoidance of doubt in any case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KHK’s Sublicensee might be KHK’s licensor)) decide not to file, prosecute or maintain KHK Controlled Patents in the Territory or outside of the Territory, KHK shall give Ardelyx reasonable notice to that effect sufficiently in advance of any deadline for any filing with respect to such Patent to permit Ardelyx, or its licensees in the territories where KHK has decided not to file, prosecute or maintain KHK Controlled Patents, to carry out such activity (but with respect to KHK [***] Patents only to the extent that the Patent is a KHK [***] Patent). After receiving such notice, Ardelyx may elect by written notice to KHK within [***] ([***]) days after receiving such notice from KHK, to file (or to permit its licensee to file), prosecute and maintain the relevant Patent in the Territory and/or outside of the Territory, at its sole cost and expense. For the avoidance of doubt, where KHK is in receipt of an official action with a shortened response deadline of [***] ([***]) days or less, KHK shall communicate such notice to Ardelyx as soon as possible and Ardelyx make its election (pursuant to the foregoing sentence) no later than [***] ([***]) days prior to the deadline. If Ardelyx (on its behalf, or that of its licensee) does so elect, then KHK shall cooperate with Ardelyx and/or its licensee as necessary to enable Ardelyx and/or its licensee to file, prosecute or maintain such Patent, including the execution and filing of appropriate instruments and to facilitate the transition of such patent activities to Ardelyx and/or its licensee.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In any event, KHK shall not finally abandon any KHK [***] without the prior written notice to Ardelyx. Additionally, KHK shall not assign any KHK [***] to either its Affiliates or any Third Party unless such Affiliate or any Third Party agrees in writing that the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assignment of any such Patent shall be subject to the rights granted to Ardelyx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In any event, Ardelyx shall not finally abandon any Ardelyx [***] or Ardelyx Sole Invention [***] without the prior written notice to KHK. Additionally, Ardelyx shall not assign any Ardelyx [***] or Ardelyx Sole Invention [***] to either its Affiliates or any Third Party unless such Affiliate or any Third Party agrees in writing that the assignment of any such Patent shall be subject to the rights granted to KHK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8.03 </w:t>
      </w:r>
      <w:r>
        <w:rPr>
          <w:rFonts w:ascii="Times New Roman;serif" w:hAnsi="Times New Roman;serif"/>
          <w:b/>
          <w:color w:val="000000"/>
          <w:sz w:val="24"/>
          <w:u w:val="single"/>
        </w:rPr>
        <w:t>Third Party Patent Rights</w:t>
      </w:r>
      <w:r>
        <w:rPr>
          <w:rFonts w:ascii="Times New Roman;serif" w:hAnsi="Times New Roman;serif"/>
          <w:b w:val="false"/>
          <w:color w:val="000000"/>
          <w:sz w:val="24"/>
        </w:rPr>
        <w:t xml:space="preserve">. Except as otherwise provided in </w:t>
      </w:r>
      <w:r>
        <w:rPr>
          <w:rFonts w:ascii="Times New Roman;serif" w:hAnsi="Times New Roman;serif"/>
          <w:b w:val="false"/>
          <w:color w:val="000000"/>
          <w:sz w:val="24"/>
          <w:u w:val="single"/>
        </w:rPr>
        <w:t>Article IX</w:t>
      </w:r>
      <w:r>
        <w:rPr>
          <w:rFonts w:ascii="Times New Roman;serif" w:hAnsi="Times New Roman;serif"/>
          <w:b w:val="false"/>
          <w:color w:val="000000"/>
          <w:sz w:val="24"/>
        </w:rPr>
        <w:t>, neither Party makes any warranty with respect to the validity, perfection, or dominance of any Patent or proprietary right or with respect to the absence of rights in Third Parties which may be infringed by the manufacture or sale of any Licensed Compound or Licensed Product. Each Party agrees to bring to the attention of the other Party any Third Party Patent it discovers, or has discovered, and which relates to the subject matter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8.04 </w:t>
      </w:r>
      <w:r>
        <w:rPr>
          <w:rFonts w:ascii="Times New Roman;serif" w:hAnsi="Times New Roman;serif"/>
          <w:b/>
          <w:color w:val="000000"/>
          <w:sz w:val="24"/>
          <w:u w:val="single"/>
        </w:rPr>
        <w:t>Enforcement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Infringement by Third Parties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Party first having knowledge that any (x) Ardelyx Controlled Patents or (y) KHK Controlled Patents, in each case, claiming or covering inventions that are necessary or useful to Exploit a Licensed Compound or Licensed Product, is infringed, or misappropriated by a Third Party, or suspected of being infringed or misappropriated by a Third Party shall promptly notify the other Party thereof in writing. Such notice shall set forth the facts of that infringement, misappropriation, or suspected infringement or misappropriation in reasonable detail.</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Ardelyx (or in the case of Ardelyx [***] Patents, Ardelyx and/or Ardelyx’s licensor) shall have the first right, but not the obligation, to institute, prosecute, and control any action or proceeding or negotiation of any settlements at its expense with respect to any infringement of Ardelyx Controlled Patents, by counsel of its own choice. With respect to actions, proceedings or settlements in the Territory, KHK shall have the right to participate in such action or negotiations at its expense and be represented if it so desires by counsel of its own choice. If necessary, at Ardelyx’s discretion, KHK agrees (i) in any such action in the Territory, and (ii) in any such action outside of the Territory with respect to a Joint Patent, to be joined as a party plaintiff and to give Ardelyx (or Ardelyx’s licensor, as the case may be), reasonable assistance and any needed authority in order for Ardelyx or its licensor to control, file, and to prosecute such action, at Ardelyx’s expense. If Ardelyx or its licensor, as the case may be, elects not to institute and prosecute an action or proceeding or to conduct such negotiation to abate such infringement, within a period of [***] ([***]) days after both Parties become aware of the infringement or suspected infringement, then Ardelyx shall discuss with KHK the reasons for this decision. KHK shall then have the right, but not the obligation, to institute, prosecute, and control any such action in the Territory at its expense (but with respect to Ardelyx [***] Patents or Ardelyx Sole Invention Patents, only to the extent that the Patent is an Ardelyx [***] [***] Patent or Ardelyx Sole Invention [***] Patent). In such case, Ardelyx, [***] shall give KHK any</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needed authority in order for KHK to control, file, and prosecute the suit as may be necessary; provided, however, that Ardelyx, or Ardelyx and/or its licensor (if the licensor is the owner of such Patent but only to the extent a co-party with Ardelyx) shall have the right to participate at its expense in such action as a party plaintiff(s) and be represented if it so desires by counsel of its own choice. No settlement or consent judgment or other voluntary final disposition of a suit in the Territory under this </w:t>
      </w:r>
      <w:r>
        <w:rPr>
          <w:rFonts w:ascii="Times New Roman;serif" w:hAnsi="Times New Roman;serif"/>
          <w:b w:val="false"/>
          <w:color w:val="000000"/>
          <w:sz w:val="24"/>
          <w:u w:val="single"/>
        </w:rPr>
        <w:t>Section 8.04(a)(ii)</w:t>
      </w:r>
      <w:r>
        <w:rPr>
          <w:color w:val="000000"/>
        </w:rPr>
        <w:t xml:space="preserve"> </w:t>
      </w:r>
      <w:r>
        <w:rPr>
          <w:rFonts w:ascii="Times New Roman;serif" w:hAnsi="Times New Roman;serif"/>
          <w:b w:val="false"/>
          <w:color w:val="000000"/>
          <w:sz w:val="24"/>
        </w:rPr>
        <w:t xml:space="preserve">may be entered into without the consent of Ardelyx and KHK, which consent shall not be withheld, delayed or conditioned unreasonably. If a Japanese court denies KHK’s request for an injunction, provisional order or other legal actions brought pursuant to KHK’s right to control a legal action under this </w:t>
      </w:r>
      <w:r>
        <w:rPr>
          <w:rFonts w:ascii="Times New Roman;serif" w:hAnsi="Times New Roman;serif"/>
          <w:b w:val="false"/>
          <w:color w:val="000000"/>
          <w:sz w:val="24"/>
          <w:u w:val="single"/>
        </w:rPr>
        <w:t>Section 8.04(a)(ii)</w:t>
      </w:r>
      <w:r>
        <w:rPr>
          <w:color w:val="000000"/>
        </w:rPr>
        <w:t xml:space="preserve"> </w:t>
      </w:r>
      <w:r>
        <w:rPr>
          <w:rFonts w:ascii="Times New Roman;serif" w:hAnsi="Times New Roman;serif"/>
          <w:b w:val="false"/>
          <w:color w:val="000000"/>
          <w:sz w:val="24"/>
        </w:rPr>
        <w:t xml:space="preserve">for lack of standing, Ardelyx shall, upon KHK’s reasonable request and under KHK’s direction, file for an injunction, provisional order or other legal actions by counsel of KHK’s choice, at the sole cost and expense of KHK. Ardelyx shall not grant a registered exclusive license (a </w:t>
      </w:r>
      <w:r>
        <w:rPr>
          <w:rFonts w:ascii="Times New Roman;serif" w:hAnsi="Times New Roman;serif"/>
          <w:b w:val="false"/>
          <w:i/>
          <w:color w:val="000000"/>
          <w:sz w:val="24"/>
        </w:rPr>
        <w:t xml:space="preserve">senyo jisshiken </w:t>
      </w:r>
      <w:r>
        <w:rPr>
          <w:rFonts w:ascii="Times New Roman;serif" w:hAnsi="Times New Roman;serif"/>
          <w:b w:val="false"/>
          <w:color w:val="000000"/>
          <w:sz w:val="24"/>
        </w:rPr>
        <w:t>under Section 77 of the Japanese Patent Law) in the Territory to any Third Party with respect to the Ardelyx Controlled Patents.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KHK (or in the case of KHK [***] Patents, KHK and/or KHK’s licensor) shall have the first right, but not the obligation, to institute, prosecute, and control any action or proceeding or negotiation of any settlements at its expense with respect to any infringement of KHK Controlled Patents, by counsel of its own choice with Ardelyx (or, with respect to actions or proceedings or negotiations outside of the Territory, Ardelyx, or Ardelyx and its licensees in such territory where the infringement is alleged to have occurred) having the right to participate in such action or negotiations at its or their own expense and be represented by counsel of its or their own choice. If necessary, at KHK’s discretion, Ardelyx agrees in any such action to be joined as a party plaintiff and to give KHK reasonable assistance and any needed authority in order for KHK to control, file, and to prosecute such action, at KHK’s expense. If KHK elects not to institute and prosecute an action or proceeding or to conduct such negotiation to abate such infringement, within a period of [***] ([***]) days after both Parties become aware of the infringement or suspected infringement, then KHK shall discuss with Ardelyx the reasons for this decision. Ardelyx (or in the case of alleged infringement outside of the Territory, Ardelyx and/or its licensees in such territories where the infringement is alleged to have occurred) shall then have the right, but not the obligation, to institute, prosecute, and control any such action at its expense (but with respect to KHK [***] Patents, only to the extent Patent is a KHK [***] Patent). In such case, KHK, [***] shall give Ardelyx (or its licensee, as the case may be) any needed authority in order for Ardelyx or its licensee to control, file, and prosecute the suit as may be necessary;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KHK shall have the right to participate at its expense in such action as a party plaintiff and be represented if it so desires by counsel of its own choice. No settlement or consent judgment or other voluntary final disposition of a suit (i) in the Territory under this </w:t>
      </w:r>
      <w:r>
        <w:rPr>
          <w:rFonts w:ascii="Times New Roman;serif" w:hAnsi="Times New Roman;serif"/>
          <w:b w:val="false"/>
          <w:color w:val="000000"/>
          <w:sz w:val="24"/>
          <w:u w:val="single"/>
        </w:rPr>
        <w:t>Section 8.04(a)(iii)</w:t>
      </w:r>
      <w:r>
        <w:rPr>
          <w:color w:val="000000"/>
        </w:rPr>
        <w:t xml:space="preserve"> </w:t>
      </w:r>
      <w:r>
        <w:rPr>
          <w:rFonts w:ascii="Times New Roman;serif" w:hAnsi="Times New Roman;serif"/>
          <w:b w:val="false"/>
          <w:color w:val="000000"/>
          <w:sz w:val="24"/>
        </w:rPr>
        <w:t xml:space="preserve">may be entered into without the consent of Ardelyx and KHK, which consent shall not be withheld, delayed or conditioned unreasonably, and (ii) outside of the Territory under this </w:t>
      </w:r>
      <w:r>
        <w:rPr>
          <w:rFonts w:ascii="Times New Roman;serif" w:hAnsi="Times New Roman;serif"/>
          <w:b w:val="false"/>
          <w:color w:val="000000"/>
          <w:sz w:val="24"/>
          <w:u w:val="single"/>
        </w:rPr>
        <w:t>Section 8.04(a)(iii)</w:t>
      </w:r>
      <w:r>
        <w:rPr>
          <w:color w:val="000000"/>
        </w:rPr>
        <w:t xml:space="preserve"> </w:t>
      </w:r>
      <w:r>
        <w:rPr>
          <w:rFonts w:ascii="Times New Roman;serif" w:hAnsi="Times New Roman;serif"/>
          <w:b w:val="false"/>
          <w:color w:val="000000"/>
          <w:sz w:val="24"/>
        </w:rPr>
        <w:t>may entered into without the consent of Ardelyx, and KHK, which consent shall not be withheld, delayed or conditioned unreasonably.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With respect to any proceeding, negotiation or settlement with respect to an alleged infringement within or outside of the Territory, any and all costs that are incurred </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a Party bringing suit in the exercise of rights under </w:t>
      </w:r>
      <w:r>
        <w:rPr>
          <w:rFonts w:ascii="Times New Roman;serif" w:hAnsi="Times New Roman;serif"/>
          <w:b w:val="false"/>
          <w:color w:val="000000"/>
          <w:sz w:val="24"/>
          <w:u w:val="single"/>
        </w:rPr>
        <w:t>Section 8.04(a)(ii)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(including without limitation the internal costs and expenses specifically attributable to such suit) shall be reimbursed first out of any damages or other monetary awards recovered in favor of the Parties. If such recovery is insufficient to reimburse the costs of KHK, KHK’s licensor, Ardelyx and Ardelyx’s licensor or licensee, if applicable, then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With respect to any proceeding, negotiation or settlement with respect to an alleged infringement within or outside of the Territory, any damages remaining after all costs have been reimbursed pursuant to </w:t>
      </w:r>
      <w:r>
        <w:rPr>
          <w:rFonts w:ascii="Times New Roman;serif" w:hAnsi="Times New Roman;serif"/>
          <w:b w:val="false"/>
          <w:color w:val="000000"/>
          <w:sz w:val="24"/>
          <w:u w:val="single"/>
        </w:rPr>
        <w:t>Section 8.04(a)(iv)</w:t>
      </w:r>
      <w:r>
        <w:rPr>
          <w:color w:val="000000"/>
        </w:rPr>
        <w:t xml:space="preserve"> </w:t>
      </w:r>
      <w:r>
        <w:rPr>
          <w:rFonts w:ascii="Times New Roman;serif" w:hAnsi="Times New Roman;serif"/>
          <w:b w:val="false"/>
          <w:color w:val="000000"/>
          <w:sz w:val="24"/>
        </w:rPr>
        <w:t>above, shall be allocated as follows:</w:t>
      </w:r>
    </w:p>
    <w:tbl>
      <w:tblPr>
        <w:tblW w:w="7813" w:type="dxa"/>
        <w:jc w:val="left"/>
        <w:tblInd w:w="0" w:type="dxa"/>
        <w:tblLayout w:type="fixed"/>
        <w:tblCellMar>
          <w:top w:w="28" w:type="dxa"/>
          <w:left w:w="28" w:type="dxa"/>
          <w:bottom w:w="28" w:type="dxa"/>
          <w:right w:w="28" w:type="dxa"/>
        </w:tblCellMar>
      </w:tblPr>
      <w:tblGrid>
        <w:gridCol w:w="587"/>
        <w:gridCol w:w="514"/>
        <w:gridCol w:w="518"/>
        <w:gridCol w:w="419"/>
        <w:gridCol w:w="419"/>
        <w:gridCol w:w="421"/>
        <w:gridCol w:w="964"/>
        <w:gridCol w:w="964"/>
        <w:gridCol w:w="967"/>
        <w:gridCol w:w="597"/>
        <w:gridCol w:w="597"/>
        <w:gridCol w:w="846"/>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bottom w:val="single" w:sz="8" w:space="0" w:color="000000"/>
            </w:tcBorders>
            <w:tcMar>
              <w:top w:w="3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Patent</w:t>
            </w:r>
          </w:p>
        </w:tc>
        <w:tc>
          <w:tcPr>
            <w:tcW w:w="1259" w:type="dxa"/>
            <w:gridSpan w:val="3"/>
            <w:tcBorders>
              <w:top w:val="single" w:sz="8" w:space="0" w:color="000000"/>
              <w:left w:val="single" w:sz="8" w:space="0" w:color="000000"/>
              <w:bottom w:val="single" w:sz="8" w:space="0" w:color="000000"/>
            </w:tcBorders>
            <w:tcMar>
              <w:top w:w="3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Where Suit</w:t>
              <w:br/>
              <w:t>Occurs</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Party Bringing Suit in the</w:t>
              <w:br/>
              <w:t>Exercise of its Rights under</w:t>
              <w:br/>
              <w:t>this Article 8, whether as a</w:t>
              <w:br/>
              <w:t>first right or a second right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Split of Remaining</w:t>
              <w:br/>
              <w:t>Damages</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right w:val="single" w:sz="8" w:space="0" w:color="000000"/>
            </w:tcBorders>
            <w:tcMar>
              <w:top w:w="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tcBorders>
            <w:tcMar>
              <w:top w:w="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right w:val="single" w:sz="8" w:space="0" w:color="000000"/>
            </w:tcBorders>
            <w:tcMar>
              <w:top w:w="0" w:type="dxa"/>
              <w:left w:w="49" w:type="dxa"/>
              <w:bottom w:w="0" w:type="dxa"/>
            </w:tcMar>
            <w:vAlign w:val="center"/>
          </w:tcPr>
          <w:p>
            <w:pPr>
              <w:pStyle w:val="Normal"/>
              <w:bidi w:val="0"/>
              <w:jc w:val="left"/>
              <w:rPr/>
            </w:pPr>
            <w:r>
              <w:rPr/>
            </w:r>
          </w:p>
        </w:tc>
        <w:tc>
          <w:tcPr>
            <w:tcW w:w="1259" w:type="dxa"/>
            <w:gridSpan w:val="3"/>
            <w:vMerge w:val="continue"/>
            <w:tcBorders>
              <w:left w:val="single" w:sz="8" w:space="0" w:color="000000"/>
            </w:tcBorders>
            <w:tcMar>
              <w:top w:w="0" w:type="dxa"/>
              <w:left w:w="49" w:type="dxa"/>
              <w:bottom w:w="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restart"/>
            <w:tcBorders>
              <w:left w:val="single" w:sz="8" w:space="0" w:color="000000"/>
              <w:bottom w:val="single" w:sz="8" w:space="0" w:color="000000"/>
              <w:right w:val="single" w:sz="8" w:space="0" w:color="000000"/>
            </w:tcBorders>
            <w:tcMar>
              <w:top w:w="0" w:type="dxa"/>
              <w:left w:w="49"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59" w:type="dxa"/>
            <w:gridSpan w:val="3"/>
            <w:vMerge w:val="restart"/>
            <w:tcBorders>
              <w:left w:val="single" w:sz="8" w:space="0" w:color="000000"/>
              <w:bottom w:val="single" w:sz="8" w:space="0" w:color="000000"/>
            </w:tcBorders>
            <w:tcMar>
              <w:top w:w="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895" w:type="dxa"/>
            <w:gridSpan w:val="3"/>
            <w:tcBorders>
              <w:top w:val="single" w:sz="8" w:space="0" w:color="000000"/>
              <w:left w:val="single" w:sz="8" w:space="0" w:color="000000"/>
            </w:tcBorders>
            <w:tcMar>
              <w:top w:w="30" w:type="dxa"/>
              <w:left w:w="4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619" w:type="dxa"/>
            <w:gridSpan w:val="3"/>
            <w:vMerge w:val="continue"/>
            <w:tcBorders>
              <w:left w:val="single" w:sz="8" w:space="0" w:color="000000"/>
              <w:bottom w:val="single" w:sz="8" w:space="0" w:color="000000"/>
              <w:right w:val="single" w:sz="8" w:space="0" w:color="000000"/>
            </w:tcBorders>
            <w:tcMar>
              <w:top w:w="0" w:type="dxa"/>
              <w:left w:w="49" w:type="dxa"/>
              <w:bottom w:w="30" w:type="dxa"/>
            </w:tcMar>
            <w:vAlign w:val="center"/>
          </w:tcPr>
          <w:p>
            <w:pPr>
              <w:pStyle w:val="Normal"/>
              <w:bidi w:val="0"/>
              <w:jc w:val="left"/>
              <w:rPr/>
            </w:pPr>
            <w:r>
              <w:rPr/>
            </w:r>
          </w:p>
        </w:tc>
        <w:tc>
          <w:tcPr>
            <w:tcW w:w="1259" w:type="dxa"/>
            <w:gridSpan w:val="3"/>
            <w:vMerge w:val="continue"/>
            <w:tcBorders>
              <w:left w:val="single" w:sz="8" w:space="0" w:color="000000"/>
              <w:bottom w:val="single" w:sz="8" w:space="0" w:color="000000"/>
            </w:tcBorders>
            <w:tcMar>
              <w:top w:w="0" w:type="dxa"/>
              <w:left w:w="49" w:type="dxa"/>
              <w:bottom w:w="30" w:type="dxa"/>
              <w:right w:w="0" w:type="dxa"/>
            </w:tcMar>
            <w:vAlign w:val="center"/>
          </w:tcPr>
          <w:p>
            <w:pPr>
              <w:pStyle w:val="Normal"/>
              <w:bidi w:val="0"/>
              <w:jc w:val="left"/>
              <w:rPr/>
            </w:pPr>
            <w:r>
              <w:rPr/>
            </w:r>
          </w:p>
        </w:tc>
        <w:tc>
          <w:tcPr>
            <w:tcW w:w="2895" w:type="dxa"/>
            <w:gridSpan w:val="3"/>
            <w:tcBorders>
              <w:top w:val="single" w:sz="8" w:space="0" w:color="000000"/>
              <w:left w:val="single" w:sz="8" w:space="0" w:color="000000"/>
              <w:bottom w:val="single" w:sz="8" w:space="0" w:color="000000"/>
            </w:tcBorders>
            <w:tcMar>
              <w:top w:w="30" w:type="dxa"/>
              <w:left w:w="49"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040" w:type="dxa"/>
            <w:gridSpan w:val="3"/>
            <w:tcBorders>
              <w:top w:val="single" w:sz="8" w:space="0" w:color="000000"/>
              <w:left w:val="single" w:sz="8" w:space="0" w:color="000000"/>
              <w:bottom w:val="single" w:sz="8" w:space="0" w:color="000000"/>
              <w:right w:val="single" w:sz="8" w:space="0" w:color="000000"/>
            </w:tcBorders>
            <w:tcMar>
              <w:top w:w="30" w:type="dxa"/>
              <w:left w:w="49"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Defense and Settlement of Third Party Claims Against Licensed Products</w:t>
      </w:r>
      <w:r>
        <w:rPr>
          <w:rFonts w:ascii="Times New Roman;serif" w:hAnsi="Times New Roman;serif"/>
          <w:b w:val="false"/>
          <w:color w:val="000000"/>
          <w:sz w:val="24"/>
        </w:rPr>
        <w:t xml:space="preserve">. If a Third Party asserts that a Patent or other right owned by it is infringed by the Development, Manufacture, or Commercialization of any Licensed Compound or Licensed Product in the Territory, the Party first obtaining knowledge of such a claim shall immediately provide the other Party written notice of such claim and the related facts in reasonable detail. In such event, Ardelyx shall have the first right, but not the obligation to defend and control the defense of such claim at its own expense, using counsel of its own choice. KHK shall have the right to participate in such defense and to be represented in any such action by counsel of its selection at its sole discretion and at its expense. If Ardelyx elects not to defend or control the defense of such claim within a period of [***] ([***]) days, KHK may conduct and control the defense of such claim at its own expense. Each Party shall keep the other Party reasonably informed of all material developments in connection with any such claim. The Party that controls the defense of a given claim with respect to a Licensed Product, shall also have the right to control settlement of such claim;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settlement of any action or suit in the Territory shall be entered into without the written consent of the other Party, which consent shall not be withheld, delayed or conditioned unreasonably.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Settlement of Third Party Claims for Infringement in the Territory; Payment of Third Party Royalties</w:t>
      </w:r>
      <w:r>
        <w:rPr>
          <w:rFonts w:ascii="Times New Roman;serif" w:hAnsi="Times New Roman;serif"/>
          <w:b w:val="false"/>
          <w:color w:val="000000"/>
          <w:sz w:val="24"/>
        </w:rPr>
        <w:t xml:space="preserve">. If a Third Party asserts that a Patent or other right owned by it is infringed by the Development, Manufacture, or Commercialization or other Exploitation of any Licensed Compound or Licensed Product in the Territory, and as a result of settlement procedures or litigation under </w:t>
      </w:r>
      <w:r>
        <w:rPr>
          <w:rFonts w:ascii="Times New Roman;serif" w:hAnsi="Times New Roman;serif"/>
          <w:b w:val="false"/>
          <w:color w:val="000000"/>
          <w:sz w:val="24"/>
          <w:u w:val="single"/>
        </w:rPr>
        <w:t>(b)</w:t>
      </w:r>
      <w:r>
        <w:rPr>
          <w:rFonts w:ascii="Times New Roman;serif" w:hAnsi="Times New Roman;serif"/>
          <w:b w:val="false"/>
          <w:color w:val="000000"/>
          <w:sz w:val="24"/>
        </w:rPr>
        <w:t>, KHK is required to pay the Third Party a royalty or make any payment of any kind for the right to Exploit a Licensed Product in the Territory,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Oppositions by Parties</w:t>
      </w:r>
      <w:r>
        <w:rPr>
          <w:rFonts w:ascii="Times New Roman;serif" w:hAnsi="Times New Roman;serif"/>
          <w:b w:val="false"/>
          <w:color w:val="000000"/>
          <w:sz w:val="24"/>
        </w:rPr>
        <w:t xml:space="preserve">. If either Party desires to bring an opposition, action for declaratory judgment, nullity action, interference, reexamination, or other attack upon the validity, title, or enforceability of any Patents Controlled by a Third Party in the Territory or in a country where the a Licensed Compound or a Licensed Product is Manufactured that claim the Manufacture, use, or sale or other Exploitation of any Licensed Compound or Licensed Product, such Party shall so notify the other Party in writing, and the Parties shall promptly confer to discuss whether to bring such action or the manner in which to settle such action and Ardelyx shall be entitled to determine the matter after having taken any reasonable views presented by KHK into due consideration. The Party not bringing an action under this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shall be entitled to separate representation in such proceeding by counsel of its own choice and at its own expense, and shall otherwise cooperate fully with the Party bringing such action at the other Party’s expense.</w:t>
      </w:r>
    </w:p>
    <w:p>
      <w:pPr>
        <w:pStyle w:val="TextBody"/>
        <w:bidi w:val="0"/>
        <w:spacing w:lineRule="auto" w:line="288"/>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Oppositions by Third Parties</w:t>
      </w:r>
      <w:r>
        <w:rPr>
          <w:rFonts w:ascii="Times New Roman;serif" w:hAnsi="Times New Roman;serif"/>
          <w:b w:val="false"/>
          <w:color w:val="000000"/>
          <w:sz w:val="24"/>
        </w:rPr>
        <w:t xml:space="preserve">. If any Patent becomes the subject of any proceeding commenced by a Third Party in connection with an opposition, reexamination request, action for declaratory judgment, nullity action, interference, or other attack upon the validity, title, or enforceability thereof in the Territory, then the Party having the right to prosecute such Patent at such time pursuant to </w:t>
      </w:r>
      <w:r>
        <w:rPr>
          <w:rFonts w:ascii="Times New Roman;serif" w:hAnsi="Times New Roman;serif"/>
          <w:b w:val="false"/>
          <w:color w:val="000000"/>
          <w:sz w:val="24"/>
          <w:u w:val="single"/>
        </w:rPr>
        <w:t>Sectio 8.02(b)</w:t>
      </w:r>
      <w:r>
        <w:rPr>
          <w:color w:val="000000"/>
        </w:rPr>
        <w:t xml:space="preserve"> </w:t>
      </w:r>
      <w:r>
        <w:rPr>
          <w:rFonts w:ascii="Times New Roman;serif" w:hAnsi="Times New Roman;serif"/>
          <w:b w:val="false"/>
          <w:color w:val="000000"/>
          <w:sz w:val="24"/>
        </w:rPr>
        <w:t>shall control such defense, at its sole cost. The prosecuting Party shall permit the non-prosecuting Party, and in the case of an Ardelyx [***] Patent, Ardelyx’s licensor [***], to participate in the proceeding to the extent permissible under law, and to be represented by its own counsel in such proceeding, at the non-prosecuting Party’s expense. If either Party decides that it does not wish to defend against such action, then the other Party shall have a backup right to assume defense of such Third Party action at its own expense. Any awards</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lineRule="auto" w:line="288" w:before="240" w:after="240"/>
        <w:jc w:val="both"/>
        <w:rPr/>
      </w:pPr>
      <w:r>
        <w:rPr>
          <w:rFonts w:ascii="Times New Roman;serif" w:hAnsi="Times New Roman;serif"/>
          <w:b w:val="false"/>
          <w:color w:val="000000"/>
          <w:sz w:val="24"/>
        </w:rPr>
        <w:t xml:space="preserve">or amounts received in defending any such Third Party action shall be allocated [***]. Any recoveries obtained in such action shall be shared, as set forth in </w:t>
      </w:r>
      <w:r>
        <w:rPr>
          <w:rFonts w:ascii="Times New Roman;serif" w:hAnsi="Times New Roman;serif"/>
          <w:b w:val="false"/>
          <w:color w:val="000000"/>
          <w:sz w:val="24"/>
          <w:u w:val="single"/>
        </w:rPr>
        <w:t>Section 8.04(a)(v)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Protective Order</w:t>
      </w:r>
      <w:r>
        <w:rPr>
          <w:rFonts w:ascii="Times New Roman;serif" w:hAnsi="Times New Roman;serif"/>
          <w:b w:val="false"/>
          <w:color w:val="000000"/>
          <w:sz w:val="24"/>
        </w:rPr>
        <w:t xml:space="preserve">. If, in any action brought pursuant to this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any information is the subject of a protective order that may be reviewed by counsel only, the Parties shall endeavor to structure such protective order so as to enable their respective internal counsel to be included as permitted reviewers of such information.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8.05 </w:t>
      </w:r>
      <w:r>
        <w:rPr>
          <w:rFonts w:ascii="Times New Roman;serif" w:hAnsi="Times New Roman;serif"/>
          <w:b/>
          <w:color w:val="000000"/>
          <w:sz w:val="24"/>
          <w:u w:val="single"/>
        </w:rPr>
        <w:t>Trademarks, Packaging and Labeling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Selection</w:t>
      </w:r>
      <w:r>
        <w:rPr>
          <w:rFonts w:ascii="Times New Roman;serif" w:hAnsi="Times New Roman;serif"/>
          <w:b w:val="false"/>
          <w:color w:val="000000"/>
          <w:sz w:val="24"/>
        </w:rPr>
        <w:t>. Subject to applicable regulatory requirements and on a Licensed Product by Licensed Product basis, KHK shall have the option to (i) select the Trademarks to be used for the marketing and sale of the Licensed Products in the Territory or (ii) license from Ardelyx the Trademarks owned by Ardelyx (“</w:t>
      </w:r>
      <w:r>
        <w:rPr>
          <w:rFonts w:ascii="Times New Roman;serif" w:hAnsi="Times New Roman;serif"/>
          <w:b/>
          <w:color w:val="000000"/>
          <w:sz w:val="24"/>
        </w:rPr>
        <w:t>Ardelyx Trademarks</w:t>
      </w:r>
      <w:r>
        <w:rPr>
          <w:color w:val="000000"/>
        </w:rPr>
        <w:t>”</w:t>
      </w:r>
      <w:r>
        <w:rPr>
          <w:rFonts w:ascii="Times New Roman;serif" w:hAnsi="Times New Roman;serif"/>
          <w:b w:val="false"/>
          <w:color w:val="000000"/>
          <w:sz w:val="24"/>
        </w:rPr>
        <w:t>), in each case (i) and (ii), to use in connection with the Commercialization of each Licensed Product (in either case, “</w:t>
      </w:r>
      <w:r>
        <w:rPr>
          <w:rFonts w:ascii="Times New Roman;serif" w:hAnsi="Times New Roman;serif"/>
          <w:b/>
          <w:color w:val="000000"/>
          <w:sz w:val="24"/>
        </w:rPr>
        <w:t>Product Trademarks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KHK Trademark</w:t>
      </w:r>
      <w:r>
        <w:rPr>
          <w:rFonts w:ascii="Times New Roman;serif" w:hAnsi="Times New Roman;serif"/>
          <w:b w:val="false"/>
          <w:color w:val="000000"/>
          <w:sz w:val="24"/>
        </w:rPr>
        <w:t>. If KHK decides to select its own Trademarks for the Commercialization of a Licensed Product (“</w:t>
      </w:r>
      <w:r>
        <w:rPr>
          <w:rFonts w:ascii="Times New Roman;serif" w:hAnsi="Times New Roman;serif"/>
          <w:b/>
          <w:color w:val="000000"/>
          <w:sz w:val="24"/>
        </w:rPr>
        <w:t>KHK Trademarks</w:t>
      </w:r>
      <w:r>
        <w:rPr>
          <w:color w:val="000000"/>
        </w:rPr>
        <w:t>”</w:t>
      </w:r>
      <w:r>
        <w:rPr>
          <w:rFonts w:ascii="Times New Roman;serif" w:hAnsi="Times New Roman;serif"/>
          <w:b w:val="false"/>
          <w:color w:val="000000"/>
          <w:sz w:val="24"/>
        </w:rPr>
        <w:t>), KHK shall solely bear the full costs and expense of and be responsible for filing, prosecuting and maintaining all KHK Trademarks. KHK shall, in its sole discretion, protect, defend, and maintain each KHK Trademark for use with Licensed Products in the Territory, and all registrations therefor. Ardelyx shall notify KHK promptly in writing upon learning of any actual, alleged, or threatened infringement of a KHK Trademark used in connection with Licensed Compounds or Licensed Products or of any unfair trade practices, trade dress imitation, passing off of counterfeit goods, or like offenses with respect to Licensed Compounds or Licensed Products. Ardelyx shall cooperate as reasonably requested by KHK in any actions or proceedings brought by KHK to halt the infringement. All of the [***] in bringing, maintaining, and prosecuting any action to maintain, protect, or defend a KHK Trademark (or registration therefor) shall be borne [***]. Any recovery in any such action that is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Ardelyx Trademark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If KHK decides to license one or more Ardelyx Trademarks to Commercialize a Licensed Product in the Field and in the Territory, KHK shall provide a written notice (“</w:t>
      </w:r>
      <w:r>
        <w:rPr>
          <w:rFonts w:ascii="Times New Roman;serif" w:hAnsi="Times New Roman;serif"/>
          <w:b/>
          <w:color w:val="000000"/>
          <w:sz w:val="24"/>
        </w:rPr>
        <w:t>Trademark Notice</w:t>
      </w:r>
      <w:r>
        <w:rPr>
          <w:color w:val="000000"/>
        </w:rPr>
        <w:t>”</w:t>
      </w:r>
      <w:r>
        <w:rPr>
          <w:rFonts w:ascii="Times New Roman;serif" w:hAnsi="Times New Roman;serif"/>
          <w:b w:val="false"/>
          <w:color w:val="000000"/>
          <w:sz w:val="24"/>
        </w:rPr>
        <w:t xml:space="preserve">) to Ardelyx indicating which such Ardelyx Trademarks it wishes to license from Ardelyx. Upon Ardelyx’s receipt of the Trademark Notice, the Parties shall discuss in good faith a license grant under which Ardelyx would grant KHK a royalty-free (subject to this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license, sublicensable exclusive license to use the Ardelyx Trademarks indicated in the Trademark Notice in the Field and in the Territory during the Term;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event KHK wishes to use the Ardelyx Trademark licensed pursuant to this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upon expiration of the Term, then KHK shall pay to Ardelyx a royalty on the Annual Net Sales of the applicable Licensed Product made by KHK, its Affiliates, or its Sublicensees at a rate of [***] percent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Ardelyx shall solely bear the full costs and expense of and be responsible for filing, prosecuting and maintaining all Ardelyx Trademarks. Ardelyx shall, protect,</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defend, and maintain each Ardelyx Trademark and all registrations therefor, and file a request for registration of the exclusive right to use the Ardelyx Trademark (</w:t>
      </w:r>
      <w:r>
        <w:rPr>
          <w:rFonts w:ascii="Times New Roman;serif" w:hAnsi="Times New Roman;serif"/>
          <w:b w:val="false"/>
          <w:i/>
          <w:color w:val="000000"/>
          <w:sz w:val="24"/>
        </w:rPr>
        <w:t>tsujyou shiyouken</w:t>
      </w:r>
      <w:r>
        <w:rPr>
          <w:color w:val="000000"/>
        </w:rPr>
        <w:t xml:space="preserve"> </w:t>
      </w:r>
      <w:r>
        <w:rPr>
          <w:rFonts w:ascii="Times New Roman;serif" w:hAnsi="Times New Roman;serif"/>
          <w:b w:val="false"/>
          <w:color w:val="000000"/>
          <w:sz w:val="24"/>
        </w:rPr>
        <w:t xml:space="preserve">under Section 31 of the Japanese Trademark Law or </w:t>
      </w:r>
      <w:r>
        <w:rPr>
          <w:rFonts w:ascii="Times New Roman;serif" w:hAnsi="Times New Roman;serif"/>
          <w:b w:val="false"/>
          <w:i/>
          <w:color w:val="000000"/>
          <w:sz w:val="24"/>
        </w:rPr>
        <w:t>senyou shiyouken</w:t>
      </w:r>
      <w:r>
        <w:rPr>
          <w:color w:val="222222"/>
        </w:rPr>
        <w:t xml:space="preserve"> </w:t>
      </w:r>
      <w:r>
        <w:rPr>
          <w:rFonts w:ascii="Times New Roman;serif" w:hAnsi="Times New Roman;serif"/>
          <w:b w:val="false"/>
          <w:color w:val="222222"/>
          <w:sz w:val="24"/>
        </w:rPr>
        <w:t>under Section 30 of the Japanese Trademark Law</w:t>
      </w:r>
      <w:r>
        <w:rPr>
          <w:rFonts w:ascii="Times New Roman;serif" w:hAnsi="Times New Roman;serif"/>
          <w:b w:val="false"/>
          <w:color w:val="000000"/>
          <w:sz w:val="24"/>
        </w:rPr>
        <w:t>) at the Japan Patent Office if KHK so requests. KHK shall notify Ardelyx promptly in writing upon learning of any actual, alleged, or threatened infringement of a Ardelyx Trademark used in connection with Licensed Compounds or Licensed Products or of any unfair trade practices, trade dress imitation, passing off of counterfeit goods, or like offenses with respect to Licensed Compounds or Licensed Products. Ardelyx shall have the right, but not the obligation, to institute, prosecute and control any action, proceeding or negotiation of any settlements in the Territory with respect to any infringement of Ardelyx Trademarks. KHK shall cooperate as reasonably requested by Ardelyx in any actions or proceedings brought by Ardelyx to halt the infringement. All of the unrecovered costs, expenses, and legal fees (including without limitation internal costs, expenses, and legal fees) in bringing, maintaining, and prosecuting any action to maintain, protect, or defend a Ardelyx Trademark (or registration therefor) shall be borne solely by Ardelyx.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an Ardelyx Trademark becomes the subject of any proceeding commenced by a Third Party in connection with an opposition or other attack upon the validity, title, or enforceability thereof in the Territory, then Ardelyx shall have the first right, but not the obligation, to control such defense, at its sole cost. Ardelyx shall permit KHK to participate in the proceeding to the extent permissible under the Applicable Law, and to be represented by its own counsel in such proceeding, at KHK’s expense. If senyou shiyouken is registered and upon KHK’s request, KHK shall control such defense, at its sole cost. Then KHK shall permit Ardelyx to participate in the proceeding to the extent permissible under the Applicable law, and to be represented by its own counsel in such proceeding, at Ardelyx’s expense. Any awards or amounts or recoveries received in defending any such Third Party action shall be allocated based on the percentage of costs incurred by the Parties in defending such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KHK shall be responsible for the design and procurement of all packaging (non-commercial and commercial) and labeling of the Licensed Products.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REPRESENTATIONS, WARRANTIES, AND COVENANTS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9.01 </w:t>
      </w:r>
      <w:r>
        <w:rPr>
          <w:rFonts w:ascii="Times New Roman;serif" w:hAnsi="Times New Roman;serif"/>
          <w:b/>
          <w:color w:val="000000"/>
          <w:sz w:val="24"/>
          <w:u w:val="single"/>
        </w:rPr>
        <w:t>Representations, Warranties, and Covenants</w:t>
      </w:r>
      <w:r>
        <w:rPr>
          <w:rFonts w:ascii="Times New Roman;serif" w:hAnsi="Times New Roman;serif"/>
          <w:b/>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Parties hereby represents and warrants to the other Party that: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Licensed Compounds and Licensed Products as contemplated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such Party has not, and during the Term shall not, grant any right to any Third Party relating to its respective Patents and Know-How which would conflict with the rights granted to the other Party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such Party shall at all times and in all material respects comply with all Applicable Laws relating to its activities under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All employees of each Party or its Affiliates performing activities under this Agreement shall be under an obligation to assign all right, title and interest in and to their inventions, Information and discoveries, whether or not patentable, and IPRs therein, to such Party or its Affiliate(s) as the sole owner thereof. The other Party shall have no obligation to contribute to any remuneration of any inventor employed or previously employed by such Party or any of its Affiliates in respect of any such inventions, Information and discoveries and IPRs therein that are so assigned to such Party or its Affiliate(s). Such Party shall pay all such remuneration due to such inventors with respect to such inventions, Information and discoveries and IPRs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Ardelyx represents, warrants and covenants as of the Effective Date to KHK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Title; Encumbrances</w:t>
      </w:r>
      <w:r>
        <w:rPr>
          <w:rFonts w:ascii="Times New Roman;serif" w:hAnsi="Times New Roman;serif"/>
          <w:b w:val="false"/>
          <w:color w:val="000000"/>
          <w:sz w:val="24"/>
        </w:rPr>
        <w:t>. It has sufficient legal or beneficial title, ownership, rights or license in the Licensed Technology to grant the licenses to KHK described in this Agreement. The Compound Patents and the Additional Patents are free and clear from any mortgages, pledges, liens, security interests or encumbrances;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u w:val="single"/>
        </w:rPr>
        <w:t>Infringement or Misappropriation</w:t>
      </w:r>
      <w:r>
        <w:rPr>
          <w:rFonts w:ascii="Times New Roman;serif" w:hAnsi="Times New Roman;serif"/>
          <w:b w:val="false"/>
          <w:color w:val="000000"/>
          <w:sz w:val="24"/>
        </w:rPr>
        <w:t>. To Ardelyx’s Knowledge, the Licensed Technology in the Territory will not infringe, violate or misappropriate the intellectual property rights of any Third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u w:val="single"/>
        </w:rPr>
        <w:t>Third Party Infringement</w:t>
      </w:r>
      <w:r>
        <w:rPr>
          <w:rFonts w:ascii="Times New Roman;serif" w:hAnsi="Times New Roman;serif"/>
          <w:b w:val="false"/>
          <w:color w:val="000000"/>
          <w:sz w:val="24"/>
        </w:rPr>
        <w:t>. To Ardelyx’s Knowledge, no Third Party is infringing, violating or misappropriating, or has threatened in writing to infringe or misappropriate, any Licensed Technology in the Territory;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w:t>
      </w:r>
      <w:r>
        <w:rPr>
          <w:rFonts w:ascii="Times New Roman;serif" w:hAnsi="Times New Roman;serif"/>
          <w:b w:val="false"/>
          <w:color w:val="000000"/>
          <w:sz w:val="24"/>
          <w:u w:val="single"/>
        </w:rPr>
        <w:t>No Proceeding</w:t>
      </w:r>
      <w:r>
        <w:rPr>
          <w:rFonts w:ascii="Times New Roman;serif" w:hAnsi="Times New Roman;serif"/>
          <w:b w:val="false"/>
          <w:color w:val="000000"/>
          <w:sz w:val="24"/>
        </w:rPr>
        <w:t>. There is no actual, suspected, pending, or, to Ardelyx’s Knowledge, threatened, adverse action, suit, proceeding, claim or formal governmental investigations in the Territory against Ardelyx involving the Licensed Technology;</w:t>
      </w:r>
    </w:p>
    <w:p>
      <w:pPr>
        <w:pStyle w:val="TextBody"/>
        <w:bidi w:val="0"/>
        <w:spacing w:lineRule="auto" w:line="288"/>
        <w:ind w:left="0" w:right="0" w:firstLine="720"/>
        <w:jc w:val="both"/>
        <w:rPr/>
      </w:pPr>
      <w:r>
        <w:rPr>
          <w:rFonts w:ascii="Times New Roman;serif" w:hAnsi="Times New Roman;serif"/>
          <w:b w:val="false"/>
          <w:color w:val="000000"/>
          <w:sz w:val="24"/>
        </w:rPr>
        <w:t xml:space="preserve">(v) </w:t>
      </w:r>
      <w:r>
        <w:rPr>
          <w:rFonts w:ascii="Times New Roman;serif" w:hAnsi="Times New Roman;serif"/>
          <w:b w:val="false"/>
          <w:color w:val="000000"/>
          <w:sz w:val="24"/>
          <w:u w:val="single"/>
        </w:rPr>
        <w:t>Enforceability, Validity</w:t>
      </w:r>
      <w:r>
        <w:rPr>
          <w:rFonts w:ascii="Times New Roman;serif" w:hAnsi="Times New Roman;serif"/>
          <w:b w:val="false"/>
          <w:color w:val="000000"/>
          <w:sz w:val="24"/>
        </w:rPr>
        <w:t>. All applicable filing, maintenance and other fees required to be paid to maintain the Licensed Patents in the Territory as of the Effective</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Date have been timely paid (as such due date may be extended in accordance with Applicable Law or patent authority rules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w:t>
      </w:r>
      <w:r>
        <w:rPr>
          <w:rFonts w:ascii="Times New Roman;serif" w:hAnsi="Times New Roman;serif"/>
          <w:b w:val="false"/>
          <w:color w:val="000000"/>
          <w:sz w:val="24"/>
          <w:u w:val="single"/>
        </w:rPr>
        <w:t>Full Disclosure</w:t>
      </w:r>
      <w:r>
        <w:rPr>
          <w:rFonts w:ascii="Times New Roman;serif" w:hAnsi="Times New Roman;serif"/>
          <w:b w:val="false"/>
          <w:color w:val="000000"/>
          <w:sz w:val="24"/>
        </w:rPr>
        <w:t>. Ardelyx has disclosed to KHK all material information in Ardelyx’s possession requested by KHK pertaining to the Licensed Technology, and Ardelyx has not knowingly withheld any material information applicable to KHK’s ability to Develop, Manufacture or Commercialize the Licensed Products in the Field in the Territory as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 </w:t>
      </w:r>
      <w:r>
        <w:rPr>
          <w:rFonts w:ascii="Times New Roman;serif" w:hAnsi="Times New Roman;serif"/>
          <w:b w:val="false"/>
          <w:color w:val="000000"/>
          <w:sz w:val="24"/>
          <w:u w:val="single"/>
        </w:rPr>
        <w:t>No Conflicts</w:t>
      </w:r>
      <w:r>
        <w:rPr>
          <w:rFonts w:ascii="Times New Roman;serif" w:hAnsi="Times New Roman;serif"/>
          <w:b w:val="false"/>
          <w:color w:val="000000"/>
          <w:sz w:val="24"/>
        </w:rPr>
        <w:t>. During the Term, Ardelyx shall not grant any right to any Third Party that conflicts with the rights granted to KHK under this Agreement. Ardelyx is not under any obligation, contractual or otherwise, to any Third Party that conflicts with or is inconsistent in any material respect with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(viii) </w:t>
      </w:r>
      <w:r>
        <w:rPr>
          <w:rFonts w:ascii="Times New Roman;serif" w:hAnsi="Times New Roman;serif"/>
          <w:b w:val="false"/>
          <w:color w:val="000000"/>
          <w:sz w:val="24"/>
          <w:u w:val="single"/>
        </w:rPr>
        <w:t>Patents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Exhibits B and C</w:t>
      </w:r>
      <w:r>
        <w:rPr>
          <w:color w:val="000000"/>
        </w:rPr>
        <w:t xml:space="preserve"> </w:t>
      </w:r>
      <w:r>
        <w:rPr>
          <w:rFonts w:ascii="Times New Roman;serif" w:hAnsi="Times New Roman;serif"/>
          <w:b w:val="false"/>
          <w:color w:val="000000"/>
          <w:sz w:val="24"/>
        </w:rPr>
        <w:t>include a complete and accurate list of all Patents owned or in-licensed by Ardelyx or any of its Affiliates in the Territory as of the Effective Date that claim the Licensed Product, or any method of using the Licensed Product. There are no other Patents Controlled by Ardelyx that would be infringed by the Manufacture of the Licensed Compound or the Licensed Product in the Territory or outside of the Territory, and there are no Ardelyx [***] Patents as of the Effective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 are [***] for [***] regardless of [***] (and to the extent [***], and the [***] for [***] regardless of [***], [***] shall [***];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 </w:t>
      </w:r>
      <w:r>
        <w:rPr>
          <w:rFonts w:ascii="Times New Roman;serif" w:hAnsi="Times New Roman;serif"/>
          <w:b w:val="false"/>
          <w:color w:val="000000"/>
          <w:sz w:val="24"/>
          <w:u w:val="single"/>
        </w:rPr>
        <w:t>Conduct of Development</w:t>
      </w:r>
      <w:r>
        <w:rPr>
          <w:rFonts w:ascii="Times New Roman;serif" w:hAnsi="Times New Roman;serif"/>
          <w:b w:val="false"/>
          <w:color w:val="000000"/>
          <w:sz w:val="24"/>
        </w:rPr>
        <w:t>. As of the Effective Date, Ardelyx has conducted the Development of Licensed Products in compliance with Applicable Laws in all material respects.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KHK represents, warrants and covenants as of the Effective Date to Ardelyx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KHK has not been debarred by the FDA (and is not subject to any similar sanction of other Regulatory Health Authorities in the Territory), and is not subject to any such debarment or similar sanction by any such Regulatory Health Authority, and KHK has not used, and shall not engage, in any capacity, in connection with this Agreement, any Person who either has been debarred by such a Regulatory Health Authority, or is the subject of a conviction described in Section 306 of the FFDCA (21 U.S.C. §335a). KHK shall inform Ardelyx in writing immediately if it or any Person engaged by KHK who is performing services under this Agreement is debarred or is the subject of a conviction described in Section 306 of the FFDCA (21 U.S.C. §335a), or if any action, suit, claim, investigation or legal or administrative proceeding is pending or, to KHK’s knowledge, is threatened, relating to the debarment or conviction of KHK or any such Person performing services hereunder.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KHK shall not knowingly engage in any activities that use the inventions covered or claimed in the Licensed Patents, Ardelyx [***] Patents or any Licensed Know-How in a manner that is outside the scope of the license rights expressly granted to it hereunder.</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KHK has determined in good faith that no filing is required under the Hart-Scott-Rodino Antitrust Improvements Act of 1976, as amended with respect to this Agreement or the transactions contemplated herein, it being understood that KHK in making such determination has relied on the information provided by Ardelyx regarding Ardelyx’s and its Affiliates’ corporate structure and financial status.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KHK shall perform, or cause its Affiliates or Third Party contractors to perform, its responsibilities under this Agreement in compliance with this Agreement, all Applicable Laws, applicable FDA (or foreign equivalent) requirements, including, without limitation, then-current GLP, GCP and GMP.</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9.02 </w:t>
      </w:r>
      <w:r>
        <w:rPr>
          <w:rFonts w:ascii="Times New Roman;serif" w:hAnsi="Times New Roman;serif"/>
          <w:b/>
          <w:color w:val="000000"/>
          <w:sz w:val="24"/>
          <w:u w:val="single"/>
        </w:rPr>
        <w:t>Manufacturing by Ardelyx and KHK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KHK covenants to Ardelyx that any Licensed Compound or Licensed Product for Development or Commercial use that is Manufactured by or for KHK or its Affiliates (other than by or on behalf of Ardelyx or its Affiliates) shall: (i) be manufactured in compliance with Applicable Laws; (ii) conform to the applicable Specifications for such Licensed Compound or Licensed Product; (iii) conform to the certificates of analysis supplied with the shipment of such Licensed Product; and (iv) shall be packaged and shipped in accordance with the applicable Specifications therefor in effect at the time of delivery.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Ardelyx covenants to KHK that any Licensed Compound or Licensed Product for Development or Commercial use by or for KHK or its Affiliates that is Manufactured by Ardelyx, its Affiliates or any of their contract manufacturing organizations shall: (i) be manufactured in compliance with Applicable Laws; (ii) conform to the applicable Specifications for such Licensed Compound or Licensed Product; (iii) conform to the certificates of analysis supplied with the shipment of such Licensed Product; and (iv) shall be packaged and shipped in accordance with the applicable Specifications therefor in effect at the time of delivery.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9.03 </w:t>
      </w:r>
      <w:r>
        <w:rPr>
          <w:rFonts w:ascii="Times New Roman;serif" w:hAnsi="Times New Roman;serif"/>
          <w:b/>
          <w:color w:val="000000"/>
          <w:sz w:val="24"/>
          <w:u w:val="single"/>
        </w:rPr>
        <w:t>No Debarment</w:t>
      </w:r>
      <w:r>
        <w:rPr>
          <w:rFonts w:ascii="Times New Roman;serif" w:hAnsi="Times New Roman;serif"/>
          <w:b w:val="false"/>
          <w:color w:val="000000"/>
          <w:sz w:val="24"/>
        </w:rPr>
        <w:t xml:space="preserve">. In the course of the Development of Licensed Compound and Licensed Product in accordance with this Agreement, neither Party has used, and during the term of this Agreement neither Party shall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w:t>
      </w:r>
      <w:r>
        <w:rPr>
          <w:rFonts w:ascii="Times New Roman;serif" w:hAnsi="Times New Roman;serif"/>
          <w:b w:val="false"/>
          <w:color w:val="000000"/>
          <w:sz w:val="24"/>
          <w:u w:val="single"/>
        </w:rPr>
        <w:t>Section 9.01(b)(iv)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9.01(c)(i)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9.04 </w:t>
      </w:r>
      <w:r>
        <w:rPr>
          <w:rFonts w:ascii="Times New Roman;serif" w:hAnsi="Times New Roman;serif"/>
          <w:b/>
          <w:color w:val="000000"/>
          <w:sz w:val="24"/>
          <w:u w:val="single"/>
        </w:rPr>
        <w:t>Anti-Bribery and Anti-Corruption Compliance</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 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Times New Roman;serif" w:hAnsi="Times New Roman;serif"/>
          <w:b/>
          <w:color w:val="000000"/>
          <w:sz w:val="24"/>
        </w:rPr>
        <w:t>Party Representatives</w:t>
      </w:r>
      <w:r>
        <w:rPr>
          <w:color w:val="000000"/>
        </w:rPr>
        <w:t>”</w:t>
      </w:r>
      <w:r>
        <w:rPr>
          <w:rFonts w:ascii="Times New Roman;serif" w:hAnsi="Times New Roman;serif"/>
          <w:b w:val="false"/>
          <w:color w:val="000000"/>
          <w:sz w:val="24"/>
        </w:rPr>
        <w:t>) that in connection with the performance of its obligations hereunder, the Party Representatives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shall not directly or indirectly pay, offer or promise to pay, or authorize the payment of any money, or give, offer or promise to give, or authorize the giving of anything else of value, 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Government Official in order to influence official 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any Government Official (AA) to influence such Person to act in breach of a duty of good faith, impartiality or trust (“</w:t>
      </w:r>
      <w:r>
        <w:rPr>
          <w:rFonts w:ascii="Times New Roman;serif" w:hAnsi="Times New Roman;serif"/>
          <w:b/>
          <w:color w:val="000000"/>
          <w:sz w:val="24"/>
        </w:rPr>
        <w:t>acting improperly</w:t>
      </w:r>
      <w:r>
        <w:rPr>
          <w:color w:val="000000"/>
        </w:rPr>
        <w:t>”</w:t>
      </w:r>
      <w:r>
        <w:rPr>
          <w:rFonts w:ascii="Times New Roman;serif" w:hAnsi="Times New Roman;serif"/>
          <w:b w:val="false"/>
          <w:color w:val="000000"/>
          <w:sz w:val="24"/>
        </w:rPr>
        <w:t>), (BB) to reward such Person for acting improperly, or (CC) where such Person would be acting improperly by receiving the money or other thing of value;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other Person while knowing or having reason to believe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Party Representatives shall not, directly or indirectly, solicit, receive or agree to accept any payment of money or anything else of value in violation of the Anti-Corruption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Each Party, on behalf of itself and its other Party Representatives, represents and warrants to the other Party that for the Term and three (3) years thereafter, such Party shall keep and maintain accurate books and reasonably detailed records reasonably required to establish compliance with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Each Party shall promptly provide the other Party with written notice of the following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Upon becoming aware of any breach or violation by the first Party or its Party Representative of any representation, warranty or undertaking set forth in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Upon receiving a formal notification that it is the target of a formal investigation by a Regulatory Authority for a Material Anti-Corruption Law Violation or upon receipt of information from any of its Party Representatives connected with this Agreement that any of them is the target of a formal investigation by a Regulatory Authority for a Material Anti-Corruption Law Violation.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(e) Without prejudice to any auditing or inspection rights that are set forth elsewhere in this Agreement, each Party shall, for the Term and three (3) years thereafter, for the purpose of allowing the other Party to audit and monitor the performance of its compliance with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permit the other Party, its Affiliates, any auditors of any of them and any Regulatory Authority to have access, upon reasonable advance notice, during normal business hours to any premises of such first Party or its other Party Representatives used in connection with this Agreement, together with a right to access personnel and records that relate to this Agreement. The results of any such audit shall constitute Confidential Information of the audited Party, in respect of which the other Party shall comply with the provisions contained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(subject to the terms and exceptions set forth therein).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 Each Party shall be responsible for any breach of any representation, warranty, covenant or undertaking in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or of the Anti-Corruption Laws by its Party Representatives.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Each Party may disclose the terms of this Agreement or any action taken under this </w:t>
      </w:r>
      <w:r>
        <w:rPr>
          <w:rFonts w:ascii="Times New Roman;serif" w:hAnsi="Times New Roman;serif"/>
          <w:b w:val="false"/>
          <w:color w:val="000000"/>
          <w:sz w:val="24"/>
          <w:u w:val="single"/>
        </w:rPr>
        <w:t>0</w:t>
      </w:r>
      <w:r>
        <w:rPr>
          <w:color w:val="000000"/>
        </w:rPr>
        <w:t xml:space="preserve"> </w:t>
      </w:r>
      <w:r>
        <w:rPr>
          <w:rFonts w:ascii="Times New Roman;serif" w:hAnsi="Times New Roman;serif"/>
          <w:b w:val="false"/>
          <w:color w:val="000000"/>
          <w:sz w:val="24"/>
        </w:rPr>
        <w:t>to prevent a potential violation or address a continuing violation of applicable Anti-Corruption Laws, including the identity of the other Party and the payment terms, to any governmental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authority if and to the extent the first Party reasonably determines, upon advice of counsel, that such disclosure is necessary.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9.05 </w:t>
      </w:r>
      <w:r>
        <w:rPr>
          <w:rFonts w:ascii="Times New Roman;serif" w:hAnsi="Times New Roman;serif"/>
          <w:b/>
          <w:color w:val="000000"/>
          <w:sz w:val="24"/>
          <w:u w:val="single"/>
        </w:rPr>
        <w:t>Disclaimer</w:t>
      </w:r>
      <w:r>
        <w:rPr>
          <w:rFonts w:ascii="Times New Roman;serif" w:hAnsi="Times New Roman;serif"/>
          <w:b w:val="false"/>
          <w:color w:val="000000"/>
          <w:sz w:val="24"/>
        </w:rPr>
        <w:t xml:space="preserve">. EXCEPT AS EXPRESSLY SET FORTH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THE PARTIES MAKE NO REPRESENTATIONS OR WARRANTIES OF ANY KIND WHATSOEVER, EITHER EXPRESS OR IMPLIED, WRITTEN OR ORAL, INCLUDING WITHOUT LIMITATION ANY IMPLIED WARRANTY OF MERCHANTABILITY, WARRANTY OF FITNESS FOR A PARTICULAR PURPOSE, OR WARRANTY OF NON-INFRINGEMENT.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RECORD RETENTION, AUDIT AND USE OF NAME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10.01 </w:t>
      </w:r>
      <w:r>
        <w:rPr>
          <w:rFonts w:ascii="Times New Roman;serif" w:hAnsi="Times New Roman;serif"/>
          <w:b/>
          <w:color w:val="000000"/>
          <w:sz w:val="24"/>
          <w:u w:val="single"/>
        </w:rPr>
        <w:t>Records Retention; Audit</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Each Party shall keep or cause to be kept accurate records of account in accordance with </w:t>
      </w:r>
      <w:r>
        <w:rPr>
          <w:rFonts w:ascii="Times New Roman;serif" w:hAnsi="Times New Roman;serif"/>
          <w:b w:val="false"/>
          <w:color w:val="222222"/>
          <w:sz w:val="24"/>
        </w:rPr>
        <w:t>Japanese Generally Accepted Accounting Principles</w:t>
      </w:r>
      <w:r>
        <w:rPr>
          <w:rFonts w:ascii="Times New Roman;serif" w:hAnsi="Times New Roman;serif"/>
          <w:b w:val="false"/>
          <w:color w:val="000000"/>
          <w:sz w:val="24"/>
        </w:rPr>
        <w:t xml:space="preserve">, in the case of KHK, and in accordance with GAAP, in the case of Ardelyx, showing information that is necessary for the accurate determination of the royalties and other payments due under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or any other payment due hereunder. Such records or books of account shall be kept until the [***] ([***]) anniversary of December 31 of the Calendar Year in which the relevant Licensed Product are sold (in the case of royalty or other payments due under </w:t>
      </w:r>
      <w:r>
        <w:rPr>
          <w:rFonts w:ascii="Times New Roman;serif" w:hAnsi="Times New Roman;serif"/>
          <w:b w:val="false"/>
          <w:color w:val="000000"/>
          <w:sz w:val="24"/>
          <w:u w:val="single"/>
        </w:rPr>
        <w:t>Section 6.04</w:t>
      </w:r>
      <w:r>
        <w:rPr>
          <w:rFonts w:ascii="Times New Roman;serif" w:hAnsi="Times New Roman;serif"/>
          <w:b w:val="false"/>
          <w:color w:val="000000"/>
          <w:sz w:val="24"/>
        </w:rPr>
        <w:t>) or in the period for which any other payment hereunder is required to be made. For clarity, each Party shall cause its Affiliates to keep, and shall require pursuant to a written agreement that any Sublicensee, other sublicensee or subcontractor performing activities hereunder keep accurate records or books of account in a manner that will permit such Party to comply with its obligations under the foregoing sentence.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Upon the written request of the other Party, each Party shall permit a qualified accountant or a person possessing similar professional status and associated with an independent accounting firm acceptable to the Parties to inspect during regular business hours and no more than once a Calendar Year, and going back no more than [***] ([***]) years preceding the current Calendar Year, all or any part of the audited Party’s records and books necessary to check the accuracy of any payments made or required to be made hereunder. The accounting firm shall enter into appropriate obligations with the audited Party to treat all information it receives during its inspection in confidence. The accounting firm shall disclose to Ardelyx and KHK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 percent ([***]%), the charges shall be paid by the Party whose records and books are being</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inspected. Any failure by a Party to exercise its rights under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with respect to a Calendar Year within the [***] ([***]) year period allotted therefor shall constitute a waiver by such Party of its right to later object to any payments made by the other Party under this Agreement during such Calendar Year.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10.02 </w:t>
      </w:r>
      <w:r>
        <w:rPr>
          <w:rFonts w:ascii="Times New Roman;serif" w:hAnsi="Times New Roman;serif"/>
          <w:b/>
          <w:color w:val="000000"/>
          <w:sz w:val="24"/>
          <w:u w:val="single"/>
        </w:rPr>
        <w:t>Publicity Review</w:t>
      </w:r>
      <w:r>
        <w:rPr>
          <w:rFonts w:ascii="Times New Roman;serif" w:hAnsi="Times New Roman;serif"/>
          <w:b w:val="false"/>
          <w:color w:val="000000"/>
          <w:sz w:val="24"/>
        </w:rPr>
        <w:t xml:space="preserve">. Subject to the further provisions 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no Party shall originate any written publicity, news release, or other announcement relating to this Agreement or to performance hereunder or the existence of an arrangement between the Parties (collectively, “</w:t>
      </w:r>
      <w:r>
        <w:rPr>
          <w:rFonts w:ascii="Times New Roman;serif" w:hAnsi="Times New Roman;serif"/>
          <w:b/>
          <w:color w:val="000000"/>
          <w:sz w:val="24"/>
        </w:rPr>
        <w:t>Written Disclosure</w:t>
      </w:r>
      <w:r>
        <w:rPr>
          <w:color w:val="000000"/>
        </w:rPr>
        <w:t>”</w:t>
      </w:r>
      <w:r>
        <w:rPr>
          <w:rFonts w:ascii="Times New Roman;serif" w:hAnsi="Times New Roman;serif"/>
          <w:b w:val="false"/>
          <w:color w:val="000000"/>
          <w:sz w:val="24"/>
        </w:rPr>
        <w:t xml:space="preserve">), without the prior prompt review and written approval of the other, which approval shall not be unreasonably withheld or delayed. The disclosing Party shall provide the other Party with a copy of the materials proposed to be disclosed at least [***] ([***]) Business Days prior to the proposed Written Disclosure. Notwithstanding the foregoing provisions 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any Party may make any public Written Disclosure, it believes in good faith based upon the advice of counsel, to be required by Applicable Laws or any listing or trading agreement concerning its publicly traded securities, provided that, at least [***] ([***]) Business Days prior to making such Written Disclosure, the disclosing Party shall provide the other Party with a copy of the materials proposed to be disclosed and an opportunity to promptly review and comment on the proposed Written Disclosure. To the extent that the receiving Party reasonably requests that any information in the materials proposed to be disclosed be deleted, the disclosing Party shall use reasonable efforts to request confidential treatment of such information pursuant to the Applicable Laws so that any information that the receiving Party reasonably requests to be deleted, to the extent permitted by the applicable government agency, are omitted from such materials. The terms of this Agreement may also be disclosed to government agencies where required by Applicable Laws, provided that the Party making such disclosure shall seek a protective order or confidential treatment of this Agreement to the extent allowed under Applicable Laws, Notwithstanding the foregoing, the Parties intend to issue a joint press release regarding the transaction contemplated by this Agreement, the contents of such press release to be mutually agreed by the Parties in writing (prior to the Effective Date and prior to any publication thereof), subject to such additional modifications as the Parties may mutually agree. For clarity, Ardelyx shall have the right to issue press releases and other public announcements regarding the Development or Commercialization of Licensed Products outside of the Territory and/or outside of the Field without the prior review or written approval of KHK.</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10.03 </w:t>
      </w:r>
      <w:r>
        <w:rPr>
          <w:rFonts w:ascii="Times New Roman;serif" w:hAnsi="Times New Roman;serif"/>
          <w:b/>
          <w:color w:val="000000"/>
          <w:sz w:val="24"/>
          <w:u w:val="single"/>
        </w:rPr>
        <w:t>Use of Names</w:t>
      </w:r>
      <w:r>
        <w:rPr>
          <w:rFonts w:ascii="Times New Roman;serif" w:hAnsi="Times New Roman;serif"/>
          <w:b w:val="false"/>
          <w:color w:val="000000"/>
          <w:sz w:val="24"/>
        </w:rPr>
        <w:t xml:space="preserve">. Neither Party shall use the name, insignia, symbol, trademark, trade name or logotype of the other Party or its Affiliates in relation to this transaction or otherwise in any public announcement, press release, or other public document without the prior written consent of such other Party, which consent shall not be unreasonably withheld, delayed or conditioned, except for those disclosures for which consent has previously been obtained;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either Party may use the name of the other Party in any document required to be filed with any government authority, including without limitation the FDA and the Securities and Exchange Commission or otherwise as may be required by Applicable Law, provided that such disclosure shall be governed by </w:t>
      </w:r>
      <w:r>
        <w:rPr>
          <w:rFonts w:ascii="Times New Roman;serif" w:hAnsi="Times New Roman;serif"/>
          <w:b w:val="false"/>
          <w:color w:val="000000"/>
          <w:sz w:val="24"/>
          <w:u w:val="single"/>
        </w:rPr>
        <w:t>Section 7.05</w:t>
      </w:r>
      <w:r>
        <w:rPr>
          <w:rFonts w:ascii="Times New Roman;serif" w:hAnsi="Times New Roman;serif"/>
          <w:b w:val="false"/>
          <w:color w:val="000000"/>
          <w:sz w:val="24"/>
        </w:rPr>
        <w:t xml:space="preserve">. Further, the restrictions imposed on each Party under this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 xml:space="preserve">are not intended, and shall not be construed, to prohibit a Party from identifying the other Party in its internal business communications, provided that any Confidential Information in such communications remains subject to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 AND TERMINATION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11.01 </w:t>
      </w:r>
      <w:r>
        <w:rPr>
          <w:rFonts w:ascii="Times New Roman;serif" w:hAnsi="Times New Roman;serif"/>
          <w:b/>
          <w:color w:val="000000"/>
          <w:sz w:val="24"/>
          <w:u w:val="single"/>
        </w:rPr>
        <w:t>Term</w:t>
      </w:r>
      <w:r>
        <w:rPr>
          <w:rFonts w:ascii="Times New Roman;serif" w:hAnsi="Times New Roman;serif"/>
          <w:b w:val="false"/>
          <w:color w:val="000000"/>
          <w:sz w:val="24"/>
        </w:rPr>
        <w:t xml:space="preserve">. The term of this Agreement shall commence as of the Effective Date, and, unless sooner terminated as provided herein, shall continue in effect until the date on which all of KHK’s payment obligations under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have been performed or have expired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Performance or expiry of all of KHK’s payment obligations with respect to all Licensed Products in the Territory shall constitute expiration of this Agreement in its entirety.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11.02 </w:t>
      </w:r>
      <w:r>
        <w:rPr>
          <w:rFonts w:ascii="Times New Roman;serif" w:hAnsi="Times New Roman;serif"/>
          <w:b/>
          <w:color w:val="000000"/>
          <w:sz w:val="24"/>
          <w:u w:val="single"/>
        </w:rPr>
        <w:t>Termination Rights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Subject to the provisions of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 if either Party (the “</w:t>
      </w:r>
      <w:r>
        <w:rPr>
          <w:rFonts w:ascii="Times New Roman;serif" w:hAnsi="Times New Roman;serif"/>
          <w:b/>
          <w:color w:val="000000"/>
          <w:sz w:val="24"/>
        </w:rPr>
        <w:t>Breaching Party</w:t>
      </w:r>
      <w:r>
        <w:rPr>
          <w:color w:val="000000"/>
        </w:rPr>
        <w:t>”</w:t>
      </w:r>
      <w:r>
        <w:rPr>
          <w:rFonts w:ascii="Times New Roman;serif" w:hAnsi="Times New Roman;serif"/>
          <w:b w:val="false"/>
          <w:color w:val="000000"/>
          <w:sz w:val="24"/>
        </w:rPr>
        <w:t>) shall have committed a material breach of any of its material obligations under this Agreement, and such material breach shall remain uncured and shall be continuing for a period of [***] ([***]) days following the Breaching Party’s receipt of notice of such breach from the other Party (the “</w:t>
      </w:r>
      <w:r>
        <w:rPr>
          <w:rFonts w:ascii="Times New Roman;serif" w:hAnsi="Times New Roman;serif"/>
          <w:b/>
          <w:color w:val="000000"/>
          <w:sz w:val="24"/>
        </w:rPr>
        <w:t>Non-Breaching Party</w:t>
      </w:r>
      <w:r>
        <w:rPr>
          <w:color w:val="000000"/>
        </w:rPr>
        <w:t>”</w:t>
      </w:r>
      <w:r>
        <w:rPr>
          <w:rFonts w:ascii="Times New Roman;serif" w:hAnsi="Times New Roman;serif"/>
          <w:b w:val="false"/>
          <w:color w:val="000000"/>
          <w:sz w:val="24"/>
        </w:rPr>
        <w:t xml:space="preserve">) stating the Non-Breaching Party’s intent to terminate this Agreement in its entirety pursuant to this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if such breach remains uncured, then, in addition to any and all other rights and remedies that may be available, the Non-Breaching Party shall have the right to terminate this Agreement effective upon the expiration of such [***] ([***]) day period (subject, however, to the provisions set forth below in this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Notwithstanding the above, if (i) such material breach cannot reasonably be cured within such [***] ([***]) -day period, (ii) the Breaching Party provides, within such [***] ([***]) -day period, the Non-Breaching Party with a written detailed plan that contains measures that can be reasonably expected to cure such breach as soon as reasonably practicable, (iii) the Breaching Party commences to perform such measures in accordance with such plan, and (iv) the Breaching Party thereafter diligently continues to perform such measures as detailed in such plan, then the Non-Breaching Party shall not be entitled to terminate this Agreement (and any notice of termination issued pursuant to the foregoing sentence shall not become effective) unless and until the Breaching Party ceases to diligently perform such measures despite then not having cured the breach. Notwithstanding the above, if within the aforementioned [***] ([***]) -day period either Party takes measures to resolve the dispute (for which termination is being sought) pursuant to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 xml:space="preserve">(or Ardelyx initiates mediation pursuant to </w:t>
      </w:r>
      <w:r>
        <w:rPr>
          <w:rFonts w:ascii="Times New Roman;serif" w:hAnsi="Times New Roman;serif"/>
          <w:b w:val="false"/>
          <w:color w:val="000000"/>
          <w:sz w:val="24"/>
          <w:u w:val="single"/>
        </w:rPr>
        <w:t>Section 13.02(b)</w:t>
      </w:r>
      <w:r>
        <w:rPr>
          <w:color w:val="000000"/>
        </w:rPr>
        <w:t xml:space="preserve"> </w:t>
      </w:r>
      <w:r>
        <w:rPr>
          <w:rFonts w:ascii="Times New Roman;serif" w:hAnsi="Times New Roman;serif"/>
          <w:b w:val="false"/>
          <w:color w:val="000000"/>
          <w:sz w:val="24"/>
        </w:rPr>
        <w:t xml:space="preserve">and thereafter (if the dispute then remains unresolved) within a period of [***] ([***]) days after the expiry of the time period set forth in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 xml:space="preserve">(and, as the case may be, </w:t>
      </w:r>
      <w:r>
        <w:rPr>
          <w:rFonts w:ascii="Times New Roman;serif" w:hAnsi="Times New Roman;serif"/>
          <w:b w:val="false"/>
          <w:color w:val="000000"/>
          <w:sz w:val="24"/>
          <w:u w:val="single"/>
        </w:rPr>
        <w:t>Section 13.02(a)</w:t>
      </w:r>
      <w:r>
        <w:rPr>
          <w:rFonts w:ascii="Times New Roman;serif" w:hAnsi="Times New Roman;serif"/>
          <w:b w:val="false"/>
          <w:color w:val="000000"/>
          <w:sz w:val="24"/>
        </w:rPr>
        <w:t xml:space="preserve">, initiates arbitration as permitted under </w:t>
      </w:r>
      <w:r>
        <w:rPr>
          <w:rFonts w:ascii="Times New Roman;serif" w:hAnsi="Times New Roman;serif"/>
          <w:b w:val="false"/>
          <w:color w:val="000000"/>
          <w:sz w:val="24"/>
          <w:u w:val="single"/>
        </w:rPr>
        <w:t>Section 13.02(b)</w:t>
      </w:r>
      <w:r>
        <w:rPr>
          <w:color w:val="000000"/>
        </w:rPr>
        <w:t xml:space="preserve"> </w:t>
      </w:r>
      <w:r>
        <w:rPr>
          <w:rFonts w:ascii="Times New Roman;serif" w:hAnsi="Times New Roman;serif"/>
          <w:b w:val="false"/>
          <w:color w:val="000000"/>
          <w:sz w:val="24"/>
        </w:rPr>
        <w:t xml:space="preserve">to resolve the dispute and diligently pursues such procedure, then the cure period set forth in this Section 11.02(a) shall be suspended and the Non-Breaching Party shall have the right to terminate this Agreement due to the breach for which termination is being sought only if (x) the arbitration tribunal determines through its final resolution of the dispute that such breach exists and (y) such breach remains uncured for [***] ([***]) days after such final resolution. Any notice of alleged material breach by the Non-Breaching Party under this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shall include without limitation a reasonably detailed description of all relevant facts and circumstances demonstrating, supporting, or relating to each such alleged material breach by the Breaching Party. Actual termination of this Agreement pursuant to this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shall only occur upon a separate written notice of termination by the Non-Breaching Party after the end of the applicable cure period. This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defines exclusively the Parties’ right to terminate this agreement for any material breach of contract.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Termination for Convenience</w:t>
      </w:r>
      <w:r>
        <w:rPr>
          <w:rFonts w:ascii="Times New Roman;serif" w:hAnsi="Times New Roman;serif"/>
          <w:b/>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Prior to its expiration, this Agreement may be terminated in its entirety at any time by KHK effective upon [***] ([***]) days (or such longer period as KHK may elect at its sole discretion) prior written notice to Ardelyx.</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Additionally, if KHK ceases all Exploitation of the Licensed Products for a continuous period of more than [***] ([***]) consecutive months, KHK shall, at Ardelyx written request following the expiration of such [***] ([***]) month period (such request to reference explicitly this </w:t>
      </w:r>
      <w:r>
        <w:rPr>
          <w:rFonts w:ascii="Times New Roman;serif" w:hAnsi="Times New Roman;serif"/>
          <w:b w:val="false"/>
          <w:color w:val="000000"/>
          <w:sz w:val="24"/>
          <w:u w:val="single"/>
        </w:rPr>
        <w:t>Section 11.02(b)(ii)</w:t>
      </w:r>
      <w:r>
        <w:rPr>
          <w:rFonts w:ascii="Times New Roman;serif" w:hAnsi="Times New Roman;serif"/>
          <w:b w:val="false"/>
          <w:color w:val="000000"/>
          <w:sz w:val="24"/>
        </w:rPr>
        <w:t xml:space="preserve">), provide to Ardelyx within [***] ([***]) months after KHK’s receipt of such request a written reasonable plan under which KHK would recommence Exploitation of the Licensed Products under this Agreement within [***] ([***]) months after having provided such plan to Ardelyx. KHK shall, after providing such plan to Ardelyx, perform substantially in accordance therewith. If KHK fails to provide such plan to recommence Exploitation of Licensed Products within such [***] ([***]) month period or if KHK fails to recommence such Exploitation within the aforementioned [***] ([***]) month period, KHK shall be deemed to have exercised its right to terminate this Agreement in its entirety pursuant to this </w:t>
      </w:r>
      <w:r>
        <w:rPr>
          <w:rFonts w:ascii="Times New Roman;serif" w:hAnsi="Times New Roman;serif"/>
          <w:b w:val="false"/>
          <w:color w:val="000000"/>
          <w:sz w:val="24"/>
          <w:u w:val="single"/>
        </w:rPr>
        <w:t>Section 11.02(b)</w:t>
      </w:r>
      <w:r>
        <w:rPr>
          <w:color w:val="000000"/>
        </w:rPr>
        <w:t xml:space="preserve"> </w:t>
      </w:r>
      <w:r>
        <w:rPr>
          <w:rFonts w:ascii="Times New Roman;serif" w:hAnsi="Times New Roman;serif"/>
          <w:b w:val="false"/>
          <w:color w:val="000000"/>
          <w:sz w:val="24"/>
        </w:rPr>
        <w:t>effective upon expiration of such [***] ([***]) month or (as the case may be) [***] ([***]) month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Termination for Technical Reasons</w:t>
      </w:r>
      <w:r>
        <w:rPr>
          <w:rFonts w:ascii="Times New Roman;serif" w:hAnsi="Times New Roman;serif"/>
          <w:b w:val="false"/>
          <w:color w:val="000000"/>
          <w:sz w:val="24"/>
        </w:rPr>
        <w:t xml:space="preserve">. Prior to its expiration, KHK may terminate this Agreement with a [***] ([***]) days’ written notice to Ardelyx if (i) KHK receives an instruction to suspend any ongoing Clinical Trial(s) for the applicable Licensed Product by a Regulatory Authority for safety reasons, (ii) KHK is unable to proceed or continue with the activities under the applicable Development Plan due to safety reasons, or (iii) primary endpoints specified in the applicable Development Plan are not met despite KHK’s Commercially Reasonable Efforts and KHK reasonably determines that it cannot obtain Regulatory Approval </w:t>
      </w:r>
      <w:r>
        <w:rPr>
          <w:rFonts w:ascii="Times New Roman;serif" w:hAnsi="Times New Roman;serif"/>
          <w:b w:val="false"/>
          <w:color w:val="222222"/>
          <w:sz w:val="24"/>
        </w:rPr>
        <w:t>or (iv) the Pivotal Trials conducted by Ardelyx [***] do not meet the primary endpoints</w:t>
      </w:r>
      <w:r>
        <w:rPr>
          <w:rFonts w:ascii="Times New Roman;serif" w:hAnsi="Times New Roman;serif"/>
          <w:b w:val="false"/>
          <w:color w:val="000000"/>
          <w:sz w:val="24"/>
        </w:rPr>
        <w:t>. In the event that the last remaining Licensed Product that is Exploited by KHK, its Affiliates or Sublicensees is terminated pursuant to this (c), the Agreement in its entirety shall terminate.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Termination for Challenge of Licensed Patents</w:t>
      </w:r>
      <w:r>
        <w:rPr>
          <w:rFonts w:ascii="Times New Roman;serif" w:hAnsi="Times New Roman;serif"/>
          <w:b w:val="false"/>
          <w:color w:val="000000"/>
          <w:sz w:val="24"/>
        </w:rPr>
        <w:t>. Prior to its expiration, Ardelyx may terminate this Agreement in its entirety by written notice to KHK if (i) KHK or its Affiliates challenges the validity, scope or enforceability of or otherwise opposes any Patent included in (i) the Licensed Patents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or (ii) Ardelyx [***] Patents or, corresponding Patents outside of the Territory, and (ii) KHK does not cause such measures to cease within [***] ([***]) days after having received written notice thereof from Ardelyx, requesting such measures to cease and stating Ardelyx’s intention to terminate this Agreement if such measures are not ceased within the prescribed time. If a Sublicensee of KHK challenges the validity, scope or enforceability of or otherwise opposes any Patent included in the Licensed Patents or Ardelyx [***] Patents under which such Sublicensee is sublicensed</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or corresponding Patents outside of the Territory, then KHK shall, upon written notice from Ardelyx, terminate such sublicense as promptly as possible pursuant to the terms of the sublicense agreement. KHK shall include provisions in all agreements under which a Sublicensee obtains a sublicense under any Patent included in the Licensed Patents or Ardelyx [***] Patents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or corresponding Patents outside of the Territory, providing that if the Sublicensee challenges the validity or enforceability of or otherwise opposes any such Patent under which the Sublicensee is sublicensed, KHK may terminate such sublicense.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Termination for Insolvency</w:t>
      </w:r>
      <w:r>
        <w:rPr>
          <w:rFonts w:ascii="Times New Roman;serif" w:hAnsi="Times New Roman;serif"/>
          <w:b w:val="false"/>
          <w:color w:val="000000"/>
          <w:sz w:val="24"/>
        </w:rPr>
        <w:t>. A Party may terminate this Agreement effective immediately upon written notice to the other Party if at any time during the Term, the other Party (the “</w:t>
      </w:r>
      <w:r>
        <w:rPr>
          <w:rFonts w:ascii="Times New Roman;serif" w:hAnsi="Times New Roman;serif"/>
          <w:b/>
          <w:color w:val="000000"/>
          <w:sz w:val="24"/>
        </w:rPr>
        <w:t>Debtor</w:t>
      </w:r>
      <w:r>
        <w:rPr>
          <w:color w:val="000000"/>
        </w:rPr>
        <w:t>”</w:t>
      </w:r>
      <w:r>
        <w:rPr>
          <w:rFonts w:ascii="Times New Roman;serif" w:hAnsi="Times New Roman;serif"/>
          <w:b w:val="false"/>
          <w:color w:val="000000"/>
          <w:sz w:val="24"/>
        </w:rPr>
        <w:t xml:space="preserve">) (i) becomes insolvent, (ii) has a case commenced by or against it under the Bankruptcy Code, (iii) files for or is subject to the institution of bankruptcy, liquidation or 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of any involuntary case under the Bankruptcy Code, the first Party shall not be entitled to terminate this Agreement pursuant to this subsection (e) if the case is dismissed within [***] ([***]) days after the commencement thereof.</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11.03 </w:t>
      </w:r>
      <w:r>
        <w:rPr>
          <w:rFonts w:ascii="Times New Roman;serif" w:hAnsi="Times New Roman;serif"/>
          <w:b/>
          <w:color w:val="000000"/>
          <w:sz w:val="24"/>
          <w:u w:val="single"/>
        </w:rPr>
        <w:t>Consequences of a KHK Triggered Termination</w:t>
      </w:r>
      <w:r>
        <w:rPr>
          <w:rFonts w:ascii="Times New Roman;serif" w:hAnsi="Times New Roman;serif"/>
          <w:b w:val="false"/>
          <w:color w:val="000000"/>
          <w:sz w:val="24"/>
        </w:rPr>
        <w:t xml:space="preserve">. In the event (a) Ardelyx terminates this Agreement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for KHK’s material breach; (b) Ardelyx terminates this Agreement pursuant to </w:t>
      </w:r>
      <w:r>
        <w:rPr>
          <w:rFonts w:ascii="Times New Roman;serif" w:hAnsi="Times New Roman;serif"/>
          <w:b w:val="false"/>
          <w:color w:val="000000"/>
          <w:sz w:val="24"/>
          <w:u w:val="single"/>
        </w:rPr>
        <w:t>Section 11.02(d)</w:t>
      </w:r>
      <w:r>
        <w:rPr>
          <w:color w:val="000000"/>
        </w:rPr>
        <w:t xml:space="preserve"> </w:t>
      </w:r>
      <w:r>
        <w:rPr>
          <w:rFonts w:ascii="Times New Roman;serif" w:hAnsi="Times New Roman;serif"/>
          <w:b w:val="false"/>
          <w:color w:val="000000"/>
          <w:sz w:val="24"/>
        </w:rPr>
        <w:t xml:space="preserve">for patent challenge by KHK or its Affiliates; (c) Ardelyx terminates this Agreement pursuant to </w:t>
      </w:r>
      <w:r>
        <w:rPr>
          <w:rFonts w:ascii="Times New Roman;serif" w:hAnsi="Times New Roman;serif"/>
          <w:b w:val="false"/>
          <w:color w:val="000000"/>
          <w:sz w:val="24"/>
          <w:u w:val="single"/>
        </w:rPr>
        <w:t>Section 11.02(e)</w:t>
      </w:r>
      <w:r>
        <w:rPr>
          <w:color w:val="000000"/>
        </w:rPr>
        <w:t xml:space="preserve"> </w:t>
      </w:r>
      <w:r>
        <w:rPr>
          <w:rFonts w:ascii="Times New Roman;serif" w:hAnsi="Times New Roman;serif"/>
          <w:b w:val="false"/>
          <w:color w:val="000000"/>
          <w:sz w:val="24"/>
        </w:rPr>
        <w:t xml:space="preserve">for KHK’s insolvency; (d) KHK terminates this Agreement pursuant to </w:t>
      </w:r>
      <w:r>
        <w:rPr>
          <w:rFonts w:ascii="Times New Roman;serif" w:hAnsi="Times New Roman;serif"/>
          <w:b w:val="false"/>
          <w:color w:val="000000"/>
          <w:sz w:val="24"/>
          <w:u w:val="single"/>
        </w:rPr>
        <w:t>Section 11.02(b)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KHK terminates this Agreement pursuant to </w:t>
      </w:r>
      <w:r>
        <w:rPr>
          <w:rFonts w:ascii="Times New Roman;serif" w:hAnsi="Times New Roman;serif"/>
          <w:b w:val="false"/>
          <w:color w:val="000000"/>
          <w:sz w:val="24"/>
          <w:u w:val="single"/>
        </w:rPr>
        <w:t>Section 11.02(c)</w:t>
      </w:r>
      <w:r>
        <w:rPr>
          <w:color w:val="000000"/>
        </w:rPr>
        <w:t xml:space="preserve"> </w:t>
      </w:r>
      <w:r>
        <w:rPr>
          <w:rFonts w:ascii="Times New Roman;serif" w:hAnsi="Times New Roman;serif"/>
          <w:b w:val="false"/>
          <w:color w:val="000000"/>
          <w:sz w:val="24"/>
        </w:rPr>
        <w:t>for technical reasons (a termination as per (a) through (e) being a “</w:t>
      </w:r>
      <w:r>
        <w:rPr>
          <w:rFonts w:ascii="Times New Roman;serif" w:hAnsi="Times New Roman;serif"/>
          <w:b/>
          <w:color w:val="000000"/>
          <w:sz w:val="24"/>
        </w:rPr>
        <w:t>KHK Triggered Termination</w:t>
      </w:r>
      <w:r>
        <w:rPr>
          <w:color w:val="000000"/>
        </w:rPr>
        <w:t>”</w:t>
      </w:r>
      <w:r>
        <w:rPr>
          <w:rFonts w:ascii="Times New Roman;serif" w:hAnsi="Times New Roman;serif"/>
          <w:b w:val="false"/>
          <w:color w:val="000000"/>
          <w:sz w:val="24"/>
        </w:rPr>
        <w:t xml:space="preserve">), KHK shall, subject to (a), continue to be obligated during the termination notice period (as applicable) to perform as far as reasonably practicable all of its obligations under this Agreement. If a KHK Triggered Termination occurs after the first Regulatory Approval of one or more Licensed Products in the Territory, KHK shall continue to use Commercially Reasonable Efforts to Commercialize such Licensed Product(s) in the Territory until the earlier of: (i), if applicable, the expiration of the [***] ([***]) -day notice period, in the event of a termination by KHK pursuant to </w:t>
      </w:r>
      <w:r>
        <w:rPr>
          <w:rFonts w:ascii="Times New Roman;serif" w:hAnsi="Times New Roman;serif"/>
          <w:b w:val="false"/>
          <w:color w:val="000000"/>
          <w:sz w:val="24"/>
          <w:u w:val="single"/>
        </w:rPr>
        <w:t>Section 11.02(b)(i)</w:t>
      </w:r>
      <w:r>
        <w:rPr>
          <w:rFonts w:ascii="Times New Roman;serif" w:hAnsi="Times New Roman;serif"/>
          <w:b w:val="false"/>
          <w:color w:val="000000"/>
          <w:sz w:val="24"/>
        </w:rPr>
        <w:t xml:space="preserve">; (ii) receipt of Ardelyx’s written notice that KHK may cease such Commercialization activities; or (iii), if applicable, the effective date of the termination notice issued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11.02(d)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11.02(e)</w:t>
      </w:r>
      <w:r>
        <w:rPr>
          <w:rFonts w:ascii="Times New Roman;serif" w:hAnsi="Times New Roman;serif"/>
          <w:b w:val="false"/>
          <w:color w:val="000000"/>
          <w:sz w:val="24"/>
        </w:rPr>
        <w:t>. In addition, as a result of a KHK Triggered Termination the following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All licenses and rights to the Licensed Technology and the Ardelyx [***] Technology granted to KHK hereunder shall terminate as of the effective date of such termination, except to the extent and for so long as is necessary to permit KHK to meet its obligations under Section11.03 (m), to finish work-in-progress, sell any inventory as per </w:t>
      </w:r>
      <w:r>
        <w:rPr>
          <w:rFonts w:ascii="Times New Roman;serif" w:hAnsi="Times New Roman;serif"/>
          <w:b w:val="false"/>
          <w:color w:val="000000"/>
          <w:sz w:val="24"/>
          <w:u w:val="single"/>
        </w:rPr>
        <w:t>Section 11.03(l)</w:t>
      </w:r>
      <w:r>
        <w:rPr>
          <w:color w:val="000000"/>
        </w:rPr>
        <w:t xml:space="preserve"> </w:t>
      </w:r>
      <w:r>
        <w:rPr>
          <w:rFonts w:ascii="Times New Roman;serif" w:hAnsi="Times New Roman;serif"/>
          <w:b w:val="false"/>
          <w:color w:val="000000"/>
          <w:sz w:val="24"/>
        </w:rPr>
        <w:t>below, and otherwise to perform any responsibilities in connection with any then ongoing Clinical Trial or other activity that cannot be terminated as of such date under Applicable Laws, including GCP,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KHK shall grant, and hereby grants to Ardelyx (i) an exclusive, worldwide, royalty-free right and license, with the right to grant sublicenses, under any KHK Sole Invention Patents, under any Sole Program Know-How owned by KHK and under KHK’s interest in any Joint Technology, all to the extent that the practice thereof would infringe the Licensed Patents, and (ii) a non-exclusive, worldwide, royalty-free right and license, with the right to grant sublicenses, under any KHK Sole Invention Patents, under any Sole Program Know-How owned by KHK and under KHK’s interest in any Joint Technology, all to the extent that the practice thereof would not infringe the Licensed Patents, (iii) a non-exclusive, worldwide, royalty-free right and license, with</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right to grant sublicenses, under the KHK [***] Technology, in the case of each of (i), (ii) and (iii) solely to Develop, make, have made, use, sell, have sold offer for sale and import Licensed Compounds and Licensed Products.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Ardelyx shall have the right (but not the obligation) to enforce the KHK Sole Invention Patents against any infringement relating to Licensed Products.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Ardelyx shall have the right (but not the obligation) to prosecute, maintain, enforce and defend all Licensed Patents, Ardelyx [***] Patents, and Joint Patents and KHK shall, as promptly as reasonably practicable, and to a reasonable extent take such other actions and execute such other instruments, assignments, and documents as may be necessary to enable Ardelyx to practice the rights set forth in this </w:t>
      </w:r>
      <w:r>
        <w:rPr>
          <w:rFonts w:ascii="Times New Roman;serif" w:hAnsi="Times New Roman;serif"/>
          <w:b w:val="false"/>
          <w:color w:val="000000"/>
          <w:sz w:val="24"/>
          <w:u w:val="single"/>
        </w:rPr>
        <w:t>Section 11.03(d)</w:t>
      </w:r>
      <w:r>
        <w:rPr>
          <w:rFonts w:ascii="Times New Roman;serif" w:hAnsi="Times New Roman;serif"/>
          <w:b w:val="false"/>
          <w:color w:val="000000"/>
          <w:sz w:val="24"/>
        </w:rPr>
        <w:t>, with such cooperation to be provided at Ardelyx’s sole cost and expense.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KHK shall return all data, files, records and other materials in its possession or Control containing or comprising Ardelyx’s Confidential Information (except one copy thereof, which may be retained by KHK solely for legal archiving purposes). For the avoidance of doubt, should Ardelyx elect to pursue any Development, Manufacture or Commercialization of the relevant Licensed Compound or Licensed Product following any such KHK Triggered Termination, Ardelyx shall, without prejudice to or limitation of any other or further obligations Ardelyx may have to KHK under this Agreement (including </w:t>
      </w:r>
      <w:r>
        <w:rPr>
          <w:rFonts w:ascii="Times New Roman;serif" w:hAnsi="Times New Roman;serif"/>
          <w:b w:val="false"/>
          <w:color w:val="000000"/>
          <w:sz w:val="24"/>
          <w:u w:val="single"/>
        </w:rPr>
        <w:t>Section 12.01(b)</w:t>
      </w:r>
      <w:r>
        <w:rPr>
          <w:rFonts w:ascii="Times New Roman;serif" w:hAnsi="Times New Roman;serif"/>
          <w:b w:val="false"/>
          <w:color w:val="000000"/>
          <w:sz w:val="24"/>
        </w:rPr>
        <w:t xml:space="preserve">), indemnify KHK for any Third Party claims arising from Ardelyx’s Development, Manufacture or Commercialization of the relevant Licensed Compound or Licensed Product after the effective date of the termination as set forth in </w:t>
      </w:r>
      <w:r>
        <w:rPr>
          <w:rFonts w:ascii="Times New Roman;serif" w:hAnsi="Times New Roman;serif"/>
          <w:b w:val="false"/>
          <w:color w:val="000000"/>
          <w:sz w:val="24"/>
          <w:u w:val="single"/>
        </w:rPr>
        <w:t>Section 12.01(b)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KHK shall, where permitted under Applicable Laws, as promptly as reasonably practical transfer to Ardelyx all INDs, Drug Approval Applications, and Regulatory Approvals with respect to Licensed Compounds and Licensed Products, and shall take such other actions and execute such other instruments, assignments, and documents as may be necessary to affect the transfer of rights hereunder to Ardelyx. Without limiting the generality of the foregoing, KHK agrees to submit to the PMDA and other Regulatory Authorities where reasonably appropriate and required by Applicable Laws in jurisdictions in which any regulatory filings have been made with respect to the Licensed Product, without delay after the effective date of such termination, a letter (with copy to Ardelyx) notifying the PMDA and such other Regulatory Authorities of the transfer or withdrawal, if applicable, of any regulatory filings for the Licensed Product in such jurisdictions from KHK to Ardelyx. Additionally, KHK shall provide Ardelyx with copies of regulatory filings necessary to practice the rights granted to it under this </w:t>
      </w:r>
      <w:r>
        <w:rPr>
          <w:rFonts w:ascii="Times New Roman;serif" w:hAnsi="Times New Roman;serif"/>
          <w:b w:val="false"/>
          <w:color w:val="000000"/>
          <w:sz w:val="24"/>
          <w:u w:val="single"/>
        </w:rPr>
        <w:t>Section 11.03(f)</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(g) KHK shall use Commercially Reasonable Effort to assign (or cause its Affiliates to assign) to Ardelyx, at Ardelyx’s request, all of KHK’s (or its Affiliates’) rights and obligations under agreements with Third Parties with respect to (i) the conduct of Clinical Trials for each Licensed Product, including agreements with contract research organizations, clinical sites and investigators that relate to Clinical Trials in support of Regulatory Approvals in the Territory, (ii) the Manufacture of Licensed Compound or Licensed Product (subject to KHK’s obligations under </w:t>
      </w:r>
      <w:r>
        <w:rPr>
          <w:rFonts w:ascii="Times New Roman;serif" w:hAnsi="Times New Roman;serif"/>
          <w:b w:val="false"/>
          <w:color w:val="000000"/>
          <w:sz w:val="24"/>
          <w:u w:val="single"/>
        </w:rPr>
        <w:t>Section 11.03(m)</w:t>
      </w:r>
      <w:r>
        <w:rPr>
          <w:rFonts w:ascii="Times New Roman;serif" w:hAnsi="Times New Roman;serif"/>
          <w:b w:val="false"/>
          <w:color w:val="000000"/>
          <w:sz w:val="24"/>
        </w:rPr>
        <w:t>), and (iii) any other Third Party agreements involving the Development or Commercialization of the Licensed Products, unless in each of (i) through (iii), (A) such agreement is not permitted to be assigned pursuant to its terms or relates to products other than Licensed</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Products, or (B) the assignment is not agreed by the Third Party to such agreement, in which case KHK shall use Commercially Reasonable Effort to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KHK shall [***] assign all of its rights in and to the KHK Trademarks and the Ardelyx Trademarks for Licensed Products (and all registrations and applications for registration therefor) that it owns pursuant to </w:t>
      </w:r>
      <w:r>
        <w:rPr>
          <w:rFonts w:ascii="Times New Roman;serif" w:hAnsi="Times New Roman;serif"/>
          <w:b w:val="false"/>
          <w:color w:val="000000"/>
          <w:sz w:val="24"/>
          <w:u w:val="single"/>
        </w:rPr>
        <w:t>Section 8.05(b)</w:t>
      </w:r>
      <w:r>
        <w:rPr>
          <w:color w:val="000000"/>
        </w:rPr>
        <w:t xml:space="preserve"> </w:t>
      </w:r>
      <w:r>
        <w:rPr>
          <w:rFonts w:ascii="Times New Roman;serif" w:hAnsi="Times New Roman;serif"/>
          <w:b w:val="false"/>
          <w:color w:val="000000"/>
          <w:sz w:val="24"/>
        </w:rPr>
        <w:t>to Ardelyx and Ardelyx shall have the exclusive right (but not the obligation) to enforce the KHK Trademark rights and the Ardelyx Trademark rights against infringers.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the extent agreed by relevant Third Parties and as requested by Ardelyx, KHK shall execute any documents necessary to transfer to Ardelyx rights under any Third Party licenses obtained by KHK pursuant to and during the course of the term of this Agreement for the purpose of Exploiting the Licensed Compounds or Licensed Products, and Ardelyx shall thereafter be responsible for all costs, expenses and obligations associated with such Third Party licenses.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(j) Upon Ardelyx’s reasonable request, KHK shall transfer to Ardelyx copies of all materials, data, results, analyses, reports, websites, marketing materials, technology, regulatory filings, including without limitation, all KHK Development Data and KHK Additional Development Data, and other Information and Materials existing in tangible or electronic form at the effective date of the KHK Triggered Termination, that is Controlled by KHK or its Affiliates and have been generated on or before the effective date of such termination by or on behalf of KHK, its Affiliates or Sublicensees with respect to the Licensed Products (“</w:t>
      </w:r>
      <w:r>
        <w:rPr>
          <w:rFonts w:ascii="Times New Roman;serif" w:hAnsi="Times New Roman;serif"/>
          <w:b/>
          <w:color w:val="000000"/>
          <w:sz w:val="24"/>
        </w:rPr>
        <w:t>KHK Product Data</w:t>
      </w:r>
      <w:r>
        <w:rPr>
          <w:color w:val="000000"/>
        </w:rPr>
        <w:t>”</w:t>
      </w:r>
      <w:r>
        <w:rPr>
          <w:rFonts w:ascii="Times New Roman;serif" w:hAnsi="Times New Roman;serif"/>
          <w:b w:val="false"/>
          <w:color w:val="000000"/>
          <w:sz w:val="24"/>
        </w:rPr>
        <w:t>). In the event that KHK has an obligation to a Third Party to keep any KHK Product Data confidential, KHK shall use Commercially Reasonable Efforts to obtain approval from such Third Party to provide such KHK Product Data to Ardelyx. Ardelyx shall have the right to use on a non-exclusive basis such KHK Product Data to enable Ardelyx to proceed to Develop, Manufacture and Commercialize the Licensed Compounds and/or Licensed Products, as applicable, upon and after termination of this Agreement. For [***] calendar months after the Parties have mutually agreed that the transfer of the KHK Product Data from KHK to Ardelyx has been completed, KHK shall respond to Ardelyx’s reasonable inquiries in respect of the KHK Product Data.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(k) 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shall survive in addition to others specified in this Agreement to survive in such event.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KHK shall be entitled, during a period of [***] ([***]) days following the KHK Triggered Termination, to finish any work-in-progress, and to sell any inventory of the Licensed Product that remains on hand as of the date of the termination, so long as KHK pays to Ardelyx</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the royalties applicable to said subsequent sales in accordance with the terms and conditions set forth in this Agreement; provided that if such termination is by Ardelyx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that KHK’s rights under this </w:t>
      </w:r>
      <w:r>
        <w:rPr>
          <w:rFonts w:ascii="Times New Roman;serif" w:hAnsi="Times New Roman;serif"/>
          <w:b w:val="false"/>
          <w:color w:val="000000"/>
          <w:sz w:val="24"/>
          <w:u w:val="single"/>
        </w:rPr>
        <w:t>Section 11.03(l)</w:t>
      </w:r>
      <w:r>
        <w:rPr>
          <w:color w:val="000000"/>
        </w:rPr>
        <w:t xml:space="preserve"> </w:t>
      </w:r>
      <w:r>
        <w:rPr>
          <w:rFonts w:ascii="Times New Roman;serif" w:hAnsi="Times New Roman;serif"/>
          <w:b w:val="false"/>
          <w:color w:val="000000"/>
          <w:sz w:val="24"/>
        </w:rPr>
        <w:t>shall be subject to Ardelyx’s prior written consent, which shall not be unreasonably withheld, delayed or conditioned.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KHK shall promptly transfer to Ardelyx all Information and Materials that are necessary or useful for Ardelyx, its Affiliates or licensees or their contract manufacturers to Manufacture the Licensed Products, and, if KHK has assumed responsibility for the Manufacture of the Licensed Compounds, shall facilitate the practice of such Manufacturing rights by Ardelyx, its Affiliates or each of its licensees, [***] including making regulatory filings available to Ardelyx and providing reasonable technical and other assistance in order to enable Ardelyx to practice the foregoing Manufacturing rights in accordance with Applicable Law. KHK shall make Commercially Reasonable Efforts to have any Third Party agreements under which KHK, its Affiliates or Sublicensees engage Third Parties to manufacture the Licensed Compounds, and, if KHK assumes responsibility for the Manufacture of the Licensed Compounds, contain provisions regarding the allocation of Intellectual Property Rights and rights in work product that are consistent with the terms of this Agreement and enable KHK to fulfill its obligations to Ardelyx under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 In the event that KHK terminates this Agreement in accordance with </w:t>
      </w:r>
      <w:r>
        <w:rPr>
          <w:rFonts w:ascii="Times New Roman;serif" w:hAnsi="Times New Roman;serif"/>
          <w:b w:val="false"/>
          <w:color w:val="000000"/>
          <w:sz w:val="24"/>
          <w:u w:val="single"/>
        </w:rPr>
        <w:t>Section 11.02(c)</w:t>
      </w:r>
      <w:r>
        <w:rPr>
          <w:color w:val="000000"/>
        </w:rPr>
        <w:t xml:space="preserve"> </w:t>
      </w:r>
      <w:r>
        <w:rPr>
          <w:rFonts w:ascii="Times New Roman;serif" w:hAnsi="Times New Roman;serif"/>
          <w:b w:val="false"/>
          <w:color w:val="000000"/>
          <w:sz w:val="24"/>
        </w:rPr>
        <w:t>for technical reasons: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KHK’s obligations under Section </w:t>
      </w:r>
      <w:r>
        <w:rPr>
          <w:rFonts w:ascii="Times New Roman;serif" w:hAnsi="Times New Roman;serif"/>
          <w:b w:val="false"/>
          <w:color w:val="000000"/>
          <w:sz w:val="24"/>
          <w:u w:val="single"/>
        </w:rPr>
        <w:t>Section 11.03(f)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(m)</w:t>
      </w:r>
      <w:r>
        <w:rPr>
          <w:color w:val="000000"/>
        </w:rPr>
        <w:t xml:space="preserve"> </w:t>
      </w:r>
      <w:r>
        <w:rPr>
          <w:rFonts w:ascii="Times New Roman;serif" w:hAnsi="Times New Roman;serif"/>
          <w:b w:val="false"/>
          <w:color w:val="000000"/>
          <w:sz w:val="24"/>
        </w:rPr>
        <w:t>shall only be triggered following receipt by KHK of a written notice from Ardelyx requesting KHK to perform such obligations;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Neither Ardelyx nor KHK shall have any other remedies, or any other obligations to the other arising solely out of the termination of this Agreement by KHK pursuant to </w:t>
      </w:r>
      <w:r>
        <w:rPr>
          <w:rFonts w:ascii="Times New Roman;serif" w:hAnsi="Times New Roman;serif"/>
          <w:b w:val="false"/>
          <w:color w:val="000000"/>
          <w:sz w:val="24"/>
          <w:u w:val="single"/>
        </w:rPr>
        <w:t>Section 11.02(c)</w:t>
      </w:r>
      <w:r>
        <w:rPr>
          <w:rFonts w:ascii="Times New Roman;serif" w:hAnsi="Times New Roman;serif"/>
          <w:b w:val="false"/>
          <w:color w:val="000000"/>
          <w:sz w:val="24"/>
        </w:rPr>
        <w:t xml:space="preserve">, than such remedies or obligations set out in this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11.04 </w:t>
      </w:r>
      <w:r>
        <w:rPr>
          <w:rFonts w:ascii="Times New Roman;serif" w:hAnsi="Times New Roman;serif"/>
          <w:b/>
          <w:color w:val="000000"/>
          <w:sz w:val="24"/>
          <w:u w:val="single"/>
        </w:rPr>
        <w:t>Consequences of Ardelyx Triggered Termination (or Right to Terminate)</w:t>
      </w:r>
      <w:r>
        <w:rPr>
          <w:rFonts w:ascii="Times New Roman;serif" w:hAnsi="Times New Roman;serif"/>
          <w:b w:val="false"/>
          <w:color w:val="000000"/>
          <w:sz w:val="24"/>
        </w:rPr>
        <w:t xml:space="preserve">. If KHK is entitled to terminate this Agreement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as a result of a material breach by Ardelyx or </w:t>
      </w:r>
      <w:r>
        <w:rPr>
          <w:rFonts w:ascii="Times New Roman;serif" w:hAnsi="Times New Roman;serif"/>
          <w:b w:val="false"/>
          <w:color w:val="000000"/>
          <w:sz w:val="24"/>
          <w:u w:val="single"/>
        </w:rPr>
        <w:t>Section 11.02(e)</w:t>
      </w:r>
      <w:r>
        <w:rPr>
          <w:color w:val="000000"/>
        </w:rPr>
        <w:t xml:space="preserve"> </w:t>
      </w:r>
      <w:r>
        <w:rPr>
          <w:rFonts w:ascii="Times New Roman;serif" w:hAnsi="Times New Roman;serif"/>
          <w:b w:val="false"/>
          <w:color w:val="000000"/>
          <w:sz w:val="24"/>
        </w:rPr>
        <w:t xml:space="preserve">for an insolvency or other transaction described therein affecting Ardelyx, KHK may elect to terminate this Agreement subject to the provisions set forth in </w:t>
      </w:r>
      <w:r>
        <w:rPr>
          <w:rFonts w:ascii="Times New Roman;serif" w:hAnsi="Times New Roman;serif"/>
          <w:b w:val="false"/>
          <w:color w:val="000000"/>
          <w:sz w:val="24"/>
          <w:u w:val="single"/>
        </w:rPr>
        <w:t>Section 11.04(a)</w:t>
      </w:r>
      <w:r>
        <w:rPr>
          <w:rFonts w:ascii="Times New Roman;serif" w:hAnsi="Times New Roman;serif"/>
          <w:b w:val="false"/>
          <w:color w:val="000000"/>
          <w:sz w:val="24"/>
        </w:rPr>
        <w:t xml:space="preserve">, or to continue the Agreement subject to the provisions set forth in </w:t>
      </w:r>
      <w:r>
        <w:rPr>
          <w:rFonts w:ascii="Times New Roman;serif" w:hAnsi="Times New Roman;serif"/>
          <w:b w:val="false"/>
          <w:color w:val="000000"/>
          <w:sz w:val="24"/>
          <w:u w:val="single"/>
        </w:rPr>
        <w:t>Section 11.04(b)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If KHK terminates the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or under </w:t>
      </w:r>
      <w:r>
        <w:rPr>
          <w:rFonts w:ascii="Times New Roman;serif" w:hAnsi="Times New Roman;serif"/>
          <w:b w:val="false"/>
          <w:color w:val="000000"/>
          <w:sz w:val="24"/>
          <w:u w:val="single"/>
        </w:rPr>
        <w:t>Section 11.02(e)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shall apply as if such termination were an KHK Triggered Termination, except that (i) [***] and (ii) in consideration of the [***] and any other rights granted under the above provisions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if (x) this Agreement is terminated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by KHK after the First Commercial Sale of the Licensed Product in the Territory, Ardelyx shall [***];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 The foregoing shall be [***] in connection with its termination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If KHK has the right to terminate this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11.02(e)</w:t>
      </w:r>
      <w:r>
        <w:rPr>
          <w:rFonts w:ascii="Times New Roman;serif" w:hAnsi="Times New Roman;serif"/>
          <w:b w:val="false"/>
          <w:color w:val="000000"/>
          <w:sz w:val="24"/>
        </w:rPr>
        <w:t>, but elects to continue this Agreement, this Agreement shall continue in full force and</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effect except that if KHK is entitled to terminate this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due to Ardelyx breach (but not if KHK’s right to terminate is based solely on Ardelyx’s insolvency pursuant to </w:t>
      </w:r>
      <w:r>
        <w:rPr>
          <w:rFonts w:ascii="Times New Roman;serif" w:hAnsi="Times New Roman;serif"/>
          <w:b w:val="false"/>
          <w:color w:val="000000"/>
          <w:sz w:val="24"/>
          <w:u w:val="single"/>
        </w:rPr>
        <w:t>Section 11.02(e)</w:t>
      </w:r>
      <w:r>
        <w:rPr>
          <w:rFonts w:ascii="Times New Roman;serif" w:hAnsi="Times New Roman;serif"/>
          <w:b w:val="false"/>
          <w:color w:val="000000"/>
          <w:sz w:val="24"/>
        </w:rPr>
        <w:t xml:space="preserve">, the royalties that Ardelyx shall be entitled to receive on Net Sales of Licensed Products by KHK, its Affiliates, or its Sublicensees as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shall each be reduced to [***], provided that when a Generic Product is launched in the Territory, the royalty rate shall be further reduced to [***], subject to the reduction of the Third Party Compensation as set out in </w:t>
      </w:r>
      <w:r>
        <w:rPr>
          <w:rFonts w:ascii="Times New Roman;serif" w:hAnsi="Times New Roman;serif"/>
          <w:b w:val="false"/>
          <w:color w:val="000000"/>
          <w:sz w:val="24"/>
          <w:u w:val="single"/>
        </w:rPr>
        <w:t>Section 6.04(e)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Times New Roman;serif" w:hAnsi="Times New Roman;serif"/>
          <w:b w:val="false"/>
          <w:color w:val="000000"/>
          <w:sz w:val="24"/>
          <w:u w:val="single"/>
        </w:rPr>
        <w:t>Section 11.04(c)</w:t>
      </w:r>
      <w:r>
        <w:rPr>
          <w:color w:val="000000"/>
        </w:rPr>
        <w:t xml:space="preserve"> </w:t>
      </w:r>
      <w:r>
        <w:rPr>
          <w:rFonts w:ascii="Times New Roman;serif" w:hAnsi="Times New Roman;serif"/>
          <w:b w:val="false"/>
          <w:color w:val="000000"/>
          <w:sz w:val="24"/>
        </w:rPr>
        <w:t>shall survive in addition to others specified in this Agreement to survive in such event.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11.05 </w:t>
      </w:r>
      <w:r>
        <w:rPr>
          <w:rFonts w:ascii="Times New Roman;serif" w:hAnsi="Times New Roman;serif"/>
          <w:b/>
          <w:color w:val="000000"/>
          <w:sz w:val="24"/>
          <w:u w:val="single"/>
        </w:rPr>
        <w:t>Bankruptcy</w:t>
      </w:r>
      <w:r>
        <w:rPr>
          <w:rFonts w:ascii="Times New Roman;serif" w:hAnsi="Times New Roman;serif"/>
          <w:b/>
          <w:color w:val="000000"/>
          <w:sz w:val="24"/>
        </w:rPr>
        <w:t xml:space="preserve">. </w:t>
      </w:r>
      <w:r>
        <w:rPr>
          <w:rFonts w:ascii="Times New Roman;serif" w:hAnsi="Times New Roman;serif"/>
          <w:b w:val="false"/>
          <w:color w:val="000000"/>
          <w:sz w:val="24"/>
        </w:rPr>
        <w:t>All rights and licenses granted under or pursuant to this Agreement by a Party are, and shall otherwise be 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11.06 </w:t>
      </w:r>
      <w:r>
        <w:rPr>
          <w:rFonts w:ascii="Times New Roman;serif" w:hAnsi="Times New Roman;serif"/>
          <w:b/>
          <w:color w:val="000000"/>
          <w:sz w:val="24"/>
          <w:u w:val="single"/>
        </w:rPr>
        <w:t>Surviving Rights and Obligations</w:t>
      </w:r>
      <w:r>
        <w:rPr>
          <w:rFonts w:ascii="Times New Roman;serif" w:hAnsi="Times New Roman;serif"/>
          <w:b w:val="false"/>
          <w:color w:val="000000"/>
          <w:sz w:val="24"/>
        </w:rPr>
        <w:t xml:space="preserve">. The rights and obligations set forth in this Agreement shall extend beyond the expiration or termination of the 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 In the event of expiration or termination of this Agreement for any reason, the following provisions shall survive in addition to others specified in this Agreement to survive in such event: </w:t>
      </w:r>
      <w:r>
        <w:rPr>
          <w:rFonts w:ascii="Times New Roman;serif" w:hAnsi="Times New Roman;serif"/>
          <w:b w:val="false"/>
          <w:color w:val="000000"/>
          <w:sz w:val="24"/>
          <w:u w:val="single"/>
        </w:rPr>
        <w:t>Article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Section 5.01 (d), </w:t>
      </w:r>
      <w:r>
        <w:rPr>
          <w:rFonts w:ascii="Times New Roman;serif" w:hAnsi="Times New Roman;serif"/>
          <w:b w:val="false"/>
          <w:color w:val="000000"/>
          <w:sz w:val="24"/>
          <w:u w:val="single"/>
        </w:rPr>
        <w:t>Section 6.08 through 6.11</w:t>
      </w:r>
      <w:r>
        <w:rPr>
          <w:color w:val="000000"/>
        </w:rPr>
        <w:t xml:space="preserve"> </w:t>
      </w:r>
      <w:r>
        <w:rPr>
          <w:rFonts w:ascii="Times New Roman;serif" w:hAnsi="Times New Roman;serif"/>
          <w:b w:val="false"/>
          <w:color w:val="000000"/>
          <w:sz w:val="24"/>
        </w:rPr>
        <w:t xml:space="preserve">(inclusive),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(with the exception of </w:t>
      </w:r>
      <w:r>
        <w:rPr>
          <w:rFonts w:ascii="Times New Roman;serif" w:hAnsi="Times New Roman;serif"/>
          <w:b w:val="false"/>
          <w:color w:val="000000"/>
          <w:sz w:val="24"/>
          <w:u w:val="single"/>
        </w:rPr>
        <w:t>Section 7.03</w:t>
      </w:r>
      <w:r>
        <w:rPr>
          <w:color w:val="000000"/>
        </w:rPr>
        <w:t xml:space="preserve">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8.01 (with regard to disclosure of the Joint Technology and the Sole Program Know-How invented during the Term)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(with regard to Sections 8.03 and 8.04 solely with respect to Joint Patents), </w:t>
      </w:r>
      <w:r>
        <w:rPr>
          <w:rFonts w:ascii="Times New Roman;serif" w:hAnsi="Times New Roman;serif"/>
          <w:b w:val="false"/>
          <w:color w:val="000000"/>
          <w:sz w:val="24"/>
          <w:u w:val="single"/>
        </w:rPr>
        <w:t>Article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u w:val="single"/>
        </w:rPr>
        <w:t>IX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 through Section 11.06</w:t>
      </w:r>
      <w:r>
        <w:rPr>
          <w:color w:val="000000"/>
        </w:rPr>
        <w:t xml:space="preserve"> </w:t>
      </w:r>
      <w:r>
        <w:rPr>
          <w:rFonts w:ascii="Times New Roman;serif" w:hAnsi="Times New Roman;serif"/>
          <w:b w:val="false"/>
          <w:color w:val="000000"/>
          <w:sz w:val="24"/>
        </w:rPr>
        <w:t xml:space="preserve">(inclusive), </w:t>
      </w:r>
      <w:r>
        <w:rPr>
          <w:rFonts w:ascii="Times New Roman;serif" w:hAnsi="Times New Roman;serif"/>
          <w:b w:val="false"/>
          <w:color w:val="000000"/>
          <w:sz w:val="24"/>
          <w:u w:val="single"/>
        </w:rPr>
        <w:t>Article XII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XIV.</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INDEMNIFICATION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12.01 </w:t>
      </w:r>
      <w:r>
        <w:rPr>
          <w:rFonts w:ascii="Times New Roman;serif" w:hAnsi="Times New Roman;serif"/>
          <w:b/>
          <w:color w:val="000000"/>
          <w:sz w:val="24"/>
          <w:u w:val="single"/>
        </w:rPr>
        <w:t>Indemnification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KHK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or demands made or brought by a Sublicensee or other Third Party (collectively, “</w:t>
      </w:r>
      <w:r>
        <w:rPr>
          <w:rFonts w:ascii="Times New Roman;serif" w:hAnsi="Times New Roman;serif"/>
          <w:b/>
          <w:color w:val="000000"/>
          <w:sz w:val="24"/>
        </w:rPr>
        <w:t>Third Party Claims</w:t>
      </w:r>
      <w:r>
        <w:rPr>
          <w:color w:val="000000"/>
        </w:rPr>
        <w:t>”</w:t>
      </w:r>
      <w:r>
        <w:rPr>
          <w:rFonts w:ascii="Times New Roman;serif" w:hAnsi="Times New Roman;serif"/>
          <w:b w:val="false"/>
          <w:color w:val="000000"/>
          <w:sz w:val="24"/>
        </w:rPr>
        <w:t xml:space="preserve">) against Ardelyx, its Affiliates or their respective employees, officers, directors or agents, that result from or arise out of [***], except in any case, to the extent such Losses are Losses for which Ardelyx has an obligation to indemnify KHK, its Affiliates or their respective employees, officers, directors or agents pursuant to </w:t>
      </w:r>
      <w:r>
        <w:rPr>
          <w:rFonts w:ascii="Times New Roman;serif" w:hAnsi="Times New Roman;serif"/>
          <w:b w:val="false"/>
          <w:color w:val="000000"/>
          <w:sz w:val="24"/>
          <w:u w:val="single"/>
        </w:rPr>
        <w:t>(b)</w:t>
      </w:r>
      <w:r>
        <w:rPr>
          <w:rFonts w:ascii="Times New Roman;serif" w:hAnsi="Times New Roman;serif"/>
          <w:b w:val="false"/>
          <w:color w:val="000000"/>
          <w:sz w:val="24"/>
        </w:rPr>
        <w:t>, as to which Losses each Party shall indemnify the other to the extent of their respective liability for such Losses.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Ardelyx hereby agrees to indemnify, defend and hold harmless KHK, its Affiliates, and each of its and their respective employees, officers, directors and agents from and against any and all Losses incurred by them resulting from or arising out of or in connection with any Third Party Claims against KHK, its Affiliates or their respective employees, officers, directors or agents, that result from or arise out of [***]; except in any case, to the extent such Losses are Losses for which KHK has an obligation to indemnify Ardelyx, its Affiliates or their respective employees, officers, directors or agents pursuant to </w:t>
      </w:r>
      <w:r>
        <w:rPr>
          <w:rFonts w:ascii="Times New Roman;serif" w:hAnsi="Times New Roman;serif"/>
          <w:b w:val="false"/>
          <w:color w:val="000000"/>
          <w:sz w:val="24"/>
          <w:u w:val="single"/>
        </w:rPr>
        <w:t>Section 12.01(a)</w:t>
      </w:r>
      <w:r>
        <w:rPr>
          <w:rFonts w:ascii="Times New Roman;serif" w:hAnsi="Times New Roman;serif"/>
          <w:b w:val="false"/>
          <w:color w:val="000000"/>
          <w:sz w:val="24"/>
        </w:rPr>
        <w:t>, as to which Losses each Party shall indemnify the other to the extent of their respective liability for such Losses.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12.02 </w:t>
      </w:r>
      <w:r>
        <w:rPr>
          <w:rFonts w:ascii="Times New Roman;serif" w:hAnsi="Times New Roman;serif"/>
          <w:b/>
          <w:color w:val="000000"/>
          <w:sz w:val="24"/>
          <w:u w:val="single"/>
        </w:rPr>
        <w:t>Mechanism</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 In the event that a Party (the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xml:space="preserve">) is seeking indemnification under </w:t>
      </w:r>
      <w:r>
        <w:rPr>
          <w:rFonts w:ascii="Times New Roman;serif" w:hAnsi="Times New Roman;serif"/>
          <w:b w:val="false"/>
          <w:color w:val="000000"/>
          <w:sz w:val="24"/>
          <w:u w:val="single"/>
        </w:rPr>
        <w:t>Section 12.01(a)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12.01(b)</w:t>
      </w:r>
      <w:r>
        <w:rPr>
          <w:rFonts w:ascii="Times New Roman;serif" w:hAnsi="Times New Roman;serif"/>
          <w:b w:val="false"/>
          <w:color w:val="000000"/>
          <w:sz w:val="24"/>
        </w:rPr>
        <w:t>, it shall notify the other Party (the “</w:t>
      </w:r>
      <w:r>
        <w:rPr>
          <w:rFonts w:ascii="Times New Roman;serif" w:hAnsi="Times New Roman;serif"/>
          <w:b/>
          <w:color w:val="000000"/>
          <w:sz w:val="24"/>
        </w:rPr>
        <w:t>Indemnifying Party</w:t>
      </w:r>
      <w:r>
        <w:rPr>
          <w:color w:val="000000"/>
        </w:rPr>
        <w:t>”</w:t>
      </w:r>
      <w:r>
        <w:rPr>
          <w:rFonts w:ascii="Times New Roman;serif" w:hAnsi="Times New Roman;serif"/>
          <w:b w:val="false"/>
          <w:color w:val="000000"/>
          <w:sz w:val="24"/>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 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(b) Notwithstanding </w:t>
      </w:r>
      <w:r>
        <w:rPr>
          <w:rFonts w:ascii="Times New Roman;serif" w:hAnsi="Times New Roman;serif"/>
          <w:b w:val="false"/>
          <w:color w:val="000000"/>
          <w:sz w:val="24"/>
          <w:u w:val="single"/>
        </w:rPr>
        <w:t>Section 12.02(a)</w:t>
      </w:r>
      <w:r>
        <w:rPr>
          <w:rFonts w:ascii="Times New Roman;serif" w:hAnsi="Times New Roman;serif"/>
          <w:b w:val="false"/>
          <w:color w:val="000000"/>
          <w:sz w:val="24"/>
        </w:rPr>
        <w:t xml:space="preserve">,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12.03 </w:t>
      </w:r>
      <w:r>
        <w:rPr>
          <w:rFonts w:ascii="Times New Roman;serif" w:hAnsi="Times New Roman;serif"/>
          <w:b/>
          <w:color w:val="000000"/>
          <w:sz w:val="24"/>
          <w:u w:val="single"/>
        </w:rPr>
        <w:t>Insurance</w:t>
      </w:r>
      <w:r>
        <w:rPr>
          <w:rFonts w:ascii="Times New Roman;serif" w:hAnsi="Times New Roman;serif"/>
          <w:b w:val="false"/>
          <w:color w:val="000000"/>
          <w:sz w:val="24"/>
        </w:rPr>
        <w:t>. Each Party shall have and maintain such type and amounts of liability insurance covering the Manufacture, supply, use and sale of the Licensed Compounds and the Licensed Products as is normal and customary in the pharmaceutical industry generally for Persons similarly situated, and shall upon request provide the other Party with a copy of its policies of insurance in that regard, along with any amendments and revisions thereto.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DISPUTE RESOLUTION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13.01 </w:t>
      </w:r>
      <w:r>
        <w:rPr>
          <w:rFonts w:ascii="Times New Roman;serif" w:hAnsi="Times New Roman;serif"/>
          <w:b/>
          <w:color w:val="000000"/>
          <w:sz w:val="24"/>
          <w:u w:val="single"/>
        </w:rPr>
        <w:t>Referral of Disputes to the Parties Senior Executives</w:t>
      </w:r>
      <w:r>
        <w:rPr>
          <w:rFonts w:ascii="Times New Roman;serif" w:hAnsi="Times New Roman;serif"/>
          <w:b w:val="false"/>
          <w:color w:val="000000"/>
          <w:sz w:val="24"/>
        </w:rPr>
        <w:t>. In the event of any dispute, controversy or claim between the Parties arising out of or in connection with this Agreement, including the existence, negotiation, validity, formation, interpretation, breach, performance or application of this Agreement (“</w:t>
      </w:r>
      <w:r>
        <w:rPr>
          <w:rFonts w:ascii="Times New Roman;serif" w:hAnsi="Times New Roman;serif"/>
          <w:b/>
          <w:color w:val="000000"/>
          <w:sz w:val="24"/>
        </w:rPr>
        <w:t>Dispute</w:t>
      </w:r>
      <w:r>
        <w:rPr>
          <w:color w:val="000000"/>
        </w:rPr>
        <w:t>”</w:t>
      </w:r>
      <w:r>
        <w:rPr>
          <w:rFonts w:ascii="Times New Roman;serif" w:hAnsi="Times New Roman;serif"/>
          <w:b w:val="false"/>
          <w:color w:val="000000"/>
          <w:sz w:val="24"/>
        </w:rPr>
        <w:t>), either Party may, by written notice to the other, have such Dispute referred to the Senior Executives for attempted resolution by good faith negotiations.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13.02 </w:t>
      </w:r>
      <w:r>
        <w:rPr>
          <w:rFonts w:ascii="Times New Roman;serif" w:hAnsi="Times New Roman;serif"/>
          <w:b/>
          <w:color w:val="000000"/>
          <w:sz w:val="24"/>
          <w:u w:val="single"/>
        </w:rPr>
        <w:t>Mediation and Arbitration</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If (i) Ardelyx at any time has a good faith belief that KHK may be in material breach of its obligations under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(ii) Ardelyx has notified KHK of its belief in writing and the Parties are not in agreement as to whether or not such breach under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exists, and (iii) the Parties have not resolved the dispute through good faith negotiations pursuant to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within the prescribed time, then Ardelyx shall have the right (but not the obligation) to request, through written notice to KHK (a “</w:t>
      </w:r>
      <w:r>
        <w:rPr>
          <w:rFonts w:ascii="Times New Roman;serif" w:hAnsi="Times New Roman;serif"/>
          <w:b/>
          <w:color w:val="000000"/>
          <w:sz w:val="24"/>
        </w:rPr>
        <w:t>Mediation Notice</w:t>
      </w:r>
      <w:r>
        <w:rPr>
          <w:color w:val="000000"/>
        </w:rPr>
        <w:t>”</w:t>
      </w:r>
      <w:r>
        <w:rPr>
          <w:rFonts w:ascii="Times New Roman;serif" w:hAnsi="Times New Roman;serif"/>
          <w:b w:val="false"/>
          <w:color w:val="000000"/>
          <w:sz w:val="24"/>
        </w:rPr>
        <w:t xml:space="preserve">) within [***] ([***]) days after the expiry of the time period set forth in </w:t>
      </w:r>
      <w:r>
        <w:rPr>
          <w:rFonts w:ascii="Times New Roman;serif" w:hAnsi="Times New Roman;serif"/>
          <w:b w:val="false"/>
          <w:color w:val="000000"/>
          <w:sz w:val="24"/>
          <w:u w:val="single"/>
        </w:rPr>
        <w:t>Section 13.01</w:t>
      </w:r>
      <w:r>
        <w:rPr>
          <w:rFonts w:ascii="Times New Roman;serif" w:hAnsi="Times New Roman;serif"/>
          <w:b w:val="false"/>
          <w:color w:val="000000"/>
          <w:sz w:val="24"/>
        </w:rPr>
        <w:t>, that the Parties shall first refer the dispute proceedings under the International Chamber of Commerce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xml:space="preserve">) under its Mediation Rules. For clarity, Ardelyx shall not be obligated to exercise its right to initiate mediation pursuant to this </w:t>
      </w:r>
      <w:r>
        <w:rPr>
          <w:rFonts w:ascii="Times New Roman;serif" w:hAnsi="Times New Roman;serif"/>
          <w:b w:val="false"/>
          <w:color w:val="000000"/>
          <w:sz w:val="24"/>
          <w:u w:val="single"/>
        </w:rPr>
        <w:t>Section 13.02(a)</w:t>
      </w:r>
      <w:r>
        <w:rPr>
          <w:color w:val="000000"/>
        </w:rPr>
        <w:t xml:space="preserve"> </w:t>
      </w:r>
      <w:r>
        <w:rPr>
          <w:rFonts w:ascii="Times New Roman;serif" w:hAnsi="Times New Roman;serif"/>
          <w:b w:val="false"/>
          <w:color w:val="000000"/>
          <w:sz w:val="24"/>
        </w:rPr>
        <w:t>before initiating arbitration pursuant to</w:t>
      </w:r>
      <w:r>
        <w:rPr>
          <w:color w:val="000000"/>
          <w:u w:val="single"/>
        </w:rPr>
        <w:t xml:space="preserve"> </w:t>
      </w:r>
      <w:r>
        <w:rPr>
          <w:rFonts w:ascii="Times New Roman;serif" w:hAnsi="Times New Roman;serif"/>
          <w:b w:val="false"/>
          <w:color w:val="000000"/>
          <w:sz w:val="24"/>
          <w:u w:val="single"/>
        </w:rPr>
        <w:t>Section 13.02(b)</w:t>
      </w:r>
      <w:r>
        <w:rPr>
          <w:rFonts w:ascii="Times New Roman;serif" w:hAnsi="Times New Roman;serif"/>
          <w:b w:val="false"/>
          <w:color w:val="000000"/>
          <w:sz w:val="24"/>
        </w:rPr>
        <w:t>. If Ardelyx elects to exercise its right to initiate mediation within the prescribed time, then the following shall apply: If the Parties are unable to reach agreement on the selection of the mediator within [***] ([***]) Business Days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after KHK’s receipt of the Mediation Notice from Ardelyx, then either or both Parties shall immediately request the ICC to select a mediator with the requisite background, experience and expertise in the biopharmaceutical industry to assist the Parties in resolving the dispute amicably. The place of mediation shall be New York City, New York,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ICC to mediate such matter. Any decisions or recommendations of the mediator shall be confidential and non-binding on the Parties. If the Parties are unable to resolve the dispute through mediation pursuant to this </w:t>
      </w:r>
      <w:r>
        <w:rPr>
          <w:rFonts w:ascii="Times New Roman;serif" w:hAnsi="Times New Roman;serif"/>
          <w:b w:val="false"/>
          <w:color w:val="000000"/>
          <w:sz w:val="24"/>
          <w:u w:val="single"/>
        </w:rPr>
        <w:t>Section 13.02(a)</w:t>
      </w:r>
      <w:r>
        <w:rPr>
          <w:color w:val="000000"/>
        </w:rPr>
        <w:t xml:space="preserve"> </w:t>
      </w:r>
      <w:r>
        <w:rPr>
          <w:rFonts w:ascii="Times New Roman;serif" w:hAnsi="Times New Roman;serif"/>
          <w:b w:val="false"/>
          <w:color w:val="000000"/>
          <w:sz w:val="24"/>
        </w:rPr>
        <w:t xml:space="preserve">within a period of [***] ([***]) days following KHK’s receipt of the Mediation Notice from Ardelyx, then either Party shall thereafter have the right to refer the dispute to arbitration pursuant to </w:t>
      </w:r>
      <w:r>
        <w:rPr>
          <w:rFonts w:ascii="Times New Roman;serif" w:hAnsi="Times New Roman;serif"/>
          <w:b w:val="false"/>
          <w:color w:val="000000"/>
          <w:sz w:val="24"/>
          <w:u w:val="single"/>
        </w:rPr>
        <w:t>Section 13.02(b)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Subject to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13.02(a)</w:t>
      </w:r>
      <w:r>
        <w:rPr>
          <w:rFonts w:ascii="Times New Roman;serif" w:hAnsi="Times New Roman;serif"/>
          <w:b w:val="false"/>
          <w:color w:val="000000"/>
          <w:sz w:val="24"/>
        </w:rPr>
        <w:t>, any Dispute that is not resolved by the Senior Executives within [***] ([***]) days after such notice is received, such Dispute shall be finally settled under the Rules of Arbitration of the ICC by three (3) arbitrators. If the two party-appointed arbitrators fail to nominate the President of the Tribunal within [***] ([***]) days after the appointment of the two party-appointed arbitrators then, the ICC shall appoint the President of the Tribunal. The place of arbitration shall be New York City, New York. The language of the arbitration shall be English. The Parties agree that such judgment or award may be enforced in any court of competent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13.03 </w:t>
      </w:r>
      <w:r>
        <w:rPr>
          <w:rFonts w:ascii="Times New Roman;serif" w:hAnsi="Times New Roman;serif"/>
          <w:b/>
          <w:color w:val="000000"/>
          <w:sz w:val="24"/>
          <w:u w:val="single"/>
        </w:rPr>
        <w:t>Preliminary Injunctions</w:t>
      </w:r>
      <w:r>
        <w:rPr>
          <w:rFonts w:ascii="Times New Roman;serif" w:hAnsi="Times New Roman;serif"/>
          <w:b w:val="false"/>
          <w:color w:val="000000"/>
          <w:sz w:val="24"/>
        </w:rPr>
        <w:t>. Notwithstanding anything to the contrary, a Party may seek preliminary measures, including but not limited to a temporary restraining order or a preliminary injunction from any court of competent jurisdiction in order to prevent immediate and irreparable injury, loss, or damage on a provisional basis, pending the decision of the arbitral tribunal on the ultimate merits of any dispute.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13.04 </w:t>
      </w:r>
      <w:r>
        <w:rPr>
          <w:rFonts w:ascii="Times New Roman;serif" w:hAnsi="Times New Roman;serif"/>
          <w:b/>
          <w:color w:val="000000"/>
          <w:sz w:val="24"/>
          <w:u w:val="single"/>
        </w:rPr>
        <w:t>Patent Disputes</w:t>
      </w:r>
      <w:r>
        <w:rPr>
          <w:rFonts w:ascii="Times New Roman;serif" w:hAnsi="Times New Roman;serif"/>
          <w:b w:val="false"/>
          <w:color w:val="000000"/>
          <w:sz w:val="24"/>
        </w:rPr>
        <w:t>. Notwithstanding anything to the contrary, any and all issues regarding the scope, inventorship, construction, validity, or enforceability of Patents shall be determined in a court of competent jurisdiction under the local patent laws of the jurisdictions having issued the Patents in question.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13.05 </w:t>
      </w:r>
      <w:r>
        <w:rPr>
          <w:rFonts w:ascii="Times New Roman;serif" w:hAnsi="Times New Roman;serif"/>
          <w:b/>
          <w:color w:val="000000"/>
          <w:sz w:val="24"/>
          <w:u w:val="single"/>
        </w:rPr>
        <w:t>Confidentiality</w:t>
      </w:r>
      <w:r>
        <w:rPr>
          <w:rFonts w:ascii="Times New Roman;serif" w:hAnsi="Times New Roman;serif"/>
          <w:b w:val="false"/>
          <w:color w:val="000000"/>
          <w:sz w:val="24"/>
        </w:rPr>
        <w:t>. The Parties undertake to keep confidential all awards in their arbitration, together with all materials in the proceedings created for the purpose of the arbitration and all other documents produced by the other Party in the proceedings not otherwise in the public domain, save and to the extent that disclosure may be required by a Party by legal duty, to protect or pursue a legal right or to enforce or challenge an award in legal proceedings before a court or other judicial authority.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14.01 </w:t>
      </w:r>
      <w:r>
        <w:rPr>
          <w:rFonts w:ascii="Times New Roman;serif" w:hAnsi="Times New Roman;serif"/>
          <w:b/>
          <w:color w:val="000000"/>
          <w:sz w:val="24"/>
          <w:u w:val="single"/>
        </w:rPr>
        <w:t>Assignment; Performance by Affiliates</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Neither Party may assign any of its rights or obligations under this Agreement in any country in whole or in part without the prior written consent of the other Party, except that</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each Party shall have the right, without such consent, (i) to perform any of its obligations and exercise any of its rights under this Agreement through, and to assign all of its rights and obligations under this Agreement to, any of its Affiliates; provided, that, such performance or exercise by such Affiliate, or such assignment, as applicable, [***]; and (ii) on written notice to the other Party, to assign all of its rights and obligations under this Agreement to a non-Affiliate successor in interest, whether by merger, consolidation, reorganization, acquisition, stock purchase, asset purchase or other similar transaction, to all or substantially all of the business to which this Agreement relates. In the event that a Party performs its obligations or exercises its rights under this Agreement through an Affiliate (without having assigned all of its rights and obligations to such Affiliate as permitted under this </w:t>
      </w:r>
      <w:r>
        <w:rPr>
          <w:rFonts w:ascii="Times New Roman;serif" w:hAnsi="Times New Roman;serif"/>
          <w:b w:val="false"/>
          <w:color w:val="000000"/>
          <w:sz w:val="24"/>
          <w:u w:val="single"/>
        </w:rPr>
        <w:t>Section 14.01(a)</w:t>
      </w:r>
      <w:r>
        <w:rPr>
          <w:rFonts w:ascii="Times New Roman;serif" w:hAnsi="Times New Roman;serif"/>
          <w:b w:val="false"/>
          <w:color w:val="000000"/>
          <w:sz w:val="24"/>
        </w:rPr>
        <w:t>,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This Agreement shall survive any succession of interest permitted pursuant to </w:t>
      </w:r>
      <w:r>
        <w:rPr>
          <w:rFonts w:ascii="Times New Roman;serif" w:hAnsi="Times New Roman;serif"/>
          <w:b w:val="false"/>
          <w:color w:val="000000"/>
          <w:sz w:val="24"/>
          <w:u w:val="single"/>
        </w:rPr>
        <w:t>Section 14.01(a)(ii)</w:t>
      </w:r>
      <w:r>
        <w:rPr>
          <w:color w:val="000000"/>
        </w:rPr>
        <w:t xml:space="preserve"> </w:t>
      </w:r>
      <w:r>
        <w:rPr>
          <w:rFonts w:ascii="Times New Roman;serif" w:hAnsi="Times New Roman;serif"/>
          <w:b w:val="false"/>
          <w:color w:val="000000"/>
          <w:sz w:val="24"/>
        </w:rPr>
        <w:t>whether by merger, consolidation, reorganization, acquisition, stock purchase, asset purchase or other similar transaction, provided, that, in the event of such merger, 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This Agreement shall be binding upon and inure to the benefit of the successors and permitted assigns of the Parties. Any assignment not in accordance with this Agreement shall be void.</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14.02 </w:t>
      </w:r>
      <w:r>
        <w:rPr>
          <w:rFonts w:ascii="Times New Roman;serif" w:hAnsi="Times New Roman;serif"/>
          <w:b/>
          <w:color w:val="000000"/>
          <w:sz w:val="24"/>
          <w:u w:val="single"/>
        </w:rPr>
        <w:t>Force Majeure</w:t>
      </w:r>
      <w:r>
        <w:rPr>
          <w:rFonts w:ascii="Times New Roman;serif" w:hAnsi="Times New Roman;serif"/>
          <w:b w:val="false"/>
          <w:color w:val="000000"/>
          <w:sz w:val="24"/>
        </w:rPr>
        <w:t>. In this Agreement, “</w:t>
      </w:r>
      <w:r>
        <w:rPr>
          <w:rFonts w:ascii="Times New Roman;serif" w:hAnsi="Times New Roman;serif"/>
          <w:b/>
          <w:color w:val="000000"/>
          <w:sz w:val="24"/>
        </w:rPr>
        <w:t>Force Majeure</w:t>
      </w:r>
      <w:r>
        <w:rPr>
          <w:color w:val="000000"/>
        </w:rPr>
        <w:t xml:space="preserve">” </w:t>
      </w:r>
      <w:r>
        <w:rPr>
          <w:rFonts w:ascii="Times New Roman;serif" w:hAnsi="Times New Roman;serif"/>
          <w:b w:val="false"/>
          <w:color w:val="000000"/>
          <w:sz w:val="24"/>
        </w:rPr>
        <w:t>means an event which is beyond a non-performing Party’s reasonable control, including an 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 regulation or direction, whether or not it is later held to be invalid. A Party that is prevented or delayed in its performance under this Agreement by an event of Force Majeure (a “</w:t>
      </w:r>
      <w:r>
        <w:rPr>
          <w:rFonts w:ascii="Times New Roman;serif" w:hAnsi="Times New Roman;serif"/>
          <w:b/>
          <w:color w:val="000000"/>
          <w:sz w:val="24"/>
        </w:rPr>
        <w:t>Force Majeure Party</w:t>
      </w:r>
      <w:r>
        <w:rPr>
          <w:color w:val="000000"/>
        </w:rPr>
        <w:t>”</w:t>
      </w:r>
      <w:r>
        <w:rPr>
          <w:rFonts w:ascii="Times New Roman;serif" w:hAnsi="Times New Roman;serif"/>
          <w:b w:val="false"/>
          <w:color w:val="000000"/>
          <w:sz w:val="24"/>
        </w:rPr>
        <w:t xml:space="preserve">) shall, as soon as reasonably practical but no later than [***] ([***]) days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w:t>
      </w:r>
      <w:r>
        <w:rPr>
          <w:rFonts w:ascii="Times New Roman;serif" w:hAnsi="Times New Roman;serif"/>
          <w:b w:val="false"/>
          <w:color w:val="000000"/>
          <w:sz w:val="24"/>
          <w:u w:val="single"/>
        </w:rPr>
        <w:t>Section 14.02</w:t>
      </w:r>
      <w:r>
        <w:rPr>
          <w:rFonts w:ascii="Times New Roman;serif" w:hAnsi="Times New Roman;serif"/>
          <w:b w:val="false"/>
          <w:color w:val="000000"/>
          <w:sz w:val="24"/>
        </w:rPr>
        <w:t>,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14.03 </w:t>
      </w:r>
      <w:r>
        <w:rPr>
          <w:rFonts w:ascii="Times New Roman;serif" w:hAnsi="Times New Roman;serif"/>
          <w:b/>
          <w:color w:val="000000"/>
          <w:sz w:val="24"/>
          <w:u w:val="single"/>
        </w:rPr>
        <w:t>Further Actions</w:t>
      </w:r>
      <w:r>
        <w:rPr>
          <w:rFonts w:ascii="Times New Roman;serif" w:hAnsi="Times New Roman;serif"/>
          <w:b w:val="false"/>
          <w:color w:val="000000"/>
          <w:sz w:val="24"/>
        </w:rPr>
        <w:t>. Each Party agrees to execute, acknowledge, and deliver such further instruments, and to do all such other acts, as may be necessary or appropriate in order to carry out the purposes and intent of this Agreement.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14.04 </w:t>
      </w:r>
      <w:r>
        <w:rPr>
          <w:rFonts w:ascii="Times New Roman;serif" w:hAnsi="Times New Roman;serif"/>
          <w:b/>
          <w:color w:val="000000"/>
          <w:sz w:val="24"/>
          <w:u w:val="single"/>
        </w:rPr>
        <w:t>Notices</w:t>
      </w:r>
      <w:r>
        <w:rPr>
          <w:rFonts w:ascii="Times New Roman;serif" w:hAnsi="Times New Roman;serif"/>
          <w:b w:val="false"/>
          <w:color w:val="000000"/>
          <w:sz w:val="24"/>
        </w:rPr>
        <w:t>. All notices hereunder shall be in writing and shall be deemed given if delivered personally or by facsimile transmission (receipt verified), mailed by registered or certified mail (return receipt requested and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w:t>
      </w:r>
    </w:p>
    <w:tbl>
      <w:tblPr>
        <w:tblW w:w="8145" w:type="dxa"/>
        <w:jc w:val="left"/>
        <w:tblInd w:w="0" w:type="dxa"/>
        <w:tblLayout w:type="fixed"/>
        <w:tblCellMar>
          <w:top w:w="28" w:type="dxa"/>
          <w:left w:w="28" w:type="dxa"/>
          <w:bottom w:w="28" w:type="dxa"/>
          <w:right w:w="28" w:type="dxa"/>
        </w:tblCellMar>
      </w:tblPr>
      <w:tblGrid>
        <w:gridCol w:w="1042"/>
        <w:gridCol w:w="916"/>
        <w:gridCol w:w="922"/>
        <w:gridCol w:w="1539"/>
        <w:gridCol w:w="1539"/>
        <w:gridCol w:w="2187"/>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If to Ardelyx, addressed to</w:t>
            </w:r>
            <w:r>
              <w:rPr>
                <w:rFonts w:ascii="Times New Roman;serif" w:hAnsi="Times New Roman;serif"/>
                <w:b w:val="false"/>
                <w:color w:val="000000"/>
                <w:sz w:val="24"/>
              </w:rPr>
              <w:t>:</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Ardelyx, Inc.</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34175 Ardenwood Blvd.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Fremont, CA 94555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Michael Raab, CEO</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Facsimile: 510-745-0493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With a copy to:</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Latham &amp; Watkins LLP</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140 Scott Drive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Menlo Park, CA 94025-1008</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Judith A. Hasko, Esq.</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Facsimile: (650) 463-2600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If to KHK, addressed to</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Kyowa Hakko Kirin Co., Ltd.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1-9-2 Otemachi, Chiyoda-ku, Tokyo 100-0004, Japan</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Business Development Department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Facsimile: </w:t>
            </w:r>
            <w:r>
              <w:rPr>
                <w:rFonts w:eastAsia="MS Mincho;serif"/>
                <w:b w:val="false"/>
                <w:color w:val="000000"/>
                <w:sz w:val="24"/>
              </w:rPr>
              <w:t>＋</w:t>
            </w:r>
            <w:r>
              <w:rPr>
                <w:rFonts w:ascii="Times New Roman;serif" w:hAnsi="Times New Roman;serif"/>
                <w:b w:val="false"/>
                <w:color w:val="000000"/>
                <w:sz w:val="24"/>
              </w:rPr>
              <w: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With a copy to:</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Kyowa Hakko Kirin Co., Ltd.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1-9-2 Otemachi, Chiyoda-ku, Tokyo 100-0004, Japan</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Legal and Intellectual Property Department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Facsimile: </w:t>
            </w:r>
            <w:r>
              <w:rPr>
                <w:rFonts w:eastAsia="MS Mincho;serif"/>
                <w:b w:val="false"/>
                <w:color w:val="000000"/>
                <w:sz w:val="24"/>
              </w:rPr>
              <w:t>＋</w:t>
            </w:r>
            <w:r>
              <w:rPr>
                <w:rFonts w:ascii="Times New Roman;serif" w:hAnsi="Times New Roman;serif"/>
                <w:b w:val="false"/>
                <w:color w:val="000000"/>
                <w:sz w:val="24"/>
              </w:rPr>
              <w:t>[***]</w:t>
            </w:r>
          </w:p>
        </w:tc>
      </w:tr>
    </w:tbl>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14.05 </w:t>
      </w:r>
      <w:r>
        <w:rPr>
          <w:rFonts w:ascii="Times New Roman;serif" w:hAnsi="Times New Roman;serif"/>
          <w:b/>
          <w:color w:val="000000"/>
          <w:sz w:val="24"/>
          <w:u w:val="single"/>
        </w:rPr>
        <w:t>No Waiver</w:t>
      </w:r>
      <w:r>
        <w:rPr>
          <w:rFonts w:ascii="Times New Roman;serif" w:hAnsi="Times New Roman;serif"/>
          <w:b w:val="false"/>
          <w:color w:val="000000"/>
          <w:sz w:val="24"/>
        </w:rPr>
        <w:t>. Except as specifically provided for herein, the waiver from time to time by either of the Parties of any of their rights or their failure to exercise any remedy shall not operate or be construed as a waiver of any other of such Party’s rights or remedies provided in this Agreement.</w: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14.06 </w:t>
      </w:r>
      <w:r>
        <w:rPr>
          <w:rFonts w:ascii="Times New Roman;serif" w:hAnsi="Times New Roman;serif"/>
          <w:b/>
          <w:color w:val="000000"/>
          <w:sz w:val="24"/>
          <w:u w:val="single"/>
        </w:rPr>
        <w:t>Severability</w:t>
      </w:r>
      <w:r>
        <w:rPr>
          <w:rFonts w:ascii="Times New Roman;serif" w:hAnsi="Times New Roman;serif"/>
          <w:b w:val="false"/>
          <w:color w:val="000000"/>
          <w:sz w:val="24"/>
        </w:rPr>
        <w:t>. If any term, covenant or condition of this Agreement or the application thereof to any Party or circumstance shall, to any extent, be 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14.07 </w:t>
      </w:r>
      <w:r>
        <w:rPr>
          <w:rFonts w:ascii="Times New Roman;serif" w:hAnsi="Times New Roman;serif"/>
          <w:b/>
          <w:color w:val="000000"/>
          <w:sz w:val="24"/>
          <w:u w:val="single"/>
        </w:rPr>
        <w:t>Governing Law</w:t>
      </w:r>
      <w:r>
        <w:rPr>
          <w:rFonts w:ascii="Times New Roman;serif" w:hAnsi="Times New Roman;serif"/>
          <w:b w:val="false"/>
          <w:color w:val="000000"/>
          <w:sz w:val="24"/>
        </w:rPr>
        <w:t xml:space="preserve">. This Agreement shall be governed by and interpreted under the laws of the State of New York, USA, without giving effect to any conflict of law principle that would otherwise result in the application of the laws of any State or jurisdiction other than the State of New York, USA, except that </w:t>
      </w:r>
      <w:r>
        <w:rPr>
          <w:rFonts w:ascii="Times New Roman;serif" w:hAnsi="Times New Roman;serif"/>
          <w:b w:val="false"/>
          <w:color w:val="000000"/>
          <w:sz w:val="24"/>
          <w:u w:val="single"/>
        </w:rPr>
        <w:t>Section 13.02(b)</w:t>
      </w:r>
      <w:r>
        <w:rPr>
          <w:color w:val="000000"/>
        </w:rPr>
        <w:t xml:space="preserve"> </w:t>
      </w:r>
      <w:r>
        <w:rPr>
          <w:rFonts w:ascii="Times New Roman;serif" w:hAnsi="Times New Roman;serif"/>
          <w:b w:val="false"/>
          <w:color w:val="000000"/>
          <w:sz w:val="24"/>
        </w:rPr>
        <w:t>and any arbitration thereunder shall be governed by the Federal Arbitration Act, Chapters 1 and 2 as long as such Chapters are applicable.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14.08 </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14.09 </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including without limitation all exhibits attached hereto, sets forth all the covenants, promises, agreements, warranties, representations, conditions, and understandings between the Parties and supersedes and terminates all prior and contemporaneous agreements and understanding between the Parties, including without limitation the agreements and amendments set forth in </w:t>
      </w:r>
      <w:r>
        <w:rPr>
          <w:rFonts w:ascii="Times New Roman;serif" w:hAnsi="Times New Roman;serif"/>
          <w:b w:val="false"/>
          <w:color w:val="000000"/>
          <w:sz w:val="24"/>
          <w:u w:val="single"/>
        </w:rPr>
        <w:t>Section 7.07</w:t>
      </w:r>
      <w:r>
        <w:rPr>
          <w:rFonts w:ascii="Times New Roman;serif" w:hAnsi="Times New Roman;serif"/>
          <w:b w:val="false"/>
          <w:color w:val="000000"/>
          <w:sz w:val="24"/>
        </w:rPr>
        <w:t>.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14.10 </w:t>
      </w:r>
      <w:r>
        <w:rPr>
          <w:rFonts w:ascii="Times New Roman;serif" w:hAnsi="Times New Roman;serif"/>
          <w:b/>
          <w:color w:val="000000"/>
          <w:sz w:val="24"/>
          <w:u w:val="single"/>
        </w:rPr>
        <w:t>Limitation of Liability</w:t>
      </w:r>
      <w:r>
        <w:rPr>
          <w:rFonts w:ascii="Times New Roman;serif" w:hAnsi="Times New Roman;serif"/>
          <w:b w:val="false"/>
          <w:color w:val="000000"/>
          <w:sz w:val="24"/>
        </w:rPr>
        <w:t xml:space="preserve">. EXCEPT IN CIRCUMSTANCES OF GROSS NEGLIGENCE OR INTENTIONAL MISCONDUCT BY A PARTY OR ITS AFFILIATES, OR WITH RESPECT TO THIRD PARTY CLAIMS UNDER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IN NO EVENT SHALL EITHER PARTY OR ITS RESPECTIVE AFFILIATES AND SUBLICENSEES BE LIABLE FOR SPECIAL, INDIRECT, INCIDENTAL, OR CONSEQUENTIAL DAMAGES, WHETHER IN CONTRACT, WARRANTY, TORT, STRICT LIABILITY, OR OTHERWISE, INCLUDING BUT NOT LIMITED TO LOSS OF PROFITS, REVENUE, MILESTONES OR ROYALTIES. This </w:t>
      </w:r>
      <w:r>
        <w:rPr>
          <w:rFonts w:ascii="Times New Roman;serif" w:hAnsi="Times New Roman;serif"/>
          <w:b w:val="false"/>
          <w:color w:val="000000"/>
          <w:sz w:val="24"/>
          <w:u w:val="single"/>
        </w:rPr>
        <w:t>Section 14.10</w:t>
      </w:r>
      <w:r>
        <w:rPr>
          <w:color w:val="000000"/>
        </w:rPr>
        <w:t xml:space="preserve"> </w:t>
      </w:r>
      <w:r>
        <w:rPr>
          <w:rFonts w:ascii="Times New Roman;serif" w:hAnsi="Times New Roman;serif"/>
          <w:b w:val="false"/>
          <w:color w:val="000000"/>
          <w:sz w:val="24"/>
        </w:rPr>
        <w:t xml:space="preserve">shall not limit either Party’s obligations under </w:t>
      </w:r>
      <w:r>
        <w:rPr>
          <w:rFonts w:ascii="Times New Roman;serif" w:hAnsi="Times New Roman;serif"/>
          <w:b w:val="false"/>
          <w:color w:val="000000"/>
          <w:sz w:val="24"/>
          <w:u w:val="single"/>
        </w:rPr>
        <w:t>Article XII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14.11 </w:t>
      </w:r>
      <w:r>
        <w:rPr>
          <w:rFonts w:ascii="Times New Roman;serif" w:hAnsi="Times New Roman;serif"/>
          <w:b/>
          <w:color w:val="000000"/>
          <w:sz w:val="24"/>
          <w:u w:val="single"/>
        </w:rPr>
        <w:t>No Partnership</w:t>
      </w:r>
      <w:r>
        <w:rPr>
          <w:rFonts w:ascii="Times New Roman;serif" w:hAnsi="Times New Roman;serif"/>
          <w:b w:val="false"/>
          <w:color w:val="000000"/>
          <w:sz w:val="24"/>
        </w:rPr>
        <w:t>. It is expressly agreed that the relationship between Ardelyx and KHK shall not constitute a partnership, joint venture, or agency. Neither Ardelyx nor KHK shall have the authority to make any statements, representations, or commitments of any kind, or to take any action, which shall be binding on the other Party, without the prior consent of such other Party to do so.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lineRule="auto" w:line="288"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in duplicate originals by their proper officers as of the Effective Date.</w:t>
      </w:r>
    </w:p>
    <w:tbl>
      <w:tblPr>
        <w:tblW w:w="6596" w:type="dxa"/>
        <w:jc w:val="left"/>
        <w:tblInd w:w="0" w:type="dxa"/>
        <w:tblLayout w:type="fixed"/>
        <w:tblCellMar>
          <w:top w:w="28" w:type="dxa"/>
          <w:left w:w="28" w:type="dxa"/>
          <w:bottom w:w="28" w:type="dxa"/>
          <w:right w:w="28" w:type="dxa"/>
        </w:tblCellMar>
      </w:tblPr>
      <w:tblGrid>
        <w:gridCol w:w="269"/>
        <w:gridCol w:w="235"/>
        <w:gridCol w:w="235"/>
        <w:gridCol w:w="558"/>
        <w:gridCol w:w="558"/>
        <w:gridCol w:w="578"/>
        <w:gridCol w:w="109"/>
        <w:gridCol w:w="109"/>
        <w:gridCol w:w="109"/>
        <w:gridCol w:w="504"/>
        <w:gridCol w:w="504"/>
        <w:gridCol w:w="504"/>
        <w:gridCol w:w="673"/>
        <w:gridCol w:w="673"/>
        <w:gridCol w:w="978"/>
      </w:tblGrid>
      <w:tr>
        <w:trPr/>
        <w:tc>
          <w:tcPr>
            <w:tcW w:w="2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Ardelyx,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 xml:space="preserve">Kyowa Hakko Kirin Co., Ltd. </w:t>
            </w:r>
          </w:p>
        </w:tc>
      </w:tr>
      <w:tr>
        <w:trPr/>
        <w:tc>
          <w:tcPr>
            <w:tcW w:w="24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Nobuo Hanai, Ph.D</w:t>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2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President and CEO</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TENAPANOR STRUCTURE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COMPOUND PATENTS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ADDITIONAL PATENTS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INITIAL DELIVERY OF DEVELOPMENT DATA AND REGULATORY</w:t>
        <w:br/>
        <w:t>DOCUMENTATION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bl>
      <w:tblPr>
        <w:tblW w:w="3064" w:type="dxa"/>
        <w:jc w:val="left"/>
        <w:tblInd w:w="0" w:type="dxa"/>
        <w:tblLayout w:type="fixed"/>
        <w:tblCellMar>
          <w:top w:w="28" w:type="dxa"/>
          <w:left w:w="28" w:type="dxa"/>
          <w:bottom w:w="28" w:type="dxa"/>
          <w:right w:w="28" w:type="dxa"/>
        </w:tblCellMar>
      </w:tblPr>
      <w:tblGrid>
        <w:gridCol w:w="591"/>
        <w:gridCol w:w="521"/>
        <w:gridCol w:w="522"/>
        <w:gridCol w:w="425"/>
        <w:gridCol w:w="425"/>
        <w:gridCol w:w="42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vMerge w:val="restart"/>
            <w:tcBorders>
              <w:top w:val="single" w:sz="8" w:space="0" w:color="000000"/>
              <w:left w:val="single" w:sz="8" w:space="0" w:color="000000"/>
              <w:right w:val="single" w:sz="8" w:space="0" w:color="000000"/>
            </w:tcBorders>
            <w:tcMar>
              <w:top w:w="30" w:type="dxa"/>
              <w:left w:w="49"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Study Number</w:t>
            </w:r>
          </w:p>
        </w:tc>
        <w:tc>
          <w:tcPr>
            <w:tcW w:w="12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Description</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vMerge w:val="continue"/>
            <w:tcBorders>
              <w:top w:val="single" w:sz="8" w:space="0" w:color="000000"/>
              <w:left w:val="single" w:sz="8" w:space="0" w:color="000000"/>
              <w:right w:val="single" w:sz="8" w:space="0" w:color="000000"/>
            </w:tcBorders>
            <w:tcMar>
              <w:top w:w="30" w:type="dxa"/>
              <w:left w:w="49" w:type="dxa"/>
              <w:bottom w:w="0" w:type="dxa"/>
            </w:tcMar>
            <w:vAlign w:val="center"/>
          </w:tcPr>
          <w:p>
            <w:pPr>
              <w:pStyle w:val="Normal"/>
              <w:bidi w:val="0"/>
              <w:jc w:val="left"/>
              <w:rPr/>
            </w:pPr>
            <w:r>
              <w:rPr/>
            </w:r>
          </w:p>
        </w:tc>
        <w:tc>
          <w:tcPr>
            <w:tcW w:w="12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2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DEVELOPMENT API SUPPLY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tbl>
      <w:tblPr>
        <w:tblW w:w="4412" w:type="dxa"/>
        <w:jc w:val="left"/>
        <w:tblInd w:w="0" w:type="dxa"/>
        <w:tblLayout w:type="fixed"/>
        <w:tblCellMar>
          <w:top w:w="28" w:type="dxa"/>
          <w:left w:w="28" w:type="dxa"/>
          <w:bottom w:w="28" w:type="dxa"/>
          <w:right w:w="28" w:type="dxa"/>
        </w:tblCellMar>
      </w:tblPr>
      <w:tblGrid>
        <w:gridCol w:w="430"/>
        <w:gridCol w:w="377"/>
        <w:gridCol w:w="379"/>
        <w:gridCol w:w="325"/>
        <w:gridCol w:w="325"/>
        <w:gridCol w:w="326"/>
        <w:gridCol w:w="434"/>
        <w:gridCol w:w="434"/>
        <w:gridCol w:w="436"/>
        <w:gridCol w:w="277"/>
        <w:gridCol w:w="277"/>
        <w:gridCol w:w="392"/>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Compound</w:t>
              <w:br/>
              <w:t>/ Material</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Quantity</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Timing</w:t>
              <w:br/>
              <w:t>for Delivery</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Purpose</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tcBorders>
            <w:tcMar>
              <w:top w:w="30" w:type="dxa"/>
              <w:left w:w="6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right w:val="single" w:sz="8" w:space="0" w:color="000000"/>
            </w:tcBorders>
            <w:tcMar>
              <w:top w:w="30" w:type="dxa"/>
              <w:left w:w="64" w:type="dxa"/>
              <w:bottom w:w="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186" w:type="dxa"/>
            <w:gridSpan w:val="3"/>
            <w:tcBorders>
              <w:top w:val="single" w:sz="8" w:space="0" w:color="000000"/>
              <w:left w:val="single" w:sz="8" w:space="0" w:color="000000"/>
              <w:bottom w:val="single" w:sz="8" w:space="0" w:color="000000"/>
            </w:tcBorders>
            <w:tcMar>
              <w:top w:w="30" w:type="dxa"/>
              <w:left w:w="64"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76" w:type="dxa"/>
            <w:gridSpan w:val="3"/>
            <w:tcBorders>
              <w:top w:val="single" w:sz="8" w:space="0" w:color="000000"/>
              <w:left w:val="single" w:sz="8" w:space="0" w:color="000000"/>
              <w:bottom w:val="single" w:sz="8" w:space="0" w:color="000000"/>
            </w:tcBorders>
            <w:tcMar>
              <w:top w:w="30" w:type="dxa"/>
              <w:left w:w="64"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gridSpan w:val="3"/>
            <w:tcBorders>
              <w:top w:val="single" w:sz="8" w:space="0" w:color="000000"/>
              <w:left w:val="single" w:sz="8" w:space="0" w:color="000000"/>
              <w:bottom w:val="single" w:sz="8" w:space="0" w:color="000000"/>
            </w:tcBorders>
            <w:tcMar>
              <w:top w:w="30" w:type="dxa"/>
              <w:left w:w="64"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gridSpan w:val="3"/>
            <w:tcBorders>
              <w:top w:val="single" w:sz="8" w:space="0" w:color="000000"/>
              <w:left w:val="single" w:sz="8" w:space="0" w:color="000000"/>
              <w:bottom w:val="single" w:sz="8" w:space="0" w:color="000000"/>
              <w:right w:val="single" w:sz="8" w:space="0" w:color="000000"/>
            </w:tcBorders>
            <w:tcMar>
              <w:top w:w="30" w:type="dxa"/>
              <w:left w:w="64" w:type="dxa"/>
              <w:bottom w:w="30" w:type="dxa"/>
              <w:right w:w="64"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DEVELOPMENT PRODUCT SUPPLY</w:t>
      </w:r>
    </w:p>
    <w:p>
      <w:pPr>
        <w:pStyle w:val="TextBody"/>
        <w:bidi w:val="0"/>
        <w:spacing w:lineRule="auto" w:line="288" w:before="0" w:after="0"/>
        <w:ind w:left="0" w:right="0" w:hanging="720"/>
        <w:jc w:val="left"/>
        <w:rPr/>
      </w:pPr>
      <w:r>
        <w:rPr>
          <w:rFonts w:ascii="Times New Roman;serif" w:hAnsi="Times New Roman;serif"/>
          <w:b/>
          <w:color w:val="000000"/>
          <w:sz w:val="24"/>
        </w:rPr>
        <w:t xml:space="preserve">(i) </w:t>
      </w:r>
      <w:r>
        <w:rPr>
          <w:rFonts w:ascii="Times New Roman;serif" w:hAnsi="Times New Roman;serif"/>
          <w:b w:val="false"/>
          <w:color w:val="000000"/>
          <w:sz w:val="24"/>
        </w:rPr>
        <w:t>[***]</w:t>
      </w:r>
    </w:p>
    <w:tbl>
      <w:tblPr>
        <w:tblW w:w="4112" w:type="dxa"/>
        <w:jc w:val="left"/>
        <w:tblInd w:w="0" w:type="dxa"/>
        <w:tblLayout w:type="fixed"/>
        <w:tblCellMar>
          <w:top w:w="28" w:type="dxa"/>
          <w:left w:w="28" w:type="dxa"/>
          <w:bottom w:w="28" w:type="dxa"/>
          <w:right w:w="28" w:type="dxa"/>
        </w:tblCellMar>
      </w:tblPr>
      <w:tblGrid>
        <w:gridCol w:w="770"/>
        <w:gridCol w:w="679"/>
        <w:gridCol w:w="681"/>
        <w:gridCol w:w="310"/>
        <w:gridCol w:w="310"/>
        <w:gridCol w:w="311"/>
        <w:gridCol w:w="307"/>
        <w:gridCol w:w="307"/>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Timing for Delivery</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Product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Quantity</w:t>
            </w:r>
          </w:p>
        </w:tc>
      </w:tr>
      <w:tr>
        <w:trPr/>
        <w:tc>
          <w:tcPr>
            <w:tcW w:w="213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0" w:after="0"/>
        <w:ind w:left="0" w:right="0" w:hanging="720"/>
        <w:jc w:val="left"/>
        <w:rPr/>
      </w:pPr>
      <w:r>
        <w:rPr>
          <w:rFonts w:ascii="Times New Roman;serif" w:hAnsi="Times New Roman;serif"/>
          <w:b/>
          <w:color w:val="000000"/>
          <w:sz w:val="24"/>
        </w:rPr>
        <w:t xml:space="preserve">(ii) </w:t>
      </w:r>
      <w:r>
        <w:rPr>
          <w:rFonts w:ascii="Times New Roman;serif" w:hAnsi="Times New Roman;serif"/>
          <w:b w:val="false"/>
          <w:color w:val="000000"/>
          <w:sz w:val="24"/>
        </w:rPr>
        <w:t>[***]</w:t>
      </w:r>
    </w:p>
    <w:tbl>
      <w:tblPr>
        <w:tblW w:w="4112" w:type="dxa"/>
        <w:jc w:val="left"/>
        <w:tblInd w:w="0" w:type="dxa"/>
        <w:tblLayout w:type="fixed"/>
        <w:tblCellMar>
          <w:top w:w="28" w:type="dxa"/>
          <w:left w:w="28" w:type="dxa"/>
          <w:bottom w:w="28" w:type="dxa"/>
          <w:right w:w="28" w:type="dxa"/>
        </w:tblCellMar>
      </w:tblPr>
      <w:tblGrid>
        <w:gridCol w:w="770"/>
        <w:gridCol w:w="679"/>
        <w:gridCol w:w="681"/>
        <w:gridCol w:w="310"/>
        <w:gridCol w:w="310"/>
        <w:gridCol w:w="311"/>
        <w:gridCol w:w="307"/>
        <w:gridCol w:w="307"/>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Timing for Delivery</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Product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Quantity</w:t>
            </w:r>
          </w:p>
        </w:tc>
      </w:tr>
      <w:tr>
        <w:trPr/>
        <w:tc>
          <w:tcPr>
            <w:tcW w:w="2130"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0" w:after="0"/>
        <w:ind w:left="0" w:right="0" w:hanging="720"/>
        <w:jc w:val="left"/>
        <w:rPr/>
      </w:pPr>
      <w:r>
        <w:rPr>
          <w:rFonts w:ascii="Times New Roman;serif" w:hAnsi="Times New Roman;serif"/>
          <w:b/>
          <w:color w:val="000000"/>
          <w:sz w:val="24"/>
        </w:rPr>
        <w:t xml:space="preserve">(iii) </w:t>
      </w:r>
      <w:r>
        <w:rPr>
          <w:rFonts w:ascii="Times New Roman;serif" w:hAnsi="Times New Roman;serif"/>
          <w:b w:val="false"/>
          <w:color w:val="000000"/>
          <w:sz w:val="24"/>
        </w:rPr>
        <w:t>[***]</w:t>
      </w:r>
    </w:p>
    <w:tbl>
      <w:tblPr>
        <w:tblW w:w="4112" w:type="dxa"/>
        <w:jc w:val="left"/>
        <w:tblInd w:w="0" w:type="dxa"/>
        <w:tblLayout w:type="fixed"/>
        <w:tblCellMar>
          <w:top w:w="28" w:type="dxa"/>
          <w:left w:w="28" w:type="dxa"/>
          <w:bottom w:w="28" w:type="dxa"/>
          <w:right w:w="28" w:type="dxa"/>
        </w:tblCellMar>
      </w:tblPr>
      <w:tblGrid>
        <w:gridCol w:w="770"/>
        <w:gridCol w:w="679"/>
        <w:gridCol w:w="681"/>
        <w:gridCol w:w="310"/>
        <w:gridCol w:w="310"/>
        <w:gridCol w:w="311"/>
        <w:gridCol w:w="307"/>
        <w:gridCol w:w="307"/>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Timing for Delivery</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Product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Quantity</w:t>
            </w:r>
          </w:p>
        </w:tc>
      </w:tr>
      <w:tr>
        <w:trPr/>
        <w:tc>
          <w:tcPr>
            <w:tcW w:w="2130"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13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CERTAIN INFORMATION IDENTIFIED BY “[***]” HAS BEEN EXCLUDED FROM THE EXHIBIT BECAUSE IT IS BOTH NOT MATERIAL AND IS THE TYPE OF INFORMATION THAT THE REGISTRANT TREATS AS PRIVATE OR CONFIDENTIAL.</w:t>
      </w:r>
    </w:p>
    <w:p>
      <w:pPr>
        <w:pStyle w:val="TextBody"/>
        <w:bidi w:val="0"/>
        <w:spacing w:before="0" w:after="0"/>
        <w:jc w:val="center"/>
        <w:rPr/>
      </w:pPr>
      <w:r>
        <w:rPr/>
      </w:r>
    </w:p>
    <w:p>
      <w:pPr>
        <w:pStyle w:val="TextBody"/>
        <w:bidi w:val="0"/>
        <w:spacing w:lineRule="auto" w:line="288" w:before="0" w:after="3600"/>
        <w:jc w:val="right"/>
        <w:rPr>
          <w:rFonts w:ascii="Times New Roman;serif" w:hAnsi="Times New Roman;serif"/>
          <w:b/>
          <w:color w:val="000000"/>
          <w:sz w:val="24"/>
        </w:rPr>
      </w:pPr>
      <w:r>
        <w:rPr>
          <w:rFonts w:ascii="Times New Roman;serif" w:hAnsi="Times New Roman;serif"/>
          <w:b/>
          <w:color w:val="000000"/>
          <w:sz w:val="24"/>
        </w:rPr>
        <w:t>Exhibit 10.25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LICENSE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SHANGHAI FOSUN PHARMACEUTICAL INDUSTRIAL DEVELOPMENT CO.,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ARDELYX,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DECEMBER 11, 2017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CONTENTS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0"/>
        <w:jc w:val="both"/>
        <w:rPr/>
      </w:pPr>
      <w:r>
        <w:rPr>
          <w:rFonts w:ascii="Times New Roman;serif" w:hAnsi="Times New Roman;serif"/>
          <w:b/>
          <w:color w:val="000000"/>
          <w:sz w:val="24"/>
        </w:rPr>
        <w:t xml:space="preserve">Exhibit A: </w:t>
      </w:r>
      <w:r>
        <w:rPr>
          <w:rFonts w:ascii="Times New Roman;serif" w:hAnsi="Times New Roman;serif"/>
          <w:b w:val="false"/>
          <w:color w:val="000000"/>
          <w:sz w:val="24"/>
        </w:rPr>
        <w:t>Tenapanor Structure</w:t>
      </w:r>
    </w:p>
    <w:p>
      <w:pPr>
        <w:pStyle w:val="TextBody"/>
        <w:bidi w:val="0"/>
        <w:spacing w:lineRule="auto" w:line="288" w:before="0" w:after="0"/>
        <w:jc w:val="both"/>
        <w:rPr/>
      </w:pPr>
      <w:r>
        <w:rPr>
          <w:rFonts w:ascii="Times New Roman;serif" w:hAnsi="Times New Roman;serif"/>
          <w:b/>
          <w:color w:val="000000"/>
          <w:sz w:val="24"/>
        </w:rPr>
        <w:t>Exhibit B</w:t>
      </w:r>
      <w:r>
        <w:rPr>
          <w:rFonts w:ascii="Times New Roman;serif" w:hAnsi="Times New Roman;serif"/>
          <w:b w:val="false"/>
          <w:color w:val="000000"/>
          <w:sz w:val="24"/>
        </w:rPr>
        <w:t>: Listed Patents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LICENSE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License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the December 11, 2017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Shanghai Fosun Pharmaceutical Industrial Development Co., Ltd., a Chinese corporation with a place of business at 1289 Yishan Road, Shanghai, 200233 P.R. China (“</w:t>
      </w:r>
      <w:r>
        <w:rPr>
          <w:rFonts w:ascii="Times New Roman;serif" w:hAnsi="Times New Roman;serif"/>
          <w:b/>
          <w:color w:val="000000"/>
          <w:sz w:val="24"/>
        </w:rPr>
        <w:t>FOSUN</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Ardelyx, Inc.</w:t>
      </w:r>
      <w:r>
        <w:rPr>
          <w:rFonts w:ascii="Times New Roman;serif" w:hAnsi="Times New Roman;serif"/>
          <w:b w:val="false"/>
          <w:color w:val="000000"/>
          <w:sz w:val="24"/>
        </w:rPr>
        <w:t>, a Delaware corporation having its principal place of business at 34175 Ardenwood Boulevard, Fremont, California United States of America 94555 (“</w:t>
      </w:r>
      <w:r>
        <w:rPr>
          <w:rFonts w:ascii="Times New Roman;serif" w:hAnsi="Times New Roman;serif"/>
          <w:b/>
          <w:color w:val="000000"/>
          <w:sz w:val="24"/>
        </w:rPr>
        <w:t>Ardelyx</w:t>
      </w:r>
      <w:r>
        <w:rPr>
          <w:color w:val="000000"/>
        </w:rPr>
        <w:t>”</w:t>
      </w:r>
      <w:r>
        <w:rPr>
          <w:rFonts w:ascii="Times New Roman;serif" w:hAnsi="Times New Roman;serif"/>
          <w:b w:val="false"/>
          <w:color w:val="000000"/>
          <w:sz w:val="24"/>
        </w:rPr>
        <w:t>). Ardelyx and FOSUN are sometimes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FOSUN is a pharmaceutical company engaged in the research, development and commercialization of products useful in the amelioration, treatment or prevention of human diseases and conditions;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Ardelyx is a biotechnology company developing a certain proprietary compound known as tenapanor, having the structure set forth on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for use in the treatment of human diseases and disorders;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FOSUN and Ardelyx desire to establish a license agreement for the further development and commercialization of tenapanor, with the objective of providing pharmaceutical products in specified territories to patients derived from application of the expertise of each of Ardelyx and FOSUN.</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mutual agreements set forth below, and other good and valuable consideration, the receipt and sufficiency of which are hereby acknowledged, the Parties agree as follows: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DEFINITIONS AND CONSTRUCTION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following terms shall have the following meanings as used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1.01 </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either Party, any Person controlling, controlled by or under common control with such Party, from time to time and for so long as such control exists. For purposes of this definition of Affiliate, “control” (and, with correlative meanings, the terms “controlled by” and “under common control with”) means (a) direct or indirect ownership of fifty percent (50%) or more of the stock or shares having the right to vote for the election of directors of a Person or (b) the possession, directly or indirectly, of the power to direct, or cause the direction of, the management or policies of a Person, whether through the ownership of voting securities, by contract or otherwise.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1.02 </w:t>
      </w:r>
      <w:r>
        <w:rPr>
          <w:color w:val="000000"/>
        </w:rPr>
        <w:t>“</w:t>
      </w:r>
      <w:r>
        <w:rPr>
          <w:rFonts w:ascii="Times New Roman;serif" w:hAnsi="Times New Roman;serif"/>
          <w:b/>
          <w:color w:val="000000"/>
          <w:sz w:val="24"/>
        </w:rPr>
        <w:t>Annual Net Sales</w:t>
      </w:r>
      <w:r>
        <w:rPr>
          <w:color w:val="000000"/>
        </w:rPr>
        <w:t xml:space="preserve">” </w:t>
      </w:r>
      <w:r>
        <w:rPr>
          <w:rFonts w:ascii="Times New Roman;serif" w:hAnsi="Times New Roman;serif"/>
          <w:b w:val="false"/>
          <w:color w:val="000000"/>
          <w:sz w:val="24"/>
        </w:rPr>
        <w:t>means the Net Sales made during any given Calendar Year.</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1.03 </w:t>
      </w:r>
      <w:r>
        <w:rPr>
          <w:color w:val="000000"/>
        </w:rPr>
        <w:t>“</w:t>
      </w:r>
      <w:r>
        <w:rPr>
          <w:rFonts w:ascii="Times New Roman;serif" w:hAnsi="Times New Roman;serif"/>
          <w:b/>
          <w:color w:val="000000"/>
          <w:sz w:val="24"/>
        </w:rPr>
        <w:t>Anti-Corruption Laws</w:t>
      </w:r>
      <w:r>
        <w:rPr>
          <w:color w:val="000000"/>
        </w:rPr>
        <w:t xml:space="preserve">” </w:t>
      </w:r>
      <w:r>
        <w:rPr>
          <w:rFonts w:ascii="Times New Roman;serif" w:hAnsi="Times New Roman;serif"/>
          <w:b w:val="false"/>
          <w:color w:val="000000"/>
          <w:sz w:val="24"/>
        </w:rPr>
        <w:t>means the U.S. Foreign Corrupt Practices Act, as amended, the UK Bribery Act 2010, as amended, and any other applicable anti-corruption laws and laws for the prevention of fraud, racketeering, money laundering or terrorism.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1.04 </w:t>
      </w:r>
      <w:r>
        <w:rPr>
          <w:color w:val="000000"/>
        </w:rPr>
        <w:t>“</w:t>
      </w:r>
      <w:r>
        <w:rPr>
          <w:rFonts w:ascii="Times New Roman;serif" w:hAnsi="Times New Roman;serif"/>
          <w:b/>
          <w:color w:val="000000"/>
          <w:sz w:val="24"/>
        </w:rPr>
        <w:t>API Supply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1.05 </w:t>
      </w:r>
      <w:r>
        <w:rPr>
          <w:color w:val="000000"/>
        </w:rPr>
        <w:t>“</w:t>
      </w:r>
      <w:r>
        <w:rPr>
          <w:rFonts w:ascii="Times New Roman;serif" w:hAnsi="Times New Roman;serif"/>
          <w:b/>
          <w:color w:val="000000"/>
          <w:sz w:val="24"/>
        </w:rPr>
        <w:t>Applicable Laws</w:t>
      </w:r>
      <w:r>
        <w:rPr>
          <w:color w:val="000000"/>
        </w:rPr>
        <w:t xml:space="preserve">” </w:t>
      </w:r>
      <w:r>
        <w:rPr>
          <w:rFonts w:ascii="Times New Roman;serif" w:hAnsi="Times New Roman;serif"/>
          <w:b w:val="false"/>
          <w:color w:val="000000"/>
          <w:sz w:val="24"/>
        </w:rPr>
        <w:t>means all applicable statutes, ordinances, codes, executive or governmental orders, laws, rules and regulations, including without limitation, any rules, regulations, guidelines or other requirements of Regulatory Health Authorities, that may be in effect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1.06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Know-How that [***]; provided, that (i) such Know-How is used by [***] a Licensed Compound or a Licensed Product, or (ii) such Know-How [***] a Licensed Product in the Field. Ardelyx [***] Know-How specifically excludes any Excluded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1.07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all Patents that [***] invention that (i) [***] a Licensed Compound or a Licensed Product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 or (ii) is [***] a Licensed Product in the Field (“</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Ardelyx [***] Patents specifically excludes any Excluded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1.08 </w:t>
      </w:r>
      <w:r>
        <w:rPr>
          <w:color w:val="000000"/>
        </w:rPr>
        <w:t>“</w:t>
      </w:r>
      <w:r>
        <w:rPr>
          <w:rFonts w:ascii="Times New Roman;serif" w:hAnsi="Times New Roman;serif"/>
          <w:b/>
          <w:color w:val="000000"/>
          <w:sz w:val="24"/>
        </w:rPr>
        <w:t xml:space="preserve">Ardelyx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 xml:space="preserve">” </w:t>
      </w:r>
      <w:r>
        <w:rPr>
          <w:rFonts w:ascii="Times New Roman;serif" w:hAnsi="Times New Roman;serif"/>
          <w:b w:val="false"/>
          <w:color w:val="000000"/>
          <w:sz w:val="24"/>
        </w:rPr>
        <w:t>means Ardelyx [***] Know-How and Ardelyx [***]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1.09 </w:t>
      </w:r>
      <w:r>
        <w:rPr>
          <w:color w:val="000000"/>
        </w:rPr>
        <w:t>“</w:t>
      </w:r>
      <w:r>
        <w:rPr>
          <w:rFonts w:ascii="Times New Roman;serif" w:hAnsi="Times New Roman;serif"/>
          <w:b/>
          <w:color w:val="000000"/>
          <w:sz w:val="24"/>
        </w:rPr>
        <w:t>Ardelyx Controlled Patents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 </w:t>
      </w:r>
      <w:r>
        <w:rPr>
          <w:color w:val="000000"/>
        </w:rPr>
        <w:t>“</w:t>
      </w:r>
      <w:r>
        <w:rPr>
          <w:rFonts w:ascii="Times New Roman;serif" w:hAnsi="Times New Roman;serif"/>
          <w:b/>
          <w:color w:val="000000"/>
          <w:sz w:val="24"/>
        </w:rPr>
        <w:t>Ardelyx Sole Invention Patent</w:t>
      </w:r>
      <w:r>
        <w:rPr>
          <w:color w:val="000000"/>
        </w:rPr>
        <w:t xml:space="preserve">” </w:t>
      </w:r>
      <w:r>
        <w:rPr>
          <w:rFonts w:ascii="Times New Roman;serif" w:hAnsi="Times New Roman;serif"/>
          <w:b w:val="false"/>
          <w:color w:val="000000"/>
          <w:sz w:val="24"/>
        </w:rPr>
        <w:t>shall mean any Patent claiming Sole Program Know-How owned solely by Ardelyx.</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 </w:t>
      </w:r>
      <w:r>
        <w:rPr>
          <w:color w:val="000000"/>
        </w:rPr>
        <w:t>“</w:t>
      </w:r>
      <w:r>
        <w:rPr>
          <w:rFonts w:ascii="Times New Roman;serif" w:hAnsi="Times New Roman;serif"/>
          <w:b/>
          <w:color w:val="000000"/>
          <w:sz w:val="24"/>
        </w:rPr>
        <w:t>Bankruptcy Code</w:t>
      </w:r>
      <w:r>
        <w:rPr>
          <w:color w:val="000000"/>
        </w:rPr>
        <w:t xml:space="preserve">” </w:t>
      </w:r>
      <w:r>
        <w:rPr>
          <w:rFonts w:ascii="Times New Roman;serif" w:hAnsi="Times New Roman;serif"/>
          <w:b w:val="false"/>
          <w:color w:val="000000"/>
          <w:sz w:val="24"/>
        </w:rPr>
        <w:t>means Title 11, United States Code, as amended, or analogous provisions of Applicable Laws outside the United States.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1.12 </w:t>
      </w:r>
      <w:r>
        <w:rPr>
          <w:color w:val="000000"/>
        </w:rPr>
        <w:t>“</w:t>
      </w:r>
      <w:r>
        <w:rPr>
          <w:rFonts w:ascii="Times New Roman;serif" w:hAnsi="Times New Roman;serif"/>
          <w:b/>
          <w:color w:val="000000"/>
          <w:sz w:val="24"/>
        </w:rPr>
        <w:t>Breaching Party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1.13 </w:t>
      </w:r>
      <w:r>
        <w:rPr>
          <w:color w:val="000000"/>
        </w:rPr>
        <w:t>“</w:t>
      </w:r>
      <w:r>
        <w:rPr>
          <w:rFonts w:ascii="Times New Roman;serif" w:hAnsi="Times New Roman;serif"/>
          <w:b/>
          <w:color w:val="000000"/>
          <w:sz w:val="24"/>
        </w:rPr>
        <w:t>Bridging Study</w:t>
      </w:r>
      <w:r>
        <w:rPr>
          <w:color w:val="000000"/>
        </w:rPr>
        <w:t xml:space="preserve">” </w:t>
      </w:r>
      <w:r>
        <w:rPr>
          <w:rFonts w:ascii="Times New Roman;serif" w:hAnsi="Times New Roman;serif"/>
          <w:b w:val="false"/>
          <w:color w:val="000000"/>
          <w:sz w:val="24"/>
        </w:rPr>
        <w:t>shall mean a clinical study conducted in the Territory for the purpose of providing pharmacodynamic or clinical data on efficacy, safety, dosage and dose regimen in the Territory to allow extrapolation of the clinical data generated by Ardelyx, its Affiliates or its licensees outside of the Territory. The Bridging Study may be a pharmacokinetics study or a full clinical trial, as required by the Regulatory Health Authorities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1.14 </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(a) a Saturday or a Sunday or (b) a day on which commercial banking institutions are authorized or required by Applicable Laws to be closed in New York City, New York or in People’s Republic of China.</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1.15 </w:t>
      </w:r>
      <w:r>
        <w:rPr>
          <w:color w:val="000000"/>
        </w:rPr>
        <w:t>“</w:t>
      </w:r>
      <w:r>
        <w:rPr>
          <w:rFonts w:ascii="Times New Roman;serif" w:hAnsi="Times New Roman;serif"/>
          <w:b/>
          <w:color w:val="000000"/>
          <w:sz w:val="24"/>
        </w:rPr>
        <w:t>Calendar Quarter</w:t>
      </w:r>
      <w:r>
        <w:rPr>
          <w:color w:val="000000"/>
        </w:rPr>
        <w:t xml:space="preserve">” </w:t>
      </w:r>
      <w:r>
        <w:rPr>
          <w:rFonts w:ascii="Times New Roman;serif" w:hAnsi="Times New Roman;serif"/>
          <w:b w:val="false"/>
          <w:color w:val="000000"/>
          <w:sz w:val="24"/>
        </w:rPr>
        <w:t>means each successive period of three (3) consecutive calendar months commencing on 1st January, 1st April, 1st July and 1st October.</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1.16 </w:t>
      </w:r>
      <w:r>
        <w:rPr>
          <w:color w:val="000000"/>
        </w:rPr>
        <w:t>“</w:t>
      </w:r>
      <w:r>
        <w:rPr>
          <w:rFonts w:ascii="Times New Roman;serif" w:hAnsi="Times New Roman;serif"/>
          <w:b/>
          <w:color w:val="000000"/>
          <w:sz w:val="24"/>
        </w:rPr>
        <w:t>Calendar Year</w:t>
      </w:r>
      <w:r>
        <w:rPr>
          <w:color w:val="000000"/>
        </w:rPr>
        <w:t xml:space="preserve">” </w:t>
      </w:r>
      <w:r>
        <w:rPr>
          <w:rFonts w:ascii="Times New Roman;serif" w:hAnsi="Times New Roman;serif"/>
          <w:b w:val="false"/>
          <w:color w:val="000000"/>
          <w:sz w:val="24"/>
        </w:rPr>
        <w:t>means each successive period of twelve (12) consecutive calendar months commencing on 1st January.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1.17 </w:t>
      </w:r>
      <w:r>
        <w:rPr>
          <w:color w:val="000000"/>
        </w:rPr>
        <w:t>“</w:t>
      </w:r>
      <w:r>
        <w:rPr>
          <w:rFonts w:ascii="Times New Roman;serif" w:hAnsi="Times New Roman;serif"/>
          <w:b/>
          <w:color w:val="000000"/>
          <w:sz w:val="24"/>
        </w:rPr>
        <w:t>CFDA</w:t>
      </w:r>
      <w:r>
        <w:rPr>
          <w:color w:val="000000"/>
        </w:rPr>
        <w:t xml:space="preserve">” </w:t>
      </w:r>
      <w:r>
        <w:rPr>
          <w:rFonts w:ascii="Times New Roman;serif" w:hAnsi="Times New Roman;serif"/>
          <w:b w:val="false"/>
          <w:color w:val="000000"/>
          <w:sz w:val="24"/>
        </w:rPr>
        <w:t>means the People’s Republic of China’s Food and Drug Administration, or any successor thereto.</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1.18 </w:t>
      </w:r>
      <w:r>
        <w:rPr>
          <w:color w:val="000000"/>
        </w:rPr>
        <w:t>“</w:t>
      </w:r>
      <w:r>
        <w:rPr>
          <w:rFonts w:ascii="Times New Roman;serif" w:hAnsi="Times New Roman;serif"/>
          <w:b/>
          <w:color w:val="000000"/>
          <w:sz w:val="24"/>
        </w:rPr>
        <w:t>P.R.C. GAAP</w:t>
      </w:r>
      <w:r>
        <w:rPr>
          <w:color w:val="000000"/>
        </w:rPr>
        <w:t xml:space="preserve">” </w:t>
      </w:r>
      <w:r>
        <w:rPr>
          <w:rFonts w:ascii="Times New Roman;serif" w:hAnsi="Times New Roman;serif"/>
          <w:b w:val="false"/>
          <w:color w:val="000000"/>
          <w:sz w:val="24"/>
        </w:rPr>
        <w:t>means Chinese Generally Accepted Accounting Principles, consistently applied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1.19 </w:t>
      </w:r>
      <w:r>
        <w:rPr>
          <w:color w:val="000000"/>
        </w:rPr>
        <w:t>“</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means a product in form suitable for human or animal applications containing a Licensed Compound as an active ingredient and containing one or more other active ingredients, that is sold either as a fixed dose or as separate doses in a single package; provided, that if any other active ingredient is Controlled by Ardelyx and is not a Licensed Compound, it is understood that FOSUN is not being granted any license under any Intellectual Property Rights to Exploit such other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1.20 </w:t>
      </w:r>
      <w:r>
        <w:rPr>
          <w:color w:val="000000"/>
        </w:rPr>
        <w:t>“</w:t>
      </w:r>
      <w:r>
        <w:rPr>
          <w:rFonts w:ascii="Times New Roman;serif" w:hAnsi="Times New Roman;serif"/>
          <w:b/>
          <w:color w:val="000000"/>
          <w:sz w:val="24"/>
        </w:rPr>
        <w:t>Commercialization</w:t>
      </w:r>
      <w:r>
        <w:rPr>
          <w:color w:val="000000"/>
        </w:rPr>
        <w:t xml:space="preserve">” </w:t>
      </w:r>
      <w:r>
        <w:rPr>
          <w:rFonts w:ascii="Times New Roman;serif" w:hAnsi="Times New Roman;serif"/>
          <w:b w:val="false"/>
          <w:color w:val="000000"/>
          <w:sz w:val="24"/>
        </w:rPr>
        <w:t>means all activities undertaken relating to the Manufacture of commercial supplies, marketing and sale of a Licensed Product, advertising, education, planning, marketing, promotion, distribution, market and product support, and Phase 4 Clinical Trials commenced after the First Commercial Sale of the Licensed Product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1.21 </w:t>
      </w:r>
      <w:r>
        <w:rPr>
          <w:color w:val="000000"/>
        </w:rPr>
        <w:t>“</w:t>
      </w:r>
      <w:r>
        <w:rPr>
          <w:rFonts w:ascii="Times New Roman;serif" w:hAnsi="Times New Roman;serif"/>
          <w:b/>
          <w:color w:val="000000"/>
          <w:sz w:val="24"/>
        </w:rPr>
        <w:t>Commercialization Budget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3.03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1.22 </w:t>
      </w:r>
      <w:r>
        <w:rPr>
          <w:color w:val="000000"/>
        </w:rPr>
        <w:t>“</w:t>
      </w:r>
      <w:r>
        <w:rPr>
          <w:rFonts w:ascii="Times New Roman;serif" w:hAnsi="Times New Roman;serif"/>
          <w:b/>
          <w:color w:val="000000"/>
          <w:sz w:val="24"/>
        </w:rPr>
        <w:t>Commercialization Plan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3.03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1.23 </w:t>
      </w:r>
      <w:r>
        <w:rPr>
          <w:color w:val="000000"/>
        </w:rPr>
        <w:t>“</w:t>
      </w:r>
      <w:r>
        <w:rPr>
          <w:rFonts w:ascii="Times New Roman;serif" w:hAnsi="Times New Roman;serif"/>
          <w:b/>
          <w:color w:val="000000"/>
          <w:sz w:val="24"/>
        </w:rPr>
        <w:t>Commercialize</w:t>
      </w:r>
      <w:r>
        <w:rPr>
          <w:color w:val="000000"/>
        </w:rPr>
        <w:t xml:space="preserve">” </w:t>
      </w:r>
      <w:r>
        <w:rPr>
          <w:rFonts w:ascii="Times New Roman;serif" w:hAnsi="Times New Roman;serif"/>
          <w:b w:val="false"/>
          <w:color w:val="000000"/>
          <w:sz w:val="24"/>
        </w:rPr>
        <w:t>means the conduct of Commercialization activities.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1.24 </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shall mean the efforts and resources typically used by pharmaceutical companies similar in size and scope to perform the obligations at issue, which efforts shall not be less than those efforts made by the performing Party with respect to other products at a similar stage of development or in a similar market and commercial potential, taking into account the competitiveness of the market place, the proprietary position of the products, the regulatory structure involved and the profitability of the applicable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1.25 </w:t>
      </w:r>
      <w:r>
        <w:rPr>
          <w:color w:val="000000"/>
        </w:rPr>
        <w:t>“</w:t>
      </w:r>
      <w:r>
        <w:rPr>
          <w:rFonts w:ascii="Times New Roman;serif" w:hAnsi="Times New Roman;serif"/>
          <w:b/>
          <w:color w:val="000000"/>
          <w:sz w:val="24"/>
        </w:rPr>
        <w:t>Comparable Licensed Product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1.26 </w:t>
      </w:r>
      <w:r>
        <w:rPr>
          <w:color w:val="000000"/>
        </w:rPr>
        <w:t>“</w:t>
      </w:r>
      <w:r>
        <w:rPr>
          <w:rFonts w:ascii="Times New Roman;serif" w:hAnsi="Times New Roman;serif"/>
          <w:b/>
          <w:color w:val="000000"/>
          <w:sz w:val="24"/>
        </w:rPr>
        <w:t>Competitive Product</w:t>
      </w:r>
      <w:r>
        <w:rPr>
          <w:color w:val="000000"/>
        </w:rPr>
        <w:t xml:space="preserve">” </w:t>
      </w:r>
      <w:r>
        <w:rPr>
          <w:rFonts w:ascii="Times New Roman;serif" w:hAnsi="Times New Roman;serif"/>
          <w:b w:val="false"/>
          <w:color w:val="000000"/>
          <w:sz w:val="24"/>
        </w:rPr>
        <w:t>means any pharmaceutical product other than a Licensed Product that [***]. A Competitive Product shall not include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1.27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means any and all (a) Know-How relating to the Exploitation of Licensed Compounds or Licensed Products (including Licensed Know-How) or relating to other aspects of the collaboration between the Parties under this Agreement, and (b) Information and Materials, whether oral or in writing or in any other form, disclosed before, on or after the date of this Agreement by one Party to the other Party, including the terms of this Agreement.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1.28 </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means, with respect to an item of Know-How, Patent or other Intellectual Property 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this Agreement, (a) without breaching the terms of any agreement between such Party and any Third Party, and (b) in the case of Ardelyx [***] Technology, without incurring any additional royalty, milestone or other costs or expenses which FOSUN has not agreed in writing to bear.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1.29 </w:t>
      </w:r>
      <w:r>
        <w:rPr>
          <w:color w:val="000000"/>
        </w:rPr>
        <w:t>“</w:t>
      </w:r>
      <w:r>
        <w:rPr>
          <w:rFonts w:ascii="Times New Roman;serif" w:hAnsi="Times New Roman;serif"/>
          <w:b/>
          <w:color w:val="000000"/>
          <w:sz w:val="24"/>
        </w:rPr>
        <w:t>Cost of Goods</w:t>
      </w:r>
      <w:r>
        <w:rPr>
          <w:color w:val="000000"/>
        </w:rPr>
        <w:t xml:space="preserve">” </w:t>
      </w:r>
      <w:r>
        <w:rPr>
          <w:rFonts w:ascii="Times New Roman;serif" w:hAnsi="Times New Roman;serif"/>
          <w:b w:val="false"/>
          <w:color w:val="000000"/>
          <w:sz w:val="24"/>
        </w:rPr>
        <w:t>shall mean the sum of (a) [***] in accordance with GAAP, representing amounts [***] as the case may be, and (b) any amounts [***] that are incurred by Ardelyx after transfer of ownership of such materials and that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1.30 </w:t>
      </w:r>
      <w:r>
        <w:rPr>
          <w:color w:val="000000"/>
        </w:rPr>
        <w:t>“</w:t>
      </w:r>
      <w:r>
        <w:rPr>
          <w:rFonts w:ascii="Times New Roman;serif" w:hAnsi="Times New Roman;serif"/>
          <w:b/>
          <w:color w:val="000000"/>
          <w:sz w:val="24"/>
        </w:rPr>
        <w:t>Develop</w:t>
      </w:r>
      <w:r>
        <w:rPr>
          <w:color w:val="000000"/>
        </w:rPr>
        <w:t xml:space="preserve">” </w:t>
      </w:r>
      <w:r>
        <w:rPr>
          <w:rFonts w:ascii="Times New Roman;serif" w:hAnsi="Times New Roman;serif"/>
          <w:b w:val="false"/>
          <w:color w:val="000000"/>
          <w:sz w:val="24"/>
        </w:rPr>
        <w:t>means the conduct of Development activities.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1.31 </w:t>
      </w:r>
      <w:r>
        <w:rPr>
          <w:color w:val="000000"/>
        </w:rPr>
        <w:t>“</w:t>
      </w:r>
      <w:r>
        <w:rPr>
          <w:rFonts w:ascii="Times New Roman;serif" w:hAnsi="Times New Roman;serif"/>
          <w:b/>
          <w:color w:val="000000"/>
          <w:sz w:val="24"/>
        </w:rPr>
        <w:t>Development</w:t>
      </w:r>
      <w:r>
        <w:rPr>
          <w:color w:val="000000"/>
        </w:rPr>
        <w:t xml:space="preserve">” </w:t>
      </w:r>
      <w:r>
        <w:rPr>
          <w:rFonts w:ascii="Times New Roman;serif" w:hAnsi="Times New Roman;serif"/>
          <w:b w:val="false"/>
          <w:color w:val="000000"/>
          <w:sz w:val="24"/>
        </w:rPr>
        <w:t>means all activities relating to obtaining Regulatory Approval of a Licensed Product, Licensed Product line extensions, alternative delivery systems and new indications therefor, and all activities relating to developing the ability to Manufacture the same. This includes, for example, (a) nonclinical testing, toxicology, formulation, clinical studies, regulatory affairs, and outside counsel regulatory legal services, (b) manufacturing process development for finished forms of Licensed Products, and manufacturing and quality assurance technical support activities prior to the First Commercial Sale of a Licensed Product anywhere in the Territory and (c) the conduct of advisory boards with relevant experts, e.g. clinical experts or payer representatives. Development shall not include activities associated with Phase 4 Clinical Trials in respect of a Licensed Product commenced after First Commercial Sale of such Licensed Product anywhere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1.32 </w:t>
      </w:r>
      <w:r>
        <w:rPr>
          <w:color w:val="000000"/>
        </w:rPr>
        <w:t>“</w:t>
      </w:r>
      <w:r>
        <w:rPr>
          <w:rFonts w:ascii="Times New Roman;serif" w:hAnsi="Times New Roman;serif"/>
          <w:b/>
          <w:color w:val="000000"/>
          <w:sz w:val="24"/>
        </w:rPr>
        <w:t>Development Supply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1.33 </w:t>
      </w:r>
      <w:r>
        <w:rPr>
          <w:color w:val="000000"/>
        </w:rPr>
        <w:t>“</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2.03.</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1.34 </w:t>
      </w:r>
      <w:r>
        <w:rPr>
          <w:color w:val="000000"/>
        </w:rPr>
        <w:t>“</w:t>
      </w:r>
      <w:r>
        <w:rPr>
          <w:rFonts w:ascii="Times New Roman;serif" w:hAnsi="Times New Roman;serif"/>
          <w:b/>
          <w:color w:val="000000"/>
          <w:sz w:val="24"/>
        </w:rPr>
        <w:t>Drug Approval Application</w:t>
      </w:r>
      <w:r>
        <w:rPr>
          <w:color w:val="000000"/>
        </w:rPr>
        <w:t xml:space="preserve">” </w:t>
      </w:r>
      <w:r>
        <w:rPr>
          <w:rFonts w:ascii="Times New Roman;serif" w:hAnsi="Times New Roman;serif"/>
          <w:b w:val="false"/>
          <w:color w:val="000000"/>
          <w:sz w:val="24"/>
        </w:rPr>
        <w:t>means an application for Regulatory Approval required before commercial sale or use of a Licensed Product as a drug in a regulatory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1.35 </w:t>
      </w: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shall have the meaning assigned in the first paragraph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1.36 </w:t>
      </w:r>
      <w:r>
        <w:rPr>
          <w:color w:val="000000"/>
        </w:rPr>
        <w:t>“</w:t>
      </w:r>
      <w:r>
        <w:rPr>
          <w:rFonts w:ascii="Times New Roman;serif" w:hAnsi="Times New Roman;serif"/>
          <w:b/>
          <w:color w:val="000000"/>
          <w:sz w:val="24"/>
        </w:rPr>
        <w:t>Excluded Know-How</w:t>
      </w:r>
      <w:r>
        <w:rPr>
          <w:color w:val="000000"/>
        </w:rPr>
        <w:t xml:space="preserve">” </w:t>
      </w:r>
      <w:r>
        <w:rPr>
          <w:rFonts w:ascii="Times New Roman;serif" w:hAnsi="Times New Roman;serif"/>
          <w:b w:val="false"/>
          <w:color w:val="000000"/>
          <w:sz w:val="24"/>
        </w:rPr>
        <w:t>means Know-How related to Ardelyx’s proprietary platform technology known as Ardelyx Primary Enterocyte and Colonocyte Culture System.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1.37 </w:t>
      </w:r>
      <w:r>
        <w:rPr>
          <w:color w:val="000000"/>
        </w:rPr>
        <w:t>“</w:t>
      </w:r>
      <w:r>
        <w:rPr>
          <w:rFonts w:ascii="Times New Roman;serif" w:hAnsi="Times New Roman;serif"/>
          <w:b/>
          <w:color w:val="000000"/>
          <w:sz w:val="24"/>
        </w:rPr>
        <w:t>Excluded Patents</w:t>
      </w:r>
      <w:r>
        <w:rPr>
          <w:color w:val="000000"/>
        </w:rPr>
        <w:t xml:space="preserve">” </w:t>
      </w:r>
      <w:r>
        <w:rPr>
          <w:rFonts w:ascii="Times New Roman;serif" w:hAnsi="Times New Roman;serif"/>
          <w:b w:val="false"/>
          <w:color w:val="000000"/>
          <w:sz w:val="24"/>
        </w:rPr>
        <w:t>means any Patents claiming aspects of Ardelyx’s proprietary platform technology known as Ardelyx Primary Enterocyte and Colonocyte Culture System.</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1.38 </w:t>
      </w: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means to Develop, Manufacture, have Manufactured, Commercialize a product or process.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1.39 </w:t>
      </w:r>
      <w:r>
        <w:rPr>
          <w:color w:val="000000"/>
        </w:rPr>
        <w:t>“</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means the act of Exploiting a product or process.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1.40 </w:t>
      </w: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means the United States Food and Drug Administration or any successor thereto.</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1.41 </w:t>
      </w:r>
      <w:r>
        <w:rPr>
          <w:color w:val="000000"/>
        </w:rPr>
        <w:t>“</w:t>
      </w:r>
      <w:r>
        <w:rPr>
          <w:rFonts w:ascii="Times New Roman;serif" w:hAnsi="Times New Roman;serif"/>
          <w:b/>
          <w:color w:val="000000"/>
          <w:sz w:val="24"/>
        </w:rPr>
        <w:t>FFDCA</w:t>
      </w:r>
      <w:r>
        <w:rPr>
          <w:color w:val="000000"/>
        </w:rPr>
        <w:t xml:space="preserve">” </w:t>
      </w:r>
      <w:r>
        <w:rPr>
          <w:rFonts w:ascii="Times New Roman;serif" w:hAnsi="Times New Roman;serif"/>
          <w:b w:val="false"/>
          <w:color w:val="000000"/>
          <w:sz w:val="24"/>
        </w:rPr>
        <w:t>means the Federal Food, Drug, and Cosmetic Act, 21 U.S.C. §§ 301, et seq., as amended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1.42 </w:t>
      </w:r>
      <w:r>
        <w:rPr>
          <w:color w:val="000000"/>
        </w:rPr>
        <w:t>“</w:t>
      </w:r>
      <w:r>
        <w:rPr>
          <w:rFonts w:ascii="Times New Roman;serif" w:hAnsi="Times New Roman;serif"/>
          <w:b/>
          <w:color w:val="000000"/>
          <w:sz w:val="24"/>
        </w:rPr>
        <w:t>Field</w:t>
      </w:r>
      <w:r>
        <w:rPr>
          <w:color w:val="000000"/>
        </w:rPr>
        <w:t xml:space="preserve">” </w:t>
      </w:r>
      <w:r>
        <w:rPr>
          <w:rFonts w:ascii="Times New Roman;serif" w:hAnsi="Times New Roman;serif"/>
          <w:b w:val="false"/>
          <w:color w:val="000000"/>
          <w:sz w:val="24"/>
        </w:rPr>
        <w:t>means the treatment, diagnosis or prevention of (i) irritable bowel syndrome with constipation and chronic idiopathic constipation, (ii) hyperphosphatemia related to chronic kidney disease, and (iii) other diseases or conditions for which Ardelyx obtains marketing approval in either the United States or the Territory; provided, however, that with respect to (i), (ii) and (iii), the Field shall exclude the treatment of cancer.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1.43 </w:t>
      </w:r>
      <w:r>
        <w:rPr>
          <w:color w:val="000000"/>
        </w:rPr>
        <w:t>“</w:t>
      </w:r>
      <w:r>
        <w:rPr>
          <w:rFonts w:ascii="Times New Roman;serif" w:hAnsi="Times New Roman;serif"/>
          <w:b/>
          <w:color w:val="000000"/>
          <w:sz w:val="24"/>
        </w:rPr>
        <w:t>Filing</w:t>
      </w:r>
      <w:r>
        <w:rPr>
          <w:color w:val="000000"/>
        </w:rPr>
        <w:t xml:space="preserve">” </w:t>
      </w:r>
      <w:r>
        <w:rPr>
          <w:rFonts w:ascii="Times New Roman;serif" w:hAnsi="Times New Roman;serif"/>
          <w:b w:val="false"/>
          <w:color w:val="000000"/>
          <w:sz w:val="24"/>
        </w:rPr>
        <w:t>means, with respect to a submission to a Regulatory Health Authority, the date that such submission is confirmed to have been received by the relevant Regulatory Health Authority.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1.44 </w:t>
      </w:r>
      <w:r>
        <w:rPr>
          <w:color w:val="000000"/>
        </w:rPr>
        <w:t>“</w:t>
      </w:r>
      <w:r>
        <w:rPr>
          <w:rFonts w:ascii="Times New Roman;serif" w:hAnsi="Times New Roman;serif"/>
          <w:b/>
          <w:color w:val="000000"/>
          <w:sz w:val="24"/>
        </w:rPr>
        <w:t>First Commercial Sale</w:t>
      </w:r>
      <w:r>
        <w:rPr>
          <w:color w:val="000000"/>
        </w:rPr>
        <w:t xml:space="preserve">” </w:t>
      </w:r>
      <w:r>
        <w:rPr>
          <w:rFonts w:ascii="Times New Roman;serif" w:hAnsi="Times New Roman;serif"/>
          <w:b w:val="false"/>
          <w:color w:val="000000"/>
          <w:sz w:val="24"/>
        </w:rPr>
        <w:t>means, with respect to any Licensed Product, the first arm’s length sale for monetary value by FOSUN, its Affiliates, or its Sublicensees to a Third Party for end use or consumption by the general public of such Licensed Product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1.45 </w:t>
      </w:r>
      <w:r>
        <w:rPr>
          <w:color w:val="000000"/>
        </w:rPr>
        <w:t>“</w:t>
      </w:r>
      <w:r>
        <w:rPr>
          <w:rFonts w:ascii="Times New Roman;serif" w:hAnsi="Times New Roman;serif"/>
          <w:b/>
          <w:color w:val="000000"/>
          <w:sz w:val="24"/>
        </w:rPr>
        <w:t xml:space="preserve">FOSUN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Know-How (a) that [***] provided, that, (i) such Know-How is used by [***] a Licensed Compound or a Licensed Product, or (ii) such Know-How [***] a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1.46 </w:t>
      </w:r>
      <w:r>
        <w:rPr>
          <w:color w:val="000000"/>
        </w:rPr>
        <w:t>“</w:t>
      </w:r>
      <w:r>
        <w:rPr>
          <w:rFonts w:ascii="Times New Roman;serif" w:hAnsi="Times New Roman;serif"/>
          <w:b/>
          <w:color w:val="000000"/>
          <w:sz w:val="24"/>
        </w:rPr>
        <w:t xml:space="preserve">FOSUN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all Patents (a) that [***]; provided, that, such Patents claim inventions that (i) [***] of a Licensed Compound or a Licensed Product (“</w:t>
      </w:r>
      <w:r>
        <w:rPr>
          <w:rFonts w:ascii="Times New Roman;serif" w:hAnsi="Times New Roman;serif"/>
          <w:b/>
          <w:color w:val="000000"/>
          <w:sz w:val="24"/>
        </w:rPr>
        <w:t xml:space="preserve">FOSUN </w:t>
      </w:r>
      <w:r>
        <w:rPr>
          <w:rFonts w:ascii="Times New Roman;serif" w:hAnsi="Times New Roman;serif"/>
          <w:b w:val="false"/>
          <w:color w:val="000000"/>
          <w:sz w:val="24"/>
        </w:rPr>
        <w:t>[***]”), or (ii) is [***] a Licensed Product (“</w:t>
      </w:r>
      <w:r>
        <w:rPr>
          <w:rFonts w:ascii="Times New Roman;serif" w:hAnsi="Times New Roman;serif"/>
          <w:b/>
          <w:color w:val="000000"/>
          <w:sz w:val="24"/>
        </w:rPr>
        <w:t xml:space="preserve">FOSUN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1.47 </w:t>
      </w:r>
      <w:r>
        <w:rPr>
          <w:color w:val="000000"/>
        </w:rPr>
        <w:t>“</w:t>
      </w:r>
      <w:r>
        <w:rPr>
          <w:rFonts w:ascii="Times New Roman;serif" w:hAnsi="Times New Roman;serif"/>
          <w:b/>
          <w:color w:val="000000"/>
          <w:sz w:val="24"/>
        </w:rPr>
        <w:t xml:space="preserve">FOSUN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Technology</w:t>
      </w:r>
      <w:r>
        <w:rPr>
          <w:color w:val="000000"/>
        </w:rPr>
        <w:t xml:space="preserve">” </w:t>
      </w:r>
      <w:r>
        <w:rPr>
          <w:rFonts w:ascii="Times New Roman;serif" w:hAnsi="Times New Roman;serif"/>
          <w:b w:val="false"/>
          <w:color w:val="000000"/>
          <w:sz w:val="24"/>
        </w:rPr>
        <w:t>means FOSUN [***] Know-How and FOSUN [***]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1.48 </w:t>
      </w:r>
      <w:r>
        <w:rPr>
          <w:color w:val="000000"/>
        </w:rPr>
        <w:t>“</w:t>
      </w:r>
      <w:r>
        <w:rPr>
          <w:rFonts w:ascii="Times New Roman;serif" w:hAnsi="Times New Roman;serif"/>
          <w:b/>
          <w:color w:val="000000"/>
          <w:sz w:val="24"/>
        </w:rPr>
        <w:t>FOSUN Sole Invention Patent</w:t>
      </w:r>
      <w:r>
        <w:rPr>
          <w:color w:val="000000"/>
        </w:rPr>
        <w:t xml:space="preserve">” </w:t>
      </w:r>
      <w:r>
        <w:rPr>
          <w:rFonts w:ascii="Times New Roman;serif" w:hAnsi="Times New Roman;serif"/>
          <w:b w:val="false"/>
          <w:color w:val="000000"/>
          <w:sz w:val="24"/>
        </w:rPr>
        <w:t>shall mean any Patent claiming Sole Program Know-How owned solely by FOSUN.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1.49 </w:t>
      </w:r>
      <w:r>
        <w:rPr>
          <w:color w:val="000000"/>
        </w:rPr>
        <w:t>“</w:t>
      </w:r>
      <w:r>
        <w:rPr>
          <w:rFonts w:ascii="Times New Roman;serif" w:hAnsi="Times New Roman;serif"/>
          <w:b/>
          <w:color w:val="000000"/>
          <w:sz w:val="24"/>
        </w:rPr>
        <w:t>FOSUN Triggered Termination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1.50 </w:t>
      </w:r>
      <w:r>
        <w:rPr>
          <w:color w:val="000000"/>
        </w:rPr>
        <w:t>“</w:t>
      </w:r>
      <w:r>
        <w:rPr>
          <w:rFonts w:ascii="Times New Roman;serif" w:hAnsi="Times New Roman;serif"/>
          <w:b/>
          <w:color w:val="000000"/>
          <w:sz w:val="24"/>
        </w:rPr>
        <w:t>FTE</w:t>
      </w:r>
      <w:r>
        <w:rPr>
          <w:color w:val="000000"/>
        </w:rPr>
        <w:t xml:space="preserve">” </w:t>
      </w:r>
      <w:r>
        <w:rPr>
          <w:rFonts w:ascii="Times New Roman;serif" w:hAnsi="Times New Roman;serif"/>
          <w:b w:val="false"/>
          <w:color w:val="000000"/>
          <w:sz w:val="24"/>
        </w:rPr>
        <w:t>means a full time equivalent person year of eighteen hundred eighty (1,880) hours of scientific, technical or operational work (excluding administrative services).</w:t>
      </w:r>
    </w:p>
    <w:p>
      <w:pPr>
        <w:pStyle w:val="TextBody"/>
        <w:bidi w:val="0"/>
        <w:spacing w:lineRule="auto" w:line="288" w:before="0" w:after="240"/>
        <w:ind w:left="0" w:right="0" w:firstLine="720"/>
        <w:jc w:val="both"/>
        <w:rPr/>
      </w:pPr>
      <w:r>
        <w:rPr>
          <w:rFonts w:ascii="Times New Roman;serif" w:hAnsi="Times New Roman;serif"/>
          <w:b/>
          <w:color w:val="000000"/>
          <w:sz w:val="24"/>
        </w:rPr>
        <w:t>Section 1.51 GCP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Clinical Practices</w:t>
      </w:r>
      <w:r>
        <w:rPr>
          <w:color w:val="000000"/>
        </w:rPr>
        <w:t xml:space="preserve">” </w:t>
      </w:r>
      <w:r>
        <w:rPr>
          <w:rFonts w:ascii="Times New Roman;serif" w:hAnsi="Times New Roman;serif"/>
          <w:b w:val="false"/>
          <w:color w:val="000000"/>
          <w:sz w:val="24"/>
        </w:rPr>
        <w:t>means the current standards for clinical trials for pharmaceuticals, as set forth in China as well as in the United States Code of Federal Regulations, ICH guidelines and applicable regulations, laws or rules as promulgated thereunder, as amended from time to time, and such standards of good clinical practice as are required by other organizations and governmental agencies in the Territory to the extent such standards are not less stringent than United States GCP.</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1.52 </w:t>
      </w:r>
      <w:r>
        <w:rPr>
          <w:color w:val="000000"/>
        </w:rPr>
        <w:t>“</w:t>
      </w:r>
      <w:r>
        <w:rPr>
          <w:rFonts w:ascii="Times New Roman;serif" w:hAnsi="Times New Roman;serif"/>
          <w:b/>
          <w:color w:val="000000"/>
          <w:sz w:val="24"/>
        </w:rPr>
        <w:t>Generic Product</w:t>
      </w:r>
      <w:r>
        <w:rPr>
          <w:color w:val="000000"/>
        </w:rPr>
        <w:t xml:space="preserve">” </w:t>
      </w:r>
      <w:r>
        <w:rPr>
          <w:rFonts w:ascii="Times New Roman;serif" w:hAnsi="Times New Roman;serif"/>
          <w:b w:val="false"/>
          <w:color w:val="000000"/>
          <w:sz w:val="24"/>
        </w:rPr>
        <w:t>means with respect to a Licensed Product in the Territory a product (a) that is sold in by a Third Party who is not a Sublicensee or a Distributor selling such product under authorization from FOSUN or its Affiliates, (b) that has received Regulatory Approval necessary for sale in the Territory, (c) that [***] and (d) that contains as the active ingredient the same compound as is contained in such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1.53 </w:t>
      </w:r>
      <w:r>
        <w:rPr>
          <w:color w:val="000000"/>
        </w:rPr>
        <w:t>“</w:t>
      </w:r>
      <w:r>
        <w:rPr>
          <w:rFonts w:ascii="Times New Roman;serif" w:hAnsi="Times New Roman;serif"/>
          <w:b/>
          <w:color w:val="000000"/>
          <w:sz w:val="24"/>
        </w:rPr>
        <w:t>GLP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Laboratory Practices</w:t>
      </w:r>
      <w:r>
        <w:rPr>
          <w:color w:val="000000"/>
        </w:rPr>
        <w:t xml:space="preserve">” </w:t>
      </w:r>
      <w:r>
        <w:rPr>
          <w:rFonts w:ascii="Times New Roman;serif" w:hAnsi="Times New Roman;serif"/>
          <w:b w:val="false"/>
          <w:color w:val="000000"/>
          <w:sz w:val="24"/>
        </w:rPr>
        <w:t>means good laboratory practices required under the regulations set forth in 21 C.F.R. Part 58, as in effect during the Term, and the requirements thereunder imposed by the FDA and the CFDA, and the equivalent thereof in any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1.54 </w:t>
      </w:r>
      <w:r>
        <w:rPr>
          <w:color w:val="000000"/>
        </w:rPr>
        <w:t>“</w:t>
      </w:r>
      <w:r>
        <w:rPr>
          <w:rFonts w:ascii="Times New Roman;serif" w:hAnsi="Times New Roman;serif"/>
          <w:b/>
          <w:color w:val="000000"/>
          <w:sz w:val="24"/>
        </w:rPr>
        <w:t>GMP</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Good Manufacturing Practices</w:t>
      </w:r>
      <w:r>
        <w:rPr>
          <w:color w:val="000000"/>
        </w:rPr>
        <w:t xml:space="preserve">” </w:t>
      </w:r>
      <w:r>
        <w:rPr>
          <w:rFonts w:ascii="Times New Roman;serif" w:hAnsi="Times New Roman;serif"/>
          <w:b w:val="false"/>
          <w:color w:val="000000"/>
          <w:sz w:val="24"/>
        </w:rPr>
        <w:t>means the current good manufacturing practices required under the applicable regulations set forth in 21 C.F.R. Subchapter C (Drugs) and Subchapter H (Medical Devices), including without limitation Parts 210–211, 808, 812, and 820, and the requirements thereunder imposed by the FDA and the CFDA, and the equivalent thereof in any jurisdiction, and the laws, regulations, guidelines, guidance, pharmaceutical industry standards and requirements in force from time to time that apply to the Manufacture of each Licensed Compound or Licensed Product in any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1.55 </w:t>
      </w:r>
      <w:r>
        <w:rPr>
          <w:color w:val="000000"/>
        </w:rPr>
        <w:t>“</w:t>
      </w:r>
      <w:r>
        <w:rPr>
          <w:rFonts w:ascii="Times New Roman;serif" w:hAnsi="Times New Roman;serif"/>
          <w:b/>
          <w:color w:val="000000"/>
          <w:sz w:val="24"/>
        </w:rPr>
        <w:t>Government Official</w:t>
      </w:r>
      <w:r>
        <w:rPr>
          <w:color w:val="000000"/>
        </w:rPr>
        <w:t xml:space="preserve">” </w:t>
      </w:r>
      <w:r>
        <w:rPr>
          <w:rFonts w:ascii="Times New Roman;serif" w:hAnsi="Times New Roman;serif"/>
          <w:b w:val="false"/>
          <w:color w:val="000000"/>
          <w:sz w:val="24"/>
        </w:rPr>
        <w:t>means any Person employed by or acting on behalf of a Governmental Body, government-controlled entity or public international organization.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1.56 </w:t>
      </w:r>
      <w:r>
        <w:rPr>
          <w:color w:val="000000"/>
        </w:rPr>
        <w:t>“</w:t>
      </w:r>
      <w:r>
        <w:rPr>
          <w:rFonts w:ascii="Times New Roman;serif" w:hAnsi="Times New Roman;serif"/>
          <w:b/>
          <w:color w:val="000000"/>
          <w:sz w:val="24"/>
        </w:rPr>
        <w:t>Governmental Body</w:t>
      </w:r>
      <w:r>
        <w:rPr>
          <w:color w:val="000000"/>
        </w:rPr>
        <w:t xml:space="preserve">” </w:t>
      </w:r>
      <w:r>
        <w:rPr>
          <w:rFonts w:ascii="Times New Roman;serif" w:hAnsi="Times New Roman;serif"/>
          <w:b w:val="false"/>
          <w:color w:val="000000"/>
          <w:sz w:val="24"/>
        </w:rPr>
        <w:t>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or (d) self-regulatory organization (including the NASDAQ Global Market and the NASDAQ Global Select Market).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1.57 </w:t>
      </w:r>
      <w:r>
        <w:rPr>
          <w:color w:val="000000"/>
        </w:rPr>
        <w:t>“</w:t>
      </w:r>
      <w:r>
        <w:rPr>
          <w:rFonts w:ascii="Times New Roman;serif" w:hAnsi="Times New Roman;serif"/>
          <w:b/>
          <w:color w:val="000000"/>
          <w:sz w:val="24"/>
        </w:rPr>
        <w:t>IND</w:t>
      </w:r>
      <w:r>
        <w:rPr>
          <w:color w:val="000000"/>
        </w:rPr>
        <w:t xml:space="preserve">” </w:t>
      </w:r>
      <w:r>
        <w:rPr>
          <w:rFonts w:ascii="Times New Roman;serif" w:hAnsi="Times New Roman;serif"/>
          <w:b w:val="false"/>
          <w:color w:val="000000"/>
          <w:sz w:val="24"/>
        </w:rPr>
        <w:t>means an Investigational New Drug application or the equivalent filed with or submitted to the relevant Regulatory Health Authority, including, for example, the FDA, for authorization to commence human clinical trials.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1.58 </w:t>
      </w:r>
      <w:r>
        <w:rPr>
          <w:color w:val="000000"/>
        </w:rPr>
        <w:t>“</w:t>
      </w:r>
      <w:r>
        <w:rPr>
          <w:rFonts w:ascii="Times New Roman;serif" w:hAnsi="Times New Roman;serif"/>
          <w:b/>
          <w:color w:val="000000"/>
          <w:sz w:val="24"/>
        </w:rPr>
        <w:t>Indirect Taxes</w:t>
      </w:r>
      <w:r>
        <w:rPr>
          <w:color w:val="000000"/>
        </w:rPr>
        <w:t xml:space="preserve">” </w:t>
      </w:r>
      <w:r>
        <w:rPr>
          <w:rFonts w:ascii="Times New Roman;serif" w:hAnsi="Times New Roman;serif"/>
          <w:b w:val="false"/>
          <w:color w:val="000000"/>
          <w:sz w:val="24"/>
        </w:rPr>
        <w:t>means value added taxes, sales taxes, consumption taxes and other similar taxes.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1.59 </w:t>
      </w:r>
      <w:r>
        <w:rPr>
          <w:color w:val="000000"/>
        </w:rPr>
        <w:t>“</w:t>
      </w:r>
      <w:r>
        <w:rPr>
          <w:rFonts w:ascii="Times New Roman;serif" w:hAnsi="Times New Roman;serif"/>
          <w:b/>
          <w:color w:val="000000"/>
          <w:sz w:val="24"/>
        </w:rPr>
        <w:t>Information</w:t>
      </w:r>
      <w:r>
        <w:rPr>
          <w:color w:val="000000"/>
        </w:rPr>
        <w:t xml:space="preserve">” </w:t>
      </w:r>
      <w:r>
        <w:rPr>
          <w:rFonts w:ascii="Times New Roman;serif" w:hAnsi="Times New Roman;serif"/>
          <w:b w:val="false"/>
          <w:color w:val="000000"/>
          <w:sz w:val="24"/>
        </w:rPr>
        <w:t>means (a) techniques, information and data necessary or useful for the Development, Manufacture or Commercialization of Licensed Compounds or Licensed Products, including without limitation, Know-How, marketing, pricing, distribution, cost, sales, and manufacturing data or descriptions as well as (b) any information or data relating to Materials.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1.60 </w:t>
      </w:r>
      <w:r>
        <w:rPr>
          <w:color w:val="000000"/>
        </w:rPr>
        <w:t>“</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IPR</w:t>
      </w:r>
      <w:r>
        <w:rPr>
          <w:color w:val="000000"/>
        </w:rPr>
        <w:t xml:space="preserve">” </w:t>
      </w:r>
      <w:r>
        <w:rPr>
          <w:rFonts w:ascii="Times New Roman;serif" w:hAnsi="Times New Roman;serif"/>
          <w:b w:val="false"/>
          <w:color w:val="000000"/>
          <w:sz w:val="24"/>
        </w:rPr>
        <w:t>means Patents, Trademarks, service marks, trade secrets (including patentable inventions),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1.61 </w:t>
      </w:r>
      <w:r>
        <w:rPr>
          <w:color w:val="000000"/>
        </w:rPr>
        <w:t>“</w:t>
      </w:r>
      <w:r>
        <w:rPr>
          <w:rFonts w:ascii="Times New Roman;serif" w:hAnsi="Times New Roman;serif"/>
          <w:b/>
          <w:color w:val="000000"/>
          <w:sz w:val="24"/>
        </w:rPr>
        <w:t>Joint Know-How</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1.62 </w:t>
      </w:r>
      <w:r>
        <w:rPr>
          <w:color w:val="000000"/>
        </w:rPr>
        <w:t>“</w:t>
      </w:r>
      <w:r>
        <w:rPr>
          <w:rFonts w:ascii="Times New Roman;serif" w:hAnsi="Times New Roman;serif"/>
          <w:b/>
          <w:color w:val="000000"/>
          <w:sz w:val="24"/>
        </w:rPr>
        <w:t>Joint Patent</w:t>
      </w:r>
      <w:r>
        <w:rPr>
          <w:color w:val="000000"/>
        </w:rPr>
        <w:t xml:space="preserve">” </w:t>
      </w:r>
      <w:r>
        <w:rPr>
          <w:rFonts w:ascii="Times New Roman;serif" w:hAnsi="Times New Roman;serif"/>
          <w:b w:val="false"/>
          <w:color w:val="000000"/>
          <w:sz w:val="24"/>
        </w:rPr>
        <w:t>shall mean any Patent claiming any invention within the Joint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1.63 </w:t>
      </w:r>
      <w:r>
        <w:rPr>
          <w:color w:val="000000"/>
        </w:rPr>
        <w:t>“</w:t>
      </w:r>
      <w:r>
        <w:rPr>
          <w:rFonts w:ascii="Times New Roman;serif" w:hAnsi="Times New Roman;serif"/>
          <w:b/>
          <w:color w:val="000000"/>
          <w:sz w:val="24"/>
        </w:rPr>
        <w:t>Joint Technology</w:t>
      </w:r>
      <w:r>
        <w:rPr>
          <w:color w:val="000000"/>
        </w:rPr>
        <w:t xml:space="preserve">” </w:t>
      </w:r>
      <w:r>
        <w:rPr>
          <w:rFonts w:ascii="Times New Roman;serif" w:hAnsi="Times New Roman;serif"/>
          <w:b w:val="false"/>
          <w:color w:val="000000"/>
          <w:sz w:val="24"/>
        </w:rPr>
        <w:t>shall mean collectively, Joint Patents and Joint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1.64 </w:t>
      </w: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all inventions, discoveries, data, information (including scientific, technical or regulatory information), trade secrets, processes, means, methods, practices, formulae, instructions, procedures, techniques, materials, technology, results, analyses, designs, drawings, computer programs, apparatuses, specifications, technical assistance, laboratory, pre-clinical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1.65 </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the good faith understanding of the officers of Ardelyx and its Affiliates, [***]. For clarity, for purposes of the representations and warranties set forth in </w:t>
      </w:r>
      <w:r>
        <w:rPr>
          <w:rFonts w:ascii="Times New Roman;serif" w:hAnsi="Times New Roman;serif"/>
          <w:b w:val="false"/>
          <w:color w:val="000000"/>
          <w:sz w:val="24"/>
          <w:u w:val="single"/>
        </w:rPr>
        <w:t>Section 9.01(b)</w:t>
      </w:r>
      <w:r>
        <w:rPr>
          <w:rFonts w:ascii="Times New Roman;serif" w:hAnsi="Times New Roman;serif"/>
          <w:b w:val="false"/>
          <w:color w:val="000000"/>
          <w:sz w:val="24"/>
        </w:rPr>
        <w:t>, “</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will not include any obligation to conduct any special searches or analyses such as, but not limited to, any analysis of Ardelyx’s freedom to operate with respect to Patents relevant to Licensed Compounds or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1.66 </w:t>
      </w:r>
      <w:r>
        <w:rPr>
          <w:color w:val="000000"/>
        </w:rPr>
        <w:t>“</w:t>
      </w:r>
      <w:r>
        <w:rPr>
          <w:rFonts w:ascii="Times New Roman;serif" w:hAnsi="Times New Roman;serif"/>
          <w:b/>
          <w:color w:val="000000"/>
          <w:sz w:val="24"/>
        </w:rPr>
        <w:t>Licensed Compound</w:t>
      </w:r>
      <w:r>
        <w:rPr>
          <w:color w:val="000000"/>
        </w:rPr>
        <w:t xml:space="preserve">” </w:t>
      </w:r>
      <w:r>
        <w:rPr>
          <w:rFonts w:ascii="Times New Roman;serif" w:hAnsi="Times New Roman;serif"/>
          <w:b w:val="false"/>
          <w:color w:val="000000"/>
          <w:sz w:val="24"/>
        </w:rPr>
        <w:t xml:space="preserve">means the compound of Licensor, known as tenapanor, having the structure set forth on </w:t>
      </w:r>
      <w:r>
        <w:rPr>
          <w:rFonts w:ascii="Times New Roman;serif" w:hAnsi="Times New Roman;serif"/>
          <w:b/>
          <w:color w:val="000000"/>
          <w:sz w:val="24"/>
        </w:rPr>
        <w:t>Exhibit A</w:t>
      </w:r>
      <w:r>
        <w:rPr>
          <w:rFonts w:ascii="Times New Roman;serif" w:hAnsi="Times New Roman;serif"/>
          <w:b w:val="false"/>
          <w:color w:val="000000"/>
          <w:sz w:val="24"/>
        </w:rPr>
        <w:t>, and any metabolites, salts, polymorphs, hydrates, semihydrates or degradants of such compound.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1.67 </w:t>
      </w:r>
      <w:r>
        <w:rPr>
          <w:color w:val="000000"/>
        </w:rPr>
        <w:t>“</w:t>
      </w:r>
      <w:r>
        <w:rPr>
          <w:rFonts w:ascii="Times New Roman;serif" w:hAnsi="Times New Roman;serif"/>
          <w:b/>
          <w:color w:val="000000"/>
          <w:sz w:val="24"/>
        </w:rPr>
        <w:t>Licensed Product</w:t>
      </w:r>
      <w:r>
        <w:rPr>
          <w:color w:val="000000"/>
        </w:rPr>
        <w:t xml:space="preserve">” </w:t>
      </w:r>
      <w:r>
        <w:rPr>
          <w:rFonts w:ascii="Times New Roman;serif" w:hAnsi="Times New Roman;serif"/>
          <w:b w:val="false"/>
          <w:color w:val="000000"/>
          <w:sz w:val="24"/>
        </w:rPr>
        <w:t>means any and all products in finished forms suitable for human applications containing the Licensed Compound as an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1.68 </w:t>
      </w:r>
      <w:r>
        <w:rPr>
          <w:color w:val="000000"/>
        </w:rPr>
        <w:t>“</w:t>
      </w:r>
      <w:r>
        <w:rPr>
          <w:rFonts w:ascii="Times New Roman;serif" w:hAnsi="Times New Roman;serif"/>
          <w:b/>
          <w:color w:val="000000"/>
          <w:sz w:val="24"/>
        </w:rPr>
        <w:t>Licensed Know-How</w:t>
      </w:r>
      <w:r>
        <w:rPr>
          <w:color w:val="000000"/>
        </w:rPr>
        <w:t xml:space="preserve">” </w:t>
      </w:r>
      <w:r>
        <w:rPr>
          <w:rFonts w:ascii="Times New Roman;serif" w:hAnsi="Times New Roman;serif"/>
          <w:b w:val="false"/>
          <w:color w:val="000000"/>
          <w:sz w:val="24"/>
        </w:rPr>
        <w:t>means (a) Know-How that Ardelyx or its Affiliates Control as of the Effective Date and (b) Sole Program Know-How owned by Ardelyx; provided that, with respect to Know-How described in (a) or (b) above, such Know-How is necessary or useful to Exploit any Licensed Compound or Licensed Product in the manner permitted under the terms and conditions of this Agreement. Licensed Know-How specifically excludes the Ardelyx [***] Know-How and the Excluded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1.69 </w:t>
      </w:r>
      <w:r>
        <w:rPr>
          <w:color w:val="000000"/>
        </w:rPr>
        <w:t>“</w:t>
      </w:r>
      <w:r>
        <w:rPr>
          <w:rFonts w:ascii="Times New Roman;serif" w:hAnsi="Times New Roman;serif"/>
          <w:b/>
          <w:color w:val="000000"/>
          <w:sz w:val="24"/>
        </w:rPr>
        <w:t>Licensed Patents</w:t>
      </w:r>
      <w:r>
        <w:rPr>
          <w:color w:val="000000"/>
        </w:rPr>
        <w:t xml:space="preserve">” </w:t>
      </w:r>
      <w:r>
        <w:rPr>
          <w:rFonts w:ascii="Times New Roman;serif" w:hAnsi="Times New Roman;serif"/>
          <w:b w:val="false"/>
          <w:color w:val="000000"/>
          <w:sz w:val="24"/>
        </w:rPr>
        <w:t>means (a) the Listed Patents, and (b) all Ardelyx Sole Invention Patents; provided that in case of (b) above, such Patents claim any inventions necessary or useful for the Exploitation of Licensed Compound or Licensed Products pursuant to the terms and conditions of this Agreement. Licensed Patents excludes Ardelyx [***] Patents and the Excluded Patents.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1.70 </w:t>
      </w:r>
      <w:r>
        <w:rPr>
          <w:color w:val="000000"/>
        </w:rPr>
        <w:t>“</w:t>
      </w:r>
      <w:r>
        <w:rPr>
          <w:rFonts w:ascii="Times New Roman;serif" w:hAnsi="Times New Roman;serif"/>
          <w:b/>
          <w:color w:val="000000"/>
          <w:sz w:val="24"/>
        </w:rPr>
        <w:t>Licensed Product</w:t>
      </w:r>
      <w:r>
        <w:rPr>
          <w:color w:val="000000"/>
        </w:rPr>
        <w:t xml:space="preserve">” </w:t>
      </w:r>
      <w:r>
        <w:rPr>
          <w:rFonts w:ascii="Times New Roman;serif" w:hAnsi="Times New Roman;serif"/>
          <w:b w:val="false"/>
          <w:color w:val="000000"/>
          <w:sz w:val="24"/>
        </w:rPr>
        <w:t>shall mean any and all pharmaceutical preparations, compositions and formulations in forms suitable for human applications containing a Licensed Compound as an active ingredient.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1.71 </w:t>
      </w:r>
      <w:r>
        <w:rPr>
          <w:color w:val="000000"/>
        </w:rPr>
        <w:t>“</w:t>
      </w:r>
      <w:r>
        <w:rPr>
          <w:rFonts w:ascii="Times New Roman;serif" w:hAnsi="Times New Roman;serif"/>
          <w:b/>
          <w:color w:val="000000"/>
          <w:sz w:val="24"/>
        </w:rPr>
        <w:t>Licensed Technology</w:t>
      </w:r>
      <w:r>
        <w:rPr>
          <w:color w:val="000000"/>
        </w:rPr>
        <w:t xml:space="preserve">” </w:t>
      </w:r>
      <w:r>
        <w:rPr>
          <w:rFonts w:ascii="Times New Roman;serif" w:hAnsi="Times New Roman;serif"/>
          <w:b w:val="false"/>
          <w:color w:val="000000"/>
          <w:sz w:val="24"/>
        </w:rPr>
        <w:t>means all Licensed Patents and Licensed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1.72 </w:t>
      </w:r>
      <w:r>
        <w:rPr>
          <w:color w:val="000000"/>
        </w:rPr>
        <w:t>“</w:t>
      </w:r>
      <w:r>
        <w:rPr>
          <w:rFonts w:ascii="Times New Roman;serif" w:hAnsi="Times New Roman;serif"/>
          <w:b/>
          <w:color w:val="000000"/>
          <w:sz w:val="24"/>
        </w:rPr>
        <w:t>Listed Patents</w:t>
      </w:r>
      <w:r>
        <w:rPr>
          <w:color w:val="000000"/>
        </w:rPr>
        <w:t xml:space="preserve">” </w:t>
      </w:r>
      <w:r>
        <w:rPr>
          <w:rFonts w:ascii="Times New Roman;serif" w:hAnsi="Times New Roman;serif"/>
          <w:b w:val="false"/>
          <w:color w:val="000000"/>
          <w:sz w:val="24"/>
        </w:rPr>
        <w:t xml:space="preserve">means the Patents listed in </w:t>
      </w:r>
      <w:r>
        <w:rPr>
          <w:rFonts w:ascii="Times New Roman;serif" w:hAnsi="Times New Roman;serif"/>
          <w:b/>
          <w:color w:val="000000"/>
          <w:sz w:val="24"/>
        </w:rPr>
        <w:t>Exhibit B</w:t>
      </w:r>
      <w:r>
        <w:rPr>
          <w:rFonts w:ascii="Times New Roman;serif" w:hAnsi="Times New Roman;serif"/>
          <w:b w:val="false"/>
          <w:color w:val="000000"/>
          <w:sz w:val="24"/>
        </w:rPr>
        <w:t xml:space="preserve">, and any Patents issuing after the Effective Date in the Territory claiming priority to any such Patents listed on </w:t>
      </w:r>
      <w:r>
        <w:rPr>
          <w:rFonts w:ascii="Times New Roman;serif" w:hAnsi="Times New Roman;serif"/>
          <w:b/>
          <w:color w:val="000000"/>
          <w:sz w:val="24"/>
        </w:rPr>
        <w:t>Exhibit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1.73 </w:t>
      </w:r>
      <w:r>
        <w:rPr>
          <w:color w:val="000000"/>
        </w:rPr>
        <w:t>“</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means any and all direct or indirect liabilities, claims, actions, damages, losses or expenses, including interest, penalties, and reasonable lawyers’ fees and disbursements. In calculating Losses, the legal duty to mitigate on the part of the Party suffering the Loss shall be taken into account.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1.74 </w:t>
      </w:r>
      <w:r>
        <w:rPr>
          <w:color w:val="000000"/>
        </w:rPr>
        <w:t>“</w:t>
      </w:r>
      <w:r>
        <w:rPr>
          <w:rFonts w:ascii="Times New Roman;serif" w:hAnsi="Times New Roman;serif"/>
          <w:b/>
          <w:color w:val="000000"/>
          <w:sz w:val="24"/>
        </w:rPr>
        <w:t>Manufacture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Manufacturing</w:t>
      </w:r>
      <w:r>
        <w:rPr>
          <w:color w:val="000000"/>
        </w:rPr>
        <w:t xml:space="preserve">” </w:t>
      </w:r>
      <w:r>
        <w:rPr>
          <w:rFonts w:ascii="Times New Roman;serif" w:hAnsi="Times New Roman;serif"/>
          <w:b w:val="false"/>
          <w:color w:val="000000"/>
          <w:sz w:val="24"/>
        </w:rPr>
        <w:t>means activities in connection with the synthesis, manufacture, processing, formulating, testing (including, without limitation quality control, quality assurance and lot release testing), bulk packaging or storage and delivery of Licensed Compound or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1.75 </w:t>
      </w:r>
      <w:r>
        <w:rPr>
          <w:color w:val="000000"/>
        </w:rPr>
        <w:t>“</w:t>
      </w:r>
      <w:r>
        <w:rPr>
          <w:rFonts w:ascii="Times New Roman;serif" w:hAnsi="Times New Roman;serif"/>
          <w:b/>
          <w:color w:val="000000"/>
          <w:sz w:val="24"/>
        </w:rPr>
        <w:t>Material Anti-Corruption Law Violation</w:t>
      </w:r>
      <w:r>
        <w:rPr>
          <w:color w:val="000000"/>
        </w:rPr>
        <w:t xml:space="preserve">” </w:t>
      </w:r>
      <w:r>
        <w:rPr>
          <w:rFonts w:ascii="Times New Roman;serif" w:hAnsi="Times New Roman;serif"/>
          <w:b w:val="false"/>
          <w:color w:val="000000"/>
          <w:sz w:val="24"/>
        </w:rPr>
        <w:t>means a violation of an Anti-Corruption Law relating to the subject matter of this Agreement which would, if it were publicly known, be reasonably expected to have a material adverse effect on the Party committing such violation or on the reputation of the other Party because of its relationship with the Party committing such violation.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1.76 </w:t>
      </w:r>
      <w:r>
        <w:rPr>
          <w:color w:val="000000"/>
        </w:rPr>
        <w:t>“</w:t>
      </w:r>
      <w:r>
        <w:rPr>
          <w:rFonts w:ascii="Times New Roman;serif" w:hAnsi="Times New Roman;serif"/>
          <w:b/>
          <w:color w:val="000000"/>
          <w:sz w:val="24"/>
        </w:rPr>
        <w:t>Materials</w:t>
      </w:r>
      <w:r>
        <w:rPr>
          <w:color w:val="000000"/>
        </w:rPr>
        <w:t xml:space="preserve">” </w:t>
      </w:r>
      <w:r>
        <w:rPr>
          <w:rFonts w:ascii="Times New Roman;serif" w:hAnsi="Times New Roman;serif"/>
          <w:b w:val="false"/>
          <w:color w:val="000000"/>
          <w:sz w:val="24"/>
        </w:rPr>
        <w:t>means compounds, compositions of matter, and assays necessary or useful for the Development, Manufacture or Commercialization of Licensed Products. Materials excludes and materials associated with the Excluded Know-How.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1.77 </w:t>
      </w:r>
      <w:r>
        <w:rPr>
          <w:color w:val="000000"/>
        </w:rPr>
        <w:t>“</w:t>
      </w:r>
      <w:r>
        <w:rPr>
          <w:rFonts w:ascii="Times New Roman;serif" w:hAnsi="Times New Roman;serif"/>
          <w:b/>
          <w:color w:val="000000"/>
          <w:sz w:val="24"/>
        </w:rPr>
        <w:t>Mediation Notice</w:t>
      </w:r>
      <w:r>
        <w:rPr>
          <w:color w:val="000000"/>
        </w:rPr>
        <w:t xml:space="preserve">” </w:t>
      </w:r>
      <w:r>
        <w:rPr>
          <w:rFonts w:ascii="Times New Roman;serif" w:hAnsi="Times New Roman;serif"/>
          <w:b w:val="false"/>
          <w:color w:val="000000"/>
          <w:sz w:val="24"/>
        </w:rPr>
        <w:t>shall have the meaning assigned in Section 13.02(a).</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1.78 </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 the gross amount invoiced by a Party, its Affiliates and Sublicensees for sales of Licensed Products to a Third Party (including Distributors but excluding, for the avoidance of doubt, Sublicensees) less deductions for the following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customary trade, quantity discounts, settlement discounts, or chargebacks actually granted, allowed, or incurred in the ordinary course of business in connection with the sale of the Licensed Products;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credits to customers, not in excess of the selling price of the Licensed Products, on account of governmental requirements, rejection, recalls, or return of the Licensed Products;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distributors fees, rebates, or allowances actually granted or allowed, including without limitation government and managed care rebates;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Indirect Taxes and excise taxes or customs duties paid by the selling entity and any other governmental charges imposed upon the sale; importation, use or distribution of the Licensed Products;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transportation costs, distribution expenses, special packaging and related insurance charges actually incurred.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1.79 </w:t>
      </w:r>
      <w:r>
        <w:rPr>
          <w:color w:val="000000"/>
        </w:rPr>
        <w:t>“</w:t>
      </w:r>
      <w:r>
        <w:rPr>
          <w:rFonts w:ascii="Times New Roman;serif" w:hAnsi="Times New Roman;serif"/>
          <w:b/>
          <w:color w:val="000000"/>
          <w:sz w:val="24"/>
        </w:rPr>
        <w:t>Non-Breaching Party</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1.80 </w:t>
      </w:r>
      <w:r>
        <w:rPr>
          <w:color w:val="000000"/>
        </w:rPr>
        <w:t>“</w:t>
      </w:r>
      <w:r>
        <w:rPr>
          <w:rFonts w:ascii="Times New Roman;serif" w:hAnsi="Times New Roman;serif"/>
          <w:b/>
          <w:color w:val="000000"/>
          <w:sz w:val="24"/>
        </w:rPr>
        <w:t>Other Ingredients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1.81 Intentionally Left Blank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1.82 </w:t>
      </w:r>
      <w:r>
        <w:rPr>
          <w:color w:val="000000"/>
        </w:rPr>
        <w:t>“</w:t>
      </w:r>
      <w:r>
        <w:rPr>
          <w:rFonts w:ascii="Times New Roman;serif" w:hAnsi="Times New Roman;serif"/>
          <w:b/>
          <w:color w:val="000000"/>
          <w:sz w:val="24"/>
        </w:rPr>
        <w:t>Patent</w:t>
      </w:r>
      <w:r>
        <w:rPr>
          <w:color w:val="000000"/>
        </w:rPr>
        <w:t xml:space="preserve">” </w:t>
      </w:r>
      <w:r>
        <w:rPr>
          <w:rFonts w:ascii="Times New Roman;serif" w:hAnsi="Times New Roman;serif"/>
          <w:b w:val="false"/>
          <w:color w:val="000000"/>
          <w:sz w:val="24"/>
        </w:rPr>
        <w:t>means (a) all national, regional and international patents and patent applications, including provisional patent applications, (b)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1.83 </w:t>
      </w:r>
      <w:r>
        <w:rPr>
          <w:color w:val="000000"/>
        </w:rPr>
        <w:t>“</w:t>
      </w:r>
      <w:r>
        <w:rPr>
          <w:rFonts w:ascii="Times New Roman;serif" w:hAnsi="Times New Roman;serif"/>
          <w:b/>
          <w:color w:val="000000"/>
          <w:sz w:val="24"/>
        </w:rPr>
        <w:t>Payments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1.84 </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sole proprietorship, corporation, partnership, association, joint-stock company, trust, unincorporated organization, joint venture or other similar entity or organization, including a government or political subdivision, department or agency of a government.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1.85 </w:t>
      </w:r>
      <w:r>
        <w:rPr>
          <w:color w:val="000000"/>
        </w:rPr>
        <w:t>“</w:t>
      </w:r>
      <w:r>
        <w:rPr>
          <w:rFonts w:ascii="Times New Roman;serif" w:hAnsi="Times New Roman;serif"/>
          <w:b/>
          <w:color w:val="000000"/>
          <w:sz w:val="24"/>
        </w:rPr>
        <w:t>Phase 4 Clinical Trial</w:t>
      </w:r>
      <w:r>
        <w:rPr>
          <w:color w:val="000000"/>
        </w:rPr>
        <w:t xml:space="preserve">” </w:t>
      </w:r>
      <w:r>
        <w:rPr>
          <w:rFonts w:ascii="Times New Roman;serif" w:hAnsi="Times New Roman;serif"/>
          <w:b w:val="false"/>
          <w:color w:val="000000"/>
          <w:sz w:val="24"/>
        </w:rPr>
        <w:t>means any clinical study of a pharmaceutical product on human subjects commenced after receipt of Regulatory Approval in a territory of such pharmaceutical product for the purpose of satisfying a condition imposed by a Regulatory Health Authority to obtain Regulatory Approval, or marketing the pharmaceutical product in that territory, and not for the purpose of obtaining initial Regulatory Approval of such pharmaceutical product. For clarity, Phase 4 Clinical Trials shall be considered a part of Commercialization.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1.86 </w:t>
      </w:r>
      <w:r>
        <w:rPr>
          <w:color w:val="000000"/>
        </w:rPr>
        <w:t>“</w:t>
      </w:r>
      <w:r>
        <w:rPr>
          <w:rFonts w:ascii="Times New Roman;serif" w:hAnsi="Times New Roman;serif"/>
          <w:b/>
          <w:color w:val="000000"/>
          <w:sz w:val="24"/>
        </w:rPr>
        <w:t>Pro-Rata Percentage</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2.06(b)(i)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1.87 </w:t>
      </w: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any and all approvals (including without limitation pricing and reimbursement approvals), product or establishment licenses, registrations, or authorizations of any regional, federal, state, or local Regulatory Health Authority, department,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bureau, or other governmental entity, necessary to commercially distribute, sell or market a Licensed Product in a regulatory jurisdiction, including, where applicable, (a) pricing or reimbursement approval in such jurisdiction, (b) pre- and post-approval marketing authorizations (including any prerequisite Manufacturing approval or authorization related thereto), (c) labeling approval and (d) technical, medical and scientific licenses.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1.88 </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1.89 </w:t>
      </w:r>
      <w:r>
        <w:rPr>
          <w:color w:val="000000"/>
        </w:rPr>
        <w:t>“</w:t>
      </w:r>
      <w:r>
        <w:rPr>
          <w:rFonts w:ascii="Times New Roman;serif" w:hAnsi="Times New Roman;serif"/>
          <w:b/>
          <w:color w:val="000000"/>
          <w:sz w:val="24"/>
        </w:rPr>
        <w:t>Regulatory Documentation</w:t>
      </w:r>
      <w:r>
        <w:rPr>
          <w:color w:val="000000"/>
        </w:rPr>
        <w:t xml:space="preserve">” </w:t>
      </w:r>
      <w:r>
        <w:rPr>
          <w:rFonts w:ascii="Times New Roman;serif" w:hAnsi="Times New Roman;serif"/>
          <w:b w:val="false"/>
          <w:color w:val="000000"/>
          <w:sz w:val="24"/>
        </w:rPr>
        <w:t>means all applications, registrations, licenses, authorizations and approvals, all 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Licensed Compounds or Licensed Products, including all INDs, Regulatory Approvals, regulatory drug lists, advertising and promotion documents, adverse event files and complaint files.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1.90 </w:t>
      </w:r>
      <w:r>
        <w:rPr>
          <w:color w:val="000000"/>
        </w:rPr>
        <w:t>“</w:t>
      </w:r>
      <w:r>
        <w:rPr>
          <w:rFonts w:ascii="Times New Roman;serif" w:hAnsi="Times New Roman;serif"/>
          <w:b/>
          <w:color w:val="000000"/>
          <w:sz w:val="24"/>
        </w:rPr>
        <w:t>Regulatory Exclusivity</w:t>
      </w:r>
      <w:r>
        <w:rPr>
          <w:color w:val="000000"/>
        </w:rPr>
        <w:t xml:space="preserve">” </w:t>
      </w:r>
      <w:r>
        <w:rPr>
          <w:rFonts w:ascii="Times New Roman;serif" w:hAnsi="Times New Roman;serif"/>
          <w:b w:val="false"/>
          <w:color w:val="000000"/>
          <w:sz w:val="24"/>
        </w:rPr>
        <w:t>means any exclusive marketing rights or data exclusivity rights conferred by any Regulatory Health Authority with respect to a Licensed Product other than Patents, including, without limitation, rights conferred in the U.S. under the Hatch- Waxman Act or the FDA Modernization Act of 1997 (including pediatric exclusivity), orphan drug exclusivity, or rights similar thereto outside the U.S.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1.91 </w:t>
      </w:r>
      <w:r>
        <w:rPr>
          <w:color w:val="000000"/>
        </w:rPr>
        <w:t>“</w:t>
      </w:r>
      <w:r>
        <w:rPr>
          <w:rFonts w:ascii="Times New Roman;serif" w:hAnsi="Times New Roman;serif"/>
          <w:b/>
          <w:color w:val="000000"/>
          <w:sz w:val="24"/>
        </w:rPr>
        <w:t>Regulatory Health Authority</w:t>
      </w:r>
      <w:r>
        <w:rPr>
          <w:color w:val="000000"/>
        </w:rPr>
        <w:t xml:space="preserve">” </w:t>
      </w:r>
      <w:r>
        <w:rPr>
          <w:rFonts w:ascii="Times New Roman;serif" w:hAnsi="Times New Roman;serif"/>
          <w:b w:val="false"/>
          <w:color w:val="000000"/>
          <w:sz w:val="24"/>
        </w:rPr>
        <w:t>means any applicable national (for example, FDA or CFDA), supranational, regional, state, provincial or local regulatory health authority, department, bureau, commission, council, or other government entity regulating or otherwise exercising authority with respect to the Exploitation of Licensed Compounds or Licensed Products in the Territory pursuant to the terms and conditions of this Agreement, including any such entity involved in the granting of Regulatory Approval for pharmaceutical products.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1.92 </w:t>
      </w:r>
      <w:r>
        <w:rPr>
          <w:color w:val="000000"/>
        </w:rPr>
        <w:t>“</w:t>
      </w:r>
      <w:r>
        <w:rPr>
          <w:rFonts w:ascii="Times New Roman;serif" w:hAnsi="Times New Roman;serif"/>
          <w:b/>
          <w:color w:val="000000"/>
          <w:sz w:val="24"/>
        </w:rPr>
        <w:t>Review Period</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7.07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1.93 </w:t>
      </w:r>
      <w:r>
        <w:rPr>
          <w:color w:val="000000"/>
        </w:rPr>
        <w:t>“</w:t>
      </w:r>
      <w:r>
        <w:rPr>
          <w:rFonts w:ascii="Times New Roman;serif" w:hAnsi="Times New Roman;serif"/>
          <w:b/>
          <w:color w:val="000000"/>
          <w:sz w:val="24"/>
        </w:rPr>
        <w:t>ROFN Product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1.94 </w:t>
      </w:r>
      <w:r>
        <w:rPr>
          <w:color w:val="000000"/>
        </w:rPr>
        <w:t>“</w:t>
      </w:r>
      <w:r>
        <w:rPr>
          <w:rFonts w:ascii="Times New Roman;serif" w:hAnsi="Times New Roman;serif"/>
          <w:b/>
          <w:color w:val="000000"/>
          <w:sz w:val="24"/>
        </w:rPr>
        <w:t>Safety Agreement</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4.06(a)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1.95 </w:t>
      </w:r>
      <w:r>
        <w:rPr>
          <w:color w:val="000000"/>
        </w:rPr>
        <w:t>“</w:t>
      </w:r>
      <w:r>
        <w:rPr>
          <w:rFonts w:ascii="Times New Roman;serif" w:hAnsi="Times New Roman;serif"/>
          <w:b/>
          <w:color w:val="000000"/>
          <w:sz w:val="24"/>
        </w:rPr>
        <w:t>Senior Executives</w:t>
      </w:r>
      <w:r>
        <w:rPr>
          <w:color w:val="000000"/>
        </w:rPr>
        <w:t xml:space="preserve">” </w:t>
      </w:r>
      <w:r>
        <w:rPr>
          <w:rFonts w:ascii="Times New Roman;serif" w:hAnsi="Times New Roman;serif"/>
          <w:b w:val="false"/>
          <w:color w:val="000000"/>
          <w:sz w:val="24"/>
        </w:rPr>
        <w:t>means (a) the Chief Executive Officer of Ardelyx and (b) the Chief Executive Officer of FOSUN. A Party shall be entitled, effective upon written notice thereof to the other Party, to designate one of its other representatives having equivalent seniority and experience to replace such foregoing representative as that Party’s Senior Executive for the purpose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1.96 </w:t>
      </w:r>
      <w:r>
        <w:rPr>
          <w:color w:val="000000"/>
        </w:rPr>
        <w:t>“</w:t>
      </w:r>
      <w:r>
        <w:rPr>
          <w:rFonts w:ascii="Times New Roman;serif" w:hAnsi="Times New Roman;serif"/>
          <w:b/>
          <w:color w:val="000000"/>
          <w:sz w:val="24"/>
        </w:rPr>
        <w:t>Sole Invention Patent</w:t>
      </w:r>
      <w:r>
        <w:rPr>
          <w:color w:val="000000"/>
        </w:rPr>
        <w:t xml:space="preserve">” </w:t>
      </w:r>
      <w:r>
        <w:rPr>
          <w:rFonts w:ascii="Times New Roman;serif" w:hAnsi="Times New Roman;serif"/>
          <w:b w:val="false"/>
          <w:color w:val="000000"/>
          <w:sz w:val="24"/>
        </w:rPr>
        <w:t>shall mean any Patent claiming any invention within the Sole Program Know-How.</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1.97 </w:t>
      </w:r>
      <w:r>
        <w:rPr>
          <w:color w:val="000000"/>
        </w:rPr>
        <w:t>“</w:t>
      </w:r>
      <w:r>
        <w:rPr>
          <w:rFonts w:ascii="Times New Roman;serif" w:hAnsi="Times New Roman;serif"/>
          <w:b/>
          <w:color w:val="000000"/>
          <w:sz w:val="24"/>
        </w:rPr>
        <w:t>Sole Program Know-How</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8.02(a).</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1.98 </w:t>
      </w:r>
      <w:r>
        <w:rPr>
          <w:color w:val="000000"/>
        </w:rPr>
        <w:t>“</w:t>
      </w:r>
      <w:r>
        <w:rPr>
          <w:rFonts w:ascii="Times New Roman;serif" w:hAnsi="Times New Roman;serif"/>
          <w:b/>
          <w:color w:val="000000"/>
          <w:sz w:val="24"/>
        </w:rPr>
        <w:t>Specifications</w:t>
      </w:r>
      <w:r>
        <w:rPr>
          <w:color w:val="000000"/>
        </w:rPr>
        <w:t xml:space="preserve">” </w:t>
      </w:r>
      <w:r>
        <w:rPr>
          <w:rFonts w:ascii="Times New Roman;serif" w:hAnsi="Times New Roman;serif"/>
          <w:b w:val="false"/>
          <w:color w:val="000000"/>
          <w:sz w:val="24"/>
        </w:rPr>
        <w:t>means the specifications applicable to the Manufacture, packaging and labeling of Licensed Compound or Licensed Products in effect at a given time.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1.99 </w:t>
      </w:r>
      <w:r>
        <w:rPr>
          <w:color w:val="000000"/>
        </w:rPr>
        <w:t>“</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2.02.</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1.100 </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any form of tax or taxation, levy, duty, charge, social security charge, contribution or withholding of whatever nature (including any related fine, penalty, surcharge or interest) imposed by, or payable to, a Tax Authority.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1.101 </w:t>
      </w:r>
      <w:r>
        <w:rPr>
          <w:color w:val="000000"/>
        </w:rPr>
        <w:t>“</w:t>
      </w:r>
      <w:r>
        <w:rPr>
          <w:rFonts w:ascii="Times New Roman;serif" w:hAnsi="Times New Roman;serif"/>
          <w:b/>
          <w:color w:val="000000"/>
          <w:sz w:val="24"/>
        </w:rPr>
        <w:t>Tax Authority</w:t>
      </w:r>
      <w:r>
        <w:rPr>
          <w:color w:val="000000"/>
        </w:rPr>
        <w:t xml:space="preserve">” </w:t>
      </w:r>
      <w:r>
        <w:rPr>
          <w:rFonts w:ascii="Times New Roman;serif" w:hAnsi="Times New Roman;serif"/>
          <w:b w:val="false"/>
          <w:color w:val="000000"/>
          <w:sz w:val="24"/>
        </w:rPr>
        <w:t>means any government, state or municipality, or any local, state, federal or other fiscal, revenue, customs, or excise authority, body or official anywhere in the world, authorized to levy Tax.</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1.102 </w:t>
      </w: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1.103 </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People’s Republic of China, including Hong Kong and Macao.</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1.104 </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Person other than Ardelyx or FOSUN, or their respective Affiliates.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1.105 </w:t>
      </w:r>
      <w:r>
        <w:rPr>
          <w:color w:val="000000"/>
        </w:rPr>
        <w:t>“</w:t>
      </w:r>
      <w:r>
        <w:rPr>
          <w:rFonts w:ascii="Times New Roman;serif" w:hAnsi="Times New Roman;serif"/>
          <w:b/>
          <w:color w:val="000000"/>
          <w:sz w:val="24"/>
        </w:rPr>
        <w:t>Third Party Claims</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12.01(a)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1.106 </w:t>
      </w:r>
      <w:r>
        <w:rPr>
          <w:color w:val="000000"/>
        </w:rPr>
        <w:t>“</w:t>
      </w:r>
      <w:r>
        <w:rPr>
          <w:rFonts w:ascii="Times New Roman;serif" w:hAnsi="Times New Roman;serif"/>
          <w:b/>
          <w:color w:val="000000"/>
          <w:sz w:val="24"/>
        </w:rPr>
        <w:t>Third Party Compensation</w:t>
      </w:r>
      <w:r>
        <w:rPr>
          <w:color w:val="000000"/>
        </w:rPr>
        <w:t xml:space="preserve">” </w:t>
      </w:r>
      <w:r>
        <w:rPr>
          <w:rFonts w:ascii="Times New Roman;serif" w:hAnsi="Times New Roman;serif"/>
          <w:b w:val="false"/>
          <w:color w:val="000000"/>
          <w:sz w:val="24"/>
        </w:rPr>
        <w:t xml:space="preserve">shall have the meaning assigned in </w:t>
      </w:r>
      <w:r>
        <w:rPr>
          <w:rFonts w:ascii="Times New Roman;serif" w:hAnsi="Times New Roman;serif"/>
          <w:b w:val="false"/>
          <w:color w:val="000000"/>
          <w:sz w:val="24"/>
          <w:u w:val="single"/>
        </w:rPr>
        <w:t>Section 6.04(f)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1.107 </w:t>
      </w:r>
      <w:r>
        <w:rPr>
          <w:color w:val="000000"/>
        </w:rPr>
        <w:t>“</w:t>
      </w:r>
      <w:r>
        <w:rPr>
          <w:rFonts w:ascii="Times New Roman;serif" w:hAnsi="Times New Roman;serif"/>
          <w:b/>
          <w:color w:val="000000"/>
          <w:sz w:val="24"/>
        </w:rPr>
        <w:t>Trademark</w:t>
      </w:r>
      <w:r>
        <w:rPr>
          <w:color w:val="000000"/>
        </w:rPr>
        <w:t xml:space="preserve">” </w:t>
      </w:r>
      <w:r>
        <w:rPr>
          <w:rFonts w:ascii="Times New Roman;serif" w:hAnsi="Times New Roman;serif"/>
          <w:b w:val="false"/>
          <w:color w:val="000000"/>
          <w:sz w:val="24"/>
        </w:rPr>
        <w:t>means any trademark, trade name, service mark, service name, brand, domain name, trade dress, logo, slogan or other indicia of origin or ownership, including the goodwill and activities associated with each of the foregoing.</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1.108 </w:t>
      </w:r>
      <w:r>
        <w:rPr>
          <w:color w:val="000000"/>
        </w:rPr>
        <w:t>“</w:t>
      </w:r>
      <w:r>
        <w:rPr>
          <w:rFonts w:ascii="Times New Roman;serif" w:hAnsi="Times New Roman;serif"/>
          <w:b/>
          <w:color w:val="000000"/>
          <w:sz w:val="24"/>
        </w:rPr>
        <w:t>Transfer Price</w:t>
      </w:r>
      <w:r>
        <w:rPr>
          <w:color w:val="000000"/>
        </w:rPr>
        <w:t xml:space="preserve">” </w:t>
      </w:r>
      <w:r>
        <w:rPr>
          <w:rFonts w:ascii="Times New Roman;serif" w:hAnsi="Times New Roman;serif"/>
          <w:b w:val="false"/>
          <w:color w:val="000000"/>
          <w:sz w:val="24"/>
        </w:rPr>
        <w:t>means with respect to the Licensed Compound, the Licensed Product and the placebo supplied by Ardelyx for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1.109 </w:t>
      </w:r>
      <w:r>
        <w:rPr>
          <w:color w:val="000000"/>
        </w:rPr>
        <w:t xml:space="preserve">“ </w:t>
      </w:r>
      <w:r>
        <w:rPr>
          <w:rFonts w:ascii="Times New Roman;serif" w:hAnsi="Times New Roman;serif"/>
          <w:b/>
          <w:color w:val="000000"/>
          <w:sz w:val="24"/>
        </w:rPr>
        <w:t>U.S. GAAP</w:t>
      </w:r>
      <w:r>
        <w:rPr>
          <w:color w:val="000000"/>
        </w:rPr>
        <w:t xml:space="preserve">” </w:t>
      </w:r>
      <w:r>
        <w:rPr>
          <w:rFonts w:ascii="Times New Roman;serif" w:hAnsi="Times New Roman;serif"/>
          <w:b w:val="false"/>
          <w:color w:val="000000"/>
          <w:sz w:val="24"/>
        </w:rPr>
        <w:t>means United States Generally Accepted Accounting Principles, consistently applied.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1.110 </w:t>
      </w:r>
      <w:r>
        <w:rPr>
          <w:color w:val="000000"/>
        </w:rPr>
        <w:t>“</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(a) a claim of an issued and unexpired Patent within the Licensed Patents, Ardelyx [***] Patents, Joint Patents or [***], as applicable, that has not been held unpatentable, invalid, or unenforceable by a court or other government agency of competent jurisdiction in an unappealable decision or has not been admitted to be invalid or unenforceable through reissue, re-examination, disclaimer, or otherwise or (b) a claim of a pending patent application within the Licensed Patents, Ardelyx [***] Patents, Joints Patents or [***], as applicable, that has not been abandoned, finally rejected or expired without the possibility of appeal or re-filing.</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Section 1.111 </w:t>
      </w:r>
      <w:r>
        <w:rPr>
          <w:color w:val="000000"/>
        </w:rPr>
        <w:t>“</w:t>
      </w:r>
      <w:r>
        <w:rPr>
          <w:rFonts w:ascii="Times New Roman;serif" w:hAnsi="Times New Roman;serif"/>
          <w:b/>
          <w:color w:val="000000"/>
          <w:sz w:val="24"/>
        </w:rPr>
        <w:t>Written Disclosure</w:t>
      </w:r>
      <w:r>
        <w:rPr>
          <w:color w:val="000000"/>
        </w:rPr>
        <w:t xml:space="preserve">” </w:t>
      </w:r>
      <w:r>
        <w:rPr>
          <w:rFonts w:ascii="Times New Roman;serif" w:hAnsi="Times New Roman;serif"/>
          <w:b w:val="false"/>
          <w:color w:val="000000"/>
          <w:sz w:val="24"/>
        </w:rPr>
        <w:t>shall have the meaning assigned in Section 10.02.</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1.112 Construction. </w:t>
      </w:r>
      <w:r>
        <w:rPr>
          <w:rFonts w:ascii="Times New Roman;serif" w:hAnsi="Times New Roman;serif"/>
          <w:b w:val="false"/>
          <w:color w:val="000000"/>
          <w:sz w:val="24"/>
        </w:rPr>
        <w:t>Except where the context requires otherwise, whenever used in this Agreement, the singular includes the plural, the plural includes the singular, the use of any gender is applicable to all genders and the word “</w:t>
      </w:r>
      <w:r>
        <w:rPr>
          <w:rFonts w:ascii="Times New Roman;serif" w:hAnsi="Times New Roman;serif"/>
          <w:b/>
          <w:color w:val="000000"/>
          <w:sz w:val="24"/>
        </w:rPr>
        <w:t>or</w:t>
      </w:r>
      <w:r>
        <w:rPr>
          <w:color w:val="000000"/>
        </w:rPr>
        <w:t xml:space="preserve">” </w:t>
      </w:r>
      <w:r>
        <w:rPr>
          <w:rFonts w:ascii="Times New Roman;serif" w:hAnsi="Times New Roman;serif"/>
          <w:b w:val="false"/>
          <w:color w:val="000000"/>
          <w:sz w:val="24"/>
        </w:rPr>
        <w:t>has the inclusive meaning represented by the phrase “</w:t>
      </w:r>
      <w:r>
        <w:rPr>
          <w:rFonts w:ascii="Times New Roman;serif" w:hAnsi="Times New Roman;serif"/>
          <w:b/>
          <w:color w:val="000000"/>
          <w:sz w:val="24"/>
        </w:rPr>
        <w:t>and/or</w:t>
      </w:r>
      <w:r>
        <w:rPr>
          <w:color w:val="000000"/>
        </w:rPr>
        <w:t>”</w:t>
      </w:r>
      <w:r>
        <w:rPr>
          <w:rFonts w:ascii="Times New Roman;serif" w:hAnsi="Times New Roman;serif"/>
          <w:b w:val="false"/>
          <w:color w:val="000000"/>
          <w:sz w:val="24"/>
        </w:rPr>
        <w:t>. Whenever this Agreement refers to a number of days, unless otherwise specified, such number refers to calendar days. The term “</w:t>
      </w:r>
      <w:r>
        <w:rPr>
          <w:rFonts w:ascii="Times New Roman;serif" w:hAnsi="Times New Roman;serif"/>
          <w:b/>
          <w:color w:val="000000"/>
          <w:sz w:val="24"/>
        </w:rPr>
        <w:t>including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includes</w:t>
      </w:r>
      <w:r>
        <w:rPr>
          <w:color w:val="000000"/>
        </w:rPr>
        <w:t xml:space="preserve">” </w:t>
      </w:r>
      <w:r>
        <w:rPr>
          <w:rFonts w:ascii="Times New Roman;serif" w:hAnsi="Times New Roman;serif"/>
          <w:b w:val="false"/>
          <w:color w:val="000000"/>
          <w:sz w:val="24"/>
        </w:rPr>
        <w:t>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GRANT OF RIGHTS AND LICENSES; EXCLUSIVITY</w:t>
      </w:r>
    </w:p>
    <w:p>
      <w:pPr>
        <w:pStyle w:val="TextBody"/>
        <w:bidi w:val="0"/>
        <w:spacing w:lineRule="auto" w:line="288" w:before="0" w:after="240"/>
        <w:ind w:left="0" w:right="0" w:firstLine="720"/>
        <w:jc w:val="both"/>
        <w:rPr/>
      </w:pPr>
      <w:r>
        <w:rPr>
          <w:rFonts w:ascii="Times New Roman;serif" w:hAnsi="Times New Roman;serif"/>
          <w:b/>
          <w:color w:val="000000"/>
          <w:sz w:val="24"/>
        </w:rPr>
        <w:t>Section 2.01 Licenses to FOSUN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Subject to the terms of this Agreement, Ardelyx grants to FOSUN an exclusive (including with regard to Ardelyx and its Affiliates, except with respect to the retained rights set forth in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below) right and license under the (i) Licensed Technology, (ii) Ardelyx’s rights in the Joint Technology and (iii) Ardelyx [***] Technology to Develop, have Developed, Commercialize (but not Manufacture), have Commercialized (but not have Manufactured), including without limitation package, have packaged and import the Licensed Products in the Field and in the Territory.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Subject to the terms of this Agreement, Ardelyx grants to FOSUN a non-exclusive right and license under the (i) Licensed Technology, (ii) Ardelyx’s rights in the Joint Technology, and (iii) Ardelyx [***] Technology to Manufacture and to have Manufactured Licensed Product (but not Licensed Compound) within or outside of the Territory, for the sole purpose of Developing and Commercializing the Licensed Product in the Field and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Section 2.02 Sublicenses</w:t>
      </w:r>
      <w:r>
        <w:rPr>
          <w:rFonts w:ascii="Times New Roman;serif" w:hAnsi="Times New Roman;serif"/>
          <w:b w:val="false"/>
          <w:color w:val="000000"/>
          <w:sz w:val="24"/>
        </w:rPr>
        <w:t xml:space="preserve">. FOSUN shall have the right to grant sublicenses, through multiple tiers of sublicenses, under the licenses granted to FOSUN under </w:t>
      </w:r>
      <w:r>
        <w:rPr>
          <w:rFonts w:ascii="Times New Roman;serif" w:hAnsi="Times New Roman;serif"/>
          <w:b w:val="false"/>
          <w:color w:val="000000"/>
          <w:sz w:val="24"/>
          <w:u w:val="single"/>
        </w:rPr>
        <w:t>Section 2.01</w:t>
      </w:r>
      <w:r>
        <w:rPr>
          <w:rFonts w:ascii="Times New Roman;serif" w:hAnsi="Times New Roman;serif"/>
          <w:b w:val="false"/>
          <w:color w:val="000000"/>
          <w:sz w:val="24"/>
        </w:rPr>
        <w:t>, to its Affiliates without the prior written consent of Ardelyx, and to any other Person with the prior written consent of Ardelyx, such consent not to be unreasonably withheld. Where FOSUN or its Affiliates grants such sublicense to a Person that is not an Affiliate of FOSUN, and such Person is not a Distributor, such Person shall be a “</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for the purposes of this Agreement, and any Person to which a Sublicensee grants a further sublicense shall also be a Sublicensee;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Person that (a) is granted a sublicense under the license granted to FOSUN 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solely to enable such Person to provide development services or contract manufacturing services for FOSUN, its Affiliates or Sublicensees, and (b) does not have the right to distribute, market or sell the Licensed Products shall not be a “</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for purposes of this Agreement. FOSUN, its Affiliates and its Sublicensees shall ensure that all Persons to which they grant sublicenses comply with all terms and conditions of this Agreement. FOSUN shall remain liable for any action or failure to act by any Sublicensee, or any other Party that is granted a sublicense under the licenses granted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by FOSUN, its Affiliates or its Sublicensees,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if such action or failure to act by the Sublicensee would have constituted a breach of this Agreement if such action or failure were committed by FOSUN. Without limiting the foregoing, FOSUN shall obtain rights and licenses from its Affiliates (but only to the extent that such Affiliates are FOSUN’s Sublicensees hereunder) and Sublicensees as necessary to enable FOSUN to grant to Ardelyx rights and licenses under Patents and Know-How Controlled by such Affiliates and Sublicensees to the same extent as FOSUN grants to Ardelyx pursuant to this Agreement under FOSUN Sole Invention Patents, Sole Program Know-How owned by FOSUN, FOSUN’s interest in the Joint Technology and FOSUN [***] Technology, including without limitation the licenses and rights granted to Ardelyx pursuant to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FOSUN shall remain liable for any action or failure to act by any Sublicensee, or any other Party that is granted a sublicense under the licenses granted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by FOSUN, its Affiliates or its Sublicensees, if such action or failure to act by the Sublicensee would have constituted a breach of this Agreement if such action or failure were committed by FOSUN.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clarity, Ardelyx currently expects to enter into additional license agreements for the further development and commercialization of tenapanor outside of the Territory, and the provisions of this Agreement relating to certain Intellectual Property Controlled by FOSUN, its Sublicensees or Affiliates, or by Ardelyx, its licensees or Affiliates are intended to [***] to Intellectual Property that [***] with respect to Intellectual Property that [***].</w:t>
      </w:r>
    </w:p>
    <w:p>
      <w:pPr>
        <w:pStyle w:val="TextBody"/>
        <w:bidi w:val="0"/>
        <w:spacing w:lineRule="auto" w:line="288" w:before="0" w:after="240"/>
        <w:ind w:left="0" w:right="0" w:firstLine="720"/>
        <w:jc w:val="both"/>
        <w:rPr/>
      </w:pPr>
      <w:r>
        <w:rPr>
          <w:rFonts w:ascii="Times New Roman;serif" w:hAnsi="Times New Roman;serif"/>
          <w:b/>
          <w:color w:val="000000"/>
          <w:sz w:val="24"/>
        </w:rPr>
        <w:t>Section 2.03 Distributorships</w:t>
      </w:r>
      <w:r>
        <w:rPr>
          <w:rFonts w:ascii="Times New Roman;serif" w:hAnsi="Times New Roman;serif"/>
          <w:b w:val="false"/>
          <w:color w:val="000000"/>
          <w:sz w:val="24"/>
        </w:rPr>
        <w:t>. FOSUN shall have the right, in its sole discretion, to appoint its Affiliates, and FOSUN, its Affiliates and its Sublicensees shall have the right, in their sole discretion, to appoint any other Persons in the Territory to distribute, market and sell the Licensed Products in the Territory, with or without packaging rights. In circumstances where such appointed Person purchases its requirements of Licensed Products from FOSUN, its Affiliates or its Sublicensees, but does not otherwise make any royalty or other payment to FOSUN, its Affiliates or its Sublicensees with respect to Intellectual Property Rights, and where such Person is not an Affiliate of FOSUN and neither FOSUN nor any of its Affiliates shares in the profits from, or has an equivalent interest in the proceeds from, the sale of Licensed Products by such Person, that Person shall be a “</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for purposes of this Agreement. The term “packaging rights” in this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shall mean the right for the Distributor to package Licensed Products supplied in unpackaged bulk form into individual ready-for-sale packs. FOSUN shall ensure that its legal contracts with its Distributors restrict such Distributor from selling or exporting the Licensed Product out of the Territory. FOSUN shall remain liable for any action or failure to act by the Distributor, if such action or failure to act by the Distributor would have constituted a breach of this Agreement if such action or failure were committed by FOSUN.</w:t>
      </w:r>
    </w:p>
    <w:p>
      <w:pPr>
        <w:pStyle w:val="TextBody"/>
        <w:bidi w:val="0"/>
        <w:spacing w:lineRule="auto" w:line="288" w:before="0" w:after="240"/>
        <w:ind w:left="0" w:right="0" w:firstLine="720"/>
        <w:jc w:val="both"/>
        <w:rPr/>
      </w:pPr>
      <w:r>
        <w:rPr>
          <w:rFonts w:ascii="Times New Roman;serif" w:hAnsi="Times New Roman;serif"/>
          <w:b/>
          <w:color w:val="000000"/>
          <w:sz w:val="24"/>
        </w:rPr>
        <w:t>Section 2.04 Rights Retained by Ardelyx</w:t>
      </w:r>
      <w:r>
        <w:rPr>
          <w:rFonts w:ascii="Times New Roman;serif" w:hAnsi="Times New Roman;serif"/>
          <w:b w:val="false"/>
          <w:color w:val="000000"/>
          <w:sz w:val="24"/>
        </w:rPr>
        <w:t>. Notwithstanding the foregoing, Ardelyx retains the right under (a) the Licensed Technology, (b) Ardelyx’s rights in the Joint Technology and (c) Ardelyx [***] Technology to Exploit the Licensed Compounds and the Licensed Products outside the Field and in the Territory or outside the Territory and to conduct any other activities expressly assigned to Ardelyx under this Agreement, including the Manufacturing of the Licensed Compound and the Licensed Products.</w:t>
      </w:r>
    </w:p>
    <w:p>
      <w:pPr>
        <w:pStyle w:val="TextBody"/>
        <w:bidi w:val="0"/>
        <w:spacing w:lineRule="auto" w:line="288" w:before="0" w:after="240"/>
        <w:ind w:left="0" w:right="0" w:firstLine="720"/>
        <w:jc w:val="both"/>
        <w:rPr/>
      </w:pPr>
      <w:r>
        <w:rPr>
          <w:rFonts w:ascii="Times New Roman;serif" w:hAnsi="Times New Roman;serif"/>
          <w:b/>
          <w:color w:val="000000"/>
          <w:sz w:val="24"/>
        </w:rPr>
        <w:t>Section 2.05 License to Ardelyx</w:t>
      </w:r>
      <w:r>
        <w:rPr>
          <w:rFonts w:ascii="Times New Roman;serif" w:hAnsi="Times New Roman;serif"/>
          <w:b w:val="false"/>
          <w:color w:val="000000"/>
          <w:sz w:val="24"/>
        </w:rPr>
        <w:t>. FOSUN grants to Ardelyx an exclusive, fully paid, royalty free, sublicensable, irrevocable license under the FOSUN [***] Technology, any Sole Program Know-How owned by FOSUN, the FOSUN Sole Invention Patents, and FOSUN’s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interest in the Joint Technology to Exploit the Licensed Compounds and Licensed Products outside the Field and in the Territory or outside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Section 2.06 Use of Data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Ardelyx shall grant and hereby grants to FOSUN, and shall use Commercially Reasonably Efforts to cause its Affiliates and Sublicensees to grant to FOSUN, a fully paid, royalty free, irrevocable, worldwide, sublicensable, non-exclusive license under such Party’s right, interest and title in, to and under any data, results and information regarding the use of the Licensed Product to treat (i) [***], or (ii) [***] that may be may generated by Ardelyx, its Affiliates or Sublicensees solely for the purpose of allowing FOSUN to Develop, Manufacture (Licensed Product, but not Licensed Compound), and/or Commercialize the Licensed Product, in the Field and in the Territory, and to Manufacture and to have Manufactured Licensed Product (but not Licensed Compound) outside of the Territory.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If Ardelyx, its Affiliates or licensees, plan to conduct any other clinical trial of a Licensed Product in the Field that is not otherwise a clinical trial to support the Development of the Licensed Product for [***] (an “</w:t>
      </w:r>
      <w:r>
        <w:rPr>
          <w:rFonts w:ascii="Times New Roman;serif" w:hAnsi="Times New Roman;serif"/>
          <w:b/>
          <w:color w:val="000000"/>
          <w:sz w:val="24"/>
        </w:rPr>
        <w:t>Additional Study</w:t>
      </w:r>
      <w:r>
        <w:rPr>
          <w:color w:val="000000"/>
        </w:rPr>
        <w:t>”</w:t>
      </w:r>
      <w:r>
        <w:rPr>
          <w:rFonts w:ascii="Times New Roman;serif" w:hAnsi="Times New Roman;serif"/>
          <w:b w:val="false"/>
          <w:color w:val="000000"/>
          <w:sz w:val="24"/>
        </w:rPr>
        <w:t>), Ardelyx shall so notify FOSUN and present the proposed design and projected costs of such Additional Study to FOSUN, and the following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(i) If FOSUN agrees to co-fund such Additional Study, the Parties shall prepare a budget for the associated costs of the Additional Study and FOSUN shall bear a mutually agreed upon percentage of the associated costs [***] (such percentage to be referred to as the “</w:t>
      </w:r>
      <w:r>
        <w:rPr>
          <w:rFonts w:ascii="Times New Roman;serif" w:hAnsi="Times New Roman;serif"/>
          <w:b/>
          <w:color w:val="000000"/>
          <w:sz w:val="24"/>
        </w:rPr>
        <w:t>Pro-Rata Percentage</w:t>
      </w:r>
      <w:r>
        <w:rPr>
          <w:color w:val="000000"/>
        </w:rPr>
        <w:t>”</w:t>
      </w:r>
      <w:r>
        <w:rPr>
          <w:rFonts w:ascii="Times New Roman;serif" w:hAnsi="Times New Roman;serif"/>
          <w:b w:val="false"/>
          <w:color w:val="000000"/>
          <w:sz w:val="24"/>
        </w:rPr>
        <w:t xml:space="preserve">). If the Parties cannot agree on the Pro-Rata Percentage allocation for FOSUN, then the provisions of </w:t>
      </w:r>
      <w:r>
        <w:rPr>
          <w:rFonts w:ascii="Times New Roman;serif" w:hAnsi="Times New Roman;serif"/>
          <w:b w:val="false"/>
          <w:color w:val="000000"/>
          <w:sz w:val="24"/>
          <w:u w:val="single"/>
        </w:rPr>
        <w:t>Section 2.06(b)(ii)</w:t>
      </w:r>
      <w:r>
        <w:rPr>
          <w:color w:val="000000"/>
        </w:rPr>
        <w:t xml:space="preserve"> </w:t>
      </w:r>
      <w:r>
        <w:rPr>
          <w:rFonts w:ascii="Times New Roman;serif" w:hAnsi="Times New Roman;serif"/>
          <w:b w:val="false"/>
          <w:color w:val="000000"/>
          <w:sz w:val="24"/>
        </w:rPr>
        <w:t>shall apply as if FOSUN did not wish to co-fund such Additional Study. If FOSUN co-funds any Additional Study, all resulting data would be available for use by FOSUN in connection with exercising its rights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FOSUN does not wish to co-fund such proposed Additional Study, then Ardelyx shall be entitled to proceed with such Additional Study at its cost. In such case, FOSUN would have no rights to use any resulting data, except with respect to safety information required to be filed with the applicable Regulatory Authorities in any filings with Regulatory Authorities, unless and until a Buy-In occurs as set forth in Section 2.06(c).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Buy-In Right</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2.06(b)(ii)</w:t>
      </w:r>
      <w:r>
        <w:rPr>
          <w:color w:val="000000"/>
        </w:rPr>
        <w:t xml:space="preserve"> </w:t>
      </w:r>
      <w:r>
        <w:rPr>
          <w:rFonts w:ascii="Times New Roman;serif" w:hAnsi="Times New Roman;serif"/>
          <w:b w:val="false"/>
          <w:color w:val="000000"/>
          <w:sz w:val="24"/>
        </w:rPr>
        <w:t>above, at any time, whether during the Additional Study, or after the conclusion of the Additional Study, FOSUN shall have the right by written notice to Ardelyx to buy in to co-funding any Additional Study for which FOSUN declined previously to co-fund (the “</w:t>
      </w:r>
      <w:r>
        <w:rPr>
          <w:rFonts w:ascii="Times New Roman;serif" w:hAnsi="Times New Roman;serif"/>
          <w:b/>
          <w:color w:val="000000"/>
          <w:sz w:val="24"/>
        </w:rPr>
        <w:t>Buy-In</w:t>
      </w:r>
      <w:r>
        <w:rPr>
          <w:color w:val="000000"/>
        </w:rPr>
        <w:t>”</w:t>
      </w:r>
      <w:r>
        <w:rPr>
          <w:rFonts w:ascii="Times New Roman;serif" w:hAnsi="Times New Roman;serif"/>
          <w:b w:val="false"/>
          <w:color w:val="000000"/>
          <w:sz w:val="24"/>
        </w:rPr>
        <w:t xml:space="preserve">) by (i) [***], and (ii) in order to compensation Ardelyx for FOSUN’s delayed decision to co-fund the Additional Study, paying to Ardelyx [***] percent ([***]%) of the Pro-Rata Percentage of the [***] costs incurred to conduct such Additional Study [***]. Upon any such Buy-In, FOSUN shall have the rights with respect to such clinical trial or studies and the data arising therefrom as set forth in </w:t>
      </w:r>
      <w:r>
        <w:rPr>
          <w:rFonts w:ascii="Times New Roman;serif" w:hAnsi="Times New Roman;serif"/>
          <w:b w:val="false"/>
          <w:color w:val="000000"/>
          <w:sz w:val="24"/>
          <w:u w:val="single"/>
        </w:rPr>
        <w:t>Section 2.06(a)</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If </w:t>
      </w:r>
      <w:r>
        <w:rPr>
          <w:rFonts w:ascii="Times New Roman;serif" w:hAnsi="Times New Roman;serif"/>
          <w:b w:val="false"/>
          <w:color w:val="000000"/>
          <w:sz w:val="24"/>
        </w:rPr>
        <w:t xml:space="preserve">FOSUN elects a Buy-In, it shall pay to Ardelyx the Buy-In amounts set forth in this </w:t>
      </w:r>
      <w:r>
        <w:rPr>
          <w:rFonts w:ascii="Times New Roman;serif" w:hAnsi="Times New Roman;serif"/>
          <w:b w:val="false"/>
          <w:color w:val="000000"/>
          <w:sz w:val="24"/>
          <w:u w:val="single"/>
        </w:rPr>
        <w:t>Section 2.06(c)</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within [***] ([***]) days after FOSUN notifies Ardelyx in writing that FOSUN is exercising its right to Buy-In.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FOSUN shall grant and hereby grants to Ardelyx, and shall use cause its Affiliates and Sublicensees to grant to Ardelyx, a fully paid, royalty free, irrevocable, worldwide, sublicensable, non-exclusive license under such Party’s right, interest and title in, to and under any data, results and information regarding the use of Licensed Products that may be may generated by FOSUN, its Affiliates or Sublicensees solely for the purpose of allowing Ardelyx, its Affiliates and Sublicensees to Develop, Manufacture, and/or Commercialize the Licensed Products outside of the Field in the Territory, or outside of the Territory, whether or not in the Field.</w:t>
      </w:r>
    </w:p>
    <w:p>
      <w:pPr>
        <w:pStyle w:val="TextBody"/>
        <w:bidi w:val="0"/>
        <w:spacing w:lineRule="auto" w:line="288" w:before="0" w:after="240"/>
        <w:ind w:left="0" w:right="0" w:firstLine="720"/>
        <w:jc w:val="both"/>
        <w:rPr/>
      </w:pPr>
      <w:r>
        <w:rPr>
          <w:rFonts w:ascii="Times New Roman;serif" w:hAnsi="Times New Roman;serif"/>
          <w:b/>
          <w:color w:val="000000"/>
          <w:sz w:val="24"/>
        </w:rPr>
        <w:t>Section 2.07 No Implied Rights</w:t>
      </w:r>
      <w:r>
        <w:rPr>
          <w:rFonts w:ascii="Times New Roman;serif" w:hAnsi="Times New Roman;serif"/>
          <w:b w:val="false"/>
          <w:color w:val="000000"/>
          <w:sz w:val="24"/>
        </w:rPr>
        <w:t>. This Agreement confers no right, license, or interest by implication, estoppel, or otherwise under any Patents, Know-How, or 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 Without limiting the generality of the foregoing, no license or other rights are granted to FOSUN under this Agreement to any compounds claimed or disclosed in any Ardelyx [***] Patents or any Licensed Patents, other than the Licensed Compound.</w:t>
      </w:r>
    </w:p>
    <w:p>
      <w:pPr>
        <w:pStyle w:val="TextBody"/>
        <w:bidi w:val="0"/>
        <w:spacing w:lineRule="auto" w:line="288" w:before="0" w:after="240"/>
        <w:ind w:left="0" w:right="0" w:firstLine="720"/>
        <w:jc w:val="both"/>
        <w:rPr/>
      </w:pPr>
      <w:r>
        <w:rPr>
          <w:rFonts w:ascii="Times New Roman;serif" w:hAnsi="Times New Roman;serif"/>
          <w:b/>
          <w:color w:val="000000"/>
          <w:sz w:val="24"/>
        </w:rPr>
        <w:t>Section 2.08 Exclusivity Term</w:t>
      </w:r>
      <w:r>
        <w:rPr>
          <w:rFonts w:ascii="Times New Roman;serif" w:hAnsi="Times New Roman;serif"/>
          <w:b w:val="false"/>
          <w:color w:val="000000"/>
          <w:sz w:val="24"/>
        </w:rPr>
        <w:t xml:space="preserve">. FOSUN’s exclusive licenses granted under </w:t>
      </w:r>
      <w:r>
        <w:rPr>
          <w:rFonts w:ascii="Times New Roman;serif" w:hAnsi="Times New Roman;serif"/>
          <w:b w:val="false"/>
          <w:color w:val="000000"/>
          <w:sz w:val="24"/>
          <w:u w:val="single"/>
        </w:rPr>
        <w:t>Section 2.01</w:t>
      </w:r>
      <w:r>
        <w:rPr>
          <w:rFonts w:ascii="Times New Roman;serif" w:hAnsi="Times New Roman;serif"/>
          <w:b w:val="false"/>
          <w:color w:val="000000"/>
          <w:sz w:val="24"/>
        </w:rPr>
        <w:t xml:space="preserve">, shall expire with respect to each separate Licensed Product on the date when FOSUN’s obligation to pay royalties with respect to such Licensed Product expires pursuant to </w:t>
      </w:r>
      <w:r>
        <w:rPr>
          <w:rFonts w:ascii="Times New Roman;serif" w:hAnsi="Times New Roman;serif"/>
          <w:b w:val="false"/>
          <w:color w:val="000000"/>
          <w:sz w:val="24"/>
          <w:u w:val="single"/>
        </w:rPr>
        <w:t>Section 6.04(e)</w:t>
      </w:r>
      <w:r>
        <w:rPr>
          <w:rFonts w:ascii="Times New Roman;serif" w:hAnsi="Times New Roman;serif"/>
          <w:b w:val="false"/>
          <w:color w:val="000000"/>
          <w:sz w:val="24"/>
        </w:rPr>
        <w:t xml:space="preserve">. Upon expiry of FOSUN’s exclusive licenses with respect to a Licensed Product in the Territory, FOSUN’s exclusive licenses with respect to such Licensed Product in the Territory shall become non-exclusive, fully paid-up, perpetual and irrevocable and the Net Sales of such Licensed Product in the Territory shall be excluded from the royalty calculations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(including the thresholds and ceilings). FOSUN and its Affiliates and Sublicensees shall be allowed to continue exercising FOSUN’s exclusive rights under the licenses granted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on a non-exclusive basis in the Territory with no further consideration to Ardelyx.</w:t>
      </w:r>
    </w:p>
    <w:p>
      <w:pPr>
        <w:pStyle w:val="TextBody"/>
        <w:bidi w:val="0"/>
        <w:spacing w:lineRule="auto" w:line="288" w:before="0" w:after="240"/>
        <w:ind w:left="0" w:right="0" w:firstLine="720"/>
        <w:jc w:val="both"/>
        <w:rPr/>
      </w:pPr>
      <w:r>
        <w:rPr>
          <w:rFonts w:ascii="Times New Roman;serif" w:hAnsi="Times New Roman;serif"/>
          <w:b/>
          <w:color w:val="000000"/>
          <w:sz w:val="24"/>
        </w:rPr>
        <w:t>Section 2.09 Right of Reference</w:t>
      </w:r>
      <w:r>
        <w:rPr>
          <w:rFonts w:ascii="Times New Roman;serif" w:hAnsi="Times New Roman;serif"/>
          <w:b w:val="false"/>
          <w:color w:val="000000"/>
          <w:sz w:val="24"/>
        </w:rPr>
        <w:t>. Each Party shall have access and a right of reference to all data contained or referenced in any Regulatory Documents (including any Regulatory Approvals) necessary for the Development, Manufacture or Commercialization of the Licensed Product for the treatment of hyperphosphatemia or irritable bowel syndrome with constipation.</w:t>
      </w:r>
    </w:p>
    <w:p>
      <w:pPr>
        <w:pStyle w:val="TextBody"/>
        <w:bidi w:val="0"/>
        <w:spacing w:lineRule="auto" w:line="288" w:before="0" w:after="240"/>
        <w:ind w:left="0" w:right="0" w:firstLine="720"/>
        <w:jc w:val="both"/>
        <w:rPr/>
      </w:pPr>
      <w:r>
        <w:rPr>
          <w:rFonts w:ascii="Times New Roman;serif" w:hAnsi="Times New Roman;serif"/>
          <w:b/>
          <w:color w:val="000000"/>
          <w:sz w:val="24"/>
        </w:rPr>
        <w:t>Section 2.10 Exclusivity Covenant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During the period starting on the [***] and continuing until the earlier to occur of (i) [***] and (ii) [***] (such period, “</w:t>
      </w:r>
      <w:r>
        <w:rPr>
          <w:rFonts w:ascii="Times New Roman;serif" w:hAnsi="Times New Roman;serif"/>
          <w:b/>
          <w:color w:val="000000"/>
          <w:sz w:val="24"/>
        </w:rPr>
        <w:t>Covenant Period 1</w:t>
      </w:r>
      <w:r>
        <w:rPr>
          <w:color w:val="000000"/>
        </w:rPr>
        <w:t>”</w:t>
      </w:r>
      <w:r>
        <w:rPr>
          <w:rFonts w:ascii="Times New Roman;serif" w:hAnsi="Times New Roman;serif"/>
          <w:b w:val="false"/>
          <w:color w:val="000000"/>
          <w:sz w:val="24"/>
        </w:rPr>
        <w:t xml:space="preserve">), neither FOSUN nor any of its Affiliates shall, except as otherwise expressly permitted in this Agreement, either by itself or through a Third Party, [***]. Notwithstanding the above, in the event that [***], FOSUN will not be in violation of this </w:t>
      </w:r>
      <w:r>
        <w:rPr>
          <w:rFonts w:ascii="Times New Roman;serif" w:hAnsi="Times New Roman;serif"/>
          <w:b w:val="false"/>
          <w:color w:val="000000"/>
          <w:sz w:val="24"/>
          <w:u w:val="single"/>
        </w:rPr>
        <w:t>Section 2.10(a)</w:t>
      </w:r>
      <w:r>
        <w:rPr>
          <w:rFonts w:ascii="Times New Roman;serif" w:hAnsi="Times New Roman;serif"/>
          <w:b w:val="false"/>
          <w:color w:val="000000"/>
          <w:sz w:val="24"/>
        </w:rPr>
        <w:t>; provided, that (i) [***] and (ii) [***] during Covenant Period 1 or Covenant Period 2.</w:t>
      </w:r>
    </w:p>
    <w:p>
      <w:pPr>
        <w:pStyle w:val="TextBody"/>
        <w:bidi w:val="0"/>
        <w:spacing w:lineRule="auto" w:line="288" w:before="0" w:after="240"/>
        <w:ind w:left="0" w:right="0" w:firstLine="720"/>
        <w:jc w:val="both"/>
        <w:rPr/>
      </w:pPr>
      <w:r>
        <w:rPr>
          <w:rFonts w:ascii="Times New Roman;serif" w:hAnsi="Times New Roman;serif"/>
          <w:b w:val="false"/>
          <w:color w:val="000000"/>
          <w:sz w:val="24"/>
        </w:rPr>
        <w:t>(b) During the period starting on the Effective Date and continuing until [***] (such period, “</w:t>
      </w:r>
      <w:r>
        <w:rPr>
          <w:rFonts w:ascii="Times New Roman;serif" w:hAnsi="Times New Roman;serif"/>
          <w:b/>
          <w:color w:val="000000"/>
          <w:sz w:val="24"/>
        </w:rPr>
        <w:t>Covenant Period 2</w:t>
      </w:r>
      <w:r>
        <w:rPr>
          <w:color w:val="000000"/>
        </w:rPr>
        <w:t>”</w:t>
      </w:r>
      <w:r>
        <w:rPr>
          <w:rFonts w:ascii="Times New Roman;serif" w:hAnsi="Times New Roman;serif"/>
          <w:b w:val="false"/>
          <w:color w:val="000000"/>
          <w:sz w:val="24"/>
        </w:rPr>
        <w:t>), neither FOSUN nor any of its Affiliates shall, except as otherwise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expressly permitted in this Agreement, either by itself or through a Third Party, [***] in the Territory any Competitive Product [***]; provided that [***]. Notwithstanding the above, in the event that [***] or a [***], the sale or distribution of the Competitive Product by such Affiliate shall not be a violation of this </w:t>
      </w:r>
      <w:r>
        <w:rPr>
          <w:rFonts w:ascii="Times New Roman;serif" w:hAnsi="Times New Roman;serif"/>
          <w:b w:val="false"/>
          <w:color w:val="000000"/>
          <w:sz w:val="24"/>
          <w:u w:val="single"/>
        </w:rPr>
        <w:t>Section 2.10(b)</w:t>
      </w:r>
      <w:r>
        <w:rPr>
          <w:rFonts w:ascii="Times New Roman;serif" w:hAnsi="Times New Roman;serif"/>
          <w:b w:val="false"/>
          <w:color w:val="000000"/>
          <w:sz w:val="24"/>
        </w:rPr>
        <w:t>; provided, that, [***], and provided, further that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Notwithstanding the aforesaid, neither FOSUN’s nor any of FOSUN Affiliates’ direct or indirect acquisition of or merger with, in whole or in part, a Person (or group of companies) or the business of a Person (or group of companies), which will become an Affiliate of FOSUN or controlled by FOSUN immediately after closing of such acquisition or merger transaction, having any activity contravening the covenant set forth above in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shall constitute a breach of such covenants by FOSUN, if, [***] FOSUN shall either (i) provide Ardelyx with written notice of its, or its Affiliates’, as the case may be, [***], or (ii) exercises its right to terminate this Agreement pursuant to </w:t>
      </w:r>
      <w:r>
        <w:rPr>
          <w:rFonts w:ascii="Times New Roman;serif" w:hAnsi="Times New Roman;serif"/>
          <w:b w:val="false"/>
          <w:color w:val="000000"/>
          <w:sz w:val="24"/>
          <w:u w:val="single"/>
        </w:rPr>
        <w:t>Section 11.02(b)(i)</w:t>
      </w:r>
      <w:r>
        <w:rPr>
          <w:rFonts w:ascii="Times New Roman;serif" w:hAnsi="Times New Roman;serif"/>
          <w:b w:val="false"/>
          <w:color w:val="000000"/>
          <w:sz w:val="24"/>
        </w:rPr>
        <w:t xml:space="preserve">, in which case such termination shall be effective [***] ([***]) days after Ardelyx’s receipt of a written notice of termination from FOSUN. In the event that FOSUN provides a written notice of its or its Affiliates’ [***] pursuant to the above, then (X) FOSUN shall (or, as the case may be, cause its relevant Affiliate to) diligently pursue [***], and in any case, [***] after the closing of the acquisition or merger transaction under which the relevant business was acquired, and (Y) neither FOSUN nor its Affiliates, as the case may be, shall during such [***] ([***]) [***] period, [***] the product in question, unless the product [***]. Notwithstanding the foregoing, FOSUN’s or any of FOSUN Affiliates’ [***] other than the acquisition or merger transaction aforementioned shall not constitute a breach of the covenants set forth above in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by FOSUN, [***]. FOSUN shall, notwithstanding anything to the contrary in this </w:t>
      </w:r>
      <w:r>
        <w:rPr>
          <w:rFonts w:ascii="Times New Roman;serif" w:hAnsi="Times New Roman;serif"/>
          <w:b w:val="false"/>
          <w:color w:val="000000"/>
          <w:sz w:val="24"/>
          <w:u w:val="single"/>
        </w:rPr>
        <w:t>Section 2.10 (c)</w:t>
      </w:r>
      <w:r>
        <w:rPr>
          <w:rFonts w:ascii="Times New Roman;serif" w:hAnsi="Times New Roman;serif"/>
          <w:b w:val="false"/>
          <w:color w:val="000000"/>
          <w:sz w:val="24"/>
        </w:rPr>
        <w:t xml:space="preserve">, at all times continue to be obligated to use Commercially Reasonable Efforts to Develop or Commercialize Licensed Products in accordance with its obligations under and subject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Notwithstanding the above, in the event that (i) [***], or (ii) [***], then in the case of each of (i) and (ii), rather than exercising its right of termination under this Agreement, FOSUN may [***] from Ardelyx such that FOSUN may [***] impacted by [***] for [***] and the Parties shall negotiate in good faith the terms under which the Ardelyx may [***], which may include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The words [***] and all variations thereof included in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with reference to a Competitive Product shall include the activities described in the [***], but with such activities being with respect to a Competitive Product rather than with respect to Licensed Product as set forth in the definition.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The Parties agree that the restrictions contained in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2.11 Right of First Negotiation.</w:t>
      </w:r>
      <w:r>
        <w:rPr>
          <w:color w:val="000000"/>
        </w:rPr>
        <w:t xml:space="preserve"> </w:t>
      </w:r>
      <w:r>
        <w:rPr>
          <w:rFonts w:ascii="Times New Roman;serif" w:hAnsi="Times New Roman;serif"/>
          <w:b w:val="false"/>
          <w:color w:val="000000"/>
          <w:sz w:val="24"/>
        </w:rPr>
        <w:t>During the Term, if Ardelyx decides to Develop and/or Commercialize outside of the Field in the Territory, a pharmaceutical preparation, composition and/or formulation in a form suitable for human application containing the Licensed</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Compound as an active ingredient (a “</w:t>
      </w:r>
      <w:r>
        <w:rPr>
          <w:rFonts w:ascii="Times New Roman;serif" w:hAnsi="Times New Roman;serif"/>
          <w:b/>
          <w:color w:val="000000"/>
          <w:sz w:val="24"/>
        </w:rPr>
        <w:t>ROFN Produc</w:t>
      </w:r>
      <w:r>
        <w:rPr>
          <w:rFonts w:ascii="Times New Roman;serif" w:hAnsi="Times New Roman;serif"/>
          <w:b w:val="false"/>
          <w:color w:val="000000"/>
          <w:sz w:val="24"/>
        </w:rPr>
        <w:t>t”) or is willing to grant a Third Party a license under the Licensed Technology, Ardelyx’s rights in the Joint Technology and/or Ardelyx [***] Technology to Develop and/or Commercialize such ROFN Product in the Territory (“Ardelyx License”), Ardelyx shall inform FOSUN by written notice of its intention as such, and shall provide FOSUN with [***] of the ROFN Product, and shall negotiate exclusively with FOSUN for a period of up to [***] ([***]) days (“Negotiation Period”). FOSUN may notify Ardelyx by way of a letter of acceptance that it wishes to collaborate with Ardelyx to engage in the Development or Commercialization activities of such ROFN Product in the Territory, or to enter into an agreement for an Ardelyx License. If Ardelyx and FOSUN cannot reach mutually agreeable terms and conditions of an Ardelyx License during the Negotiation Period, then Ardelyx shall be free to Develop and/or Commercialize the ROFN Product in the Territory outside of the Field, or negotiate and enter into an Ardelyx License with a Third Party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COLLABORATION GOVERNANCE; DEVELOPMENT AND COMMERCIALIZATION PLANS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3.01 Steering Committee. </w:t>
      </w:r>
      <w:r>
        <w:rPr>
          <w:rFonts w:ascii="Times New Roman;serif" w:hAnsi="Times New Roman;serif"/>
          <w:b w:val="false"/>
          <w:color w:val="000000"/>
          <w:sz w:val="24"/>
        </w:rPr>
        <w:t xml:space="preserve">Ardelyx and FOSUN shall establish a steering committee in accordance with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SC</w:t>
      </w:r>
      <w:r>
        <w:rPr>
          <w:color w:val="000000"/>
        </w:rPr>
        <w:t>”</w:t>
      </w:r>
      <w:r>
        <w:rPr>
          <w:rFonts w:ascii="Times New Roman;serif" w:hAnsi="Times New Roman;serif"/>
          <w:b w:val="false"/>
          <w:color w:val="000000"/>
          <w:sz w:val="24"/>
        </w:rPr>
        <w:t>). The SC shall remain in effect as from the Effective Date through the Term, or until such earlier date, as Ardelyx, in its sole discretion, determines to terminate its membership in the SC. The SC shall serve as a forum for discussing and sharing Information and Materials; discussing strategy regarding the Development of the Licensed Products, among other activities. FOSUN shall submit to the SC all results from the Bridging Studies and any other clinical trials that FOSUN shall conduct in the Territory as soon as reasonably practicable after completion, but in any event within a time frame sufficient to enable Ardelyx to meet any obligations that it may have regarding such clinical trial results and the disclosure thereof, including those obligations it may have under any Applicable Law or the rules and regulations of any Governmental Body. At a minimum, FOSUN shall provide a summary in English of each final report of each clinical trial to the SC, within [***] ([***]) days after finalization of the clinical trial report. The summary shall contain such information as Ardelyx shall reasonably request.</w:t>
      </w:r>
    </w:p>
    <w:p>
      <w:pPr>
        <w:pStyle w:val="TextBody"/>
        <w:bidi w:val="0"/>
        <w:spacing w:lineRule="auto" w:line="288" w:before="0" w:after="240"/>
        <w:ind w:left="0" w:right="0" w:firstLine="720"/>
        <w:jc w:val="both"/>
        <w:rPr/>
      </w:pPr>
      <w:r>
        <w:rPr>
          <w:rFonts w:ascii="Times New Roman;serif" w:hAnsi="Times New Roman;serif"/>
          <w:b/>
          <w:color w:val="000000"/>
          <w:sz w:val="24"/>
        </w:rPr>
        <w:t>Section 3.02 Composition of the SC</w:t>
      </w:r>
      <w:r>
        <w:rPr>
          <w:rFonts w:ascii="Times New Roman;serif" w:hAnsi="Times New Roman;serif"/>
          <w:b w:val="false"/>
          <w:color w:val="000000"/>
          <w:sz w:val="24"/>
        </w:rPr>
        <w:t xml:space="preserve">. Each Party shall appoint [***] ([***]) representatives as its voting members of the SC. The first meeting of the SC shall be held within [***] ([***]) days of the Effective Date. The SC shall be chaired by a representative of [***]. The chairperson shall be responsible for calling meetings, setting the agenda, circulating the agenda at least [***] ([***]) days prior to each meeting and distributing minutes of the meetings within [***] ([***]) days following such meetings, but will not otherwise have any greater power or authority than any other member of the SC. The chairperson shall coordinate with each Party to schedule each SC meeting at least [***] ([***]) months in advance of such meeting, or – with regard to meetings that are called for on shorter notice – as early as reasonably practicable in advance of such meeting. Each Party shall disclose to the chairperson any proposed agenda items, along with appropriate Information and Materials at least [***] ([***]) Business Days in advance of each meeting of the SC (or – with regard to meetings that are called for on shorter notice – as early as reasonably practicable in advance of such meeting). The chairperson shall not reject any proposed agenda items. All of the members of the SC shall have such expertise as appropriate to the activities of the SC. Each Party may replace its members of the SC upon written notice to the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other Party and shall replace its members as the expertise required by the SC changes over time and as the Licensed Products advance through Development; [***]. From time to time, the SC may invite non-voting personnel of either Party having formulation, Manufacturing, Commercialization, marketing or other expertise to participate in discussions of the SC. An alternate voting member designated by a Party may serve temporarily in the absence of a permanent voting member appointed by such Party, and either Party may also designate one or more non-voting consultants to such Party who are under written obligations of confidentiality to such Party as SC observers who may attend the SC meetings in an observational capacity only.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3.03 Commercialization Plan. </w:t>
      </w:r>
      <w:r>
        <w:rPr>
          <w:rFonts w:ascii="Times New Roman;serif" w:hAnsi="Times New Roman;serif"/>
          <w:b w:val="false"/>
          <w:color w:val="000000"/>
          <w:sz w:val="24"/>
        </w:rPr>
        <w:t>The SC shall be responsible for the approval of the first commercialization plan prepared for each Licensed Product. Each such commercialization plan shall govern the launch of the Licensed Product and the Commercialization of the Licensed Product for at least [***] ([***]) months following such launch (“</w:t>
      </w:r>
      <w:r>
        <w:rPr>
          <w:rFonts w:ascii="Times New Roman;serif" w:hAnsi="Times New Roman;serif"/>
          <w:b/>
          <w:color w:val="000000"/>
          <w:sz w:val="24"/>
        </w:rPr>
        <w:t>Commercialization Plan</w:t>
      </w:r>
      <w:r>
        <w:rPr>
          <w:color w:val="000000"/>
        </w:rPr>
        <w:t>”</w:t>
      </w:r>
      <w:r>
        <w:rPr>
          <w:rFonts w:ascii="Times New Roman;serif" w:hAnsi="Times New Roman;serif"/>
          <w:b w:val="false"/>
          <w:color w:val="000000"/>
          <w:sz w:val="24"/>
        </w:rPr>
        <w:t>), and each Commercialization Plan shall set forth the commercialization budget describing the costs and expenses relating to the Commercialization of the Licensed Product during the relevant period (“</w:t>
      </w:r>
      <w:r>
        <w:rPr>
          <w:rFonts w:ascii="Times New Roman;serif" w:hAnsi="Times New Roman;serif"/>
          <w:b/>
          <w:color w:val="000000"/>
          <w:sz w:val="24"/>
        </w:rPr>
        <w:t>Commercialization Budget</w:t>
      </w:r>
      <w:r>
        <w:rPr>
          <w:color w:val="000000"/>
        </w:rPr>
        <w:t>”</w:t>
      </w:r>
      <w:r>
        <w:rPr>
          <w:rFonts w:ascii="Times New Roman;serif" w:hAnsi="Times New Roman;serif"/>
          <w:b w:val="false"/>
          <w:color w:val="000000"/>
          <w:sz w:val="24"/>
        </w:rPr>
        <w:t>). Within [***] ([***]) months after the [***], FOSUN shall submit the initial Commercialization Plan and Commercialization Budget for the relevant Licensed Product to the SC for approval. The initial Commercialization Plan shall include, the following, among other things, (a) a requirement that during launch and for the first [***] ([***]) months following the First Commercial Sale of the first Licensed Product, that FOSUN shall use [***], and (b) specific plans as to [***]. After the approval of the first Commercialization Plan and Commercialization Budget, the SC will review the Commercialization Plan and Commercialization Budget and the current status of the Commercialization activities at least [***] ([***]) times per year, and will amend the Commercialization Plan and Commercialization Budget as necessary pursuant to review. The SC will approve any material changes to the Commercialization Budget.</w:t>
      </w:r>
    </w:p>
    <w:p>
      <w:pPr>
        <w:pStyle w:val="TextBody"/>
        <w:bidi w:val="0"/>
        <w:spacing w:lineRule="auto" w:line="288" w:before="0" w:after="240"/>
        <w:ind w:left="0" w:right="0" w:firstLine="720"/>
        <w:jc w:val="both"/>
        <w:rPr/>
      </w:pPr>
      <w:r>
        <w:rPr>
          <w:rFonts w:ascii="Times New Roman;serif" w:hAnsi="Times New Roman;serif"/>
          <w:b/>
          <w:color w:val="000000"/>
          <w:sz w:val="24"/>
        </w:rPr>
        <w:t>Section 3.04 Meetings of the SC</w:t>
      </w:r>
      <w:r>
        <w:rPr>
          <w:rFonts w:ascii="Times New Roman;serif" w:hAnsi="Times New Roman;serif"/>
          <w:b w:val="false"/>
          <w:color w:val="000000"/>
          <w:sz w:val="24"/>
        </w:rPr>
        <w:t xml:space="preserve">. The SC shall hold meetings at such times and places as shall be determined by a majority of the entire membership of the committee, but in no event shall such meetings be held less frequently than once every [***] ([***]) months through the first [***] ([***]) years following the First Commercial Sale of each Licensed Product in the Territory. Meetings of the SC will alternate between the offices of the Parties, unless otherwise agreed upon by the members of the SC, or may be held via internet, telephonically or by videoconference;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least one 1 meeting per year shall be held in person until [***] ([***]) years following the First Commercial Sale of each Licensed Product in the Territory. Thereafter, the SC may determine how frequently to require meetings of the SC and how frequently to require in person meetings of the SC. Meetings of the SC will be effective if at least two (2) representatives of each Party are in attendance or participating in the meeting. Each Party will be responsible for the expenses incurred in connection with its employees, consultants and its members of the SC attending or otherwise participating in SC meetings.</w:t>
      </w:r>
    </w:p>
    <w:p>
      <w:pPr>
        <w:pStyle w:val="TextBody"/>
        <w:bidi w:val="0"/>
        <w:spacing w:lineRule="auto" w:line="288" w:before="0" w:after="240"/>
        <w:ind w:left="0" w:right="0" w:firstLine="720"/>
        <w:jc w:val="both"/>
        <w:rPr/>
      </w:pPr>
      <w:r>
        <w:rPr>
          <w:rFonts w:ascii="Times New Roman;serif" w:hAnsi="Times New Roman;serif"/>
          <w:b/>
          <w:color w:val="000000"/>
          <w:sz w:val="24"/>
        </w:rPr>
        <w:t>Section 3.05 SC Decision Making</w:t>
      </w:r>
      <w:r>
        <w:rPr>
          <w:rFonts w:ascii="Times New Roman;serif" w:hAnsi="Times New Roman;serif"/>
          <w:b w:val="false"/>
          <w:color w:val="000000"/>
          <w:sz w:val="24"/>
        </w:rPr>
        <w:t>. The SC shall make decisions within its remit only by [***]. In the event that [***] on a matter before it for decision within [***] ([***]) days after the matter was first considered by it, then [***] shall have the final decision making authority except for decisions that (a) [***] (i) [***] or (ii) [***], or (b) [***], with respect to which decisions, [***] shall have the right to refer such matter to the Senior Executives, who shall meet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 person, via internet, telephonically or by videoconference) to resolve the matter within [***] ([***]) days of such referral.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PROVISIONS ON DEVELOPMENT AND COMMERCIALIZATION</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4.01 Record Keeping. </w:t>
      </w:r>
      <w:r>
        <w:rPr>
          <w:rFonts w:ascii="Times New Roman;serif" w:hAnsi="Times New Roman;serif"/>
          <w:b w:val="false"/>
          <w:color w:val="000000"/>
          <w:sz w:val="24"/>
        </w:rPr>
        <w:t>Each Party shall maintain, or cause to be maintained, records of its activities under this Agreement in sufficient detail and in good scientific manner appropriate for patent and regulatory purposes, which shall be complete and accurate and shall fully and properly reflect all work done and results achieved in the performance of its activities hereunder, which shall record only such activities and shall not include or be commingled with records of activities outside the scope of this Agreement, and which shall be retained by such Party for at least [***] ([***]) years after the termination of this Agreement, or for such longer period as may be required by Applicable Laws. Each Party shall have the right, during normal business hours and upon reasonable prior notice to the other Party, to inspect and copy any such records of such other Party.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4.02 Conduct of Certain Development Activities. </w:t>
      </w:r>
      <w:r>
        <w:rPr>
          <w:rFonts w:ascii="Times New Roman;serif" w:hAnsi="Times New Roman;serif"/>
          <w:b w:val="false"/>
          <w:color w:val="000000"/>
          <w:sz w:val="24"/>
        </w:rPr>
        <w:t xml:space="preserve">Any clinical trial(s) and other Development studies that are commenced in the Territory after the Effective Date to support Regulatory Approval of the Licensed Products in the Territory will be conducted solely by FOSUN;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Ardelyx may sponsor or co-sponsor such clinical studies pursuant to the Applicable Law of the Regulatory Health Authority of the Territory, in which case Ardelyx shall use Commercially Reasonable Efforts to cooperate with FOSUN to conduct such clinical trials in the Territory. Notwithstanding anything to the contrary, all clinical trials in the Territory conducted in accordance with this Agreement shall be [***] and [***] of [***]’s cooperation and assistance.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4.03 Diligence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FOSUN shall use Commercially Reasonable Efforts at its own cost and expense to carry out its activities under this Agreement to develop (including to seek Regulatory Approval in the Territory), Manufacture (as set forth herein) and Commercialize the Licensed Product in the Territory for the indication of hyperphosphatemia related to chronic kidney disease and for irritable bowel syndrome with constipation. FOSUN shall act reasonably in preparing the Commercialization Plans, and any amendments thereto, including the corresponding Commercialization Budgets each of which shall be consistent with the obligation to use Commercially Reasonable Efforts as set forth herein. For purposes of this </w:t>
      </w:r>
      <w:r>
        <w:rPr>
          <w:rFonts w:ascii="Times New Roman;serif" w:hAnsi="Times New Roman;serif"/>
          <w:b w:val="false"/>
          <w:color w:val="000000"/>
          <w:sz w:val="24"/>
          <w:u w:val="single"/>
        </w:rPr>
        <w:t>Section 4.03(a)</w:t>
      </w:r>
      <w:r>
        <w:rPr>
          <w:color w:val="000000"/>
        </w:rPr>
        <w:t xml:space="preserve"> </w:t>
      </w:r>
      <w:r>
        <w:rPr>
          <w:rFonts w:ascii="Times New Roman;serif" w:hAnsi="Times New Roman;serif"/>
          <w:b w:val="false"/>
          <w:color w:val="000000"/>
          <w:sz w:val="24"/>
        </w:rPr>
        <w:t xml:space="preserve">the Parties agree that in order to demonstrate that it has utilized Commercially Reasonable Efforts as required under this </w:t>
      </w:r>
      <w:r>
        <w:rPr>
          <w:rFonts w:ascii="Times New Roman;serif" w:hAnsi="Times New Roman;serif"/>
          <w:b w:val="false"/>
          <w:color w:val="000000"/>
          <w:sz w:val="24"/>
          <w:u w:val="single"/>
        </w:rPr>
        <w:t>Section 4.03(a)</w:t>
      </w:r>
      <w:r>
        <w:rPr>
          <w:rFonts w:ascii="Times New Roman;serif" w:hAnsi="Times New Roman;serif"/>
          <w:b w:val="false"/>
          <w:color w:val="000000"/>
          <w:sz w:val="24"/>
        </w:rPr>
        <w:t>, FOSUN shall meet the following timelines and other objectives [***] with respect to each of the indications of hyperphosphatemia related to chronic kidney disease and irritable bowel syndrome: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 provided that all necessary documents for the [***] have been provided by Ardelyx;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 following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 within [***] ([***]) months after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 within [***] ([***]) months following completion 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 within [***] ([***]) months after receipt 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 and for the first [***] ([***])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 in the first [***] ([***]) months shall [***] of FOSUN’s [***] in the Territory;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Each [***] for each Licensed Product shall not be less than [***] for such Licensed Product for [***] following the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If FOSUN fails to fulfill its obligations within certain period under </w:t>
      </w:r>
      <w:r>
        <w:rPr>
          <w:rFonts w:ascii="Times New Roman;serif" w:hAnsi="Times New Roman;serif"/>
          <w:b w:val="false"/>
          <w:color w:val="000000"/>
          <w:sz w:val="24"/>
          <w:u w:val="single"/>
        </w:rPr>
        <w:t>Section 4.03(a)</w:t>
      </w:r>
      <w:r>
        <w:rPr>
          <w:rFonts w:ascii="Times New Roman;serif" w:hAnsi="Times New Roman;serif"/>
          <w:b w:val="false"/>
          <w:color w:val="000000"/>
          <w:sz w:val="24"/>
        </w:rPr>
        <w:t xml:space="preserve">, the Parities agree to extend another [***] ([***]) months of such period for FOSUN to achieve such objectives. If FOSUN fails to achieve the specific objectives within the extended periods, or if FOSUN fails to meet its obligations generally under </w:t>
      </w:r>
      <w:r>
        <w:rPr>
          <w:rFonts w:ascii="Times New Roman;serif" w:hAnsi="Times New Roman;serif"/>
          <w:b w:val="false"/>
          <w:color w:val="000000"/>
          <w:sz w:val="24"/>
          <w:u w:val="single"/>
        </w:rPr>
        <w:t>Section 4.03(a),</w:t>
      </w:r>
      <w:r>
        <w:rPr>
          <w:color w:val="000000"/>
        </w:rPr>
        <w:t xml:space="preserve"> </w:t>
      </w:r>
      <w:r>
        <w:rPr>
          <w:rFonts w:ascii="Times New Roman;serif" w:hAnsi="Times New Roman;serif"/>
          <w:b w:val="false"/>
          <w:color w:val="000000"/>
          <w:sz w:val="24"/>
        </w:rPr>
        <w:t xml:space="preserve">then Ardelyx may exercise its rights under </w:t>
      </w:r>
      <w:r>
        <w:rPr>
          <w:rFonts w:ascii="Times New Roman;serif" w:hAnsi="Times New Roman;serif"/>
          <w:b w:val="false"/>
          <w:color w:val="000000"/>
          <w:sz w:val="24"/>
          <w:u w:val="single"/>
        </w:rPr>
        <w:t>Section 13.02</w:t>
      </w:r>
      <w:r>
        <w:rPr>
          <w:color w:val="000000"/>
        </w:rPr>
        <w:t xml:space="preserve"> </w:t>
      </w:r>
      <w:r>
        <w:rPr>
          <w:rFonts w:ascii="Times New Roman;serif" w:hAnsi="Times New Roman;serif"/>
          <w:b w:val="false"/>
          <w:color w:val="000000"/>
          <w:sz w:val="24"/>
        </w:rPr>
        <w:t xml:space="preserve">or proceed directly to exercise its rights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(subject to the provisions set forth therein), at Ardelyx’s sole discretion.</w:t>
      </w:r>
    </w:p>
    <w:p>
      <w:pPr>
        <w:pStyle w:val="TextBody"/>
        <w:bidi w:val="0"/>
        <w:spacing w:lineRule="auto" w:line="288" w:before="0" w:after="240"/>
        <w:ind w:left="0" w:right="0" w:firstLine="720"/>
        <w:jc w:val="both"/>
        <w:rPr/>
      </w:pPr>
      <w:r>
        <w:rPr>
          <w:rFonts w:ascii="Times New Roman;serif" w:hAnsi="Times New Roman;serif"/>
          <w:b/>
          <w:color w:val="000000"/>
          <w:sz w:val="24"/>
        </w:rPr>
        <w:t>Section 4.04 Reports of Development Activities</w:t>
      </w:r>
      <w:r>
        <w:rPr>
          <w:rFonts w:ascii="Times New Roman;serif" w:hAnsi="Times New Roman;serif"/>
          <w:b w:val="false"/>
          <w:color w:val="000000"/>
          <w:sz w:val="24"/>
        </w:rPr>
        <w:t>. FOSUN shall report on the Development activities of the Licensed Product undertaken by it at each meeting of the SC. The Development reports shall include a reasonably detailed summary of all results, data and material inventions, if any, obtained from such Development activities. In addition, FOSUN shall, at its own expense, make appropriate scientific and regulatory personnel available to Ardelyx, either by telephone or in person as the Parties may mutually agree, as reasonably required to keep Ardelyx informed of Development activities conducted by FOSUN.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4.05 Regulatory 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To the extent permitted under Applicable Law, FOSUN shall be the marketing authorization holder for the Licensed Products in the Field in the Territory. If it is determined during the Term that pursuant to Applicable Law the Parties are not able to operate under the terms of this </w:t>
      </w:r>
      <w:r>
        <w:rPr>
          <w:rFonts w:ascii="Times New Roman;serif" w:hAnsi="Times New Roman;serif"/>
          <w:b w:val="false"/>
          <w:color w:val="000000"/>
          <w:sz w:val="24"/>
          <w:u w:val="single"/>
        </w:rPr>
        <w:t>Section 4.05</w:t>
      </w:r>
      <w:r>
        <w:rPr>
          <w:rFonts w:ascii="Times New Roman;serif" w:hAnsi="Times New Roman;serif"/>
          <w:b w:val="false"/>
          <w:color w:val="000000"/>
          <w:sz w:val="24"/>
        </w:rPr>
        <w:t>, then Ardelyx shall be the marketing authorization or imported drug license holder of the Licensed Products. Notwithstanding the foregoing sentence, however, Ardelyx shall not have any right to Develop and/or Commercialize the Licensed Product in the Field in the Territory. FOSUN shall reimburse Ardelyx for any and all costs (internal and external) that Ardelyx may incur in being the marketing authorization or imported drug license holder, if so required by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FOSUN shall be solely responsible for preparing, filing and submitting all Regulatory Documents related to the Licensed Compounds and Licensed Products with the Regulatory Health Authority in the Territory, including all applications for Regulatory Approval. FOSUN shall own any and all applications for Regulatory Approvals, the Regulatory Approvals, and other regulatory filings related to the Licensed Compounds and Licensed Products, which will be held in the name of FOSUN. FOSUN shall also be solely responsible for providing, in the format required by the applicable Regulatory Health Authorities, the data and information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240" w:after="240"/>
        <w:jc w:val="both"/>
        <w:rPr/>
      </w:pPr>
      <w:r>
        <w:rPr>
          <w:rFonts w:ascii="Times New Roman;serif" w:hAnsi="Times New Roman;serif"/>
          <w:b w:val="false"/>
          <w:color w:val="000000"/>
          <w:sz w:val="24"/>
        </w:rPr>
        <w:t xml:space="preserve">to be submitted to such Regulatory Health Authorities for Regulatory Approval of the Licensed Products in the Territory, including without limitation data from all clinical trials and all Manufacturing and controls information required for Regulatory Approval of such Licensed Product by the Regulatory Health Authorities in the Territory. FOSUN shall, subject to </w:t>
      </w:r>
      <w:r>
        <w:rPr>
          <w:rFonts w:ascii="Times New Roman;serif" w:hAnsi="Times New Roman;serif"/>
          <w:b w:val="false"/>
          <w:color w:val="000000"/>
          <w:sz w:val="24"/>
          <w:u w:val="single"/>
        </w:rPr>
        <w:t>Section 4.03(a)</w:t>
      </w:r>
      <w:r>
        <w:rPr>
          <w:rFonts w:ascii="Times New Roman;serif" w:hAnsi="Times New Roman;serif"/>
          <w:b w:val="false"/>
          <w:color w:val="000000"/>
          <w:sz w:val="24"/>
        </w:rPr>
        <w:t>, use Commercially Reasonable Efforts to obtain Regulatory Approval for Licensed Products in the Territory.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During the Term, FOSUN shall report to Ardelyx regarding the status of each pending or proposed IND equivalent application or Drug Approval Application covering a Licensed Product in the Territory.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FOSUN shall notify Ardelyx of any request for [***] and FOSUN shall allow [***], in Ardelyx’s sole discretion. The foregoing shall apply with respect to [***]. FOSUN shall as soon as reasonably practicable furnish Ardelyx with copies of all substantive correspondence FOSUN has had with any Regulatory Health Authority, and contact reports concerning substantive conversations or substantive meetings with any Regulatory Health Authority, in each case relating to any such IND equivalent or Drug Approval Application.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4.06 Adverse Event Reporting and Product Recall.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Each Party agrees to provide the other Party with the necessary safety information required by Regulatory Health Authorities to comply with Applicable Laws. Ardelyx will hold the safety database for the Licensed Compounds and the Licensed Products and FOSUN will provide safety information as required by Applicable Laws, in a timely manner. As promptly as possible following the Effective Date, but no later than the commencement of the first clinical trial by FOSUN in the Territory, the Parties will enter into a detailed safety agreement (the “</w:t>
      </w:r>
      <w:r>
        <w:rPr>
          <w:rFonts w:ascii="Times New Roman;serif" w:hAnsi="Times New Roman;serif"/>
          <w:b/>
          <w:color w:val="000000"/>
          <w:sz w:val="24"/>
        </w:rPr>
        <w:t>Safety Agreement</w:t>
      </w:r>
      <w:r>
        <w:rPr>
          <w:color w:val="000000"/>
        </w:rPr>
        <w:t>”</w:t>
      </w:r>
      <w:r>
        <w:rPr>
          <w:rFonts w:ascii="Times New Roman;serif" w:hAnsi="Times New Roman;serif"/>
          <w:b w:val="false"/>
          <w:color w:val="000000"/>
          <w:sz w:val="24"/>
        </w:rPr>
        <w:t>), governing, among other things, appropriate adverse event reporting procedures relating to Licensed Products and reflecting the provisions set forth above in this Section 4.06(a). The Parties shall also enter into a detailed pharmacovigilance agreement at such time as the phase of Development of a Licensed Product by a Party, its Affiliates or Sublicensees would make such an agreement necessary or advisable.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that any government agency or authority issues or requests a recall or takes similar action in connection with the Licensed Compounds or the Licensed Products, or in the event either Party determines that an event, incident or circumstance has occurred that may result in the need for a recall or market withdrawal, the Party notified of or desiring such recall or market withdrawal shall promptly advise the other Party thereof.</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4.07 General Provisions Regarding Commercialization. </w:t>
      </w:r>
      <w:r>
        <w:rPr>
          <w:rFonts w:ascii="Times New Roman;serif" w:hAnsi="Times New Roman;serif"/>
          <w:b w:val="false"/>
          <w:color w:val="000000"/>
          <w:sz w:val="24"/>
        </w:rPr>
        <w:t xml:space="preserve">FOSUN will control and perform, itself or through its Affiliates, Sublicensees or Distributors, the Commercialization of all Licensed Products in the Field throughout the Territory and, as a result, shall, subject to </w:t>
      </w:r>
      <w:r>
        <w:rPr>
          <w:rFonts w:ascii="Times New Roman;serif" w:hAnsi="Times New Roman;serif"/>
          <w:b w:val="false"/>
          <w:color w:val="000000"/>
          <w:sz w:val="24"/>
          <w:u w:val="single"/>
        </w:rPr>
        <w:t>Section 4.03(a)</w:t>
      </w:r>
      <w:r>
        <w:rPr>
          <w:rFonts w:ascii="Times New Roman;serif" w:hAnsi="Times New Roman;serif"/>
          <w:b w:val="false"/>
          <w:color w:val="000000"/>
          <w:sz w:val="24"/>
        </w:rPr>
        <w:t>, be obligated and responsible for using Commercially Reasonable Efforts to carry out Commercialization activities pursuant to each Commercialization Plan and in accordance with each Commercialization Budget. For the avoidance of doubt FOSUN (or, as the case may be, its Affiliates or Sublicensees) shall book all of their sales of each Licensed Product, coordinate the Manufacture and supply of all Licensed Products required for Commercialization, invoice Third Parties (including Distributors) that purchase Licensed Products from FOSUN (or its Affiliates or</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Sublicensees), and collect payment for all Licensed Products sold by FOSUN (or its Affiliates or Sublicensees). Except to the extent otherwise described in this Agreement, FOSUN will be solely responsible for, and will bear all costs relating to, the Commercialization of the Licensed Products in the Territory.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MANUFACTURE AND SUPPLY</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5.01 Supply.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(a) Ardelyx shall be responsible for supplying such quantities of Licensed Compound and Licensed Product for use in the Development and Commercialization of the Licensed Products under this Agreement as the Parties shall agree to and document in the MSA discussed below (the “</w:t>
      </w:r>
      <w:r>
        <w:rPr>
          <w:rFonts w:ascii="Times New Roman;serif" w:hAnsi="Times New Roman;serif"/>
          <w:b/>
          <w:color w:val="000000"/>
          <w:sz w:val="24"/>
        </w:rPr>
        <w:t>API Supply</w:t>
      </w:r>
      <w:r>
        <w:rPr>
          <w:color w:val="000000"/>
        </w:rPr>
        <w:t>”</w:t>
      </w:r>
      <w:r>
        <w:rPr>
          <w:rFonts w:ascii="Times New Roman;serif" w:hAnsi="Times New Roman;serif"/>
          <w:b w:val="false"/>
          <w:color w:val="000000"/>
          <w:sz w:val="24"/>
        </w:rPr>
        <w:t>). Ardelyx shall also be responsible for supplying such quantities of Licensed Product and placebos for FOSUN’s Development activities hereunder as the Parties shall agree to and document in the MSA discussed below (the “</w:t>
      </w:r>
      <w:r>
        <w:rPr>
          <w:rFonts w:ascii="Times New Roman;serif" w:hAnsi="Times New Roman;serif"/>
          <w:b/>
          <w:color w:val="000000"/>
          <w:sz w:val="24"/>
        </w:rPr>
        <w:t>Development Supply”)</w:t>
      </w:r>
      <w:r>
        <w:rPr>
          <w:rFonts w:ascii="Times New Roman;serif" w:hAnsi="Times New Roman;serif"/>
          <w:b w:val="false"/>
          <w:color w:val="000000"/>
          <w:sz w:val="24"/>
        </w:rPr>
        <w:t>. All API Supply and Development Supply delivered to FOSUN shall be paid for by FOSUN at the Transfer Price. Ardelyx shall deliver such quantities of API Supply to FOSUN for Development as the Parties shall agree.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Ardelyx shall continue to supply sufficient Licensed Product to FOSUN for Commercialization, at the Transfer Price, until FOSUN notify Ardelyx in accordance with the terms of the MSA to reduce or cease the supply due to the fact that (i) FOSUN is permitted under Applicable Law to Manufacture, or to have Manufactured, Licensed Product for Commercialization on its own, (ii) FOSUN has developed a commercial process for the Manufacture of the Licensed Product and has scaled up that process to Manufacture the Licensed Product in such volumes as reasonably take into account the anticipated demand for the Licensed Product throughout the Territory, and (iii) FOSUN has completed all the necessary regulatory procedures with CFDA to enable FOSUN to Manufacture commercial supplies of the Licensed Product. FOSUN shall use Commercially Reasonable Efforts to complete all activities set forth in (i) through (iii)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Parties agree and acknowledge that a separate manufacturing and supply agreement (“</w:t>
      </w:r>
      <w:r>
        <w:rPr>
          <w:rFonts w:ascii="Times New Roman;serif" w:hAnsi="Times New Roman;serif"/>
          <w:b/>
          <w:color w:val="000000"/>
          <w:sz w:val="24"/>
        </w:rPr>
        <w:t>MSA</w:t>
      </w:r>
      <w:r>
        <w:rPr>
          <w:color w:val="000000"/>
        </w:rPr>
        <w:t>”</w:t>
      </w:r>
      <w:r>
        <w:rPr>
          <w:rFonts w:ascii="Times New Roman;serif" w:hAnsi="Times New Roman;serif"/>
          <w:b w:val="false"/>
          <w:color w:val="000000"/>
          <w:sz w:val="24"/>
        </w:rPr>
        <w:t>) is required to be entered into between the Parties to further govern the supply obligations undertaken by Ardelyx hereunder. The Parties shall also enter into a separate Quality Assurance Agreement (“</w:t>
      </w:r>
      <w:r>
        <w:rPr>
          <w:rFonts w:ascii="Times New Roman;serif" w:hAnsi="Times New Roman;serif"/>
          <w:b/>
          <w:color w:val="000000"/>
          <w:sz w:val="24"/>
        </w:rPr>
        <w:t>QAA</w:t>
      </w:r>
      <w:r>
        <w:rPr>
          <w:color w:val="000000"/>
        </w:rPr>
        <w:t>”</w:t>
      </w:r>
      <w:r>
        <w:rPr>
          <w:rFonts w:ascii="Times New Roman;serif" w:hAnsi="Times New Roman;serif"/>
          <w:b w:val="false"/>
          <w:color w:val="000000"/>
          <w:sz w:val="24"/>
        </w:rPr>
        <w:t>) that shall define the manufacturing and supply quality responsibilities of the Parties for the Licensed Compound and the Licensed Product. The MSA and the QAA shall be negotiated in good faith between the Parties and be executed as promptly as possible following the Effective Date. The Parties’ objective is that the MSA and the QAA shall be entered into as soon as possible and within [***] ([***]) days of the Effective Date.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5.02 Development Work. </w:t>
      </w:r>
      <w:r>
        <w:rPr>
          <w:rFonts w:ascii="Times New Roman;serif" w:hAnsi="Times New Roman;serif"/>
          <w:b w:val="false"/>
          <w:color w:val="000000"/>
          <w:sz w:val="24"/>
        </w:rPr>
        <w:t>Ardelyx covenants to FOSUN that it is and will be capable of satisfying its obligations to supply Licensed Compound and Licensed Product in the quantities and timeframes that are agreed to by the Parties and set forth in the MSA. In the event that Ardelyx is required to engage in any Development activities [***] for the purposes of (i) [***], and (ii) [***], then in any such event FOSUN shall reimburse Ardelyx for its reasonable internal</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costs, including its FTE costs, and any and all external costs incurred by Ardelyx in connection with completing such Development work.</w:t>
      </w:r>
    </w:p>
    <w:p>
      <w:pPr>
        <w:pStyle w:val="TextBody"/>
        <w:bidi w:val="0"/>
        <w:spacing w:lineRule="auto" w:line="288" w:before="0" w:after="240"/>
        <w:ind w:left="0" w:right="0" w:firstLine="720"/>
        <w:jc w:val="both"/>
        <w:rPr/>
      </w:pPr>
      <w:r>
        <w:rPr>
          <w:rFonts w:ascii="Times New Roman;serif" w:hAnsi="Times New Roman;serif"/>
          <w:b/>
          <w:color w:val="000000"/>
          <w:sz w:val="24"/>
        </w:rPr>
        <w:t>Section 5.03 Material Transfer</w:t>
      </w:r>
      <w:r>
        <w:rPr>
          <w:rFonts w:ascii="Times New Roman;serif" w:hAnsi="Times New Roman;serif"/>
          <w:b w:val="false"/>
          <w:color w:val="000000"/>
          <w:sz w:val="24"/>
        </w:rPr>
        <w:t>. Ardelyx shall transfer and the SC shall coordinate to transfer all Licensed Know-How, including, but not limited to all dossiers for registration in US, that is necessary and/or useful to Develop, have Developed, Manufacture, have Manufactured, Commercialize, have Commercialized the Licensed Product in the Territory to FOSUN. Ardelyx shall make such Licensed Know-How available to FOSUN within [***] ([***]) days after the determination by the SC of the specific Licensed Know-How required.</w:t>
      </w:r>
    </w:p>
    <w:p>
      <w:pPr>
        <w:pStyle w:val="TextBody"/>
        <w:bidi w:val="0"/>
        <w:spacing w:lineRule="auto" w:line="288" w:before="0" w:after="240"/>
        <w:ind w:left="0" w:right="0" w:firstLine="720"/>
        <w:jc w:val="both"/>
        <w:rPr/>
      </w:pPr>
      <w:r>
        <w:rPr>
          <w:rFonts w:ascii="Times New Roman;serif" w:hAnsi="Times New Roman;serif"/>
          <w:b/>
          <w:color w:val="000000"/>
          <w:sz w:val="24"/>
        </w:rPr>
        <w:t>Section 5.04 Manufacturing after Certain Terminations</w:t>
      </w:r>
      <w:r>
        <w:rPr>
          <w:color w:val="000000"/>
        </w:rPr>
        <w:t xml:space="preserve"> </w:t>
      </w:r>
      <w:r>
        <w:rPr>
          <w:rFonts w:ascii="Times New Roman;serif" w:hAnsi="Times New Roman;serif"/>
          <w:b w:val="false"/>
          <w:color w:val="000000"/>
          <w:sz w:val="24"/>
        </w:rPr>
        <w:t xml:space="preserve">If, after such time as when FOSUN has assumed responsibility for the Manufacture of Licensed Products and this Agreement is terminated, FOSUN shall, as soon as reasonably practicable, provide to Ardelyx, if Ardelyx so requests, all Information and Materials Controlled by FOSUN and relating specifically to the Licensed Product, including without limitation development and manufacturing reports. FOSUN shall provide Ardelyx copies of all Regulatory Documentations sufficient to enable Ardelyx to Manufacture and supply Ardelyx’s requirements of all Licensed Products as promptly as possible thereafter. At Ardelyx’s election, in addition to its obligation set forth in </w:t>
      </w:r>
      <w:r>
        <w:rPr>
          <w:rFonts w:ascii="Times New Roman;serif" w:hAnsi="Times New Roman;serif"/>
          <w:b w:val="false"/>
          <w:color w:val="000000"/>
          <w:sz w:val="24"/>
          <w:u w:val="single"/>
        </w:rPr>
        <w:t>Section 11.03(h)</w:t>
      </w:r>
      <w:r>
        <w:rPr>
          <w:color w:val="000000"/>
        </w:rPr>
        <w:t xml:space="preserve"> </w:t>
      </w:r>
      <w:r>
        <w:rPr>
          <w:rFonts w:ascii="Times New Roman;serif" w:hAnsi="Times New Roman;serif"/>
          <w:b w:val="false"/>
          <w:color w:val="000000"/>
          <w:sz w:val="24"/>
        </w:rPr>
        <w:t>to seek to assign to Ardelyx Third Party agreements with respect to the Manufacture of Licensed Product, FOSUN shall transfer to Ardelyx any inventory of Licensed Compound and/or Licensed Product that FOSUN has in its Control as of the effective date of such foregoing termination (except for such quantities as FOSUN may need to retain for reference purposes), and Ardelyx shall in consideration thereof pay to FOSUN the Cost of Goods for such inventory. At all times, FOSUN shall provide reasonable assistance to Ardelyx with respect to the transfer of Information and Materials so as to permit Ardelyx to begin Manufacturing and supplying its requirements of Licensed Product as soon as possible to minimize any disruption in the continuity of supply. FOSUN covenants to Ardelyx that any Third Party agreements under which FOSUN engages such Third Party to manufacture Licensed Products shall contain provisions regarding the allocation of Intellectual Property Rights and rights in work product that are consistent with the terms of this Agreement and will enable FOSUN to fulfill its obligations to Ardelyx under this Section.</w:t>
      </w:r>
    </w:p>
    <w:p>
      <w:pPr>
        <w:pStyle w:val="TextBody"/>
        <w:bidi w:val="0"/>
        <w:spacing w:lineRule="auto" w:line="288" w:before="0" w:after="240"/>
        <w:ind w:left="0" w:right="0" w:firstLine="720"/>
        <w:jc w:val="both"/>
        <w:rPr/>
      </w:pPr>
      <w:r>
        <w:rPr>
          <w:rFonts w:ascii="Times New Roman;serif" w:hAnsi="Times New Roman;serif"/>
          <w:b/>
          <w:color w:val="000000"/>
          <w:sz w:val="24"/>
        </w:rPr>
        <w:t>Section 5.05 Other Supply</w:t>
      </w:r>
      <w:r>
        <w:rPr>
          <w:rFonts w:ascii="Times New Roman;serif" w:hAnsi="Times New Roman;serif"/>
          <w:b w:val="false"/>
          <w:color w:val="000000"/>
          <w:sz w:val="24"/>
        </w:rPr>
        <w:t xml:space="preserve">. Notwithstanding anything to the contrary herein, FOSUN shall not supply Licensed Compound or Licensed Products to any Third Party for any Third Party use, other than to Develop and Commercialize Licensed Products in compliance with this Agreement. In addition, FOSUN shall not license any Third Party (other than a Sublicensee or other sublicensee consistent with the terms and conditions of this Agreement) to make or have made Licensed Products, except to carry out the provisions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FOSUN shall not Manufacture or have Manufactured Licensed Compound, nor shall FOSUN authorize or license any Third Party to Manufacture or to have Manufactured Licensed Compound. FOSUN shall not purchase any Licensed Compound from any party other than Ardelyx, and FOSUN shall not purchase any Licensed Product from any party other than Ardelyx or a Third Party under written agreement with FOSUN to Manufacture Licensed Product for sale to FOSUN, its Affiliates and/or its Sublicensees.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CONSIDERATION</w:t>
      </w:r>
    </w:p>
    <w:p>
      <w:pPr>
        <w:pStyle w:val="TextBody"/>
        <w:bidi w:val="0"/>
        <w:spacing w:lineRule="auto" w:line="288" w:before="0" w:after="0"/>
        <w:ind w:left="0" w:right="0" w:firstLine="720"/>
        <w:jc w:val="both"/>
        <w:rPr/>
      </w:pPr>
      <w:r>
        <w:rPr>
          <w:rFonts w:ascii="Times New Roman;serif" w:hAnsi="Times New Roman;serif"/>
          <w:b/>
          <w:color w:val="000000"/>
          <w:sz w:val="24"/>
        </w:rPr>
        <w:t>Section 6.01 Upfront</w:t>
      </w:r>
      <w:r>
        <w:rPr>
          <w:rFonts w:ascii="Times New Roman;serif" w:hAnsi="Times New Roman;serif"/>
          <w:b w:val="false"/>
          <w:color w:val="000000"/>
          <w:sz w:val="24"/>
        </w:rPr>
        <w:t>. As payment for the rights and licenses granted to FOSUN by Ardelyx under this Agreement, FOSUN shall pay to Ardelyx a nonrefundable one-time upfront payment of twelve million U.S. dollars (U.S. $12,000,000) within thirty (30) Business Days after the Effective Date. The upfront payment shall not be creditable against any other payments FOSUN is obligated to make to Ardelyx under this Agreement.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6.02 Milestone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FOSUN shall make the following one-time, nonrefundable milestone payments to Ardelyx within [***] ([***]) Business Days following the first achievement of each of the following milestone events for a Licensed Product, subject to the limitations and additional provisions set forth below in this Section 6.02:</w:t>
      </w:r>
    </w:p>
    <w:tbl>
      <w:tblPr>
        <w:tblW w:w="7305" w:type="dxa"/>
        <w:jc w:val="left"/>
        <w:tblInd w:w="0" w:type="dxa"/>
        <w:tblLayout w:type="fixed"/>
        <w:tblCellMar>
          <w:top w:w="28" w:type="dxa"/>
          <w:left w:w="28" w:type="dxa"/>
          <w:bottom w:w="28" w:type="dxa"/>
          <w:right w:w="28" w:type="dxa"/>
        </w:tblCellMar>
      </w:tblPr>
      <w:tblGrid>
        <w:gridCol w:w="1499"/>
        <w:gridCol w:w="1318"/>
        <w:gridCol w:w="1322"/>
        <w:gridCol w:w="360"/>
        <w:gridCol w:w="360"/>
        <w:gridCol w:w="361"/>
        <w:gridCol w:w="609"/>
        <w:gridCol w:w="609"/>
        <w:gridCol w:w="867"/>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 Event for a Licensed Product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w:t>
              <w:br/>
              <w:t>Number</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 Payment</w:t>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r>
        <w:trPr/>
        <w:tc>
          <w:tcPr>
            <w:tcW w:w="4139" w:type="dxa"/>
            <w:gridSpan w:val="3"/>
            <w:tcBorders>
              <w:top w:val="doub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doub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85" w:type="dxa"/>
            <w:gridSpan w:val="3"/>
            <w:tcBorders>
              <w:top w:val="double" w:sz="6" w:space="0" w:color="000000"/>
              <w:left w:val="double" w:sz="6" w:space="0" w:color="000000"/>
              <w:bottom w:val="double" w:sz="6" w:space="0" w:color="000000"/>
              <w:right w:val="doub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USD [***]</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Each of the milestones set forth in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is eligible to be earned individually.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No payments pursuant to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shall be creditable against any other payments FOSUN is obligated to make to Ardelyx under this Agreement.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color w:val="000000"/>
          <w:sz w:val="24"/>
        </w:rPr>
      </w:pPr>
      <w:r>
        <w:rPr>
          <w:rFonts w:ascii="Times New Roman;serif" w:hAnsi="Times New Roman;serif"/>
          <w:b/>
          <w:color w:val="000000"/>
          <w:sz w:val="24"/>
        </w:rPr>
        <w:t>Section 6.03 Sales Related Milestones.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FOSUN shall make the following one-time, nonrefundable milestone payments to Ardelyx within [***] ([***]) Business Days following the first achievement of each of the following milestones, subject to the limitations and additional provisions set forth below in this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tbl>
      <w:tblPr>
        <w:tblW w:w="4739" w:type="dxa"/>
        <w:jc w:val="left"/>
        <w:tblInd w:w="0" w:type="dxa"/>
        <w:tblLayout w:type="fixed"/>
        <w:tblCellMar>
          <w:top w:w="28" w:type="dxa"/>
          <w:left w:w="28" w:type="dxa"/>
          <w:bottom w:w="28" w:type="dxa"/>
          <w:right w:w="28" w:type="dxa"/>
        </w:tblCellMar>
      </w:tblPr>
      <w:tblGrid>
        <w:gridCol w:w="636"/>
        <w:gridCol w:w="559"/>
        <w:gridCol w:w="560"/>
        <w:gridCol w:w="464"/>
        <w:gridCol w:w="464"/>
        <w:gridCol w:w="464"/>
        <w:gridCol w:w="464"/>
        <w:gridCol w:w="464"/>
        <w:gridCol w:w="664"/>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 Event</w:t>
            </w:r>
          </w:p>
        </w:tc>
        <w:tc>
          <w:tcPr>
            <w:tcW w:w="2984" w:type="dxa"/>
            <w:gridSpan w:val="6"/>
            <w:tcBorders>
              <w:top w:val="double" w:sz="6" w:space="0" w:color="000000"/>
              <w:bottom w:val="double" w:sz="6" w:space="0" w:color="000000"/>
              <w:right w:val="double" w:sz="6"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 Payment</w:t>
            </w:r>
          </w:p>
        </w:tc>
      </w:tr>
      <w:tr>
        <w:trPr/>
        <w:tc>
          <w:tcPr>
            <w:tcW w:w="175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984" w:type="dxa"/>
            <w:gridSpan w:val="6"/>
            <w:tcBorders>
              <w:top w:val="double" w:sz="6" w:space="0" w:color="000000"/>
              <w:bottom w:val="double" w:sz="6" w:space="0" w:color="000000"/>
              <w:right w:val="double" w:sz="6"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 USD</w:t>
            </w:r>
          </w:p>
        </w:tc>
      </w:tr>
      <w:tr>
        <w:trPr/>
        <w:tc>
          <w:tcPr>
            <w:tcW w:w="175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984" w:type="dxa"/>
            <w:gridSpan w:val="6"/>
            <w:tcBorders>
              <w:top w:val="double" w:sz="6" w:space="0" w:color="000000"/>
              <w:bottom w:val="double" w:sz="6" w:space="0" w:color="000000"/>
              <w:right w:val="double" w:sz="6"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]Fifteen Million] ([***]) USD</w:t>
            </w:r>
          </w:p>
        </w:tc>
      </w:tr>
      <w:tr>
        <w:trPr/>
        <w:tc>
          <w:tcPr>
            <w:tcW w:w="175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984" w:type="dxa"/>
            <w:gridSpan w:val="6"/>
            <w:tcBorders>
              <w:top w:val="double" w:sz="6" w:space="0" w:color="000000"/>
              <w:bottom w:val="double" w:sz="6" w:space="0" w:color="000000"/>
              <w:right w:val="double" w:sz="6"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 USD</w:t>
            </w:r>
          </w:p>
        </w:tc>
      </w:tr>
      <w:tr>
        <w:trPr/>
        <w:tc>
          <w:tcPr>
            <w:tcW w:w="1755" w:type="dxa"/>
            <w:gridSpan w:val="3"/>
            <w:tcBorders>
              <w:top w:val="doub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984" w:type="dxa"/>
            <w:gridSpan w:val="6"/>
            <w:tcBorders>
              <w:top w:val="double" w:sz="6" w:space="0" w:color="000000"/>
              <w:left w:val="double" w:sz="6" w:space="0" w:color="000000"/>
              <w:bottom w:val="double" w:sz="6" w:space="0" w:color="000000"/>
              <w:right w:val="doub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 USD</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Sales between FOSUN, its Affiliates and Sublicensees shall not be subject to sales milestones hereunder. Sales milestones shall be calculated on FOSUN’s, its Affiliates’ and Sublicensees’ sales of the Licensed Products to a Third Party, including Distributors (but excluding for the avoidance of doubt Sublicensees).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 the event that more than one of the sales milestones set forth in </w:t>
      </w:r>
      <w:r>
        <w:rPr>
          <w:rFonts w:ascii="Times New Roman;serif" w:hAnsi="Times New Roman;serif"/>
          <w:b w:val="false"/>
          <w:color w:val="000000"/>
          <w:sz w:val="24"/>
          <w:u w:val="single"/>
        </w:rPr>
        <w:t>Section 6.03(a)</w:t>
      </w:r>
      <w:r>
        <w:rPr>
          <w:color w:val="000000"/>
        </w:rPr>
        <w:t xml:space="preserve"> </w:t>
      </w:r>
      <w:r>
        <w:rPr>
          <w:rFonts w:ascii="Times New Roman;serif" w:hAnsi="Times New Roman;serif"/>
          <w:b w:val="false"/>
          <w:color w:val="000000"/>
          <w:sz w:val="24"/>
        </w:rPr>
        <w:t>are achieved in the same Calendar Year, the payment associated with each sales milestone achieved in such Calendar Year shall be due and payable by FOSUN to Ardelyx following the end of such Calendar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 payments pursuant to </w:t>
      </w:r>
      <w:r>
        <w:rPr>
          <w:rFonts w:ascii="Times New Roman;serif" w:hAnsi="Times New Roman;serif"/>
          <w:b w:val="false"/>
          <w:color w:val="000000"/>
          <w:sz w:val="24"/>
          <w:u w:val="single"/>
        </w:rPr>
        <w:t>Section 6.03(a)</w:t>
      </w:r>
      <w:r>
        <w:rPr>
          <w:color w:val="000000"/>
        </w:rPr>
        <w:t xml:space="preserve"> </w:t>
      </w:r>
      <w:r>
        <w:rPr>
          <w:rFonts w:ascii="Times New Roman;serif" w:hAnsi="Times New Roman;serif"/>
          <w:b w:val="false"/>
          <w:color w:val="000000"/>
          <w:sz w:val="24"/>
        </w:rPr>
        <w:t>shall be creditable against any other payments FOSUN is obligated to make to Ardelyx under this Agreement.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6.04 Royalties.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Subject to the provisions set forth below in</w:t>
      </w:r>
      <w:r>
        <w:rPr>
          <w:color w:val="000000"/>
          <w:u w:val="single"/>
        </w:rPr>
        <w:t xml:space="preserve">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6.04(f)</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6.05</w:t>
      </w:r>
      <w:r>
        <w:rPr>
          <w:rFonts w:ascii="Times New Roman;serif" w:hAnsi="Times New Roman;serif"/>
          <w:b w:val="false"/>
          <w:color w:val="000000"/>
          <w:sz w:val="24"/>
        </w:rPr>
        <w:t>, FOSUN shall pay to Ardelyx a royalty on aggregate Annual Net Sales of the Licensed Products made by FOSUN, its Affiliates, or its Sublicensees at the following rate: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34" w:type="dxa"/>
        <w:jc w:val="left"/>
        <w:tblInd w:w="0" w:type="dxa"/>
        <w:tblLayout w:type="fixed"/>
        <w:tblCellMar>
          <w:top w:w="28" w:type="dxa"/>
          <w:left w:w="28" w:type="dxa"/>
          <w:bottom w:w="28" w:type="dxa"/>
          <w:right w:w="28" w:type="dxa"/>
        </w:tblCellMar>
      </w:tblPr>
      <w:tblGrid>
        <w:gridCol w:w="1032"/>
        <w:gridCol w:w="907"/>
        <w:gridCol w:w="910"/>
        <w:gridCol w:w="435"/>
        <w:gridCol w:w="435"/>
        <w:gridCol w:w="61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Range of Annual Net Sales</w:t>
            </w:r>
          </w:p>
        </w:tc>
        <w:tc>
          <w:tcPr>
            <w:tcW w:w="14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Royalty Rate</w:t>
            </w:r>
          </w:p>
        </w:tc>
      </w:tr>
      <w:tr>
        <w:trPr/>
        <w:tc>
          <w:tcPr>
            <w:tcW w:w="284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4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4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4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49"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485" w:type="dxa"/>
            <w:gridSpan w:val="3"/>
            <w:tcBorders>
              <w:top w:val="double" w:sz="6" w:space="0" w:color="000000"/>
              <w:left w:val="doub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49" w:type="dxa"/>
            <w:gridSpan w:val="3"/>
            <w:tcBorders>
              <w:top w:val="doub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485" w:type="dxa"/>
            <w:gridSpan w:val="3"/>
            <w:tcBorders>
              <w:top w:val="double" w:sz="6" w:space="0" w:color="000000"/>
              <w:left w:val="double" w:sz="6" w:space="0" w:color="000000"/>
              <w:bottom w:val="double" w:sz="6" w:space="0" w:color="000000"/>
              <w:right w:val="doub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Royalty Rate set forth in the table above shall apply only to that portion of the Net Sales in the Territory during a given Calendar Year that falls within the indicated range. For illustration purposes only, if Annual Net Sales in the Territory during a Calendar Year is $[***], then the aggregate royalties payable with respect thereto will be $[***], with calculation as follows: (i) $[***] multiplied by [***]% = $[***], plus (ii) $[***] multiplied by [***]% = $[***], plus (iii) $[***] multiplied by [***]% = $[***], and plus(iv) $[***] multiplied by [***]% =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Sales between FOSUN, its Affiliates and Sublicensees shall not be subject to royalties hereunder. Royalties shall be calculated on FOSUN’s, its Affiliates’ and Sublicensees’ sales of the Licensed Products to a Third Party, including Distributors (but excluding for the avoidance of doubt Sublicensees).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If, at any time, (i) a Generic Product receives Regulatory Approval in the Territory and (ii) the aggregate number of units of the relevant Licensed Product sold in the Territory in a given Calendar Year (after the first Calendar Year in which the Generic Product is sold in the Territory) decrease by more than [***] percent ([***]%) compared to the Calendar Year immediately preceding the first Calendar Year in which the Generic Product is sold, then, the royalties that would otherwise have been payable on Net Sales of such Licensed Product in the Territory under this Agreement shall be reduced by [***] percent ([***]%) as from the first Calendar Year in which this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 xml:space="preserve">applies and thereafter for so long as the aggregate number of units of the relevant Licensed Product sold in a given Calendar Year are at least [***] percent ([***]%) less than the number of units of such Licensed Product sold in the Calendar Year immediately preceding the first Calendar Year in which the Generic Product is sold. The calculation of the royalty reduction under this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shall be conducted separately for each Licensed Product.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Any reductions set forth in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6.04(f)</w:t>
      </w:r>
      <w:r>
        <w:rPr>
          <w:color w:val="000000"/>
        </w:rPr>
        <w:t xml:space="preserve"> </w:t>
      </w:r>
      <w:r>
        <w:rPr>
          <w:rFonts w:ascii="Times New Roman;serif" w:hAnsi="Times New Roman;serif"/>
          <w:b w:val="false"/>
          <w:color w:val="000000"/>
          <w:sz w:val="24"/>
        </w:rPr>
        <w:t xml:space="preserve">shall be applied in the order in which the event triggering such reduction occurs, provided that in no event shall, due to the cumulative reductions set out in </w:t>
      </w:r>
      <w:r>
        <w:rPr>
          <w:rFonts w:ascii="Times New Roman;serif" w:hAnsi="Times New Roman;serif"/>
          <w:b w:val="false"/>
          <w:color w:val="000000"/>
          <w:sz w:val="24"/>
          <w:u w:val="single"/>
        </w:rPr>
        <w:t>Section 6.04(c)</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6.04(f)</w:t>
      </w:r>
      <w:r>
        <w:rPr>
          <w:rFonts w:ascii="Times New Roman;serif" w:hAnsi="Times New Roman;serif"/>
          <w:b w:val="false"/>
          <w:color w:val="000000"/>
          <w:sz w:val="24"/>
        </w:rPr>
        <w:t xml:space="preserve">, the royalties that would otherwise have been payable to Ardelyx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in a particular Calendar Quarter</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be reduced by more than [***] percent ([***]%) of that which would be due pursuant to </w:t>
      </w:r>
      <w:r>
        <w:rPr>
          <w:rFonts w:ascii="Times New Roman;serif" w:hAnsi="Times New Roman;serif"/>
          <w:b w:val="false"/>
          <w:color w:val="000000"/>
          <w:sz w:val="24"/>
          <w:u w:val="single"/>
        </w:rPr>
        <w:t>Section 6.04(a)</w:t>
      </w:r>
      <w:r>
        <w:rPr>
          <w:rFonts w:ascii="Times New Roman;serif" w:hAnsi="Times New Roman;serif"/>
          <w:b w:val="false"/>
          <w:color w:val="000000"/>
          <w:sz w:val="24"/>
        </w:rPr>
        <w: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FOSUN’s obligation to pay royalties due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shall commence with respect to each separate Licensed Product, on the date of the First Commercial Sale of such Licensed Product and shall expire with respect to such Licensed Product, at the latest of: (i) the [***] anniversary of the First Commercial Sale of such Licensed Product in the Territory, (ii) the date on which there is no longer a Valid Claim that covers the Exploitation of the Licensed Product or the Licensed Compound in the Territory, and (iii) the expiration of all Regulatory Approvals for such Licensed Product in the Territory. At such time as FOSUN’s obligation to pay royalties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have expired with respect to a Licensed Product, the license granted to FOSUN under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shall automatically, and without further action on the part of Ardelyx or FOSUN, become non-exclusive, fully-paid, irrevocable and perpetual with respect to such Licensed Product and the Net Sales of such Licensed Product shall be excluded from royalty calculations under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(including for purposes of applying thresholds and ceilings). Notwithstanding the foregoing, FOSUN’s exclusivity to such Licensed Product shall continue if FOSUN elects to keep paying the royalties as defined in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after the expiration of its obligation to pay royalties due.</w:t>
      </w:r>
    </w:p>
    <w:p>
      <w:pPr>
        <w:pStyle w:val="TextBody"/>
        <w:bidi w:val="0"/>
        <w:spacing w:lineRule="auto" w:line="288" w:before="0" w:after="240"/>
        <w:ind w:left="0" w:right="0" w:firstLine="720"/>
        <w:jc w:val="both"/>
        <w:rPr/>
      </w:pPr>
      <w:r>
        <w:rPr>
          <w:rFonts w:ascii="Times New Roman;serif" w:hAnsi="Times New Roman;serif"/>
          <w:b w:val="false"/>
          <w:color w:val="000000"/>
          <w:sz w:val="24"/>
        </w:rPr>
        <w:t>(f) If (i) [***] that it is necessary to obtain a license from any Third Party in order to avoid infringement of such Third Party’s Patent in the Territory, (ii) such Patent claims the [***], (iii) there are not any other [***] alternatives available to avoid such infringement, and (iv) FOSUN is required to pay to such Third Party a royalty, milestone payments or other monetary compensation in consideration for the grant of such license (“</w:t>
      </w:r>
      <w:r>
        <w:rPr>
          <w:rFonts w:ascii="Times New Roman;serif" w:hAnsi="Times New Roman;serif"/>
          <w:b/>
          <w:color w:val="000000"/>
          <w:sz w:val="24"/>
        </w:rPr>
        <w:t>Third Party Compensation</w:t>
      </w:r>
      <w:r>
        <w:rPr>
          <w:color w:val="000000"/>
        </w:rPr>
        <w:t>”</w:t>
      </w:r>
      <w:r>
        <w:rPr>
          <w:rFonts w:ascii="Times New Roman;serif" w:hAnsi="Times New Roman;serif"/>
          <w:b w:val="false"/>
          <w:color w:val="000000"/>
          <w:sz w:val="24"/>
        </w:rPr>
        <w:t>), then, provided that Ardelyx has consented in writing to the terms (including, without limitation, the payment terms) of the Third Party license under which the Third Party Compensation is payable prior to the execution of such Third Party license, for the period during which FOSUN owes royalties to Ardelyx hereunder, the amounts that would otherwise have been payable as royalties to Ardelyx under this Agreement shall be reduced by the amount of all Third Party Compensation payable by or on behalf of FOSUN to such Third Party. [***]. For the avoidance of doubt, provided that Ardelyx has consented in writing to the terms (including, without limitation, the payment terms) of the Third Party license under which the Third Party Compensation is payable prior to the execution of such Third Party license, Ardelyx shall [***].</w:t>
      </w:r>
    </w:p>
    <w:p>
      <w:pPr>
        <w:pStyle w:val="TextBody"/>
        <w:bidi w:val="0"/>
        <w:spacing w:lineRule="auto" w:line="288" w:before="0" w:after="240"/>
        <w:ind w:left="0" w:right="0" w:firstLine="720"/>
        <w:jc w:val="both"/>
        <w:rPr/>
      </w:pPr>
      <w:r>
        <w:rPr>
          <w:rFonts w:ascii="Times New Roman;serif" w:hAnsi="Times New Roman;serif"/>
          <w:b/>
          <w:color w:val="000000"/>
          <w:sz w:val="24"/>
        </w:rPr>
        <w:t>Section 6.05 Combination Products</w:t>
      </w:r>
      <w:r>
        <w:rPr>
          <w:rFonts w:ascii="Times New Roman;serif" w:hAnsi="Times New Roman;serif"/>
          <w:b w:val="false"/>
          <w:color w:val="000000"/>
          <w:sz w:val="24"/>
        </w:rPr>
        <w:t>. In the event Ardelyx is entitled to receive royalties under this Agreement from any Licensed Product sold in the form of a Combination Product in the Territory, then Net Sales for such Combination Product will be calculated by multiplying the actual Net Sales of such Combination Product in the Territory by the fraction A/(A+B), where A is the standard sales price in the Territory of a Licensed Product, containing the same amount of Licensed Compound as the sole active ingredient as the Combination Product in question (a “</w:t>
      </w:r>
      <w:r>
        <w:rPr>
          <w:rFonts w:ascii="Times New Roman;serif" w:hAnsi="Times New Roman;serif"/>
          <w:b/>
          <w:color w:val="000000"/>
          <w:sz w:val="24"/>
        </w:rPr>
        <w:t>Comparable Licensed Product</w:t>
      </w:r>
      <w:r>
        <w:rPr>
          <w:color w:val="000000"/>
        </w:rPr>
        <w:t>”</w:t>
      </w:r>
      <w:r>
        <w:rPr>
          <w:rFonts w:ascii="Times New Roman;serif" w:hAnsi="Times New Roman;serif"/>
          <w:b w:val="false"/>
          <w:color w:val="000000"/>
          <w:sz w:val="24"/>
        </w:rPr>
        <w:t>), if sold separately, and B is the standard sales price in the Territory of the ready for sale form of a product containing the same amount of the other therapeutically active ingredient(s) in the Combination Product that are not Licensed Compounds (the “</w:t>
      </w:r>
      <w:r>
        <w:rPr>
          <w:rFonts w:ascii="Times New Roman;serif" w:hAnsi="Times New Roman;serif"/>
          <w:b/>
          <w:color w:val="000000"/>
          <w:sz w:val="24"/>
        </w:rPr>
        <w:t>Other Ingredients</w:t>
      </w:r>
      <w:r>
        <w:rPr>
          <w:color w:val="000000"/>
        </w:rPr>
        <w:t>”</w:t>
      </w:r>
      <w:r>
        <w:rPr>
          <w:rFonts w:ascii="Times New Roman;serif" w:hAnsi="Times New Roman;serif"/>
          <w:b w:val="false"/>
          <w:color w:val="000000"/>
          <w:sz w:val="24"/>
        </w:rPr>
        <w:t>), if sold separately. If the Other Ingredients are not sold separately in the Territory, Net Sales for the purpose of determining royalties of the Combination Product shall be calculated by multiplying actual Net Sales of such Combination Product by the fraction A/C where A is the standard sales price in the Territory of a Comparable Licensed Product,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if sold separately, and C is the standard sales price of the Combination Product in the Territory. If a Comparable Licensed Product is not sold separately, Net Sales for the purpose of determining royalties of the Combination Product shall be calculated by multiplying actual Net Sales of such Combination Product by the fraction (C-B)/C, where B is the standard sales price in the Territory of the Other Ingredients and C is the standard sales price in the Territory of the Combination Product. For the purpose of the above, the standard sales price for a Comparable Licensed Product and for each Other Ingredient shall be for a quantity comparable to that used in the Combination Product in question and of the same class, purity and potency. If neither a Comparable Licensed Product nor the Other Ingredients are sold separately in the Territory, Net Sales for the purposes of determining royalties of such Combination Product shall be determined by the Parties on the basis of a fair market value of such Comparable Licensed Product and Other Ingredient to be negotiated by the Parties in good faith, taking into account costs, overheads and profit of the relevant Licensed Compound(s), the Other Ingredients and the Combination Product. For purposes of the calculations set forth in this </w:t>
      </w:r>
      <w:r>
        <w:rPr>
          <w:rFonts w:ascii="Times New Roman;serif" w:hAnsi="Times New Roman;serif"/>
          <w:b w:val="false"/>
          <w:color w:val="000000"/>
          <w:sz w:val="24"/>
          <w:u w:val="single"/>
        </w:rPr>
        <w:t>Section 6.05</w:t>
      </w:r>
      <w:r>
        <w:rPr>
          <w:rFonts w:ascii="Times New Roman;serif" w:hAnsi="Times New Roman;serif"/>
          <w:b w:val="false"/>
          <w:color w:val="000000"/>
          <w:sz w:val="24"/>
        </w:rPr>
        <w:t>, prior to the First Commercial Sale of a Combination Product, the SC shall discuss the calculations set forth herein, including the standard sale prices to be used in such calculation.</w:t>
      </w:r>
    </w:p>
    <w:p>
      <w:pPr>
        <w:pStyle w:val="TextBody"/>
        <w:bidi w:val="0"/>
        <w:spacing w:lineRule="auto" w:line="288" w:before="0" w:after="240"/>
        <w:ind w:left="0" w:right="0" w:firstLine="720"/>
        <w:jc w:val="both"/>
        <w:rPr/>
      </w:pPr>
      <w:r>
        <w:rPr>
          <w:rFonts w:ascii="Times New Roman;serif" w:hAnsi="Times New Roman;serif"/>
          <w:b/>
          <w:color w:val="000000"/>
          <w:sz w:val="24"/>
        </w:rPr>
        <w:t>Section 6.06 Sales by Sublicensees</w:t>
      </w:r>
      <w:r>
        <w:rPr>
          <w:rFonts w:ascii="Times New Roman;serif" w:hAnsi="Times New Roman;serif"/>
          <w:b w:val="false"/>
          <w:color w:val="000000"/>
          <w:sz w:val="24"/>
        </w:rPr>
        <w:t>. In the event FOSUN grants sublicenses to one or more Sublicensees to make or sell Licensed Products to the extent permitted hereunder, such sublicenses shall include without limitation an obligation for the Sublicensee to account for and report its Net Sales of such Licensed Products on the same basis as if such sales were Net Sales by FOSUN, and FOSUN shall pay royalties and sales milestones to Ardelyx as if the Net Sales of the Sublicensee were Net Sales of FOSUN.</w:t>
      </w:r>
    </w:p>
    <w:p>
      <w:pPr>
        <w:pStyle w:val="TextBody"/>
        <w:bidi w:val="0"/>
        <w:spacing w:lineRule="auto" w:line="288" w:before="0" w:after="240"/>
        <w:ind w:left="0" w:right="0" w:firstLine="720"/>
        <w:jc w:val="both"/>
        <w:rPr/>
      </w:pPr>
      <w:r>
        <w:rPr>
          <w:rFonts w:ascii="Times New Roman;serif" w:hAnsi="Times New Roman;serif"/>
          <w:b/>
          <w:color w:val="000000"/>
          <w:sz w:val="24"/>
        </w:rPr>
        <w:t>Section 6.07 Royalty Payments and Reports</w:t>
      </w:r>
      <w:r>
        <w:rPr>
          <w:rFonts w:ascii="Times New Roman;serif" w:hAnsi="Times New Roman;serif"/>
          <w:b w:val="false"/>
          <w:color w:val="000000"/>
          <w:sz w:val="24"/>
        </w:rPr>
        <w:t xml:space="preserve">. The royalties payable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shall be calculated quarterly as of the last day of March, June, September and December respectively for the Calendar Quarter ending on that date. FOSUN shall deliver to Ardelyx a report summarizing the Net Sales of Licensed Products during each Calendar Quarter following the First Commercial Sale of a Licensed Product in the Territory. A draft of such report shall be provided within [***] days the end of each Calendar Quarter for which royalties are due from FOSUN to allow Ardelyx to estimate its royalty payments from FOSUN. A final report shall be delivered within [***] ([***]) Business Days following the end of each Calendar Quarter . Any royalties payable to Ardelyx or its designee under this Agreement shall be paid on the date that final report for the Calendar Quarter is delivered to Ardelyx under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6.08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royalties, milestones and other amounts payable by FOSUN to Ardelyx pursuant to this Agreement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shall not be reduced on account of Taxes unless required by Applicable Laws. To the extent any payments made by FOSUN pursuant to this Agreement become subject to withholding Taxes under Applicable Laws, FOSUN shall deduct and withhold the amount of such Taxes for the account of Ardelyx to the extent required by Applicable Laws; such amounts payable to Ardelyx shall be reduced by the amount of withholding Taxes deducted and withheld; and FOSUN shall pay the amounts of such Taxes to the proper governmental authority in a timely manner and transmit to Ardelyx an official tax certificate or other evidence of such tax obligations together with proof of payment from the relevant governmental authority of all amounts deducted and withheld sufficient to enable Ardelyx to claim such payment of Taxes.</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288" w:before="240" w:after="240"/>
        <w:jc w:val="both"/>
        <w:rPr/>
      </w:pPr>
      <w:r>
        <w:rPr>
          <w:rFonts w:ascii="Times New Roman;serif" w:hAnsi="Times New Roman;serif"/>
          <w:b w:val="false"/>
          <w:color w:val="000000"/>
          <w:sz w:val="24"/>
        </w:rPr>
        <w:t xml:space="preserve">Any such withholding Taxes required under Applicable Laws to be paid or withheld shall be an expense of, and borne solely by, Ardelyx. Except as provided in this </w:t>
      </w:r>
      <w:r>
        <w:rPr>
          <w:rFonts w:ascii="Times New Roman;serif" w:hAnsi="Times New Roman;serif"/>
          <w:b w:val="false"/>
          <w:color w:val="000000"/>
          <w:sz w:val="24"/>
          <w:u w:val="single"/>
        </w:rPr>
        <w:t>Section 6.08(a)</w:t>
      </w:r>
      <w:r>
        <w:rPr>
          <w:rFonts w:ascii="Times New Roman;serif" w:hAnsi="Times New Roman;serif"/>
          <w:b w:val="false"/>
          <w:color w:val="000000"/>
          <w:sz w:val="24"/>
        </w:rPr>
        <w:t>, all taxes or duties in connection with payments made by FOSUN for Indirect Taxes, including any value added or similar tax or local tax or surcharge on value added taxes and any import duty or fees, shall be borne by FOSUN.. Notwithstanding the foregoing, if Ardelyx is entitled (whether under any applicable tax treaty or otherwise under Applicable Laws) to a reduction in the rate of, or the elimination of, withholding Tax, it may deliver to FOSUN or the appropriate governmental authority (with the assistance of FOSUN to the extent that this is reasonably required and is expressly requested in writing) the prescribed forms necessary to reduce the applicable rate of withholding or to relieve FOSUN of its obligation to withhold Tax, and FOSUN shall apply the reduced rate of withholding, or dispense with withholding, as the case may be. FOSUN agrees to take reasonable and lawful efforts to minimize such Taxes to Ardelyx. FOSUN shall cooperate with Ardelyx as reasonably requested in any claim for refund or application to any Tax Authority. If FOSUN intends to withhold Tax from any Payment, FOSUN shall inform Ardelyx reasonably in advance of making such Payment to permit Ardelyx an opportunity to provide any forms or information or obtain any Tax Authority approval as may be available to reduce or eliminate such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Tax Gross-up</w:t>
      </w:r>
      <w:r>
        <w:rPr>
          <w:rFonts w:ascii="Times New Roman;serif" w:hAnsi="Times New Roman;serif"/>
          <w:b w:val="false"/>
          <w:color w:val="000000"/>
          <w:sz w:val="24"/>
        </w:rPr>
        <w:t xml:space="preserve">. Notwithstanding anything to the contrary herein, if (i) FOSUN redomiciles or assigns its rights or obligations under this Agreement, (ii) as a result of such redomiciliation or assignment, FOSUN (or its assignee) is required by Applicable Law to withhold taxes, or such redomiciliation or assignment results in the imposition of Indirect Taxes that were not otherwise applicable, from or in respect of any amount payable under this Agreement, and (iii) such withholding taxes or Indirect Taxes exceed the amount of withholding taxes or Indirect Taxes that would have been applicable but for such redomiciliation or assignment, then any such amount payable to Ardelyx pursuant to this Agreement shall be increased to take into account such withholding taxes or Indirect Taxes as may be necessary so that, after making all required withholdings (including withholdings on the additional amounts payable) and/or paying such Indirect Taxes, as the case may be, Ardelyx receives an amount equal to the sum it would have received had no such increased withholding been made and no such Indirect Taxes had been imposed. The obligation to pay additional amounts pursuant to the preceding sentence shall not apply, however, to the extent such increased withholding tax or Indirect Taxes would not have been imposed but for the assignment by Ardelyx of its rights or obligations under this Agreement or the redomiciliation of Ardelyx outside of the United States, to the extent such assignment or redomiciliation occurs after the redomiciliation or assignment by FOSUN described in the first sentence of this </w:t>
      </w:r>
      <w:r>
        <w:rPr>
          <w:rFonts w:ascii="Times New Roman;serif" w:hAnsi="Times New Roman;serif"/>
          <w:b w:val="false"/>
          <w:color w:val="000000"/>
          <w:sz w:val="24"/>
          <w:u w:val="single"/>
        </w:rPr>
        <w:t>Section 6.08(b)</w:t>
      </w:r>
      <w:r>
        <w:rPr>
          <w:rFonts w:ascii="Times New Roman;serif" w:hAnsi="Times New Roman;serif"/>
          <w:b w:val="false"/>
          <w:color w:val="000000"/>
          <w:sz w:val="24"/>
        </w:rPr>
        <w:t xml:space="preserve">. Solely for purposes of this </w:t>
      </w:r>
      <w:r>
        <w:rPr>
          <w:rFonts w:ascii="Times New Roman;serif" w:hAnsi="Times New Roman;serif"/>
          <w:b w:val="false"/>
          <w:color w:val="000000"/>
          <w:sz w:val="24"/>
          <w:u w:val="single"/>
        </w:rPr>
        <w:t>Section 6.08(b)</w:t>
      </w:r>
      <w:r>
        <w:rPr>
          <w:rFonts w:ascii="Times New Roman;serif" w:hAnsi="Times New Roman;serif"/>
          <w:b w:val="false"/>
          <w:color w:val="000000"/>
          <w:sz w:val="24"/>
        </w:rPr>
        <w:t>, a Party’s “</w:t>
      </w:r>
      <w:r>
        <w:rPr>
          <w:rFonts w:ascii="Times New Roman;serif" w:hAnsi="Times New Roman;serif"/>
          <w:b/>
          <w:color w:val="000000"/>
          <w:sz w:val="24"/>
        </w:rPr>
        <w:t>domicile</w:t>
      </w:r>
      <w:r>
        <w:rPr>
          <w:color w:val="000000"/>
        </w:rPr>
        <w:t xml:space="preserve">” </w:t>
      </w:r>
      <w:r>
        <w:rPr>
          <w:rFonts w:ascii="Times New Roman;serif" w:hAnsi="Times New Roman;serif"/>
          <w:b w:val="false"/>
          <w:color w:val="000000"/>
          <w:sz w:val="24"/>
        </w:rPr>
        <w:t>shall include its jurisdiction of incorporation or tax residence and a “</w:t>
      </w:r>
      <w:r>
        <w:rPr>
          <w:rFonts w:ascii="Times New Roman;serif" w:hAnsi="Times New Roman;serif"/>
          <w:b/>
          <w:color w:val="000000"/>
          <w:sz w:val="24"/>
        </w:rPr>
        <w:t>redomiciliation</w:t>
      </w:r>
      <w:r>
        <w:rPr>
          <w:color w:val="000000"/>
        </w:rPr>
        <w:t xml:space="preserve">” </w:t>
      </w:r>
      <w:r>
        <w:rPr>
          <w:rFonts w:ascii="Times New Roman;serif" w:hAnsi="Times New Roman;serif"/>
          <w:b w:val="false"/>
          <w:color w:val="000000"/>
          <w:sz w:val="24"/>
        </w:rPr>
        <w:t>shall include a reincorporation or other action resulting in a change in tax residence of the applicable Party or its assignee.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Notwithstanding anything to the contrary contained in this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or elsewhere in this Agreement, the following shall apply with respect to Indirect Taxes. If any Indirect Taxes are chargeable in respect of any Payments, FOSUN shall be responsible for such Indirect Taxes and shall not reduce any Payments due Ardelyx hereunder as a result of such Indirect Taxes. FOSUN shall pay such Indirect Taxes at the applicable rate in respect of any such Payments following the receipt, where applicable, of an Indirect Taxes invoice issued by Ardelyx in respect of those Payments, such Indirect Taxes to be payable on the due date of the payment of</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240" w:after="240"/>
        <w:jc w:val="both"/>
        <w:rPr/>
      </w:pPr>
      <w:r>
        <w:rPr>
          <w:rFonts w:ascii="Times New Roman;serif" w:hAnsi="Times New Roman;serif"/>
          <w:b w:val="false"/>
          <w:color w:val="000000"/>
          <w:sz w:val="24"/>
        </w:rPr>
        <w:t xml:space="preserve">the Payments to which such Indirect Taxes relate or at the time such Indirect Taxes are required to be collected by Ardelyx, in the case of payment of Indirect Taxes to Ardelyx. The sum of the net amount received by Ardelyx and the withholding income Tax levied by China Tax Authority discussed in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above for each payment shall not be less than the amount of the Upfront and Milestone Payments set forth in Section 6.01, 6.02 and 6.03.The Parties shall issue invoices for all goods and services supplied under this Agreement consistent with Indirect Tax requirements, and to the extent any invoice is not initially issued in an appropriate form, FOSUN shall promptly inform Ardelyx and shall cooperate with Ardelyx to provide such information or assistance as may be necessary to enable the issuance of such invoice consistent with Indirect Tax requirements.</w:t>
      </w:r>
    </w:p>
    <w:p>
      <w:pPr>
        <w:pStyle w:val="TextBody"/>
        <w:bidi w:val="0"/>
        <w:spacing w:lineRule="auto" w:line="288" w:before="0" w:after="240"/>
        <w:ind w:left="0" w:right="0" w:firstLine="720"/>
        <w:jc w:val="both"/>
        <w:rPr/>
      </w:pPr>
      <w:r>
        <w:rPr>
          <w:rFonts w:ascii="Times New Roman;serif" w:hAnsi="Times New Roman;serif"/>
          <w:b/>
          <w:color w:val="000000"/>
          <w:sz w:val="24"/>
        </w:rPr>
        <w:t>Section 6.09 Payments or Reports by Affiliates</w:t>
      </w:r>
      <w:r>
        <w:rPr>
          <w:rFonts w:ascii="Times New Roman;serif" w:hAnsi="Times New Roman;serif"/>
          <w:b w:val="false"/>
          <w:color w:val="000000"/>
          <w:sz w:val="24"/>
        </w:rPr>
        <w:t>. Any Payment required under any provision of this Agreement to be made to Ardelyx or any report required to be made by FOSUN shall be made by an Affiliate of FOSUN if such Affiliate is designated by FOSUN as the appropriate payer or reporting entity.</w:t>
      </w:r>
    </w:p>
    <w:p>
      <w:pPr>
        <w:pStyle w:val="TextBody"/>
        <w:bidi w:val="0"/>
        <w:spacing w:lineRule="auto" w:line="288" w:before="0" w:after="240"/>
        <w:ind w:left="0" w:right="0" w:firstLine="720"/>
        <w:jc w:val="both"/>
        <w:rPr/>
      </w:pPr>
      <w:r>
        <w:rPr>
          <w:rFonts w:ascii="Times New Roman;serif" w:hAnsi="Times New Roman;serif"/>
          <w:b/>
          <w:color w:val="000000"/>
          <w:sz w:val="24"/>
        </w:rPr>
        <w:t>Section 6.10 Mode of Payment</w:t>
      </w:r>
      <w:r>
        <w:rPr>
          <w:rFonts w:ascii="Times New Roman;serif" w:hAnsi="Times New Roman;serif"/>
          <w:b w:val="false"/>
          <w:color w:val="000000"/>
          <w:sz w:val="24"/>
        </w:rPr>
        <w:t xml:space="preserve">. All payments set forth in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shall be remitted by wire transfer to the bank account of Ardelyx as designated in writing to FOSUN.</w:t>
      </w:r>
    </w:p>
    <w:p>
      <w:pPr>
        <w:pStyle w:val="TextBody"/>
        <w:bidi w:val="0"/>
        <w:spacing w:lineRule="auto" w:line="288" w:before="0" w:after="240"/>
        <w:ind w:left="0" w:right="0" w:firstLine="720"/>
        <w:jc w:val="both"/>
        <w:rPr/>
      </w:pPr>
      <w:r>
        <w:rPr>
          <w:rFonts w:ascii="Times New Roman;serif" w:hAnsi="Times New Roman;serif"/>
          <w:b/>
          <w:color w:val="000000"/>
          <w:sz w:val="24"/>
        </w:rPr>
        <w:t>Section 6.11 Payment Currency</w:t>
      </w:r>
      <w:r>
        <w:rPr>
          <w:rFonts w:ascii="Times New Roman;serif" w:hAnsi="Times New Roman;serif"/>
          <w:b w:val="false"/>
          <w:color w:val="000000"/>
          <w:sz w:val="24"/>
        </w:rPr>
        <w:t>. All amounts payable and calculations under this Agreement shall be in United States dollars. As applicable, Net Sales and any adjustments to payments under this Agreement shall be translated into United States dollars at an exchange rate determined by using the 30-day trailing average of the daily Middle Exchange Rate for the renminbi of People’s Bank of China (the central bank of the government of China) as published daily at http://www.safe.gov.cn/wps/portal/english/Home.</w:t>
      </w:r>
    </w:p>
    <w:p>
      <w:pPr>
        <w:pStyle w:val="TextBody"/>
        <w:bidi w:val="0"/>
        <w:spacing w:lineRule="auto" w:line="288" w:before="0" w:after="240"/>
        <w:ind w:left="0" w:right="0" w:firstLine="720"/>
        <w:jc w:val="both"/>
        <w:rPr/>
      </w:pPr>
      <w:r>
        <w:rPr>
          <w:rFonts w:ascii="Times New Roman;serif" w:hAnsi="Times New Roman;serif"/>
          <w:b/>
          <w:color w:val="000000"/>
          <w:sz w:val="24"/>
        </w:rPr>
        <w:t>Section 6.12 Imports</w:t>
      </w:r>
      <w:r>
        <w:rPr>
          <w:rFonts w:ascii="Times New Roman;serif" w:hAnsi="Times New Roman;serif"/>
          <w:b w:val="false"/>
          <w:color w:val="000000"/>
          <w:sz w:val="24"/>
        </w:rPr>
        <w:t>. For the avoidance of doubt, the Parties acknowledge and agree that none of the milestones or royalties payable under this Agreement are related to the license (or right) to import or any import of Licensed Products. FOSUN shall be responsible for any import clearance, including payment of any import duties and similar charges, in connection with any Licensed Products or Licensed Compounds transferred to FOSUN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pStyle w:val="TextBody"/>
        <w:bidi w:val="0"/>
        <w:spacing w:lineRule="auto" w:line="288" w:before="0" w:after="240"/>
        <w:ind w:left="0" w:right="0" w:firstLine="720"/>
        <w:jc w:val="both"/>
        <w:rPr/>
      </w:pPr>
      <w:r>
        <w:rPr>
          <w:rFonts w:ascii="Times New Roman;serif" w:hAnsi="Times New Roman;serif"/>
          <w:b/>
          <w:color w:val="000000"/>
          <w:sz w:val="24"/>
        </w:rPr>
        <w:t>Section 6.13 Discounted Sales</w:t>
      </w:r>
      <w:r>
        <w:rPr>
          <w:rFonts w:ascii="Times New Roman;serif" w:hAnsi="Times New Roman;serif"/>
          <w:b w:val="false"/>
          <w:color w:val="000000"/>
          <w:sz w:val="24"/>
        </w:rPr>
        <w:t>. In the event that one or more Licensed Products is included as part of a package of products offered to customers of FOSUN, and discounts on packages including Licensed Products are offered independently in the Territory, FOSUN shall not discount the price of the Licensed Products sold as part of a package unreasonably compared to the discount FOSUN offers on prices of the other products included in such package.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CONFIDENTIALITY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Section 7.01 Confidentiality. </w:t>
      </w:r>
      <w:r>
        <w:rPr>
          <w:rFonts w:ascii="Times New Roman;serif" w:hAnsi="Times New Roman;serif"/>
          <w:b w:val="false"/>
          <w:color w:val="000000"/>
          <w:sz w:val="24"/>
        </w:rPr>
        <w:t>The Parties agree that the Party receiving Confidential Information disclosed by or on behalf of the other Party pursuant to this Agreement shall, and shall cause its officers, directors, employees, agents, Affiliates and Sublicensees and other Persons to which a sublicense is granted, to, keep confidential and not publish or otherwise disclose or use for any purpose other than to conduct its activities under this Agreement or otherwise as expressly authorized by this Agreement any Confidential Information furnished to it by or on behalf of the other Party pursuant to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Section 7.02 Exceptions</w:t>
      </w:r>
      <w:r>
        <w:rPr>
          <w:rFonts w:ascii="Times New Roman;serif" w:hAnsi="Times New Roman;serif"/>
          <w:b w:val="false"/>
          <w:color w:val="000000"/>
          <w:sz w:val="24"/>
        </w:rPr>
        <w:t xml:space="preserve">. Notwithstanding the foregoing, the obligations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shall not apply in respect of Confidential Information to the extent that it can be established by the receiving Party that such Confidential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was already known to the receiving Party, other than under an obligation of confidentiality, at the time of disclosure by or on behalf of the other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was generally available to the public or otherwise part of the public domain at the time of its disclosure to the receiving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was independently developed without use of the disclosing Party’s information, as evidenced by contemporaneous written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became generally available to the public or otherwise part of the public domain after its disclosure to the receiving Party and other than through any act or omission of the receiving Party in breach of this Agreement;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was disclosed to the receiving Party, other than under an obligation of confidentiality, by a Third Party who had no obligation to the disclosing Party not to disclose such information to others.</w:t>
      </w:r>
    </w:p>
    <w:p>
      <w:pPr>
        <w:pStyle w:val="TextBody"/>
        <w:bidi w:val="0"/>
        <w:spacing w:lineRule="auto" w:line="288" w:before="0" w:after="240"/>
        <w:ind w:left="0" w:right="0" w:firstLine="720"/>
        <w:jc w:val="both"/>
        <w:rPr/>
      </w:pPr>
      <w:r>
        <w:rPr>
          <w:rFonts w:ascii="Times New Roman;serif" w:hAnsi="Times New Roman;serif"/>
          <w:b/>
          <w:color w:val="000000"/>
          <w:sz w:val="24"/>
        </w:rPr>
        <w:t>Section 7.03 Receipt of Third Party Information and Materials</w:t>
      </w:r>
      <w:r>
        <w:rPr>
          <w:rFonts w:ascii="Times New Roman;serif" w:hAnsi="Times New Roman;serif"/>
          <w:b w:val="false"/>
          <w:color w:val="000000"/>
          <w:sz w:val="24"/>
        </w:rPr>
        <w:t>. Neither Party shall knowingly receive documents relating to Licensed Products or Licensed Compounds under an obligation of confidentiality to Third Parties that requires the Party receiving such documents to withhold access to the other Party without such Party’s written consent.</w:t>
      </w:r>
    </w:p>
    <w:p>
      <w:pPr>
        <w:pStyle w:val="TextBody"/>
        <w:bidi w:val="0"/>
        <w:spacing w:lineRule="auto" w:line="288" w:before="0" w:after="240"/>
        <w:ind w:left="0" w:right="0" w:firstLine="720"/>
        <w:jc w:val="both"/>
        <w:rPr/>
      </w:pPr>
      <w:r>
        <w:rPr>
          <w:rFonts w:ascii="Times New Roman;serif" w:hAnsi="Times New Roman;serif"/>
          <w:b/>
          <w:color w:val="000000"/>
          <w:sz w:val="24"/>
        </w:rPr>
        <w:t>Section 7.04 Authorized Disclosure</w:t>
      </w:r>
      <w:r>
        <w:rPr>
          <w:rFonts w:ascii="Times New Roman;serif" w:hAnsi="Times New Roman;serif"/>
          <w:b w:val="false"/>
          <w:color w:val="000000"/>
          <w:sz w:val="24"/>
        </w:rPr>
        <w:t>. Each Party may disclose Confidential Information to the extent that such disclosure 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required by law, order, or regulation of a government agency or a court of competent jurisdiction, or by the rules of a securities exchange, provided that the Party required to make such disclosure shall (i) give the other Party reasonable advance notice of and an opportunity to comment on any such required disclosure, (ii) if requested by the other Party, use Commercially Reasonable Efforts to obtain protective orders or any available limitations on or exemptions from such disclosure requirement where applicable and practicable;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(b) made to a patent office for the purposes of filing or enforcing a Patent as permitted in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reasonable measures shall be taken to assure confidential treatment of such information, to the extent such protection is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made by a Party or its Affiliates, Distributors, Sublicensees or other sublicensees to the Regulatory Health Authority for the purposes of any filing, application or request for Regulatory Approval for Licensed Compounds or Licensed Products as permitted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made to advisors, actual or potential Third Party partners, investors, licensees, sublicensees or acquirers of all or substantially all of the assets to which this Agreement relates;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made by FOSUN or its Affiliates, Distributors, Sublicensees, or other sublicensees to Third Parties as may be necessary or useful in connection with the Exploitation of the Licensed Compounds or Licensed Products as contemplated by this Agreement, including subcontracting or sublicensing transactions in connection therewith; or</w:t>
      </w:r>
    </w:p>
    <w:p>
      <w:pPr>
        <w:pStyle w:val="TextBody"/>
        <w:bidi w:val="0"/>
        <w:spacing w:lineRule="auto" w:line="288" w:before="0" w:after="240"/>
        <w:jc w:val="both"/>
        <w:rPr/>
      </w:pPr>
      <w:r>
        <w:rPr>
          <w:rFonts w:ascii="Times New Roman;serif" w:hAnsi="Times New Roman;serif"/>
          <w:b w:val="false"/>
          <w:color w:val="000000"/>
          <w:sz w:val="24"/>
        </w:rPr>
        <w:t xml:space="preserve">provided that with respect to disclosures as per subsection (d) and (e) or the following sentence,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 In addition (but without prejudice to) the above provisions, each Party shall be entitled to disclose, under a binder of confidentiality containing provisions as protective as those of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Confidential Information to any Third Party for the purpose of carrying out activities authorized under this Agreement, including without limitation disclosures to Sublicensees or other sublicensees.</w:t>
      </w:r>
    </w:p>
    <w:p>
      <w:pPr>
        <w:pStyle w:val="TextBody"/>
        <w:bidi w:val="0"/>
        <w:spacing w:lineRule="auto" w:line="288" w:before="0" w:after="240"/>
        <w:ind w:left="0" w:right="0" w:firstLine="720"/>
        <w:jc w:val="both"/>
        <w:rPr/>
      </w:pPr>
      <w:r>
        <w:rPr>
          <w:rFonts w:ascii="Times New Roman;serif" w:hAnsi="Times New Roman;serif"/>
          <w:b/>
          <w:color w:val="000000"/>
          <w:sz w:val="24"/>
        </w:rPr>
        <w:t>Section 7.05 Survival</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7.03</w:t>
      </w:r>
      <w:r>
        <w:rPr>
          <w:rFonts w:ascii="Times New Roman;serif" w:hAnsi="Times New Roman;serif"/>
          <w:b w:val="false"/>
          <w:color w:val="000000"/>
          <w:sz w:val="24"/>
        </w:rPr>
        <w:t xml:space="preserve">) shall survive for a period of [***] ([***]) years following the termination or expiration of the Agreement, provided that the First Commercial Sale of a Licensed Product had commenced at the time this Agreement terminates or expires. However,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7.03</w:t>
      </w:r>
      <w:r>
        <w:rPr>
          <w:rFonts w:ascii="Times New Roman;serif" w:hAnsi="Times New Roman;serif"/>
          <w:b w:val="false"/>
          <w:color w:val="000000"/>
          <w:sz w:val="24"/>
        </w:rPr>
        <w:t>) shall survive for a period of [***] ([***]) years following the Effective Date of this Agreement, provided that the First Commercial Sale of a Licensed Product had not commenced at the time this Agreement terminates or expires.</w:t>
      </w:r>
    </w:p>
    <w:p>
      <w:pPr>
        <w:pStyle w:val="TextBody"/>
        <w:bidi w:val="0"/>
        <w:spacing w:lineRule="auto" w:line="288" w:before="0" w:after="240"/>
        <w:ind w:left="0" w:right="0" w:firstLine="720"/>
        <w:jc w:val="both"/>
        <w:rPr/>
      </w:pPr>
      <w:r>
        <w:rPr>
          <w:rFonts w:ascii="Times New Roman;serif" w:hAnsi="Times New Roman;serif"/>
          <w:b/>
          <w:color w:val="000000"/>
          <w:sz w:val="24"/>
        </w:rPr>
        <w:t>Section 7.06 Termination of Prior Agreements</w:t>
      </w:r>
      <w:r>
        <w:rPr>
          <w:rFonts w:ascii="Times New Roman;serif" w:hAnsi="Times New Roman;serif"/>
          <w:b w:val="false"/>
          <w:color w:val="000000"/>
          <w:sz w:val="24"/>
        </w:rPr>
        <w:t>. This Agreement supersedes the Confidentiality Agreement between Ardelyx and FOSUN dated as of February 23, 2017, (the “</w:t>
      </w:r>
      <w:r>
        <w:rPr>
          <w:rFonts w:ascii="Times New Roman;serif" w:hAnsi="Times New Roman;serif"/>
          <w:b/>
          <w:color w:val="000000"/>
          <w:sz w:val="24"/>
        </w:rPr>
        <w:t>CDA</w:t>
      </w:r>
      <w:r>
        <w:rPr>
          <w:color w:val="000000"/>
        </w:rPr>
        <w:t>”</w:t>
      </w:r>
      <w:r>
        <w:rPr>
          <w:rFonts w:ascii="Times New Roman;serif" w:hAnsi="Times New Roman;serif"/>
          <w:b w:val="false"/>
          <w:color w:val="000000"/>
          <w:sz w:val="24"/>
        </w:rPr>
        <w:t xml:space="preserve">). All Information and Materials exchanged between the Parties under the CDA shall be deemed Confidential Information and shall be subject to the terms of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and shall be included within the definitions of Licensed Technology and FOSUN [***] Technology,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Section 7.07 Publications</w:t>
      </w:r>
      <w:r>
        <w:rPr>
          <w:rFonts w:ascii="Times New Roman;serif" w:hAnsi="Times New Roman;serif"/>
          <w:b w:val="false"/>
          <w:color w:val="000000"/>
          <w:sz w:val="24"/>
        </w:rPr>
        <w:t xml:space="preserve">. Except as required by law, each Party agrees that it shall not publish or publicly present any information relating to Licensed Compounds or Licensed Products, (a) without the opportunity for prior review by the other Party and (b) other than in compliance with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 Each Party shall provide to the other Party the opportunity to review any proposed publications or presentations (including without limitation information to be presented</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verbally) that relate to Licensed Compounds or Licensed Products as early as reasonably practical, but at least [***] ([***]) days prior to their intended submission for publication or presentation and such submitting Party agrees, upon written request from the other Party within the Review Period (as defined below), not to submit such abstract or manuscript for publication or to make such presentation until the other Party agrees, which agreement shall not be unreasonably withheld. The other Party shall have [***] ([***]) days after its receipt of any such publication or presentation (the “</w:t>
      </w:r>
      <w:r>
        <w:rPr>
          <w:rFonts w:ascii="Times New Roman;serif" w:hAnsi="Times New Roman;serif"/>
          <w:b/>
          <w:color w:val="000000"/>
          <w:sz w:val="24"/>
        </w:rPr>
        <w:t>Review Period</w:t>
      </w:r>
      <w:r>
        <w:rPr>
          <w:color w:val="000000"/>
        </w:rPr>
        <w:t>”</w:t>
      </w:r>
      <w:r>
        <w:rPr>
          <w:rFonts w:ascii="Times New Roman;serif" w:hAnsi="Times New Roman;serif"/>
          <w:b w:val="false"/>
          <w:color w:val="000000"/>
          <w:sz w:val="24"/>
        </w:rPr>
        <w:t>) to notify the submitting Party in writing of any specific objections to the intended publication or presentation. Each Party shall, in any such publication or presentation, delete from the proposed disclosure any Confidential Information and Materials of the other Party. Additionally, if the other Party notifies the submitting Party within the Review Period that the other Party objects to such disclosure on the basis that a patent application claiming information contained in such disclosure should be filed prior to such disclosure, the submitting Party agrees to reasonably delay disclosure of the relevant information, for up to [***] ([***]) days after the other Party’s timely notification of its objection as per the above, or until such application has been filed, if earlier. Once any such abstract or manuscript is accepted for publication, the submitting Party will provide the other Party with a copy of the final version of the manuscript or abstract.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OWNERSHIP OF INTELLECTUAL PROPERTY AND PATENT RIGHTS</w:t>
      </w:r>
    </w:p>
    <w:p>
      <w:pPr>
        <w:pStyle w:val="TextBody"/>
        <w:bidi w:val="0"/>
        <w:spacing w:lineRule="auto" w:line="288" w:before="0" w:after="240"/>
        <w:ind w:left="0" w:right="0" w:firstLine="720"/>
        <w:jc w:val="both"/>
        <w:rPr/>
      </w:pPr>
      <w:r>
        <w:rPr>
          <w:rFonts w:ascii="Times New Roman;serif" w:hAnsi="Times New Roman;serif"/>
          <w:b/>
          <w:color w:val="000000"/>
          <w:sz w:val="24"/>
        </w:rPr>
        <w:t>Section 8.01 Disclosure</w:t>
      </w:r>
      <w:r>
        <w:rPr>
          <w:rFonts w:ascii="Times New Roman;serif" w:hAnsi="Times New Roman;serif"/>
          <w:b w:val="false"/>
          <w:color w:val="000000"/>
          <w:sz w:val="24"/>
        </w:rPr>
        <w:t>. During the Term, the Parties shall promptly disclose to one another all Joint Technology and Sole Program Know-How (whether patentable or not).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8.02 Ownership.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Inventorship of all inventions and other Know-How conceived or first made in the course of activities performed after the Effective Date in the course of the Parties’ performance under this Agreement shall be determined in accordance with the laws of inventorship of the United States. Subject to the licenses granted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and to the other provisions of this Agreement, all such inventions and other Know-How invented by employees or independent contractors of one Party (“</w:t>
      </w:r>
      <w:r>
        <w:rPr>
          <w:rFonts w:ascii="Times New Roman;serif" w:hAnsi="Times New Roman;serif"/>
          <w:b/>
          <w:color w:val="000000"/>
          <w:sz w:val="24"/>
        </w:rPr>
        <w:t>Sole Program Know-How</w:t>
      </w:r>
      <w:r>
        <w:rPr>
          <w:color w:val="000000"/>
        </w:rPr>
        <w:t>”</w:t>
      </w:r>
      <w:r>
        <w:rPr>
          <w:rFonts w:ascii="Times New Roman;serif" w:hAnsi="Times New Roman;serif"/>
          <w:b w:val="false"/>
          <w:color w:val="000000"/>
          <w:sz w:val="24"/>
        </w:rPr>
        <w:t>) shall be solely owned by the inventing Party, and any inventions and Know-How that are invented jointly by employees or independent contractors of each Party will be owned jointly by the Parties (“</w:t>
      </w:r>
      <w:r>
        <w:rPr>
          <w:rFonts w:ascii="Times New Roman;serif" w:hAnsi="Times New Roman;serif"/>
          <w:b/>
          <w:color w:val="000000"/>
          <w:sz w:val="24"/>
        </w:rPr>
        <w:t>Joint Know-How</w:t>
      </w:r>
      <w:r>
        <w:rPr>
          <w:color w:val="000000"/>
        </w:rPr>
        <w:t>”</w:t>
      </w:r>
      <w:r>
        <w:rPr>
          <w:rFonts w:ascii="Times New Roman;serif" w:hAnsi="Times New Roman;serif"/>
          <w:b w:val="false"/>
          <w:color w:val="000000"/>
          <w:sz w:val="24"/>
        </w:rPr>
        <w:t>). For clarity, Ardelyx’s Development and Commercialization of a Licensed Compound or Licensed Product outside of the Field and/or outside of the Territory shall not be activities performed in the course of Ardelyx’s performance under this Agreement, and any inventions and other Know-How conceived or first made during the course of such Development and Commercialization shall be Ardelyx [***] Technology rather than Sole Program Know-How owned by Ardelyx.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the extent permissible under Applicable Laws, each Party will ensure that prior to conducting work on such Party’s behalf under this Agreement, each employee and contractor is obligated by Applicable Law, or written contract to (i) promptly disclosure to such Party of all inventions and Know-How conceived or reduced to practice by such employee or contractor during any performance under this Agreement, (ii) automatically assign to such Party all right, title and interest in and to all such inventions and Know-How and all Intellectual Property Rights therein, and (iii) adhere to similar obligations of confidentiality as are set forth in this Agreement. Each</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Party will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8.03 Prosecution and Maintenance of Patent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Ardelyx</w:t>
      </w:r>
      <w:r>
        <w:rPr>
          <w:rFonts w:ascii="Times New Roman;serif" w:hAnsi="Times New Roman;serif"/>
          <w:b w:val="false"/>
          <w:color w:val="000000"/>
          <w:sz w:val="24"/>
        </w:rPr>
        <w:t>. Ardelyx (or with respect to Ardelyx [***] Patents, Ardelyx or its licensor) shall be primarily responsible for and control the worldwide preparation, filing, prosecution (including without limitation conducting any interferences, oppositions, reissue proceedings, reexaminations and patent term extensions) and maintenance of Licensed Patents, Ardelyx [***] Patents and Joint Patents (collectively, the “</w:t>
      </w:r>
      <w:r>
        <w:rPr>
          <w:rFonts w:ascii="Times New Roman;serif" w:hAnsi="Times New Roman;serif"/>
          <w:b/>
          <w:color w:val="000000"/>
          <w:sz w:val="24"/>
        </w:rPr>
        <w:t>Ardelyx Controlled Patents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all Ardelyx Controlled Patents, other than Ardelyx [***], Ardelyx shall provide FOSUN with advance copies of, and a reasonable opportunity to comment upon, proposed patent filings, related prosecution strategies and proposed correspondence with patent officials, all to the extent in the Territory and relating to any Ardelyx Controlled Patents (other than the Ardelyx [***]), and will consider comments received from FOSUN with respect to such proposed filings, strategies and correspondence in the Territory in good faith and will not unreasonably reject such comments. Ardelyx agrees to discuss in good faith any changes reasonably requested by FOSUN to such filings, strategies and correspondence in the Territory upon their being received.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FOSUN</w:t>
      </w:r>
      <w:r>
        <w:rPr>
          <w:rFonts w:ascii="Times New Roman;serif" w:hAnsi="Times New Roman;serif"/>
          <w:b w:val="false"/>
          <w:color w:val="000000"/>
          <w:sz w:val="24"/>
        </w:rPr>
        <w:t>. FOSUN shall be primarily responsible for and control the worldwide preparation, filing, prosecution (including without limitation conducting any interferences, oppositions, reissue proceedings, reexaminations and patent term extensions) and maintenance of FOSUN Sole Invention Patents, FOSUN [***] Patents (“</w:t>
      </w:r>
      <w:r>
        <w:rPr>
          <w:rFonts w:ascii="Times New Roman;serif" w:hAnsi="Times New Roman;serif"/>
          <w:b/>
          <w:color w:val="000000"/>
          <w:sz w:val="24"/>
        </w:rPr>
        <w:t>FOSUN Controlled Patents</w:t>
      </w:r>
      <w:r>
        <w:rPr>
          <w:color w:val="000000"/>
        </w:rPr>
        <w:t>”</w:t>
      </w:r>
      <w:r>
        <w:rPr>
          <w:rFonts w:ascii="Times New Roman;serif" w:hAnsi="Times New Roman;serif"/>
          <w:b w:val="false"/>
          <w:color w:val="000000"/>
          <w:sz w:val="24"/>
        </w:rPr>
        <w:t xml:space="preserve">) using in-house patent attorneys or counsel reasonably acceptable to Ardelyx;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with respect to all FOSUN Controlled Patents, other than FOSUN [***], that FOSUN shall provide Ardelyx with advance copies of, and a reasonable opportunity to comment upon, proposed patent filings, related prosecution strategies and proposed correspondence with patent officials or other Third Parties relating to any FOSUN Sole Invention Patents, and will consider comments received from Ardelyx with respect to such proposed filings, strategies and correspondence in good faith and will not unreasonably reject such comments. FOSUN agrees to discuss in good faith any changes reasonably requested by Ardelyx to such filings, strategies and correspondence promptly upon their being received. FOSUN agrees to implement any such recommended changes with the goal of optimizing overall patent protection for Licensed Compounds and Licensed Products, and Joint Technology. In any event, FOSUN will not finally abandon any claims and will not limit any claims that are specific to Licensed Compounds or Licensed Products without Ardelyx’s prior written consent.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Party responsible for prosecuting Patents pursuant to Section 8.03(a) or </w:t>
      </w:r>
      <w:r>
        <w:rPr>
          <w:rFonts w:ascii="Times New Roman;serif" w:hAnsi="Times New Roman;serif"/>
          <w:b w:val="false"/>
          <w:color w:val="000000"/>
          <w:sz w:val="24"/>
          <w:u w:val="single"/>
        </w:rPr>
        <w:t>Section 8.03(b)</w:t>
      </w:r>
      <w:r>
        <w:rPr>
          <w:color w:val="000000"/>
        </w:rPr>
        <w:t xml:space="preserve"> </w:t>
      </w:r>
      <w:r>
        <w:rPr>
          <w:rFonts w:ascii="Times New Roman;serif" w:hAnsi="Times New Roman;serif"/>
          <w:b w:val="false"/>
          <w:color w:val="000000"/>
          <w:sz w:val="24"/>
        </w:rPr>
        <w:t xml:space="preserve">shall provide all documentation it is required to provide pursuant to such Sections so as to provide the other Party a reasonable opportunity to review and comment thereon in advance of filing. A Party providing comments in accordance with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8.03(b)</w:t>
      </w:r>
      <w:r>
        <w:rPr>
          <w:color w:val="000000"/>
        </w:rPr>
        <w:t xml:space="preserve"> </w:t>
      </w:r>
      <w:r>
        <w:rPr>
          <w:rFonts w:ascii="Times New Roman;serif" w:hAnsi="Times New Roman;serif"/>
          <w:b w:val="false"/>
          <w:color w:val="000000"/>
          <w:sz w:val="24"/>
        </w:rPr>
        <w:t xml:space="preserve">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information in confidence pursuant to </w:t>
      </w:r>
      <w:r>
        <w:rPr>
          <w:rFonts w:ascii="Times New Roman;serif" w:hAnsi="Times New Roman;serif"/>
          <w:b w:val="false"/>
          <w:color w:val="000000"/>
          <w:sz w:val="24"/>
          <w:u w:val="single"/>
        </w:rPr>
        <w:t>Article VII</w:t>
      </w:r>
      <w:r>
        <w:rPr>
          <w:rFonts w:ascii="Times New Roman;serif" w:hAnsi="Times New Roman;serif"/>
          <w:b w:val="false"/>
          <w:color w:val="000000"/>
          <w:sz w:val="24"/>
        </w:rPr>
        <w:t>, except (for the avoidance of doubt) for patent applications that have been published and official correspondence that is publicly available.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Other than as described in </w:t>
      </w:r>
      <w:r>
        <w:rPr>
          <w:rFonts w:ascii="Times New Roman;serif" w:hAnsi="Times New Roman;serif"/>
          <w:b w:val="false"/>
          <w:color w:val="000000"/>
          <w:sz w:val="24"/>
          <w:u w:val="single"/>
        </w:rPr>
        <w:t>Section 8.04(c)</w:t>
      </w:r>
      <w:r>
        <w:rPr>
          <w:color w:val="000000"/>
        </w:rPr>
        <w:t xml:space="preserve"> </w:t>
      </w:r>
      <w:r>
        <w:rPr>
          <w:rFonts w:ascii="Times New Roman;serif" w:hAnsi="Times New Roman;serif"/>
          <w:b w:val="false"/>
          <w:color w:val="000000"/>
          <w:sz w:val="24"/>
        </w:rPr>
        <w:t xml:space="preserve">below, after the Effective Date, the Party prosecuting patent applications and maintaining Patents pursuant to this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shall be solely responsible for all costs and expenses associated with the filing, prosecution and maintenance of such Patents.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If FOSUN decides not to file, prosecute or maintain a FOSUN Controlled Patent pursuant to </w:t>
      </w:r>
      <w:r>
        <w:rPr>
          <w:rFonts w:ascii="Times New Roman;serif" w:hAnsi="Times New Roman;serif"/>
          <w:b w:val="false"/>
          <w:color w:val="000000"/>
          <w:sz w:val="24"/>
          <w:u w:val="single"/>
        </w:rPr>
        <w:t>Section 8.03(b)</w:t>
      </w:r>
      <w:r>
        <w:rPr>
          <w:rFonts w:ascii="Times New Roman;serif" w:hAnsi="Times New Roman;serif"/>
          <w:b w:val="false"/>
          <w:color w:val="000000"/>
          <w:sz w:val="24"/>
        </w:rPr>
        <w:t>, it shall give Ardelyx reasonable notice to that effect sufficiently in advance of any deadline for any filing with respect to such Patent to permit Ardelyx or its licensees in the territories where FOSUN has decided not to file, prosecute or maintain the FOSUN Controlled Patent to carry out such activity (but with respect to FOSUN [***] Patents only to the extent that the Patent is a FOSUN [***] Patent). After receiving such notice, Ardelyx may elect by written notice to FOSUN within [***] ([***]) days after receiving such notice from FOSUN to file, prosecute and maintain the relevant Patent, at its sole cost and expense. For the avoidance of doubt, where FOSUN is in receipt of an official action with a shortened response deadline of [***] ([***]) days or less, FOSUN will communicate such notice to Ardelyx as soon as possible and Ardelyx may make its election (pursuant to the foregoing sentence) no later than [***] ([***]) days prior to the deadline. If Ardelyx does so elect, then FOSUN shall cooperate with Ardelyx as necessary to enable Ardelyx to perform such acts as may be reasonably necessary for Ardelyx to file, prosecute or maintain such Patent, including the execution and filing of appropriate instruments and to facilitate the transition of such patent activities to Ardelyx.</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Each Party agrees to bring to the attention of the other Party any Third Party Patent it discovers, or has discovered, and which relates to the subject matter of this Agreement.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8.04 Enforcement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Infringement by Third Parties in the Territory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Party first having knowledge that any (x) Ardelyx Controlled Patents or (y) FOSUN Controlled Patents, in each case, claiming or covering inventions that are necessary or useful to Exploit a Licensed Compound or Licensed Product, is infringed, or misappropriated by a Third Party, or suspected of being infringed or misappropriated by a Third Party in the Territory shall promptly notify the other Party thereof in writing. Such notice shall set forth the facts of that infringement, misappropriation, or suspected infringement or misappropriation in reasonable detail.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Ardelyx (or in the case of Ardelyx [***] Patents, Ardelyx and/or Ardelyx’s licensee) shall have the first right, but not the obligation, to institute, prosecute, and control any action or proceeding or negotiation of any settlements at its expense with respect to any infringement of Ardelyx Controlled Patents, by counsel of its own choice. With respect to actions, proceedings or settlements in the Territory, FOSUN shall have the right to participate in such action or negotiations at its expense and be represented if it so desires by counsel of its own choice. If necessary, at Ardelyx’s discretion, FOSUN agrees (i) in any such action in the Territory, and (ii) in any such action outside of the Territory with</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respect to a Joint Patent, to be joined as a party plaintiff and to give Ardelyx (or Ardelyx’s licensee or licensor, as the case may be), reasonable assistance and any needed authority to control, file, and to prosecute such action, at Ardelyx’s or its licensee’s or licensor’s expense. If Ardelyx or its licensee or licensor, as the case may be, elects not to institute and prosecute an action or proceeding or to conduct such negotiation to abate such infringement, within a period of [***] ([***]) days after both Parties become aware of the infringement or suspected infringement, then Ardelyx shall discuss with FOSUN the reasons for this decision. FOSUN shall then have the right, but not the obligation, to institute, prosecute, and control any such action in the Territory at its expense (but with respect to Ardelyx [***] Patents, only to the extent that the Patent is an Ardelyx [***] Patent). In such case, Ardelyx agrees, and to use Commercially Reasonable Efforts to cause its licensor to be joined as a party plaintiff and to give FOSUN reasonable assistance and any needed authority to control, file, and prosecute the suit as may be necessary; provided, however, that Ardelyx and/or its licensor if the licensor is the owner of such Patent, shall have the right to participate at its expense in such action and be represented if it so desires by counsel of its own choice. No settlement or consent judgment or other voluntary final disposition of a suit in the Territory under this </w:t>
      </w:r>
      <w:r>
        <w:rPr>
          <w:rFonts w:ascii="Times New Roman;serif" w:hAnsi="Times New Roman;serif"/>
          <w:b w:val="false"/>
          <w:color w:val="000000"/>
          <w:sz w:val="24"/>
          <w:u w:val="single"/>
        </w:rPr>
        <w:t>Section 8.04(a)(ii)</w:t>
      </w:r>
      <w:r>
        <w:rPr>
          <w:color w:val="000000"/>
        </w:rPr>
        <w:t xml:space="preserve"> </w:t>
      </w:r>
      <w:r>
        <w:rPr>
          <w:rFonts w:ascii="Times New Roman;serif" w:hAnsi="Times New Roman;serif"/>
          <w:b w:val="false"/>
          <w:color w:val="000000"/>
          <w:sz w:val="24"/>
        </w:rPr>
        <w:t>may be entered into without the consent of Ardelyx (and in the case of an Ardelyx [***] Patent owned by an Ardelyx licensor, such licensor) and FOSUN, which consent shall not be withheld, delayed or conditioned unreasonably.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FOSUN (or in the case of FOSUN [***] Patents, FOSUN and/or FOSUN’s licensor or licensee) shall have the first right, but not the obligation, to institute, prosecute, and control any action or proceeding or negotiation of any settlements with respect to any infringement of FOSUN Controlled Patents, by counsel of its own choice with Ardelyx (or, with respect to actions or proceedings or negotiations outside of the Territory, Ardelyx and/or its licensees in such territory where the infringement is alleged to have occurred) having the right to participate in such action or negotiations at its expense and be represented if it so desires by counsel of its own choice. If necessary, Ardelyx agrees in any such action to be joined as a party plaintiff and to give FOSUN reasonable assistance and any needed authority to control, file, and to prosecute such action, at FOSUN’s expense. If FOSUN elects not to institute and prosecute an action or proceeding or to conduct such negotiation to abate such infringement, within a period of [***] ([***]) days after both Parties become aware of the infringement or suspected infringement, then FOSUN will discuss with Ardelyx the reasons for this decision. Ardelyx (or in the case of alleged infringement outside of the Territory, Ardelyx and/or its licensees in such territories where the infringement is alleged to have occurred) shall then have the right, but not the obligation, to institute, prosecute, and control any such action in the Territory. In such case, FOSUN agrees to be joined as a party plaintiff and to give Ardelyx (or its licensee, as the case may be) reasonable assistance and all authority to control, file, and prosecute the suit as may be necessary;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FOSUN shall have the right to participate at its expense in such action and be represented if it so desires by counsel of its own choice. No settlement or consent judgment or other voluntary final disposition of a suit (i) in the Territory under this </w:t>
      </w:r>
      <w:r>
        <w:rPr>
          <w:rFonts w:ascii="Times New Roman;serif" w:hAnsi="Times New Roman;serif"/>
          <w:b w:val="false"/>
          <w:color w:val="000000"/>
          <w:sz w:val="24"/>
          <w:u w:val="single"/>
        </w:rPr>
        <w:t>Section 8.04 (a)(iii)</w:t>
      </w:r>
      <w:r>
        <w:rPr>
          <w:color w:val="000000"/>
        </w:rPr>
        <w:t xml:space="preserve"> </w:t>
      </w:r>
      <w:r>
        <w:rPr>
          <w:rFonts w:ascii="Times New Roman;serif" w:hAnsi="Times New Roman;serif"/>
          <w:b w:val="false"/>
          <w:color w:val="000000"/>
          <w:sz w:val="24"/>
        </w:rPr>
        <w:t xml:space="preserve">may be entered into without the joint consent of Ardelyx and FOSUN, which consent shall not be withheld, delayed or conditioned unreasonably, and (ii) outside of the Territory under this </w:t>
      </w:r>
      <w:r>
        <w:rPr>
          <w:rFonts w:ascii="Times New Roman;serif" w:hAnsi="Times New Roman;serif"/>
          <w:b w:val="false"/>
          <w:color w:val="000000"/>
          <w:sz w:val="24"/>
          <w:u w:val="single"/>
        </w:rPr>
        <w:t>Section 8.04(a)(iii)</w:t>
      </w:r>
      <w:r>
        <w:rPr>
          <w:color w:val="000000"/>
        </w:rPr>
        <w:t xml:space="preserve">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may entered into without the consent of Ardelyx, FOSUN and, if applicable, Ardelyx’s licensee in the territory where the infringement is alleged to have occurred..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With respect to any proceeding, negotiation or settlement with respect to an alleged infringement within or outside of the Territory, any and all costs that are incurred by the Party bringing suit in the exercise of rights under </w:t>
      </w:r>
      <w:r>
        <w:rPr>
          <w:rFonts w:ascii="Times New Roman;serif" w:hAnsi="Times New Roman;serif"/>
          <w:b w:val="false"/>
          <w:color w:val="000000"/>
          <w:sz w:val="24"/>
          <w:u w:val="single"/>
        </w:rPr>
        <w:t>Section 8.04(a)</w:t>
      </w:r>
      <w:r>
        <w:rPr>
          <w:color w:val="000000"/>
        </w:rPr>
        <w:t xml:space="preserve"> </w:t>
      </w:r>
      <w:r>
        <w:rPr>
          <w:rFonts w:ascii="Times New Roman;serif" w:hAnsi="Times New Roman;serif"/>
          <w:b w:val="false"/>
          <w:color w:val="000000"/>
          <w:sz w:val="24"/>
        </w:rPr>
        <w:t xml:space="preserve">(including without limitation the internal costs and expenses specifically attributable to such suit) shall be reimbursed first out of any damages or other monetary awards recovered in favor of the Parties. If such recovery is insufficient to reimburse the costs of FOSUN, Ardelyx and Ardelyx’s licensees, if applicable, then each Party shall receive a pro rata portion of the recovery based on such Party’s costs relative to all costs incurred by the Parties in such action. If FOSUN is the Party bringing suit in the Territory, any remaining damage awards shall be deemed Net Sales for the purposes of </w:t>
      </w:r>
      <w:r>
        <w:rPr>
          <w:rFonts w:ascii="Times New Roman;serif" w:hAnsi="Times New Roman;serif"/>
          <w:b w:val="false"/>
          <w:color w:val="000000"/>
          <w:sz w:val="24"/>
          <w:u w:val="single"/>
        </w:rPr>
        <w:t>Section 6.04</w:t>
      </w:r>
      <w:r>
        <w:rPr>
          <w:rFonts w:ascii="Times New Roman;serif" w:hAnsi="Times New Roman;serif"/>
          <w:b w:val="false"/>
          <w:color w:val="000000"/>
          <w:sz w:val="24"/>
        </w:rPr>
        <w:t>. If Ardelyx (or its licensor) is the only Party bringing suit in the Territory, [***] shall be distributed [***]. If the suit is brought outside of the Territory, [***] shall be distributed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Defense and Settlement of Third Party Claims Against Licensed Products</w:t>
      </w:r>
      <w:r>
        <w:rPr>
          <w:rFonts w:ascii="Times New Roman;serif" w:hAnsi="Times New Roman;serif"/>
          <w:b w:val="false"/>
          <w:color w:val="000000"/>
          <w:sz w:val="24"/>
        </w:rPr>
        <w:t>. If a Third Party asserts that a Patent or other right owned or controlled by it is infringed by the Development, Manufacture, or Commercialization of any Licensed Compound or Licensed Product in the Territory, the Party first obtaining knowledge of such a claim shall immediately provide the other Party written notice of such claim and the related facts in reasonable detail. In such event, the Parties shall discuss how best to control the defense of any such claim. In the any event Ardelyx shall cooperate with FOSUN in any such defense. Both Parties shall have the right to participate in such defense and to be represented in any such action by counsel of its selection.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color w:val="000000"/>
          <w:sz w:val="24"/>
        </w:rPr>
        <w:t>Allocation of Expenses Incurred Pursuant to Section 8.04</w:t>
      </w:r>
      <w:r>
        <w:rPr>
          <w:rFonts w:ascii="Times New Roman;serif" w:hAnsi="Times New Roman;serif"/>
          <w:b w:val="false"/>
          <w:color w:val="000000"/>
          <w:sz w:val="24"/>
        </w:rPr>
        <w:t xml:space="preserve">. The expenses of patent defense, settlement, and judgments pursuant to Section 8.04(b) or any action pursuant to </w:t>
      </w:r>
      <w:r>
        <w:rPr>
          <w:rFonts w:ascii="Times New Roman;serif" w:hAnsi="Times New Roman;serif"/>
          <w:b w:val="false"/>
          <w:color w:val="000000"/>
          <w:sz w:val="24"/>
          <w:u w:val="single"/>
        </w:rPr>
        <w:t>Section 8.04(b)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8.04(d)</w:t>
      </w:r>
      <w:r>
        <w:rPr>
          <w:color w:val="000000"/>
        </w:rPr>
        <w:t xml:space="preserve"> </w:t>
      </w:r>
      <w:r>
        <w:rPr>
          <w:rFonts w:ascii="Times New Roman;serif" w:hAnsi="Times New Roman;serif"/>
          <w:b w:val="false"/>
          <w:color w:val="000000"/>
          <w:sz w:val="24"/>
        </w:rPr>
        <w:t>shall be borne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t>
      </w:r>
      <w:r>
        <w:rPr>
          <w:rFonts w:ascii="Times New Roman;serif" w:hAnsi="Times New Roman;serif"/>
          <w:b/>
          <w:color w:val="000000"/>
          <w:sz w:val="24"/>
        </w:rPr>
        <w:t>Settlement of Third Party Claims for Infringement in the Territory; Payment of Third Party Royalties</w:t>
      </w:r>
      <w:r>
        <w:rPr>
          <w:rFonts w:ascii="Times New Roman;serif" w:hAnsi="Times New Roman;serif"/>
          <w:b w:val="false"/>
          <w:color w:val="000000"/>
          <w:sz w:val="24"/>
        </w:rPr>
        <w:t xml:space="preserve">. If a Third Party asserts that a Patent or other right owned or controlled by it is infringed by the Development, Manufacture, or Commercialization or other Exploitation of any Licensed Compound or Licensed Product in the Territory, and as a result of settlement procedures or litigation under </w:t>
      </w:r>
      <w:r>
        <w:rPr>
          <w:rFonts w:ascii="Times New Roman;serif" w:hAnsi="Times New Roman;serif"/>
          <w:b w:val="false"/>
          <w:color w:val="000000"/>
          <w:sz w:val="24"/>
          <w:u w:val="single"/>
        </w:rPr>
        <w:t>Section 8.04 (b)</w:t>
      </w:r>
      <w:r>
        <w:rPr>
          <w:rFonts w:ascii="Times New Roman;serif" w:hAnsi="Times New Roman;serif"/>
          <w:b w:val="false"/>
          <w:color w:val="000000"/>
          <w:sz w:val="24"/>
        </w:rPr>
        <w:t xml:space="preserve">, FOSUN is required to pay the Third Party a royalty or make any payment of any kind for the right to sell a Licensed Product in the Territory, such expense shall be borne solely by FOSUN, subject to any applicable reductions under </w:t>
      </w:r>
      <w:r>
        <w:rPr>
          <w:rFonts w:ascii="Times New Roman;serif" w:hAnsi="Times New Roman;serif"/>
          <w:b w:val="false"/>
          <w:color w:val="000000"/>
          <w:sz w:val="24"/>
          <w:u w:val="single"/>
        </w:rPr>
        <w:t>Section 6.04(f)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w:t>
      </w:r>
      <w:r>
        <w:rPr>
          <w:rFonts w:ascii="Times New Roman;serif" w:hAnsi="Times New Roman;serif"/>
          <w:b/>
          <w:color w:val="000000"/>
          <w:sz w:val="24"/>
        </w:rPr>
        <w:t>Oppositions by Parties</w:t>
      </w:r>
      <w:r>
        <w:rPr>
          <w:rFonts w:ascii="Times New Roman;serif" w:hAnsi="Times New Roman;serif"/>
          <w:b w:val="false"/>
          <w:color w:val="000000"/>
          <w:sz w:val="24"/>
        </w:rPr>
        <w:t xml:space="preserve">. If either Party desires to bring an opposition, action for declaratory judgment, nullity action, interference, reexamination, or other attack upon the validity, title, or enforceability of any Patents Controlled by a Third Party in the Territory that claim the Manufacture, use, or sale or other Exploitation of any Licensed Compound or Licensed Product, such Party shall so notify the other Party in writing, and the Parties shall promptly confer to discuss whether to bring such action or the manner in which to settle such action. The Party not bringing an action under this </w:t>
      </w:r>
      <w:r>
        <w:rPr>
          <w:rFonts w:ascii="Times New Roman;serif" w:hAnsi="Times New Roman;serif"/>
          <w:b w:val="false"/>
          <w:color w:val="000000"/>
          <w:sz w:val="24"/>
          <w:u w:val="single"/>
        </w:rPr>
        <w:t>Section 8.04 (e)</w:t>
      </w:r>
      <w:r>
        <w:rPr>
          <w:color w:val="000000"/>
        </w:rPr>
        <w:t xml:space="preserve"> </w:t>
      </w:r>
      <w:r>
        <w:rPr>
          <w:rFonts w:ascii="Times New Roman;serif" w:hAnsi="Times New Roman;serif"/>
          <w:b w:val="false"/>
          <w:color w:val="000000"/>
          <w:sz w:val="24"/>
        </w:rPr>
        <w:t>shall be entitled to separate representation in such proceeding by counsel of its own choice and at its own expense, and shall otherwise cooperate fully with the Party bringing such action at the other Party’s expense.</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 </w:t>
      </w:r>
      <w:r>
        <w:rPr>
          <w:rFonts w:ascii="Times New Roman;serif" w:hAnsi="Times New Roman;serif"/>
          <w:b/>
          <w:color w:val="000000"/>
          <w:sz w:val="24"/>
        </w:rPr>
        <w:t>Oppositions by Third Parties</w:t>
      </w:r>
      <w:r>
        <w:rPr>
          <w:rFonts w:ascii="Times New Roman;serif" w:hAnsi="Times New Roman;serif"/>
          <w:b w:val="false"/>
          <w:color w:val="000000"/>
          <w:sz w:val="24"/>
        </w:rPr>
        <w:t xml:space="preserve">. If any Patent becomes the subject of any proceeding commenced by a Third Party in connection with an opposition, reexamination request, action for declaratory judgment, nullity action, interference, or other attack upon the validity, title, or enforceability thereof in the Territory, then the Party having the right to prosecute such Patent at such time pursuant to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shall control such defense, at its sole cost. The prosecuting Party shall permit the non-prosecuting Party, and in the case of an Ardelyx [***] Patent, Ardelyx’s licensee or licensor, to participate in the proceeding to the extent permissible under law, and to be represented by its own counsel in such proceeding, at the non-prosecuting Party’s expense, or that of Ardelyx’s licensee or licensor, as the case may be. If either Party decides that it does not wish to defend against such action, then the other Party shall have a backup right to assume defense of such Third Party action at its own expense. Any awards or amounts received in defending any such Third Party action shall be allocated [***]. Any recoveries obtained in such action shall be shared, as set forth in </w:t>
      </w:r>
      <w:r>
        <w:rPr>
          <w:rFonts w:ascii="Times New Roman;serif" w:hAnsi="Times New Roman;serif"/>
          <w:b w:val="false"/>
          <w:color w:val="000000"/>
          <w:sz w:val="24"/>
          <w:u w:val="single"/>
        </w:rPr>
        <w:t>Section 8.04 (a)(iv)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w:t>
      </w:r>
      <w:r>
        <w:rPr>
          <w:rFonts w:ascii="Times New Roman;serif" w:hAnsi="Times New Roman;serif"/>
          <w:b/>
          <w:color w:val="000000"/>
          <w:sz w:val="24"/>
        </w:rPr>
        <w:t>Protective Order</w:t>
      </w:r>
      <w:r>
        <w:rPr>
          <w:rFonts w:ascii="Times New Roman;serif" w:hAnsi="Times New Roman;serif"/>
          <w:b w:val="false"/>
          <w:color w:val="000000"/>
          <w:sz w:val="24"/>
        </w:rPr>
        <w:t xml:space="preserve">. If, in any action brought pursuant to this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any information is the subject of a protective order that may be reviewed by counsel only, the Parties will endeavor to structure such protective order so as to enable their respective internal counsel to be included as permitted reviewers of such information.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8.05 Trademarks.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Subject to applicable regulatory requirements and on a Licensed Product by Licensed Product basis, FOSUN shall have the option to (i) select the Trademarks to be used for the marketing and sale of the Licensed Products in the Territory or (ii) license from Ardelyx the Trademarks owned by Ardelyx (“</w:t>
      </w:r>
      <w:r>
        <w:rPr>
          <w:rFonts w:ascii="Times New Roman;serif" w:hAnsi="Times New Roman;serif"/>
          <w:b/>
          <w:color w:val="000000"/>
          <w:sz w:val="24"/>
        </w:rPr>
        <w:t>Ardelyx Trademarks</w:t>
      </w:r>
      <w:r>
        <w:rPr>
          <w:color w:val="000000"/>
        </w:rPr>
        <w:t>”</w:t>
      </w:r>
      <w:r>
        <w:rPr>
          <w:rFonts w:ascii="Times New Roman;serif" w:hAnsi="Times New Roman;serif"/>
          <w:b w:val="false"/>
          <w:color w:val="000000"/>
          <w:sz w:val="24"/>
        </w:rPr>
        <w:t>), in each case (i) and (ii), to use in connection with the Commercialization of each Licensed Product (in either case, “</w:t>
      </w:r>
      <w:r>
        <w:rPr>
          <w:rFonts w:ascii="Times New Roman;serif" w:hAnsi="Times New Roman;serif"/>
          <w:b/>
          <w:color w:val="000000"/>
          <w:sz w:val="24"/>
        </w:rPr>
        <w:t>Product Trademarks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If FOSUN decides to select its own Trademarks to be used for the marketing and sale of the Licensed Products in the Territory (the “</w:t>
      </w:r>
      <w:r>
        <w:rPr>
          <w:rFonts w:ascii="Times New Roman;serif" w:hAnsi="Times New Roman;serif"/>
          <w:b/>
          <w:color w:val="000000"/>
          <w:sz w:val="24"/>
        </w:rPr>
        <w:t>FOSUN Trademarks</w:t>
      </w:r>
      <w:r>
        <w:rPr>
          <w:color w:val="000000"/>
        </w:rPr>
        <w:t>”</w:t>
      </w:r>
      <w:r>
        <w:rPr>
          <w:rFonts w:ascii="Times New Roman;serif" w:hAnsi="Times New Roman;serif"/>
          <w:b w:val="false"/>
          <w:color w:val="000000"/>
          <w:sz w:val="24"/>
        </w:rPr>
        <w:t>). FOSUN shall solely bear the full costs and expense of and be responsible for filing, prosecuting and maintaining all FOSUN Trademarks. FOSUN shall, in its sole discretion, protect, defend, and maintain each FOSUN Trademark for use with Licensed Products in the Territory, and all registrations therefor. Ardelyx shall notify FOSUN promptly in writing upon learning of any actual, alleged, or threatened infringement of a FOSUN Trademark used in connection with Licensed Compounds or Licensed Products or of any unfair trade practices, trade dress imitation, passing off of counterfeit goods, or like offenses with respect to Licensed Compounds or Licensed Products. Ardelyx shall cooperate as reasonably requested by FOSUN in any actions or proceedings brought by FOSUN to halt the infringement. All of the [***] in bringing, maintaining, and prosecuting any action to maintain, protect, or defend a FOSUN Trademark (or registration therefor) shall be borne [***]. Any recovery in any such action that is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Ardelyx Trademark.</w:t>
      </w:r>
    </w:p>
    <w:p>
      <w:pPr>
        <w:pStyle w:val="TextBody"/>
        <w:bidi w:val="0"/>
        <w:spacing w:lineRule="auto" w:line="288" w:before="0" w:after="240"/>
        <w:ind w:left="0" w:right="0" w:firstLine="720"/>
        <w:jc w:val="both"/>
        <w:rPr/>
      </w:pPr>
      <w:r>
        <w:rPr>
          <w:rFonts w:ascii="Times New Roman;serif" w:hAnsi="Times New Roman;serif"/>
          <w:b w:val="false"/>
          <w:color w:val="000000"/>
          <w:sz w:val="24"/>
        </w:rPr>
        <w:t>(i) If FOSUN decides to license one or more Ardelyx product Trademarks to Commercialize a Licensed Product in the Field and in the Territory, FOSUN shall provide a written notice (“</w:t>
      </w:r>
      <w:r>
        <w:rPr>
          <w:rFonts w:ascii="Times New Roman;serif" w:hAnsi="Times New Roman;serif"/>
          <w:b/>
          <w:color w:val="000000"/>
          <w:sz w:val="24"/>
        </w:rPr>
        <w:t>Trademark Notice</w:t>
      </w:r>
      <w:r>
        <w:rPr>
          <w:color w:val="000000"/>
        </w:rPr>
        <w:t>”</w:t>
      </w:r>
      <w:r>
        <w:rPr>
          <w:rFonts w:ascii="Times New Roman;serif" w:hAnsi="Times New Roman;serif"/>
          <w:b w:val="false"/>
          <w:color w:val="000000"/>
          <w:sz w:val="24"/>
        </w:rPr>
        <w:t xml:space="preserve">) to Ardelyx indicating which such Ardelyx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Trademarks it wishes to license from Ardelyx. Upon Ardelyx’s receipt of the Trademark Notice, the Parties shall discuss in good faith a license grant under which Ardelyx would grant FOSUN a royalty-free (subject to this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license, sublicensable exclusive license to use the Ardelyx product Trademarks indicated in the Trademark Notice in the Field and in the Territory during the Term;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in the event FOSUN wishes to use the Ardelyx product Trademark licensed pursuant to this (c) upon expiration of the Term, then FOSUN shall pay to Ardelyx a royalty on the Annual Net Sales of the applicable Licensed Product made by FOSUN, its Affiliates, or its Sublicensees at a rate of [***] percent ([***]%). Notwithstanding the foregoing, if FOSUN elects to keep paying the royalties as defined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after the expiration of the Term, Ardelyx shall keep granting FOSUN the royalty-free (subject to this </w:t>
      </w:r>
      <w:r>
        <w:rPr>
          <w:rFonts w:ascii="Times New Roman;serif" w:hAnsi="Times New Roman;serif"/>
          <w:b w:val="false"/>
          <w:color w:val="000000"/>
          <w:sz w:val="24"/>
          <w:u w:val="single"/>
        </w:rPr>
        <w:t>(c)</w:t>
      </w:r>
      <w:r>
        <w:rPr>
          <w:rFonts w:ascii="Times New Roman;serif" w:hAnsi="Times New Roman;serif"/>
          <w:b w:val="false"/>
          <w:color w:val="000000"/>
          <w:sz w:val="24"/>
        </w:rPr>
        <w:t>) license, sublicensable exclusive license of Ardelyx product Trademarks pursuant to this (c).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Ardelyx shall solely bear the full costs and expense of and be responsible for filing, prosecuting and maintaining all Ardelyx Trademarks. Ardelyx shall, protect, defend, and maintain each Ardelyx Trademark and all registrations therefor. FOSUN shall notify Ardelyx promptly in writing upon learning of any actual, alleged, or threatened infringement of a Ardelyx Trademark used in connection with Licensed Compounds or Licensed Products or of any unfair trade practices, trade dress imitation, passing off of counterfeit goods, or like offenses with respect to Licensed Compounds or Licensed Products. Ardelyx shall have the right, but not the obligation, to institute, prosecute and control any action, proceeding or negotiation of any settlements in the Territory with respect to any infringement of Ardelyx Trademarks. FOSUN shall cooperate as reasonably requested by Ardelyx in any actions or proceedings brought by Ardelyx to halt the infringement. All of the unrecovered costs, expenses, and legal fees (including without limitation internal costs, expenses, and legal fees) in bringing, maintaining, and prosecuting any action to maintain, protect, or defend a Ardelyx Trademark (or registration therefor) shall be borne solely by Ardelyx.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an Ardelyx Trademark becomes the subject of any proceeding commenced by a Third Party in connection with an opposition or other attack upon the validity, title, or enforceability thereof in the Territory, then Ardelyx shall have the first right, but not the obligation, to control such defense, at its sole cost. Any awards or amounts or recoveries received in defending any such Third Party action shall be allocated based on the percentage of costs incurred by the Parties in defending such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FOSUN shall be responsible for the design and procurement of all packaging (non-commercial and commercial) and labeling of the Licensed Products.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REPRESENTATIONS, WARRANTIES, AND COVENANTS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9.01 Representations, Warranties, and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Parties hereby represents and warrants to the other Party that: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Licensed Compounds and Licensed Products as contemplated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such Party has not, and during the Term will not, grant any right to any Third Party relating to its respective Patents and Know-How which would conflict with the rights granted to the other Party 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such Party will at all times and in all material respects comply with all Applicable Laws relating to its activities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such Party shall implement appropriate processes and controls with respect to technology and work flow methodologies in connection with its activities under or in connection with this Agreement so as to protect the security and privacy of personally identifiable information in accordance with Applicable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Ardelyx represents, warrants and covenants as of the Effective Date (or as of such other /additional time as may be explicitly specified below) to FOSUN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Ardelyx is the sole and exclusive owner of the entire right, title and interest in the Listed Patents existing as of the Effective Date. Ardelyx has all rights necessary to grant the licenses under the Licensed Technology existing as of the Effective Date that it grants to FOSUN in this Agreement. The Listed Patents are not subject to any encumbrance, lien or claim of ownership by any Third Party. To Ardelyx’s Knowledge, the Licensed Technology in the Territory had not infringed and will not infringe any Intellectual Property Rights of any Third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Ardelyx’s Knowledge, all applicable fees due to patent authorities with respect to the filing and prosecution of the Listed Patents existing as of the Effective Date have been paid on or before the due date for payment (as such due date may be extended in accordance with Applicable Law or patent authority 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As of the Effective Date, to Ardelyx’s Knowledge, there is no actual or threatened infringement or misappropriation of the Licensed Patents or Licensed Know-How by any Person.</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Ardelyx has not been debarred by the FDA, is not subject to any similar sanction of other Regulatory Health Authorities in the Territory, and is not subject to any such debarment or similar sanction by any such Regulatory Health Authority, and Ardelyx has not used, and will not engage, in any capacity, in connection with this Agreement, any Person who either has been debarred by such a Regulatory Health Authority, or is the subject of a conviction described in Section 306 of the FFDCA (21 U.S.C. §335a). Ardelyx shall inform FOSUN in writing immediately if it or any Person engaged by Ardelyx who is performing services under this Agreement is debarred or is the subject of a conviction described in Section 306 of the FFDCA (21 U.S.C. §335a) or if any action, suit, claim, investigation or legal or administrative proceeding is pending or, to Ardelyx’s Knowledge, is threatened, relating to the debarment or conviction of Ardelyx or any such Person performing services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FOSUN represents, warrants and covenants as of the Effective Date (or as of such other /additional time as may be explicitly specified below) to Ardelyx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FOSUN has not been debarred by the FDA (and is not subject to any similar sanction of other Regulatory Health Authorities in the Territory), and is not subject to any such debarment or similar sanction by any such Regulatory Health Authority, and FOSUN has not used, and will not engage, in any capacity, in connection with this Agreement, any Person who either has been debarred by such a Regulatory Health Authority, or is the subject of a conviction described in Section 306 of the FFDCA (21 U.S.C. §335a). FOSUN shall inform Ardelyx in writing immediately if it or any Person engaged by FOSUN who is performing services under this Agreement is debarred or is the subject of a conviction described in Section 306 of the FFDCA (21 U.S.C. §335a), or if any action, suit, claim, investigation or legal or administrative proceeding is pending or, to FOSUN’s knowledge, is threatened, relating to the debarment or conviction of FOSUN or any such Person performing services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the extent permissible under Applicable Laws, each employee and contractor of FOSUN performing obligations under this Agreement shall, prior to conducting any such obligations hereunder, be obligated by Applicable Law, or written contract to (i) promptly disclose to FOSUN of all inventions and Know-How conceived or reduced to practice by such employee or contractor during any performance under this Agreement, (ii) automatically assign to FOSUN all right, title and interest in and to all such inventions and Know-How and all Intellectual Property Rights therein, and (iii) adhere to similar obligations of confidentiality as are set forth in this Agreement. FOSUN shall not knowingly engage in any activities that use the inventions covered or claimed in the Licensed Patents, Ardelyx [***] Patents or any Licensed Know-How in a manner that is outside the scope of the license rights expressly granted to it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FOSUN shall perform, or cause its Affiliates or Third Party contractors to perform, its responsibilities under this Agreement in compliance with this Agreement, all Applicable Laws, applicable CFDA (or foreign equivalent) requirements, including, without limitation, then-current GLP, GCP and GMP.</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Section 9.02 Manufacturing by FOSUN.</w:t>
      </w:r>
      <w:r>
        <w:rPr>
          <w:color w:val="000000"/>
        </w:rPr>
        <w:t xml:space="preserve"> </w:t>
      </w:r>
      <w:r>
        <w:rPr>
          <w:rFonts w:ascii="Times New Roman;serif" w:hAnsi="Times New Roman;serif"/>
          <w:b w:val="false"/>
          <w:color w:val="000000"/>
          <w:sz w:val="24"/>
        </w:rPr>
        <w:t>FOSUN covenants to Ardelyx that any Licensed Product manufactured by or for FOSUN or its Affiliates shall: (a) be manufactured in compliance with Applicable Laws; (b) conform to the applicable Specifications for such Licensed Product; (c) conform to the certificates of analysis supplied with the shipment of such Licensed Product; and (d) shall be packaged and shipped in accordance with the applicable Specifications therefor in effect at the time of delivery.</w:t>
      </w:r>
    </w:p>
    <w:p>
      <w:pPr>
        <w:pStyle w:val="TextBody"/>
        <w:bidi w:val="0"/>
        <w:spacing w:lineRule="auto" w:line="288" w:before="0" w:after="240"/>
        <w:ind w:left="0" w:right="0" w:firstLine="720"/>
        <w:jc w:val="both"/>
        <w:rPr/>
      </w:pPr>
      <w:r>
        <w:rPr>
          <w:rFonts w:ascii="Times New Roman;serif" w:hAnsi="Times New Roman;serif"/>
          <w:b/>
          <w:color w:val="000000"/>
          <w:sz w:val="24"/>
        </w:rPr>
        <w:t>Section 9.03 No Debarment</w:t>
      </w:r>
      <w:r>
        <w:rPr>
          <w:rFonts w:ascii="Times New Roman;serif" w:hAnsi="Times New Roman;serif"/>
          <w:b w:val="false"/>
          <w:color w:val="000000"/>
          <w:sz w:val="24"/>
        </w:rPr>
        <w:t xml:space="preserve">. In the course of the Development of Licensed Compound and Licensed Product in accordance with this Agreement, neither Party has used, and during the term of this Agreement neither Party will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w:t>
      </w:r>
      <w:r>
        <w:rPr>
          <w:rFonts w:ascii="Times New Roman;serif" w:hAnsi="Times New Roman;serif"/>
          <w:b w:val="false"/>
          <w:color w:val="000000"/>
          <w:sz w:val="24"/>
          <w:u w:val="single"/>
        </w:rPr>
        <w:t>Section 9.01(b)(iv)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9.04 Anti-Bribery and Anti-Corruption Compliance.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of the Parties shall implement appropriate processes and controls with respect to technology and work flow methodologies in connection with its activities under or in connection with this Agreement so as to protect the security and privacy of personally identifiable information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Compliance With Applicable Anti-Corruption Laws.</w:t>
      </w:r>
      <w:r>
        <w:rPr>
          <w:color w:val="000000"/>
        </w:rPr>
        <w:t xml:space="preserve"> </w:t>
      </w:r>
      <w:r>
        <w:rPr>
          <w:rFonts w:ascii="Times New Roman;serif" w:hAnsi="Times New Roman;serif"/>
          <w:b w:val="false"/>
          <w:color w:val="000000"/>
          <w:sz w:val="24"/>
        </w:rPr>
        <w:t>Each party understands and agrees that it has complied and will continue to comply with all applicable Anti-Corruption Laws in connection with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Each Party represents and warrants that no payments of money or anything of value have been or will be offered, promised, or paid, whether directly or indirectly, by any of its directors, officers, employees, Affiliates, or third party representatives to any Government Official in connection with this Agreement: (a) to influence any official act or decision of any Government Official; (b) to induce any Government Official to do or omit to do any act in violation of lawful duty; (c) to secure any improper business advantage; or (d) to obtain or retain business for, or otherwise direct business to, any Party in connection with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Each Party warrants and represents that, in connection with this Agreement, the Party, its directors, officers, employees, and third party representatives: (a) have not and will not request, accept, offer, promise, or give any bribe, kickback, or other corrupt payment to any person, including any representative of any commercial entity, in violation of any applicable Anti-Corruption Law; and (b) have not and will not request, offer, promise, or give any financial or other advantage to induce another person to perform a function or activity in order to obtain or retain an improper business advantage in any way relating to this Agreement.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Notification Of Investigations Into Potential Non-Compliance With Applicable Anti-Corruption Laws</w:t>
      </w:r>
      <w:r>
        <w:rPr>
          <w:rFonts w:ascii="Times New Roman;serif" w:hAnsi="Times New Roman;serif"/>
          <w:b w:val="false"/>
          <w:color w:val="000000"/>
          <w:sz w:val="24"/>
        </w:rPr>
        <w:t>. Each Party warrants and represents that it will promptly inform the other Party if that Party, or any of its directors, officers, employees, Affiliates, third party representatives, or Sublicensees becomes subject to any investigation relating to any actual or potential violation of any applicable Anti-Corruption Law in connection with this Agreement, including any meeting, interview, inspection, or audit requested by any Governmental Body.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Cooperation With Due Diligence And Investigations</w:t>
      </w:r>
      <w:r>
        <w:rPr>
          <w:rFonts w:ascii="Times New Roman;serif" w:hAnsi="Times New Roman;serif"/>
          <w:b w:val="false"/>
          <w:color w:val="000000"/>
          <w:sz w:val="24"/>
        </w:rPr>
        <w:t>. Each Party will provide reasonable cooperation in connection with any good faith investigation conducted by the other Party into potential violations of applicable Anti-Corruption Laws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Compliance Program.</w:t>
      </w:r>
      <w:r>
        <w:rPr>
          <w:color w:val="000000"/>
        </w:rPr>
        <w:t xml:space="preserve"> </w:t>
      </w:r>
      <w:r>
        <w:rPr>
          <w:rFonts w:ascii="Times New Roman;serif" w:hAnsi="Times New Roman;serif"/>
          <w:b w:val="false"/>
          <w:color w:val="000000"/>
          <w:sz w:val="24"/>
        </w:rPr>
        <w:t>Each Party will adopt, implement, and/or update and, throughout the course of this Agreement, have, maintain, and enforce an appropriate and risk-based anti-corruption compliance program designed to reasonably ensure compliance with the representations contained in this Section of the Agreement and all applicable Anti-Corruption Compliance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Periodic Compliance Certifications</w:t>
      </w:r>
      <w:r>
        <w:rPr>
          <w:rFonts w:ascii="Times New Roman;serif" w:hAnsi="Times New Roman;serif"/>
          <w:b w:val="false"/>
          <w:color w:val="000000"/>
          <w:sz w:val="24"/>
        </w:rPr>
        <w:t xml:space="preserve">. On an annual basis following the execution of this Agreement, or as reasonably requested in good faith by the other Party, each Party agrees to submit to a compliance certificate to the other Party which restates the representations and warranties that are set forth in this </w:t>
      </w:r>
      <w:r>
        <w:rPr>
          <w:rFonts w:ascii="Times New Roman;serif" w:hAnsi="Times New Roman;serif"/>
          <w:b w:val="false"/>
          <w:color w:val="000000"/>
          <w:sz w:val="24"/>
          <w:u w:val="single"/>
        </w:rPr>
        <w:t>Section 9.</w:t>
      </w:r>
      <w:r>
        <w:rPr>
          <w:rFonts w:ascii="Times New Roman;serif" w:hAnsi="Times New Roman;serif"/>
          <w:b w:val="false"/>
          <w:color w:val="000000"/>
          <w:sz w:val="24"/>
        </w:rPr>
        <w:t>04 and provides certification by such Party that it has adhered, during the period covered by the compliance certificate, to the representations and warranties.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RECORD RETENTION, AUDIT AND USE OF NAME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10.01 Records Retention; Audit.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Each Party shall keep or cause to be kept accurate records of account in accordance with P.R.C. GAAP, in the case of FOSUN, and in accordance with U.S. GAAP, in the case of Ardelyx, showing information that is necessary for the accurate determination of the royalties and other payments due under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or any other payment due hereunder. Such records or books of account shall be kept until the [***] ([***]) anniversary of December 31 of the Calendar Year in which the relevant Licensed Product are sold (in the case of royalty or other payments due under </w:t>
      </w:r>
      <w:r>
        <w:rPr>
          <w:rFonts w:ascii="Times New Roman;serif" w:hAnsi="Times New Roman;serif"/>
          <w:b w:val="false"/>
          <w:color w:val="000000"/>
          <w:sz w:val="24"/>
          <w:u w:val="single"/>
        </w:rPr>
        <w:t>Section 6.04</w:t>
      </w:r>
      <w:r>
        <w:rPr>
          <w:rFonts w:ascii="Times New Roman;serif" w:hAnsi="Times New Roman;serif"/>
          <w:b w:val="false"/>
          <w:color w:val="000000"/>
          <w:sz w:val="24"/>
        </w:rPr>
        <w:t>) or in the period for which any other payment hereunder is required to be made. For clarity, each Party shall cause its Affiliates to keep, and shall require pursuant to a written agreement that any Sublicensee, other sublicensee or subcontractor performing activities hereunder keep accurate records or books of account in a manner that will permit such Party to comply with its obligations under the foregoing sentence.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Upon the written request of the other Party, each Party shall permit a qualified accounting firm acceptable to both Parties to inspect during regular business hours and no more than once a year and once in any given Calendar Year, and going back no more than [***] ([***]) years preceding the current Calendar Year, all or any part of the audited Party’s records and books necessary to check the accuracy of any payments made or required to be made hereunder. The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accounting firm shall enter into appropriate obligations with the audited Party to treat all information it receives during its inspection in confidence. The accounting firm shall disclose to Ardelyx and FOSUN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 percent ([***]%), the charges will be paid by the Party whose records and books are being inspected. Any failure by a Party to exercise its rights under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with respect to a Calendar Year within the [***] ([***]) year period allotted therefor shall constitute a waiver by such Party of its right to later object to any payments made by the other Party under this Agreement during such Calendar Year.</w:t>
      </w:r>
    </w:p>
    <w:p>
      <w:pPr>
        <w:pStyle w:val="TextBody"/>
        <w:bidi w:val="0"/>
        <w:spacing w:lineRule="auto" w:line="288" w:before="0" w:after="240"/>
        <w:ind w:left="0" w:right="0" w:firstLine="720"/>
        <w:jc w:val="both"/>
        <w:rPr/>
      </w:pPr>
      <w:r>
        <w:rPr>
          <w:rFonts w:ascii="Times New Roman;serif" w:hAnsi="Times New Roman;serif"/>
          <w:b/>
          <w:color w:val="000000"/>
          <w:sz w:val="24"/>
        </w:rPr>
        <w:t>Section 10.02 Publicity Review</w:t>
      </w:r>
      <w:r>
        <w:rPr>
          <w:rFonts w:ascii="Times New Roman;serif" w:hAnsi="Times New Roman;serif"/>
          <w:b w:val="false"/>
          <w:color w:val="000000"/>
          <w:sz w:val="24"/>
        </w:rPr>
        <w:t xml:space="preserve">. Subject to the further provisions 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no Party shall originate any written publicity, news release, or other announcement relating to this Agreement or to performance hereunder or the existence of an arrangement between the Parties (collectively, “</w:t>
      </w:r>
      <w:r>
        <w:rPr>
          <w:rFonts w:ascii="Times New Roman;serif" w:hAnsi="Times New Roman;serif"/>
          <w:b/>
          <w:color w:val="000000"/>
          <w:sz w:val="24"/>
        </w:rPr>
        <w:t>Written Disclosure</w:t>
      </w:r>
      <w:r>
        <w:rPr>
          <w:color w:val="000000"/>
        </w:rPr>
        <w:t>”</w:t>
      </w:r>
      <w:r>
        <w:rPr>
          <w:rFonts w:ascii="Times New Roman;serif" w:hAnsi="Times New Roman;serif"/>
          <w:b w:val="false"/>
          <w:color w:val="000000"/>
          <w:sz w:val="24"/>
        </w:rPr>
        <w:t xml:space="preserve">), without the prior prompt review of a copy of the materials proposed to be disclosed and written approval of the other Party.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shall not prohibit the disclosure under </w:t>
      </w:r>
      <w:r>
        <w:rPr>
          <w:rFonts w:ascii="Times New Roman;serif" w:hAnsi="Times New Roman;serif"/>
          <w:b w:val="false"/>
          <w:color w:val="000000"/>
          <w:sz w:val="24"/>
          <w:u w:val="single"/>
        </w:rPr>
        <w:t>Section 7.04(a)</w:t>
      </w:r>
      <w:r>
        <w:rPr>
          <w:rFonts w:ascii="Times New Roman;serif" w:hAnsi="Times New Roman;serif"/>
          <w:b w:val="false"/>
          <w:color w:val="000000"/>
          <w:sz w:val="24"/>
        </w:rPr>
        <w:t xml:space="preserve">. Notwithstanding the foregoing provisions 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Each Party may make any public Written Disclosure it believes in good faith based upon the advice of counsel is required under the Securities Laws of the United States, or any listing or trading agreement concerning its publicly traded securities, or under any applicable secuities laws, or any rule or order of stock exchange; provided that, prior to making such Written Disclosure, Ardelyx or FOSUN shall where reasonably practicable provide the other Party with a copy of the materials proposed to be disclosed and an opportunity to promptly review and comment on the proposed Written Disclosure. To the extent that FOSUN reasonably requests that any information in the materials proposed to be disclosed be deleted, Ardelyx shall use reasonable efforts to request confidential treatment of such information pursuant to Rule 406 of the Securities Act of 1933 or Rule 24b-2 of the Securities Exchange Act of 1934, as applicable (or any other applicable regulation relating to the confidential treatment of information) so that any information that FOSUN reasonably requests to be deleted, to the extent permitted by the applicable government agency, are omitted from such materials. Notwithstanding the foregoing, each Party may issue an individual press release regarding the transaction contemplated by this Agreement; and the contents of each such press release shall be mutually agreed by the Parties in writing prior to any publication thereof. For clarity, Ardelyx shall have the right to issue press releases and other public announcements regarding the Development or Commercialization of Licensed Products outside of the Territory and/or outside of the Field without the prior review or written approval of FOSUN.</w:t>
      </w:r>
    </w:p>
    <w:p>
      <w:pPr>
        <w:pStyle w:val="TextBody"/>
        <w:bidi w:val="0"/>
        <w:spacing w:lineRule="auto" w:line="288" w:before="0" w:after="240"/>
        <w:ind w:left="0" w:right="0" w:firstLine="720"/>
        <w:jc w:val="both"/>
        <w:rPr/>
      </w:pPr>
      <w:r>
        <w:rPr>
          <w:rFonts w:ascii="Times New Roman;serif" w:hAnsi="Times New Roman;serif"/>
          <w:b/>
          <w:color w:val="000000"/>
          <w:sz w:val="24"/>
        </w:rPr>
        <w:t>Section 10.03 Use of Names</w:t>
      </w:r>
      <w:r>
        <w:rPr>
          <w:rFonts w:ascii="Times New Roman;serif" w:hAnsi="Times New Roman;serif"/>
          <w:b w:val="false"/>
          <w:color w:val="000000"/>
          <w:sz w:val="24"/>
        </w:rPr>
        <w:t xml:space="preserve">. Neither Party shall use the name, insignia, symbol, trademark, trade name or logotype of the other Party or its Affiliates in relation to this transaction or otherwise in any public announcement, press release, or other public document without the prior written consent of such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either Party may use the name of the other Party in any document required to be filed with any government authority, including without limitation the FDA and the Securities and Exchange Commission or otherwise as may be required by Applicable Law, provided that such disclosure shall be governed by </w:t>
      </w:r>
      <w:r>
        <w:rPr>
          <w:rFonts w:ascii="Times New Roman;serif" w:hAnsi="Times New Roman;serif"/>
          <w:b w:val="false"/>
          <w:color w:val="000000"/>
          <w:sz w:val="24"/>
          <w:u w:val="single"/>
        </w:rPr>
        <w:t>Section 7.04</w:t>
      </w:r>
      <w:r>
        <w:rPr>
          <w:rFonts w:ascii="Times New Roman;serif" w:hAnsi="Times New Roman;serif"/>
          <w:b w:val="false"/>
          <w:color w:val="000000"/>
          <w:sz w:val="24"/>
        </w:rPr>
        <w:t xml:space="preserve">. Further, the restrictions imposed on each Party under this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are not intended, and shall not be construed, to prohibit a Party from identifying the other Party in its internal business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communications, provided that any Confidential Information in such communications remains subject to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 AND TERMINATION</w:t>
      </w:r>
    </w:p>
    <w:p>
      <w:pPr>
        <w:pStyle w:val="TextBody"/>
        <w:bidi w:val="0"/>
        <w:spacing w:lineRule="auto" w:line="288" w:before="0" w:after="240"/>
        <w:ind w:left="0" w:right="0" w:firstLine="720"/>
        <w:jc w:val="both"/>
        <w:rPr/>
      </w:pPr>
      <w:r>
        <w:rPr>
          <w:rFonts w:ascii="Times New Roman;serif" w:hAnsi="Times New Roman;serif"/>
          <w:b/>
          <w:color w:val="000000"/>
          <w:sz w:val="24"/>
        </w:rPr>
        <w:t>Section 11.01 Term</w:t>
      </w:r>
      <w:r>
        <w:rPr>
          <w:rFonts w:ascii="Times New Roman;serif" w:hAnsi="Times New Roman;serif"/>
          <w:b w:val="false"/>
          <w:color w:val="000000"/>
          <w:sz w:val="24"/>
        </w:rPr>
        <w:t xml:space="preserve">. The term of this Agreement shall commence as of the Effective Date and, unless sooner terminated as provided herein, shall continue in effect until the date on which all of FOSUN’s payment obligations under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have been performed or have expired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11.02 Termination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color w:val="000000"/>
          <w:sz w:val="24"/>
        </w:rPr>
        <w:t>Termination for Cause</w:t>
      </w:r>
      <w:r>
        <w:rPr>
          <w:rFonts w:ascii="Times New Roman;serif" w:hAnsi="Times New Roman;serif"/>
          <w:b w:val="false"/>
          <w:color w:val="000000"/>
          <w:sz w:val="24"/>
        </w:rPr>
        <w:t xml:space="preserve">. Subject to the provisions of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 if either Party (the “</w:t>
      </w:r>
      <w:r>
        <w:rPr>
          <w:rFonts w:ascii="Times New Roman;serif" w:hAnsi="Times New Roman;serif"/>
          <w:b/>
          <w:color w:val="000000"/>
          <w:sz w:val="24"/>
        </w:rPr>
        <w:t>Breaching Party</w:t>
      </w:r>
      <w:r>
        <w:rPr>
          <w:color w:val="000000"/>
        </w:rPr>
        <w:t>”</w:t>
      </w:r>
      <w:r>
        <w:rPr>
          <w:rFonts w:ascii="Times New Roman;serif" w:hAnsi="Times New Roman;serif"/>
          <w:b w:val="false"/>
          <w:color w:val="000000"/>
          <w:sz w:val="24"/>
        </w:rPr>
        <w:t>) shall have committed a material breach of any of its material obligations under this Agreement, and such material breach shall remain uncured and shall be continuing for a period of [***] ([***]) days following the Breaching Party’s receipt of notice of such breach from the other Party (the “</w:t>
      </w:r>
      <w:r>
        <w:rPr>
          <w:rFonts w:ascii="Times New Roman;serif" w:hAnsi="Times New Roman;serif"/>
          <w:b/>
          <w:color w:val="000000"/>
          <w:sz w:val="24"/>
        </w:rPr>
        <w:t>Non-Breaching Party</w:t>
      </w:r>
      <w:r>
        <w:rPr>
          <w:color w:val="000000"/>
        </w:rPr>
        <w:t>”</w:t>
      </w:r>
      <w:r>
        <w:rPr>
          <w:rFonts w:ascii="Times New Roman;serif" w:hAnsi="Times New Roman;serif"/>
          <w:b w:val="false"/>
          <w:color w:val="000000"/>
          <w:sz w:val="24"/>
        </w:rPr>
        <w:t xml:space="preserve">) stating the Non-Breaching Party’s intent to terminate this Agreement in its entirety pursuant to this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if such breach remains uncured, then, in addition to any and all other rights and remedies that may be available, the Non-Breaching Party shall have the right to terminate this Agreement effective upon the expiration of such [***] ([***]) day period (subject, however, to the provisions set forth below in this </w:t>
      </w:r>
      <w:r>
        <w:rPr>
          <w:rFonts w:ascii="Times New Roman;serif" w:hAnsi="Times New Roman;serif"/>
          <w:b w:val="false"/>
          <w:color w:val="000000"/>
          <w:sz w:val="24"/>
          <w:u w:val="single"/>
        </w:rPr>
        <w:t>Section 11.02(a)</w:t>
      </w:r>
      <w:r>
        <w:rPr>
          <w:rFonts w:ascii="Times New Roman;serif" w:hAnsi="Times New Roman;serif"/>
          <w:b w:val="false"/>
          <w:color w:val="000000"/>
          <w:sz w:val="24"/>
        </w:rPr>
        <w:t>). Notwithstanding the above, if (i) such material breach cannot reasonably be cured within such [***] ([***]) day period, (ii) the Breaching Party provides, within such [***] ([***]) day period, the Non-Breaching Party with a written detailed plan that contains measures that can be reasonably expected to cure such breach in a time frame reasonably acceptable to both Parties, which shall not extend beyond [***] ([***]) months from the date the plan is presented to the Non-Breaching Party, and (iii) the Breaching Party commences to perform such measures in accordance with such plan, and (iv) the Breaching Party thereafter diligently continues to perform such measures as detailed in such plan, then the Non-Breaching Party shall not be entitled to terminate this Agreement (and any notice of termination issued pursuant to the foregoing sentence shall not become effective) unless and until the earlier of (x) the Breaching Party ceases to diligently perform such measures despite then not having cured the breach, or (y) the Breaching Party fails to cure the breach in the time frame agreed to by the Non-Breaching Party in the plan, which shall not exceed [***] ([***]) months from the date the plan is presented to the Non-Breaching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Termination for Convenience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Prior to its expiration, this Agreement may be terminated in its entirety at any time by FOSUN effective upon [***] ([***]) days (or such longer period as FOSUN may elect at its sole discretion) prior written notice to Ardelyx.</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Additionally, if FOSUN ceases all Exploitation of the Licensed Products for a continuous period of more than [***] ([***]) consecutive months, FOSUN shall, at Ardelyx written request following the expiration of such [***] ([***]) month period (such request to reference explicitly this </w:t>
      </w:r>
      <w:r>
        <w:rPr>
          <w:rFonts w:ascii="Times New Roman;serif" w:hAnsi="Times New Roman;serif"/>
          <w:b w:val="false"/>
          <w:color w:val="000000"/>
          <w:sz w:val="24"/>
          <w:u w:val="single"/>
        </w:rPr>
        <w:t>Section 11.02(b)(ii)</w:t>
      </w:r>
      <w:r>
        <w:rPr>
          <w:rFonts w:ascii="Times New Roman;serif" w:hAnsi="Times New Roman;serif"/>
          <w:b w:val="false"/>
          <w:color w:val="000000"/>
          <w:sz w:val="24"/>
        </w:rPr>
        <w:t>), provide to Ardelyx within [***] ([***]) months after FOSUN’s receipt of such request a written reasonable plan under which FOSUN would recommence Exploitation of the Licensed Products under this Agreement within [***]</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 months after having provided such plan to Ardelyx. FOSUN shall, after providing such plan to Ardelyx, perform substantially in accordance therewith. If FOSUN fails to provide such plan to recommence Exploitation of Licensed Products within such [***] ([***]) month period or if FOSUN fails to recommence such Exploitation within the aforementioned [***] ([***]) month period, FOSUN shall be deemed to have exercised its right to terminate this Agreement in its entirety pursuant to this </w:t>
      </w:r>
      <w:r>
        <w:rPr>
          <w:rFonts w:ascii="Times New Roman;serif" w:hAnsi="Times New Roman;serif"/>
          <w:b w:val="false"/>
          <w:color w:val="000000"/>
          <w:sz w:val="24"/>
          <w:u w:val="single"/>
        </w:rPr>
        <w:t>Section 11.02(b)</w:t>
      </w:r>
      <w:r>
        <w:rPr>
          <w:color w:val="000000"/>
        </w:rPr>
        <w:t xml:space="preserve"> </w:t>
      </w:r>
      <w:r>
        <w:rPr>
          <w:rFonts w:ascii="Times New Roman;serif" w:hAnsi="Times New Roman;serif"/>
          <w:b w:val="false"/>
          <w:color w:val="000000"/>
          <w:sz w:val="24"/>
        </w:rPr>
        <w:t>effective upon expiration of such [***] ([***]) month or (as the case may be) [***] ([***]) month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color w:val="000000"/>
          <w:sz w:val="24"/>
        </w:rPr>
        <w:t>Termination for Challenge of Licensed Patents</w:t>
      </w:r>
      <w:r>
        <w:rPr>
          <w:rFonts w:ascii="Times New Roman;serif" w:hAnsi="Times New Roman;serif"/>
          <w:b w:val="false"/>
          <w:color w:val="000000"/>
          <w:sz w:val="24"/>
        </w:rPr>
        <w:t>. Prior to its expiration, Ardelyx may terminate this Agreement in its entirety by written notice to FOSUN if (i) FOSUN or its Affiliates challenges the validity, scope or enforceability of or otherwise opposes any Patent included in the Licensed Patents or Ardelyx [***] Patents or corresponding Patents outside the Territory and (ii) FOSUN does not cause such measures to cease within [***] ([***]) days after having received written notice thereof from Ardelyx, requesting such measures to cease and stating Ardelyx’s intention to terminate this Agreement if such measures are not ceased within the prescribed time. If a Sublicensee of FOSUN challenges the validity, scope or enforceability of or otherwise opposes any Patent included in the Licensed Patents or Ardelyx [***] Patents under which such Sublicensee is sublicensed or corresponding Patents outside of the Territory, then FOSUN shall, upon written notice from Ardelyx terminate such sublicense or cause the Sublicensee to cease such measures, [***] as promptly as possible. FOSUN shall include provisions in all agreements under which a Sublicensee obtains a sublicense under any Patent included in the Licensed Patents or Ardelyx [***] Patents providing that if the Sublicensee challenges the validity or enforceability of or otherwise opposes any such Patent under which the Sublicensee is sublicensed, FOSUN may terminate such sublicense.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t>
      </w:r>
      <w:r>
        <w:rPr>
          <w:rFonts w:ascii="Times New Roman;serif" w:hAnsi="Times New Roman;serif"/>
          <w:b/>
          <w:color w:val="000000"/>
          <w:sz w:val="24"/>
        </w:rPr>
        <w:t>Termination for Insolvency</w:t>
      </w:r>
      <w:r>
        <w:rPr>
          <w:rFonts w:ascii="Times New Roman;serif" w:hAnsi="Times New Roman;serif"/>
          <w:b w:val="false"/>
          <w:color w:val="000000"/>
          <w:sz w:val="24"/>
        </w:rPr>
        <w:t>. A Party may terminate this Agreement effective immediately upon written notice to the other Party if at any time during the Term, the other Party (the “</w:t>
      </w:r>
      <w:r>
        <w:rPr>
          <w:rFonts w:ascii="Times New Roman;serif" w:hAnsi="Times New Roman;serif"/>
          <w:b/>
          <w:color w:val="000000"/>
          <w:sz w:val="24"/>
        </w:rPr>
        <w:t>Debtor</w:t>
      </w:r>
      <w:r>
        <w:rPr>
          <w:color w:val="000000"/>
        </w:rPr>
        <w:t>”</w:t>
      </w:r>
      <w:r>
        <w:rPr>
          <w:rFonts w:ascii="Times New Roman;serif" w:hAnsi="Times New Roman;serif"/>
          <w:b w:val="false"/>
          <w:color w:val="000000"/>
          <w:sz w:val="24"/>
        </w:rPr>
        <w:t xml:space="preserve">) (i) becomes insolvent, (ii) has a case commenced by or against it under the Bankruptcy Code, (iii) files for or is subject to the institution of bankruptcy, liquidation or 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of any involuntary case under the Bankruptcy Code, the first Party shall not be entitled to terminate this Agreement pursuant to this subsection (d) if the case is dismissed within [***] ([***]) days after the commencement thereof.</w:t>
      </w:r>
    </w:p>
    <w:p>
      <w:pPr>
        <w:pStyle w:val="TextBody"/>
        <w:bidi w:val="0"/>
        <w:spacing w:lineRule="auto" w:line="288" w:before="0" w:after="240"/>
        <w:ind w:left="0" w:right="0" w:firstLine="720"/>
        <w:jc w:val="both"/>
        <w:rPr/>
      </w:pPr>
      <w:r>
        <w:rPr>
          <w:rFonts w:ascii="Times New Roman;serif" w:hAnsi="Times New Roman;serif"/>
          <w:b/>
          <w:color w:val="000000"/>
          <w:sz w:val="24"/>
        </w:rPr>
        <w:t>Section 11.03 Consequences of an FOSUN Triggered Termination</w:t>
      </w:r>
      <w:r>
        <w:rPr>
          <w:rFonts w:ascii="Times New Roman;serif" w:hAnsi="Times New Roman;serif"/>
          <w:b w:val="false"/>
          <w:color w:val="000000"/>
          <w:sz w:val="24"/>
        </w:rPr>
        <w:t xml:space="preserve">. In the event (a) Ardelyx terminates this Agreement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for FOSUN’s material breach; (b) Ardelyx terminates this Agreement pursuant to </w:t>
      </w:r>
      <w:r>
        <w:rPr>
          <w:rFonts w:ascii="Times New Roman;serif" w:hAnsi="Times New Roman;serif"/>
          <w:b w:val="false"/>
          <w:color w:val="000000"/>
          <w:sz w:val="24"/>
          <w:u w:val="single"/>
        </w:rPr>
        <w:t>Section 11.02(c)</w:t>
      </w:r>
      <w:r>
        <w:rPr>
          <w:color w:val="000000"/>
        </w:rPr>
        <w:t xml:space="preserve"> </w:t>
      </w:r>
      <w:r>
        <w:rPr>
          <w:rFonts w:ascii="Times New Roman;serif" w:hAnsi="Times New Roman;serif"/>
          <w:b w:val="false"/>
          <w:color w:val="000000"/>
          <w:sz w:val="24"/>
        </w:rPr>
        <w:t xml:space="preserve">for patent challenge by FOSUN; (c) Ardelyx terminates this Agreement pursuant to </w:t>
      </w:r>
      <w:r>
        <w:rPr>
          <w:rFonts w:ascii="Times New Roman;serif" w:hAnsi="Times New Roman;serif"/>
          <w:b w:val="false"/>
          <w:color w:val="000000"/>
          <w:sz w:val="24"/>
          <w:u w:val="single"/>
        </w:rPr>
        <w:t>Section 11.02(d)</w:t>
      </w:r>
      <w:r>
        <w:rPr>
          <w:color w:val="000000"/>
        </w:rPr>
        <w:t xml:space="preserve"> </w:t>
      </w:r>
      <w:r>
        <w:rPr>
          <w:rFonts w:ascii="Times New Roman;serif" w:hAnsi="Times New Roman;serif"/>
          <w:b w:val="false"/>
          <w:color w:val="000000"/>
          <w:sz w:val="24"/>
        </w:rPr>
        <w:t xml:space="preserve">for FOSUN’s insolvency; or (d) FOSUN terminates this Agreement pursuant to </w:t>
      </w:r>
      <w:r>
        <w:rPr>
          <w:rFonts w:ascii="Times New Roman;serif" w:hAnsi="Times New Roman;serif"/>
          <w:b w:val="false"/>
          <w:color w:val="000000"/>
          <w:sz w:val="24"/>
          <w:u w:val="single"/>
        </w:rPr>
        <w:t>Section 11.02(b)</w:t>
      </w:r>
      <w:r>
        <w:rPr>
          <w:color w:val="000000"/>
        </w:rPr>
        <w:t xml:space="preserve"> </w:t>
      </w:r>
      <w:r>
        <w:rPr>
          <w:rFonts w:ascii="Times New Roman;serif" w:hAnsi="Times New Roman;serif"/>
          <w:b w:val="false"/>
          <w:color w:val="000000"/>
          <w:sz w:val="24"/>
        </w:rPr>
        <w:t>(a termination as per (a) through (d) being an “</w:t>
      </w:r>
      <w:r>
        <w:rPr>
          <w:rFonts w:ascii="Times New Roman;serif" w:hAnsi="Times New Roman;serif"/>
          <w:b/>
          <w:color w:val="000000"/>
          <w:sz w:val="24"/>
        </w:rPr>
        <w:t>FOSUN Triggered Termination</w:t>
      </w:r>
      <w:r>
        <w:rPr>
          <w:color w:val="000000"/>
        </w:rPr>
        <w:t>”</w:t>
      </w:r>
      <w:r>
        <w:rPr>
          <w:rFonts w:ascii="Times New Roman;serif" w:hAnsi="Times New Roman;serif"/>
          <w:b w:val="false"/>
          <w:color w:val="000000"/>
          <w:sz w:val="24"/>
        </w:rPr>
        <w:t xml:space="preserve">), both Ardelyx and FOSUN shall, subject to </w:t>
      </w:r>
      <w:r>
        <w:rPr>
          <w:rFonts w:ascii="Times New Roman;serif" w:hAnsi="Times New Roman;serif"/>
          <w:b w:val="false"/>
          <w:color w:val="000000"/>
          <w:sz w:val="24"/>
          <w:u w:val="single"/>
        </w:rPr>
        <w:t>Section 11.03(a)</w:t>
      </w:r>
      <w:r>
        <w:rPr>
          <w:rFonts w:ascii="Times New Roman;serif" w:hAnsi="Times New Roman;serif"/>
          <w:b w:val="false"/>
          <w:color w:val="000000"/>
          <w:sz w:val="24"/>
        </w:rPr>
        <w:t>, continue to be obligated during the termination notice period (as applicable) to perform as far as reasonably practicable all of its obligations under this Agreement and any</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other agreements concluded between the Parties in accordance with this Agreement. If an FOSUN Triggered Termination occurs after the first Regulatory Approval of one or more Licensed Products in the Territory, FOSUN shall continue to use Commercially Reasonable Efforts to</w:t>
      </w:r>
    </w:p>
    <w:p>
      <w:pPr>
        <w:pStyle w:val="TextBody"/>
        <w:bidi w:val="0"/>
        <w:spacing w:lineRule="auto" w:line="288" w:before="0" w:after="240"/>
        <w:jc w:val="both"/>
        <w:rPr/>
      </w:pPr>
      <w:r>
        <w:rPr>
          <w:rFonts w:ascii="Times New Roman;serif" w:hAnsi="Times New Roman;serif"/>
          <w:b w:val="false"/>
          <w:color w:val="000000"/>
          <w:sz w:val="24"/>
        </w:rPr>
        <w:t xml:space="preserve">Commercialize such Licensed Product(s) in the Territory until the earlier of (i), if applicable, the expiration of the [***] ([***]) day notice period, in the event of a termination by FOSUN pursuant to </w:t>
      </w:r>
      <w:r>
        <w:rPr>
          <w:rFonts w:ascii="Times New Roman;serif" w:hAnsi="Times New Roman;serif"/>
          <w:b w:val="false"/>
          <w:color w:val="000000"/>
          <w:sz w:val="24"/>
          <w:u w:val="single"/>
        </w:rPr>
        <w:t>Section 11.02(b)</w:t>
      </w:r>
      <w:r>
        <w:rPr>
          <w:rFonts w:ascii="Times New Roman;serif" w:hAnsi="Times New Roman;serif"/>
          <w:b w:val="false"/>
          <w:color w:val="000000"/>
          <w:sz w:val="24"/>
        </w:rPr>
        <w:t xml:space="preserve">; (ii) receipt of Ardelyx’s written notice that FOSUN may cease such Commercialization activities; or (iii), if applicable, the effective date of the termination notice issued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11.02(c)</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11.02(d)</w:t>
      </w:r>
      <w:r>
        <w:rPr>
          <w:rFonts w:ascii="Times New Roman;serif" w:hAnsi="Times New Roman;serif"/>
          <w:b w:val="false"/>
          <w:color w:val="000000"/>
          <w:sz w:val="24"/>
        </w:rPr>
        <w:t>. In addition, as a result of an FOSUN Triggered Termination the following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All licenses and rights to the Licensed Technology granted to FOSUN hereunder shall terminate as of the effective date of such termination, except to the extent and for so long as is necessary to permit FOSUN to meet its obligations under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to finish work-in-progress and sell any inventory as per </w:t>
      </w:r>
      <w:r>
        <w:rPr>
          <w:rFonts w:ascii="Times New Roman;serif" w:hAnsi="Times New Roman;serif"/>
          <w:b w:val="false"/>
          <w:color w:val="000000"/>
          <w:sz w:val="24"/>
          <w:u w:val="single"/>
        </w:rPr>
        <w:t>Section 11.03(m)</w:t>
      </w:r>
      <w:r>
        <w:rPr>
          <w:color w:val="000000"/>
        </w:rPr>
        <w:t xml:space="preserve"> </w:t>
      </w:r>
      <w:r>
        <w:rPr>
          <w:rFonts w:ascii="Times New Roman;serif" w:hAnsi="Times New Roman;serif"/>
          <w:b w:val="false"/>
          <w:color w:val="000000"/>
          <w:sz w:val="24"/>
        </w:rPr>
        <w:t>and to otherwise perform any responsibilities in connection with any then ongoing Clinical Trial or other activity that cannot be terminated as of such date under Applicable Laws, including GCP,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FOSUN shall grant, and hereby grants to Ardelyx (i) an exclusive, worldwide, royalty-free right and license, with the right to grant sublicenses, under any FOSUN Sole Invention Patents, under any FOSUN Sole Program Know-How and under FOSUN’s interest in any Joint Technology, all to the extent that the practice thereof would infringe the Licensed Patents, (ii) a non-exclusive, worldwide, royalty-free right and license, with the right to grant sublicenses, under any FOSUN Sole Invention Patents, under any FOSUN Sole Program Know-How, and under FOSUN’s interest in any Joint Technology, all to the extent that the practice thereof would not infringe the Licensed Patents, and (iii) a non-exclusive license, worldwide, royalty-free right and license, with the right to grant sublicenses, under the FOSUN [***] Technology, in the case of each of (i), (ii) and (iii) solely to Develop, make, have made, use, sell, have sold offer for sale and import Licensed Compounds and Licensed Products.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Ardelyx shall have the right (but not the obligation) to enforce the FOSUN Sole Invention Patents and FOSUN [***] Patents against any infringement relating to Licensed Products.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Ardelyx shall have the right (but not the obligation) to prosecute, maintain, enforce and defend all Licensed Patents, Ardelyx [***] Patents, and Joint Patents and FOSUN shall, as promptly as reasonably practicable, and to a reasonable extent take such other actions and execute such other instruments, assignments, and documents as may be necessary to enable Ardelyx to practice the rights set forth in this subsection (c), with such cooperation to be provided at Ardelyx’s sole cost and expense.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Each Party shall return all data, files, records and other materials in its possession or Control containing or comprising the other Party’s Confidential Information to which such first Party does not retain rights hereunder (except one copy thereof, which may be retained by the returning Party solely for legal archive purposes).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 FOSUN shall, where permitted under Applicable Laws, as promptly as reasonably practical transfer to Ardelyx all INDs, Drug Approval Applications, and Regulatory Approvals with respect to Licensed Compounds and Licensed Products, and shall take such other actions and execute such other instruments, assignments, and documents as may be necessary to affect the transfer of rights hereunder to Ardelyx. Without limiting the generality of the foregoing, FOSUN agrees to submit to the CFDA and other Regulatory Authorities where reasonably appropriate and permitted under Applicable Laws in jurisdictions in which any regulatory filings have been made with respect to the Licensed Product, within [***] ([***]) Business Days after the effective date of such termination, a letter (with copy to Ardelyx) notifying the CFDA and such other Regulatory Authorities of the transfer of any regulatory filings for the Licensed Product in such jurisdictions from FOSUN to Ardelyx. Additionally, FOSUN will provide Ardelyx with copies of regulatory filings necessary to practice the rights granted to it under this </w:t>
      </w:r>
      <w:r>
        <w:rPr>
          <w:rFonts w:ascii="Times New Roman;serif" w:hAnsi="Times New Roman;serif"/>
          <w:b w:val="false"/>
          <w:color w:val="000000"/>
          <w:sz w:val="24"/>
          <w:u w:val="single"/>
        </w:rPr>
        <w:t>Section 11.03(f)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FOSUN shall [***] assign all of its rights in and to FOSUN Trademarks which are specifically filed and maintained, and used for Licensed Products other than any other Products (and all registrations and applications for registration therefor) that it owns pursuant to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to Ardelyx and Ardelyx shall have the exclusive right (but not the obligation) to enforce the FOSUN Trademark rights against infringers.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FOSUN will assign (or cause its Affiliates to assign) to Ardelyx, at Ardelyx’s request, all of FOSUN’s (or its Affiliates’) rights and obligations under agreements with Third Parties with respect to (i) the conduct of Clinical Trials for each Licensed Product, including Agreements with contract research organizations, clinical sites and investigators that relate to Clinical Trials in support of Regulatory Approvals in the Territory, (ii) the Manufacture of Licensed Compound or Licensed Product (subject to FOSUN’s obligations under Section 5.04), and (iii) any other Third Party agreements involving the Development or Commercialization of the Licensed Products, unless in each of (i) through (iii), such agreement is not permitted to be assigned pursuant to its terms or relates to products other than Licensed Products, in which case FOSUN will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the extent they are assignable and as requested by Ardelyx, FOSUN shall execute any documents necessary to transfer to Ardelyx rights under any Third Party licenses obtained by FOSUN pursuant to and during the course of the term of this Agreement for the purpose of Exploiting the Licensed Compounds or Licensed Products, and Ardelyx shall thereafter be responsible for all costs, expenses and obligations associated with such Third Party licenses.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 If FOSUN at the time of termination was Manufacturing Licensed Product, FOSUN shall comply with the obligations set forth in </w:t>
      </w:r>
      <w:r>
        <w:rPr>
          <w:rFonts w:ascii="Times New Roman;serif" w:hAnsi="Times New Roman;serif"/>
          <w:b w:val="false"/>
          <w:color w:val="000000"/>
          <w:sz w:val="24"/>
          <w:u w:val="single"/>
        </w:rPr>
        <w:t>Section 5.04</w:t>
      </w:r>
      <w:r>
        <w:rPr>
          <w:rFonts w:ascii="Times New Roman;serif" w:hAnsi="Times New Roman;serif"/>
          <w:b w:val="false"/>
          <w:color w:val="000000"/>
          <w:sz w:val="24"/>
        </w:rPr>
        <w:t>. Upon Ardelyx’s request, FOSUN shall transfer to Ardelyx copies of all materials, data, results, analyses, reports, websites, marketing materials, technology, regulatory filings and other Information and Materials existing in tangible or electronic form at the effective date of the FOSUN Triggered Termination, that is Controlled by FOSUN and has been generated on or before the effective date of such termination by or on behalf of FOSUN, its Affiliates or Sublicensees with respect to the Licensed Products (“</w:t>
      </w:r>
      <w:r>
        <w:rPr>
          <w:rFonts w:ascii="Times New Roman;serif" w:hAnsi="Times New Roman;serif"/>
          <w:b/>
          <w:color w:val="000000"/>
          <w:sz w:val="24"/>
        </w:rPr>
        <w:t>FOSUN</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288" w:before="240" w:after="240"/>
        <w:ind w:left="0" w:right="0" w:firstLine="720"/>
        <w:jc w:val="both"/>
        <w:rPr/>
      </w:pPr>
      <w:r>
        <w:rPr>
          <w:rFonts w:ascii="Times New Roman;serif" w:hAnsi="Times New Roman;serif"/>
          <w:b/>
          <w:color w:val="000000"/>
          <w:sz w:val="24"/>
        </w:rPr>
        <w:t>Product Data</w:t>
      </w:r>
      <w:r>
        <w:rPr>
          <w:color w:val="000000"/>
        </w:rPr>
        <w:t>”</w:t>
      </w:r>
      <w:r>
        <w:rPr>
          <w:rFonts w:ascii="Times New Roman;serif" w:hAnsi="Times New Roman;serif"/>
          <w:b w:val="false"/>
          <w:color w:val="000000"/>
          <w:sz w:val="24"/>
        </w:rPr>
        <w:t>) and Ardelyx shall have the right to use on a non-exclusive basis such FOSUN Product Data to enable Ardelyx to proceed to Develop, Manufacture and Commercialize Licensed Products upon and after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(k) 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shall survive in addition to others specified in this Agreement to survive in such event.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 FOSUN shall be entitled, during a period of [***] ([***]) days following the FOSUN Triggered Termination, to finish any work-in-progress, unless Ardelyx requests the transfer thereof in accordance with the terms of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 xml:space="preserve">and to sell any inventory of the Licensed Product that remains on hand as of the date of the termination, so long as FOSUN pays to Ardelyx the royalties applicable to said subsequent sales in accordance with the terms and conditions set forth in this Agreement; provided that if such termination is by Ardelyx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that FOSUN’s rights under this </w:t>
      </w:r>
      <w:r>
        <w:rPr>
          <w:rFonts w:ascii="Times New Roman;serif" w:hAnsi="Times New Roman;serif"/>
          <w:b w:val="false"/>
          <w:color w:val="000000"/>
          <w:sz w:val="24"/>
          <w:u w:val="single"/>
        </w:rPr>
        <w:t>Section 11.03(l)</w:t>
      </w:r>
      <w:r>
        <w:rPr>
          <w:color w:val="000000"/>
        </w:rPr>
        <w:t xml:space="preserve"> </w:t>
      </w:r>
      <w:r>
        <w:rPr>
          <w:rFonts w:ascii="Times New Roman;serif" w:hAnsi="Times New Roman;serif"/>
          <w:b w:val="false"/>
          <w:color w:val="000000"/>
          <w:sz w:val="24"/>
        </w:rPr>
        <w:t>shall be subject to Ardelyx’s prior written consent, which shall not be unreasonably withheld, delayed or conditioned.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(m) Notwithstanding anything else set forth in this Agreement, (i) FOSUN shall not have any obligations to continue any Development, Manufacture or Commercialization of the relevant Licensed Compound or Licensed Product if FOSUN has terminated this Agreement pursuant to </w:t>
      </w:r>
      <w:r>
        <w:rPr>
          <w:rFonts w:ascii="Times New Roman;serif" w:hAnsi="Times New Roman;serif"/>
          <w:b w:val="false"/>
          <w:color w:val="000000"/>
          <w:sz w:val="24"/>
          <w:u w:val="single"/>
        </w:rPr>
        <w:t>Section 11.02(b)</w:t>
      </w:r>
      <w:r>
        <w:rPr>
          <w:color w:val="000000"/>
        </w:rPr>
        <w:t xml:space="preserve"> </w:t>
      </w:r>
      <w:r>
        <w:rPr>
          <w:rFonts w:ascii="Times New Roman;serif" w:hAnsi="Times New Roman;serif"/>
          <w:b w:val="false"/>
          <w:color w:val="000000"/>
          <w:sz w:val="24"/>
        </w:rPr>
        <w:t xml:space="preserve">with reference to any material safety concerns; and (ii) should Ardelyx elect to pursue any Development, Manufacture or Commercialization of the relevant Licensed Compound or Licensed Product following any such termination by FOSUN, Ardelyx shall - without prejudice to or limitation of any other or further obligations Ardelyx may have to FOSUN under this Agreement (including </w:t>
      </w:r>
      <w:r>
        <w:rPr>
          <w:rFonts w:ascii="Times New Roman;serif" w:hAnsi="Times New Roman;serif"/>
          <w:b w:val="false"/>
          <w:color w:val="000000"/>
          <w:sz w:val="24"/>
          <w:u w:val="single"/>
        </w:rPr>
        <w:t>Section 12.01(b)</w:t>
      </w:r>
      <w:r>
        <w:rPr>
          <w:rFonts w:ascii="Times New Roman;serif" w:hAnsi="Times New Roman;serif"/>
          <w:b w:val="false"/>
          <w:color w:val="000000"/>
          <w:sz w:val="24"/>
        </w:rPr>
        <w:t xml:space="preserve">) - indemnify FOSUN for any Third Party claims arising from Ardelyx’s Development, Manufacture or Commercialization after the effective date of the termination of the relevant Licensed Compound or Licensed Product as set forth in </w:t>
      </w:r>
      <w:r>
        <w:rPr>
          <w:rFonts w:ascii="Times New Roman;serif" w:hAnsi="Times New Roman;serif"/>
          <w:b w:val="false"/>
          <w:color w:val="000000"/>
          <w:sz w:val="24"/>
          <w:u w:val="single"/>
        </w:rPr>
        <w:t>Section 12.01(b)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11.04 Consequences of Termination (or Right to Terminate) by FOSUN for Ardelyx’s breach or insolvency</w:t>
      </w:r>
      <w:r>
        <w:rPr>
          <w:rFonts w:ascii="Times New Roman;serif" w:hAnsi="Times New Roman;serif"/>
          <w:b w:val="false"/>
          <w:color w:val="000000"/>
          <w:sz w:val="24"/>
        </w:rPr>
        <w:t xml:space="preserve">. If FOSUN is entitled to terminate this Agreement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as a result of a material breach by Ardelyx or </w:t>
      </w:r>
      <w:r>
        <w:rPr>
          <w:rFonts w:ascii="Times New Roman;serif" w:hAnsi="Times New Roman;serif"/>
          <w:b w:val="false"/>
          <w:color w:val="000000"/>
          <w:sz w:val="24"/>
          <w:u w:val="single"/>
        </w:rPr>
        <w:t>Section 11.02(d)</w:t>
      </w:r>
      <w:r>
        <w:rPr>
          <w:color w:val="000000"/>
        </w:rPr>
        <w:t xml:space="preserve"> </w:t>
      </w:r>
      <w:r>
        <w:rPr>
          <w:rFonts w:ascii="Times New Roman;serif" w:hAnsi="Times New Roman;serif"/>
          <w:b w:val="false"/>
          <w:color w:val="000000"/>
          <w:sz w:val="24"/>
        </w:rPr>
        <w:t xml:space="preserve">for an insolvency or other transaction described therein affecting Ardelyx, FOSUN may elect to terminate this Agreement subject to the provisions set forth in </w:t>
      </w:r>
      <w:r>
        <w:rPr>
          <w:rFonts w:ascii="Times New Roman;serif" w:hAnsi="Times New Roman;serif"/>
          <w:b w:val="false"/>
          <w:color w:val="000000"/>
          <w:sz w:val="24"/>
          <w:u w:val="single"/>
        </w:rPr>
        <w:t>Section 11.04(a)</w:t>
      </w:r>
      <w:r>
        <w:rPr>
          <w:rFonts w:ascii="Times New Roman;serif" w:hAnsi="Times New Roman;serif"/>
          <w:b w:val="false"/>
          <w:color w:val="000000"/>
          <w:sz w:val="24"/>
        </w:rPr>
        <w:t xml:space="preserve">, or to continue the Agreement subject to the provisions set forth in </w:t>
      </w:r>
      <w:r>
        <w:rPr>
          <w:rFonts w:ascii="Times New Roman;serif" w:hAnsi="Times New Roman;serif"/>
          <w:b w:val="false"/>
          <w:color w:val="000000"/>
          <w:sz w:val="24"/>
          <w:u w:val="single"/>
        </w:rPr>
        <w:t>Section 11.04(b)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If FOSUN terminates the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or under </w:t>
      </w:r>
      <w:r>
        <w:rPr>
          <w:rFonts w:ascii="Times New Roman;serif" w:hAnsi="Times New Roman;serif"/>
          <w:b w:val="false"/>
          <w:color w:val="000000"/>
          <w:sz w:val="24"/>
          <w:u w:val="single"/>
        </w:rPr>
        <w:t>Section 11.02(d)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shall apply as if such termination were a FOSUN Triggered Termination, except that (i) notwithstanding anything set forth to the contrary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 Ardelyx shall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and (ii)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n consideration of [***] and any other rights granted under the above provisions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if this Agreement is terminated pursuant to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by FOSUN [***] Ardelyx shall [***];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 The foregoing shall be [***] in connection with its termination pursuant to </w:t>
      </w:r>
      <w:r>
        <w:rPr>
          <w:rFonts w:ascii="Times New Roman;serif" w:hAnsi="Times New Roman;serif"/>
          <w:b w:val="false"/>
          <w:color w:val="000000"/>
          <w:sz w:val="24"/>
          <w:u w:val="single"/>
        </w:rPr>
        <w:t>Section 11.02(a)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(b) If FOSUN has the right to terminate this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11.02(d)</w:t>
      </w:r>
      <w:r>
        <w:rPr>
          <w:rFonts w:ascii="Times New Roman;serif" w:hAnsi="Times New Roman;serif"/>
          <w:b w:val="false"/>
          <w:color w:val="000000"/>
          <w:sz w:val="24"/>
        </w:rPr>
        <w:t xml:space="preserve">, but elects to continue this Agreement, this Agreement shall continue in full force and effect except that if FOSUN is entitled to terminate this Agreement under </w:t>
      </w:r>
      <w:r>
        <w:rPr>
          <w:rFonts w:ascii="Times New Roman;serif" w:hAnsi="Times New Roman;serif"/>
          <w:b w:val="false"/>
          <w:color w:val="000000"/>
          <w:sz w:val="24"/>
          <w:u w:val="single"/>
        </w:rPr>
        <w:t>Section 11.02(a)</w:t>
      </w:r>
      <w:r>
        <w:rPr>
          <w:color w:val="000000"/>
        </w:rPr>
        <w:t xml:space="preserve"> </w:t>
      </w:r>
      <w:r>
        <w:rPr>
          <w:rFonts w:ascii="Times New Roman;serif" w:hAnsi="Times New Roman;serif"/>
          <w:b w:val="false"/>
          <w:color w:val="000000"/>
          <w:sz w:val="24"/>
        </w:rPr>
        <w:t xml:space="preserve">due to Ardelyx breach (but not if FOSUN’s right to terminate is based solely on Ardelyx’s insolvency pursuant to </w:t>
      </w:r>
      <w:r>
        <w:rPr>
          <w:rFonts w:ascii="Times New Roman;serif" w:hAnsi="Times New Roman;serif"/>
          <w:b w:val="false"/>
          <w:color w:val="000000"/>
          <w:sz w:val="24"/>
          <w:u w:val="single"/>
        </w:rPr>
        <w:t>Section 11.02(d))</w:t>
      </w:r>
      <w:r>
        <w:rPr>
          <w:rFonts w:ascii="Times New Roman;serif" w:hAnsi="Times New Roman;serif"/>
          <w:b w:val="false"/>
          <w:color w:val="000000"/>
          <w:sz w:val="24"/>
        </w:rPr>
        <w:t xml:space="preserve">, the royalties that Ardelyx shall be entitled to receive on Net Sales of Licensed Products by FOSUN, its Affiliates, or its Sublicensees as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shall each be reduced by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shall survive in addition to others specified in this Agreement to survive in such event.</w:t>
      </w:r>
    </w:p>
    <w:p>
      <w:pPr>
        <w:pStyle w:val="TextBody"/>
        <w:bidi w:val="0"/>
        <w:spacing w:lineRule="auto" w:line="288" w:before="0" w:after="240"/>
        <w:ind w:left="0" w:right="0" w:firstLine="720"/>
        <w:jc w:val="both"/>
        <w:rPr/>
      </w:pPr>
      <w:r>
        <w:rPr>
          <w:rFonts w:ascii="Times New Roman;serif" w:hAnsi="Times New Roman;serif"/>
          <w:b/>
          <w:color w:val="000000"/>
          <w:sz w:val="24"/>
        </w:rPr>
        <w:t>Section 11.05 Bankruptcy</w:t>
      </w:r>
      <w:r>
        <w:rPr>
          <w:rFonts w:ascii="Times New Roman;serif" w:hAnsi="Times New Roman;serif"/>
          <w:b w:val="false"/>
          <w:color w:val="000000"/>
          <w:sz w:val="24"/>
        </w:rPr>
        <w:t>. All rights and licenses granted under or pursuant to this Agreement by a Party are, and shall otherwise be 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pStyle w:val="TextBody"/>
        <w:bidi w:val="0"/>
        <w:spacing w:lineRule="auto" w:line="288" w:before="0" w:after="240"/>
        <w:ind w:left="0" w:right="0" w:firstLine="720"/>
        <w:jc w:val="both"/>
        <w:rPr/>
      </w:pPr>
      <w:r>
        <w:rPr>
          <w:rFonts w:ascii="Times New Roman;serif" w:hAnsi="Times New Roman;serif"/>
          <w:b/>
          <w:color w:val="000000"/>
          <w:sz w:val="24"/>
        </w:rPr>
        <w:t>Section 11.06 Surviving Rights and Obligations.</w:t>
      </w:r>
      <w:r>
        <w:rPr>
          <w:color w:val="000000"/>
        </w:rPr>
        <w:t xml:space="preserve"> </w:t>
      </w:r>
      <w:r>
        <w:rPr>
          <w:rFonts w:ascii="Times New Roman;serif" w:hAnsi="Times New Roman;serif"/>
          <w:b w:val="false"/>
          <w:color w:val="000000"/>
          <w:sz w:val="24"/>
        </w:rPr>
        <w:t xml:space="preserve">The rights and obligations set forth in this Agreement shall extend beyond the expiration or termination of the 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 In the event of expiration or termination of this Agreement for any reason, the following provisions shall survive in addition to others specified in this Agreement to survive in such event: Article I, Article VII (with the exception of </w:t>
      </w:r>
      <w:r>
        <w:rPr>
          <w:rFonts w:ascii="Times New Roman;serif" w:hAnsi="Times New Roman;serif"/>
          <w:b w:val="false"/>
          <w:color w:val="000000"/>
          <w:sz w:val="24"/>
          <w:u w:val="single"/>
        </w:rPr>
        <w:t>Section 7.03</w:t>
      </w:r>
      <w:r>
        <w:rPr>
          <w:rFonts w:ascii="Times New Roman;serif" w:hAnsi="Times New Roman;serif"/>
          <w:b w:val="false"/>
          <w:color w:val="000000"/>
          <w:sz w:val="24"/>
        </w:rPr>
        <w:t xml:space="preserve">), Article X, Article XII (solely as to actions arising during the term of this Agreement, or as to activities conducted in the course of a Party’s exercise of licenses surviving after the term of this Agreement), Article XIII and Article XIV, and,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(to the extent Covenant Period 2 is extended by its terms),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through Section 6.07 (solely to the extent provided in Section 11.03 and </w:t>
      </w:r>
      <w:r>
        <w:rPr>
          <w:rFonts w:ascii="Times New Roman;serif" w:hAnsi="Times New Roman;serif"/>
          <w:b w:val="false"/>
          <w:color w:val="000000"/>
          <w:sz w:val="24"/>
          <w:u w:val="single"/>
        </w:rPr>
        <w:t>Section 11.04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288" w:before="240" w:after="240"/>
        <w:jc w:val="both"/>
        <w:rPr/>
      </w:pPr>
      <w:r>
        <w:rPr>
          <w:rFonts w:ascii="Times New Roman;serif" w:hAnsi="Times New Roman;serif"/>
          <w:b w:val="false"/>
          <w:color w:val="000000"/>
          <w:sz w:val="24"/>
          <w:u w:val="single"/>
        </w:rPr>
        <w:t>Section 6.078</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 xml:space="preserve">inclusive (solely with respect to payments received following the effective date of termination or expiration),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(with regard to disclosure of the Joint Technology and Sole Program Know-How invented during the Term),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(solely with respect to Joint Patents, </w:t>
      </w:r>
      <w:r>
        <w:rPr>
          <w:rFonts w:ascii="Times New Roman;serif" w:hAnsi="Times New Roman;serif"/>
          <w:b w:val="false"/>
          <w:color w:val="000000"/>
          <w:sz w:val="24"/>
          <w:u w:val="single"/>
        </w:rPr>
        <w:t>Section 8.05(c), Section 11.02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11.06 and Section 11.07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11.07 Accrued Rights.</w:t>
      </w:r>
      <w:r>
        <w:rPr>
          <w:color w:val="000000"/>
        </w:rPr>
        <w:t xml:space="preserve"> </w:t>
      </w:r>
      <w:r>
        <w:rPr>
          <w:rFonts w:ascii="Times New Roman;serif" w:hAnsi="Times New Roman;serif"/>
          <w:b w:val="false"/>
          <w:color w:val="000000"/>
          <w:sz w:val="24"/>
        </w:rPr>
        <w:t>Termination, relinquishment, or expiration of the Agreement for any reason shall be without prejudice to any rights that shall have accrued to the benefit of either Party prior to such termination, relinquishment, or expiration, including without limitation damages arising from any breach hereunder. Such termination, relinquishment, or expiration shall not relieve either Party from obligations that are expressly indicated to survive termination or expiration of the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INDEMNIFICATION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12.01 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FOSUN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or demands made or brought by a Sublicensee or other Third Party (collectively, “</w:t>
      </w:r>
      <w:r>
        <w:rPr>
          <w:rFonts w:ascii="Times New Roman;serif" w:hAnsi="Times New Roman;serif"/>
          <w:b/>
          <w:color w:val="000000"/>
          <w:sz w:val="24"/>
        </w:rPr>
        <w:t>Third Party Claims</w:t>
      </w:r>
      <w:r>
        <w:rPr>
          <w:color w:val="000000"/>
        </w:rPr>
        <w:t>”</w:t>
      </w:r>
      <w:r>
        <w:rPr>
          <w:rFonts w:ascii="Times New Roman;serif" w:hAnsi="Times New Roman;serif"/>
          <w:b w:val="false"/>
          <w:color w:val="000000"/>
          <w:sz w:val="24"/>
        </w:rPr>
        <w:t xml:space="preserve">) against Ardelyx, its Affiliates or their respective employees, officers, directors or agents, that result from or arise out of [***], except in any case, to the extent such Losses are Losses for which Ardelyx has an obligation to indemnify FOSUN, its Affiliates or their respective employees, officers, directors or agents pursuant to </w:t>
      </w:r>
      <w:r>
        <w:rPr>
          <w:rFonts w:ascii="Times New Roman;serif" w:hAnsi="Times New Roman;serif"/>
          <w:b w:val="false"/>
          <w:color w:val="000000"/>
          <w:sz w:val="24"/>
          <w:u w:val="single"/>
        </w:rPr>
        <w:t>Section 12.01(b)</w:t>
      </w:r>
      <w:r>
        <w:rPr>
          <w:rFonts w:ascii="Times New Roman;serif" w:hAnsi="Times New Roman;serif"/>
          <w:b w:val="false"/>
          <w:color w:val="000000"/>
          <w:sz w:val="24"/>
        </w:rPr>
        <w:t>, as to which Losses each Party shall indemnify the other to the extent of their respective liability for such Losses.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Ardelyx hereby agrees to indemnify, defend and hold harmless FOSUN, its Affiliates, and each of its and their respective employees, officers, directors and agents from an against any and all Losses incurred by them resulting from or arising out of or in connection with any Third Party Claims against FOSUN, its Affiliates or their respective employees, officers, directors or agents, that result from or arise out of [***]; except in any case, to the extent such Losses are Losses for which FOSUN has an obligation to indemnify Ardelyx, its Affiliates or their respective employees, officers, directors or agents pursuant to </w:t>
      </w:r>
      <w:r>
        <w:rPr>
          <w:rFonts w:ascii="Times New Roman;serif" w:hAnsi="Times New Roman;serif"/>
          <w:b w:val="false"/>
          <w:color w:val="000000"/>
          <w:sz w:val="24"/>
          <w:u w:val="single"/>
        </w:rPr>
        <w:t>Section 12.01(a)</w:t>
      </w:r>
      <w:r>
        <w:rPr>
          <w:rFonts w:ascii="Times New Roman;serif" w:hAnsi="Times New Roman;serif"/>
          <w:b w:val="false"/>
          <w:color w:val="000000"/>
          <w:sz w:val="24"/>
        </w:rPr>
        <w:t>, as to which Losses each Party shall indemnify the other to the extent of their respective liability for such Losses.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12.02 Mechanism.</w:t>
      </w:r>
    </w:p>
    <w:p>
      <w:pPr>
        <w:pStyle w:val="TextBody"/>
        <w:bidi w:val="0"/>
        <w:spacing w:lineRule="auto" w:line="288" w:before="0" w:after="240"/>
        <w:ind w:left="0" w:right="0" w:firstLine="720"/>
        <w:jc w:val="both"/>
        <w:rPr/>
      </w:pPr>
      <w:r>
        <w:rPr>
          <w:rFonts w:ascii="Times New Roman;serif" w:hAnsi="Times New Roman;serif"/>
          <w:b w:val="false"/>
          <w:color w:val="000000"/>
          <w:sz w:val="24"/>
        </w:rPr>
        <w:t>(a) In the event that a Party (the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xml:space="preserve">) is seeking indemnification under </w:t>
      </w:r>
      <w:r>
        <w:rPr>
          <w:rFonts w:ascii="Times New Roman;serif" w:hAnsi="Times New Roman;serif"/>
          <w:b w:val="false"/>
          <w:color w:val="000000"/>
          <w:sz w:val="24"/>
          <w:u w:val="single"/>
        </w:rPr>
        <w:t>Section 12.01(a)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12.01(b)</w:t>
      </w:r>
      <w:r>
        <w:rPr>
          <w:rFonts w:ascii="Times New Roman;serif" w:hAnsi="Times New Roman;serif"/>
          <w:b w:val="false"/>
          <w:color w:val="000000"/>
          <w:sz w:val="24"/>
        </w:rPr>
        <w:t>, it shall notify the other Party (the “</w:t>
      </w:r>
      <w:r>
        <w:rPr>
          <w:rFonts w:ascii="Times New Roman;serif" w:hAnsi="Times New Roman;serif"/>
          <w:b/>
          <w:color w:val="000000"/>
          <w:sz w:val="24"/>
        </w:rPr>
        <w:t>Indemnifying Party</w:t>
      </w:r>
      <w:r>
        <w:rPr>
          <w:color w:val="000000"/>
        </w:rPr>
        <w:t>”</w:t>
      </w:r>
      <w:r>
        <w:rPr>
          <w:rFonts w:ascii="Times New Roman;serif" w:hAnsi="Times New Roman;serif"/>
          <w:b w:val="false"/>
          <w:color w:val="000000"/>
          <w:sz w:val="24"/>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Notwithstanding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 </w:t>
      </w:r>
      <w:r>
        <w:rPr>
          <w:rFonts w:ascii="Times New Roman;serif" w:hAnsi="Times New Roman;serif"/>
          <w:b w:val="false"/>
          <w:color w:val="000000"/>
          <w:sz w:val="24"/>
          <w:u w:val="single"/>
        </w:rPr>
        <w:t>Section 12.02(a)</w:t>
      </w:r>
      <w:r>
        <w:rPr>
          <w:color w:val="000000"/>
        </w:rPr>
        <w:t xml:space="preserve"> </w:t>
      </w:r>
      <w:r>
        <w:rPr>
          <w:rFonts w:ascii="Times New Roman;serif" w:hAnsi="Times New Roman;serif"/>
          <w:b w:val="false"/>
          <w:color w:val="000000"/>
          <w:sz w:val="24"/>
        </w:rPr>
        <w:t xml:space="preserve">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pStyle w:val="TextBody"/>
        <w:bidi w:val="0"/>
        <w:spacing w:lineRule="auto" w:line="288" w:before="0" w:after="240"/>
        <w:ind w:left="0" w:right="0" w:firstLine="720"/>
        <w:jc w:val="both"/>
        <w:rPr/>
      </w:pPr>
      <w:r>
        <w:rPr>
          <w:rFonts w:ascii="Times New Roman;serif" w:hAnsi="Times New Roman;serif"/>
          <w:b/>
          <w:color w:val="000000"/>
          <w:sz w:val="24"/>
        </w:rPr>
        <w:t>Section 12.03 Insurance</w:t>
      </w:r>
      <w:r>
        <w:rPr>
          <w:rFonts w:ascii="Times New Roman;serif" w:hAnsi="Times New Roman;serif"/>
          <w:b w:val="false"/>
          <w:color w:val="000000"/>
          <w:sz w:val="24"/>
        </w:rPr>
        <w:t>. Each Party shall have and maintain such type and amounts of liability insurance covering the Manufacture, supply, use and sale of the Licensed Compounds and the Licensed Products as is normal and customary in the pharmaceutical industry generally for Persons similarly situated, and shall upon request provide the other Party with a copy of its policies of insurance in that regard, along with any amendments and revisions thereto.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DISPUTE RESOLUTION</w:t>
      </w:r>
    </w:p>
    <w:p>
      <w:pPr>
        <w:pStyle w:val="TextBody"/>
        <w:bidi w:val="0"/>
        <w:spacing w:lineRule="auto" w:line="288" w:before="0" w:after="240"/>
        <w:ind w:left="0" w:right="0" w:firstLine="720"/>
        <w:jc w:val="both"/>
        <w:rPr/>
      </w:pPr>
      <w:r>
        <w:rPr>
          <w:rFonts w:ascii="Times New Roman;serif" w:hAnsi="Times New Roman;serif"/>
          <w:b/>
          <w:color w:val="000000"/>
          <w:sz w:val="24"/>
        </w:rPr>
        <w:t>Section 13.01 Referral of Disputes to the Parties Senior Executives</w:t>
      </w:r>
      <w:r>
        <w:rPr>
          <w:rFonts w:ascii="Times New Roman;serif" w:hAnsi="Times New Roman;serif"/>
          <w:b w:val="false"/>
          <w:color w:val="000000"/>
          <w:sz w:val="24"/>
        </w:rPr>
        <w:t>. In the event of any dispute between the Parties arising out of or in connection with this Agreement, either Party may, by written notice to the other, have such dispute referred to the Senior Executives for attempted resolution by good faith negotiations within [***] ([***]) days after such notice is received.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13.02 Mechanism.</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(a) If (i) Ardelyx at any time has a good faith belief that FOSUN may be in material breach of its obligations under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(ii) Ardelyx has notified FOSUN of its belief in writing and the Parties are not in agreement as to whether or not such breach under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exists, and (iii) the Parties have not resolved the dispute through good faith negotiations pursuant to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within the prescribed time, then Ardelyx shall have the right (but not the obligation) to request, through written notice to FOSUN (a “</w:t>
      </w:r>
      <w:r>
        <w:rPr>
          <w:rFonts w:ascii="Times New Roman;serif" w:hAnsi="Times New Roman;serif"/>
          <w:b/>
          <w:color w:val="000000"/>
          <w:sz w:val="24"/>
        </w:rPr>
        <w:t>Mediation Notice</w:t>
      </w:r>
      <w:r>
        <w:rPr>
          <w:color w:val="000000"/>
        </w:rPr>
        <w:t>”</w:t>
      </w:r>
      <w:r>
        <w:rPr>
          <w:rFonts w:ascii="Times New Roman;serif" w:hAnsi="Times New Roman;serif"/>
          <w:b w:val="false"/>
          <w:color w:val="000000"/>
          <w:sz w:val="24"/>
        </w:rPr>
        <w:t xml:space="preserve">) within thirty (30) days after the expiry of the time period set forth in </w:t>
      </w:r>
      <w:r>
        <w:rPr>
          <w:rFonts w:ascii="Times New Roman;serif" w:hAnsi="Times New Roman;serif"/>
          <w:b w:val="false"/>
          <w:color w:val="000000"/>
          <w:sz w:val="24"/>
          <w:u w:val="single"/>
        </w:rPr>
        <w:t>Section 13.01</w:t>
      </w:r>
      <w:r>
        <w:rPr>
          <w:rFonts w:ascii="Times New Roman;serif" w:hAnsi="Times New Roman;serif"/>
          <w:b w:val="false"/>
          <w:color w:val="000000"/>
          <w:sz w:val="24"/>
        </w:rPr>
        <w:t>, that the Parties shall attempt in good faith to settle such dispute by mediation administered by the American Arbitration Association (“</w:t>
      </w:r>
      <w:r>
        <w:rPr>
          <w:rFonts w:ascii="Times New Roman;serif" w:hAnsi="Times New Roman;serif"/>
          <w:b/>
          <w:color w:val="000000"/>
          <w:sz w:val="24"/>
        </w:rPr>
        <w:t>AAA</w:t>
      </w:r>
      <w:r>
        <w:rPr>
          <w:color w:val="000000"/>
        </w:rPr>
        <w:t>”</w:t>
      </w:r>
      <w:r>
        <w:rPr>
          <w:rFonts w:ascii="Times New Roman;serif" w:hAnsi="Times New Roman;serif"/>
          <w:b w:val="false"/>
          <w:color w:val="000000"/>
          <w:sz w:val="24"/>
        </w:rPr>
        <w:t xml:space="preserve">) under its Commercial Mediation Procedures. For clarity, Ardelyx shall not be obligated to exercise its right to initiate mediation pursuant to this Section 13.02(a) before initiating arbitration pursuant to </w:t>
      </w:r>
      <w:r>
        <w:rPr>
          <w:rFonts w:ascii="Times New Roman;serif" w:hAnsi="Times New Roman;serif"/>
          <w:b w:val="false"/>
          <w:color w:val="000000"/>
          <w:sz w:val="24"/>
          <w:u w:val="single"/>
        </w:rPr>
        <w:t>Section 13.02(b)</w:t>
      </w:r>
      <w:r>
        <w:rPr>
          <w:rFonts w:ascii="Times New Roman;serif" w:hAnsi="Times New Roman;serif"/>
          <w:b w:val="false"/>
          <w:color w:val="000000"/>
          <w:sz w:val="24"/>
        </w:rPr>
        <w:t xml:space="preserve">, or before notifying FOSUN that it is exercising its right of termination under </w:t>
      </w:r>
      <w:r>
        <w:rPr>
          <w:rFonts w:ascii="Times New Roman;serif" w:hAnsi="Times New Roman;serif"/>
          <w:b w:val="false"/>
          <w:color w:val="000000"/>
          <w:sz w:val="24"/>
          <w:u w:val="single"/>
        </w:rPr>
        <w:t>Section 11.02(a)</w:t>
      </w:r>
      <w:r>
        <w:rPr>
          <w:rFonts w:ascii="Times New Roman;serif" w:hAnsi="Times New Roman;serif"/>
          <w:b w:val="false"/>
          <w:color w:val="000000"/>
          <w:sz w:val="24"/>
        </w:rPr>
        <w:t xml:space="preserve">. If Ardelyx’s elects to exercise its right to initiate mediation within the prescribed time, then the following shall apply: If the Parties are unable to reach agreement on the selection of the mediator within fifteen (15) Business Days after FOSUN’s receipt of the Mediation Notice from Ardelyx, then either or both Parties shall immediately request the AAA to select a mediator with the requisite background, experience and expertise in the biopharmaceutical industry to assist the Parties in resolving the dispute amicably. The place of mediation shall be San Francisco, California,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AAA to mediate such matter. Any decisions or recommendations of the mediator shall be confidential and non-binding on the Parties. If the Parties are unable to resolve the dispute through mediation pursuant to this Section 13.02(a) within a period of ninety (90) days following FOSUN’s receipt of the Mediation Notice from Ardelyx, then Ardelyx shall thereafter have the right to refer the dispute to arbitration pursuant to </w:t>
      </w:r>
      <w:r>
        <w:rPr>
          <w:rFonts w:ascii="Times New Roman;serif" w:hAnsi="Times New Roman;serif"/>
          <w:b w:val="false"/>
          <w:color w:val="000000"/>
          <w:sz w:val="24"/>
          <w:u w:val="single"/>
        </w:rPr>
        <w:t>Section 13.02(b)</w:t>
      </w:r>
      <w:r>
        <w:rPr>
          <w:color w:val="000000"/>
        </w:rPr>
        <w:t xml:space="preserve"> </w:t>
      </w:r>
      <w:r>
        <w:rPr>
          <w:rFonts w:ascii="Times New Roman;serif" w:hAnsi="Times New Roman;serif"/>
          <w:b w:val="false"/>
          <w:color w:val="000000"/>
          <w:sz w:val="24"/>
        </w:rPr>
        <w:t xml:space="preserve">or notify FOSUN that it is exercising its right of termination under </w:t>
      </w:r>
      <w:r>
        <w:rPr>
          <w:rFonts w:ascii="Times New Roman;serif" w:hAnsi="Times New Roman;serif"/>
          <w:b w:val="false"/>
          <w:color w:val="000000"/>
          <w:sz w:val="24"/>
          <w:u w:val="single"/>
        </w:rPr>
        <w:t>Section 11.02(a).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Subject to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 xml:space="preserve">and Section 13.02(a), any dispute, controversy or claim arising out of or relating to this Agreement, including the existence, negotiation, validity, formation, interpretation, breach, performance or application of this Agreement shall be settled by binding arbitration administered by the AAA in accordance with its Commercial Arbitration Rules (or the AAA International Arbitration Rules, if recommended under the AAA guidelines), as such rules may be modified by this </w:t>
      </w:r>
      <w:r>
        <w:rPr>
          <w:rFonts w:ascii="Times New Roman;serif" w:hAnsi="Times New Roman;serif"/>
          <w:b w:val="false"/>
          <w:color w:val="000000"/>
          <w:sz w:val="24"/>
          <w:u w:val="single"/>
        </w:rPr>
        <w:t>Section 13.02(b)</w:t>
      </w:r>
      <w:r>
        <w:rPr>
          <w:color w:val="000000"/>
        </w:rPr>
        <w:t xml:space="preserve"> </w:t>
      </w:r>
      <w:r>
        <w:rPr>
          <w:rFonts w:ascii="Times New Roman;serif" w:hAnsi="Times New Roman;serif"/>
          <w:b w:val="false"/>
          <w:color w:val="000000"/>
          <w:sz w:val="24"/>
        </w:rPr>
        <w:t>or otherwise by subsequent written agreement of the Parties.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place of arbitration shall be New York City, New York, and all proceedings and communications shall be in English. The Parties shall have the right to be represented by counsel. Any judgment or award rendered by the arbitrators shall be final and binding on the Parties. The Parties agree that such judgment or award may be enforced in any court of competent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Section 13.03 Preliminary Injunctions</w:t>
      </w:r>
      <w:r>
        <w:rPr>
          <w:rFonts w:ascii="Times New Roman;serif" w:hAnsi="Times New Roman;serif"/>
          <w:b w:val="false"/>
          <w:color w:val="000000"/>
          <w:sz w:val="24"/>
        </w:rPr>
        <w:t>. Notwithstanding anything to the contrary, a Party may seek a temporary restraining order or a preliminary injunction from any court of competent jurisdiction in order to prevent immediate and irreparable injury, loss, or damage on a provisional basis, pending the decision of the arbitrator(s) on the ultimate merits of any dispute.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color w:val="000000"/>
          <w:sz w:val="24"/>
        </w:rPr>
        <w:t>Section 13.04 Patent Disputes</w:t>
      </w:r>
      <w:r>
        <w:rPr>
          <w:rFonts w:ascii="Times New Roman;serif" w:hAnsi="Times New Roman;serif"/>
          <w:b w:val="false"/>
          <w:color w:val="000000"/>
          <w:sz w:val="24"/>
        </w:rPr>
        <w:t>. Notwithstanding anything to the contrary, any and all issues regarding the scope, inventorship, construction, validity, or enforceability of Patents shall be determined in a court of competent jurisdiction under the local patent laws of the jurisdictions having issued the Patents in question.</w:t>
      </w:r>
    </w:p>
    <w:p>
      <w:pPr>
        <w:pStyle w:val="TextBody"/>
        <w:bidi w:val="0"/>
        <w:spacing w:lineRule="auto" w:line="288" w:before="0" w:after="240"/>
        <w:ind w:left="0" w:right="0" w:firstLine="720"/>
        <w:jc w:val="both"/>
        <w:rPr/>
      </w:pPr>
      <w:r>
        <w:rPr>
          <w:rFonts w:ascii="Times New Roman;serif" w:hAnsi="Times New Roman;serif"/>
          <w:b/>
          <w:color w:val="000000"/>
          <w:sz w:val="24"/>
        </w:rPr>
        <w:t>Section 13.05 Confidentiality</w:t>
      </w:r>
      <w:r>
        <w:rPr>
          <w:rFonts w:ascii="Times New Roman;serif" w:hAnsi="Times New Roman;serif"/>
          <w:b w:val="false"/>
          <w:color w:val="000000"/>
          <w:sz w:val="24"/>
        </w:rPr>
        <w:t xml:space="preserve">. All proceedings and decisions of the arbitrator(s) in connection with an arbitral proceeding pursuant to </w:t>
      </w:r>
      <w:r>
        <w:rPr>
          <w:rFonts w:ascii="Times New Roman;serif" w:hAnsi="Times New Roman;serif"/>
          <w:b w:val="false"/>
          <w:color w:val="000000"/>
          <w:sz w:val="24"/>
          <w:u w:val="single"/>
        </w:rPr>
        <w:t>Section 13.02</w:t>
      </w:r>
      <w:r>
        <w:rPr>
          <w:color w:val="000000"/>
        </w:rPr>
        <w:t xml:space="preserve"> </w:t>
      </w:r>
      <w:r>
        <w:rPr>
          <w:rFonts w:ascii="Times New Roman;serif" w:hAnsi="Times New Roman;serif"/>
          <w:b w:val="false"/>
          <w:color w:val="000000"/>
          <w:sz w:val="24"/>
        </w:rPr>
        <w:t xml:space="preserve">shall be deemed Confidential Information of each of the Parties and shall be subject to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14.01 Assignment; Performance by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Neither Party may assign any of its rights or obligations under this Agreement in any country in whole or in part without the prior written consent of the other Party, except that each Party shall have the right, without such consent, (i) to perform any of its obligations and exercise any of its rights under this Agreement through, and to assign all of its rights and obligations under this Agreement to, any of its Affiliates, such performance or exercise by such Affiliate, or such assignment, as applicable, [***]; and (ii) on written notice to the other Party, to assign all of its rights and obligations under this Agreement to a non-Affiliate successor in interest, whether by merger, consolidation, reorganization, acquisition, stock purchase, asset purchase or other similar transaction, to all or substantially all of the business to which this Agreement relates. In the event that a Party performs its obligations or exercises its rights under this Agreement through an Affiliate (without having assigned all of its rights and obligations to such Affiliate as permitted under this </w:t>
      </w:r>
      <w:r>
        <w:rPr>
          <w:rFonts w:ascii="Times New Roman;serif" w:hAnsi="Times New Roman;serif"/>
          <w:b w:val="false"/>
          <w:color w:val="000000"/>
          <w:sz w:val="24"/>
          <w:u w:val="single"/>
        </w:rPr>
        <w:t>Section 14.01</w:t>
      </w:r>
      <w:r>
        <w:rPr>
          <w:rFonts w:ascii="Times New Roman;serif" w:hAnsi="Times New Roman;serif"/>
          <w:b w:val="false"/>
          <w:color w:val="000000"/>
          <w:sz w:val="24"/>
        </w:rPr>
        <w:t>),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This Agreement shall survive any succession of interest permitted pursuant to </w:t>
      </w:r>
      <w:r>
        <w:rPr>
          <w:rFonts w:ascii="Times New Roman;serif" w:hAnsi="Times New Roman;serif"/>
          <w:b w:val="false"/>
          <w:color w:val="000000"/>
          <w:sz w:val="24"/>
          <w:u w:val="single"/>
        </w:rPr>
        <w:t>Section 14.01(a)(ii)</w:t>
      </w:r>
      <w:r>
        <w:rPr>
          <w:rFonts w:ascii="Times New Roman;serif" w:hAnsi="Times New Roman;serif"/>
          <w:b w:val="false"/>
          <w:color w:val="000000"/>
          <w:sz w:val="24"/>
        </w:rPr>
        <w:t>, whether by merger, consolidation, reorganization, acquisition, stock purchase, asset purchase or other similar transaction, provided, that, in the event of such merger, 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This Agreement shall be binding upon and inure to the benefit of the successors and permitted assigns of the Parties. Any assignment not in accordance with this Agreement shall be void.</w:t>
      </w:r>
    </w:p>
    <w:p>
      <w:pPr>
        <w:pStyle w:val="TextBody"/>
        <w:bidi w:val="0"/>
        <w:spacing w:lineRule="auto" w:line="288" w:before="0" w:after="240"/>
        <w:ind w:left="0" w:right="0" w:firstLine="720"/>
        <w:jc w:val="both"/>
        <w:rPr/>
      </w:pPr>
      <w:r>
        <w:rPr>
          <w:rFonts w:ascii="Times New Roman;serif" w:hAnsi="Times New Roman;serif"/>
          <w:b/>
          <w:color w:val="000000"/>
          <w:sz w:val="24"/>
        </w:rPr>
        <w:t>Section 14.02 Force Majeure</w:t>
      </w:r>
      <w:r>
        <w:rPr>
          <w:rFonts w:ascii="Times New Roman;serif" w:hAnsi="Times New Roman;serif"/>
          <w:b w:val="false"/>
          <w:color w:val="000000"/>
          <w:sz w:val="24"/>
        </w:rPr>
        <w:t>. In this Agreement, “</w:t>
      </w:r>
      <w:r>
        <w:rPr>
          <w:rFonts w:ascii="Times New Roman;serif" w:hAnsi="Times New Roman;serif"/>
          <w:b/>
          <w:color w:val="000000"/>
          <w:sz w:val="24"/>
        </w:rPr>
        <w:t>Force Majeure</w:t>
      </w:r>
      <w:r>
        <w:rPr>
          <w:color w:val="000000"/>
        </w:rPr>
        <w:t xml:space="preserve">” </w:t>
      </w:r>
      <w:r>
        <w:rPr>
          <w:rFonts w:ascii="Times New Roman;serif" w:hAnsi="Times New Roman;serif"/>
          <w:b w:val="false"/>
          <w:color w:val="000000"/>
          <w:sz w:val="24"/>
        </w:rPr>
        <w:t>means an event which is beyond a non-performing Party’s reasonable control, including an 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regulation or direction, whether or not it is later held to be invalid. A Party that is prevented or delayed in its performance under this Agreement by an event of Force Majeure (a “</w:t>
      </w:r>
      <w:r>
        <w:rPr>
          <w:rFonts w:ascii="Times New Roman;serif" w:hAnsi="Times New Roman;serif"/>
          <w:b/>
          <w:color w:val="000000"/>
          <w:sz w:val="24"/>
        </w:rPr>
        <w:t>Force Majeure Party</w:t>
      </w:r>
      <w:r>
        <w:rPr>
          <w:color w:val="000000"/>
        </w:rPr>
        <w:t>”</w:t>
      </w:r>
      <w:r>
        <w:rPr>
          <w:rFonts w:ascii="Times New Roman;serif" w:hAnsi="Times New Roman;serif"/>
          <w:b w:val="false"/>
          <w:color w:val="000000"/>
          <w:sz w:val="24"/>
        </w:rPr>
        <w:t xml:space="preserve">) shall, as soon as reasonably practical but no later than [***] ([***]) days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w:t>
      </w:r>
      <w:r>
        <w:rPr>
          <w:rFonts w:ascii="Times New Roman;serif" w:hAnsi="Times New Roman;serif"/>
          <w:b w:val="false"/>
          <w:color w:val="000000"/>
          <w:sz w:val="24"/>
          <w:u w:val="single"/>
        </w:rPr>
        <w:t>Section 14.02</w:t>
      </w:r>
      <w:r>
        <w:rPr>
          <w:rFonts w:ascii="Times New Roman;serif" w:hAnsi="Times New Roman;serif"/>
          <w:b w:val="false"/>
          <w:color w:val="000000"/>
          <w:sz w:val="24"/>
        </w:rPr>
        <w:t>,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pStyle w:val="TextBody"/>
        <w:bidi w:val="0"/>
        <w:spacing w:lineRule="auto" w:line="288" w:before="0" w:after="240"/>
        <w:ind w:left="0" w:right="0" w:firstLine="720"/>
        <w:jc w:val="both"/>
        <w:rPr/>
      </w:pPr>
      <w:r>
        <w:rPr>
          <w:rFonts w:ascii="Times New Roman;serif" w:hAnsi="Times New Roman;serif"/>
          <w:b/>
          <w:color w:val="000000"/>
          <w:sz w:val="24"/>
        </w:rPr>
        <w:t>Section 14.03 Further Actions</w:t>
      </w:r>
      <w:r>
        <w:rPr>
          <w:rFonts w:ascii="Times New Roman;serif" w:hAnsi="Times New Roman;serif"/>
          <w:b w:val="false"/>
          <w:color w:val="000000"/>
          <w:sz w:val="24"/>
        </w:rPr>
        <w:t>. Each Party agrees to execute, acknowledge, and deliver such further instruments, and to do all such other acts, as may be necessary or appropriate in order to carry out the purposes and intent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Section 14.04 Notices</w:t>
      </w:r>
      <w:r>
        <w:rPr>
          <w:rFonts w:ascii="Times New Roman;serif" w:hAnsi="Times New Roman;serif"/>
          <w:b w:val="false"/>
          <w:color w:val="000000"/>
          <w:sz w:val="24"/>
        </w:rPr>
        <w:t>. All notices hereunder shall be in writing and shall be deemed given if delivered personally or by facsimile transmission (receipt verified), mailed by registered or certified mail (return receipt requested),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w:t>
      </w:r>
    </w:p>
    <w:tbl>
      <w:tblPr>
        <w:tblW w:w="6116" w:type="dxa"/>
        <w:jc w:val="left"/>
        <w:tblInd w:w="0" w:type="dxa"/>
        <w:tblLayout w:type="fixed"/>
        <w:tblCellMar>
          <w:top w:w="28" w:type="dxa"/>
          <w:left w:w="28" w:type="dxa"/>
          <w:bottom w:w="28" w:type="dxa"/>
          <w:right w:w="28" w:type="dxa"/>
        </w:tblCellMar>
      </w:tblPr>
      <w:tblGrid>
        <w:gridCol w:w="978"/>
        <w:gridCol w:w="860"/>
        <w:gridCol w:w="862"/>
        <w:gridCol w:w="109"/>
        <w:gridCol w:w="109"/>
        <w:gridCol w:w="109"/>
        <w:gridCol w:w="903"/>
        <w:gridCol w:w="903"/>
        <w:gridCol w:w="128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If to Ardelyx, addressed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Ardelyx, Inc.</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34175 Ardenwood Blvd.</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Fremont, CA 94555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Michael Raab, CEO</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Facsimile: 510-745-0493</w:t>
            </w:r>
          </w:p>
        </w:tc>
      </w:tr>
    </w:tbl>
    <w:p>
      <w:pPr>
        <w:pStyle w:val="TextBody"/>
        <w:bidi w:val="0"/>
        <w:spacing w:before="0" w:after="0"/>
        <w:jc w:val="left"/>
        <w:rPr/>
      </w:pPr>
      <w:r>
        <w:rPr/>
      </w:r>
    </w:p>
    <w:tbl>
      <w:tblPr>
        <w:tblW w:w="5142" w:type="dxa"/>
        <w:jc w:val="left"/>
        <w:tblInd w:w="0" w:type="dxa"/>
        <w:tblLayout w:type="fixed"/>
        <w:tblCellMar>
          <w:top w:w="28" w:type="dxa"/>
          <w:left w:w="28" w:type="dxa"/>
          <w:bottom w:w="28" w:type="dxa"/>
          <w:right w:w="28" w:type="dxa"/>
        </w:tblCellMar>
      </w:tblPr>
      <w:tblGrid>
        <w:gridCol w:w="570"/>
        <w:gridCol w:w="500"/>
        <w:gridCol w:w="505"/>
        <w:gridCol w:w="109"/>
        <w:gridCol w:w="109"/>
        <w:gridCol w:w="109"/>
        <w:gridCol w:w="949"/>
        <w:gridCol w:w="949"/>
        <w:gridCol w:w="1342"/>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Latham &amp; Watkins LLP</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140 Scott Drive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Menlo Park, CA 94025-1008</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Judith A. Hasko, Esq.</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Facsimile: (650) 463-2600</w:t>
            </w:r>
          </w:p>
        </w:tc>
      </w:tr>
    </w:tbl>
    <w:p>
      <w:pPr>
        <w:pStyle w:val="TextBody"/>
        <w:bidi w:val="0"/>
        <w:spacing w:before="0" w:after="0"/>
        <w:jc w:val="left"/>
        <w:rPr/>
      </w:pPr>
      <w:r>
        <w:rPr/>
      </w:r>
    </w:p>
    <w:tbl>
      <w:tblPr>
        <w:tblW w:w="8058" w:type="dxa"/>
        <w:jc w:val="left"/>
        <w:tblInd w:w="0" w:type="dxa"/>
        <w:tblLayout w:type="fixed"/>
        <w:tblCellMar>
          <w:top w:w="28" w:type="dxa"/>
          <w:left w:w="28" w:type="dxa"/>
          <w:bottom w:w="28" w:type="dxa"/>
          <w:right w:w="28" w:type="dxa"/>
        </w:tblCellMar>
      </w:tblPr>
      <w:tblGrid>
        <w:gridCol w:w="323"/>
        <w:gridCol w:w="284"/>
        <w:gridCol w:w="284"/>
        <w:gridCol w:w="284"/>
        <w:gridCol w:w="284"/>
        <w:gridCol w:w="284"/>
        <w:gridCol w:w="1847"/>
        <w:gridCol w:w="1847"/>
        <w:gridCol w:w="2621"/>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If to FOSUN, addressed to</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Strategic Product Development Center</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Shanghai Fosun Pharmaceutical Industrial Development Co., Ltd</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Building A, 1289 Yishan Road</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Minhang District, Shanghai 200233</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P.R.China</w:t>
            </w:r>
          </w:p>
        </w:tc>
      </w:tr>
    </w:tbl>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3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6"/>
        <w:gridCol w:w="496"/>
        <w:gridCol w:w="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Facaimile: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w:t>
            </w:r>
          </w:p>
        </w:tc>
      </w:tr>
    </w:tbl>
    <w:p>
      <w:pPr>
        <w:pStyle w:val="TextBody"/>
        <w:bidi w:val="0"/>
        <w:spacing w:before="0" w:after="0"/>
        <w:jc w:val="left"/>
        <w:rPr/>
      </w:pPr>
      <w:r>
        <w:rPr/>
      </w:r>
    </w:p>
    <w:tbl>
      <w:tblPr>
        <w:tblW w:w="5898" w:type="dxa"/>
        <w:jc w:val="left"/>
        <w:tblInd w:w="0" w:type="dxa"/>
        <w:tblLayout w:type="fixed"/>
        <w:tblCellMar>
          <w:top w:w="28" w:type="dxa"/>
          <w:left w:w="28" w:type="dxa"/>
          <w:bottom w:w="28" w:type="dxa"/>
          <w:right w:w="28" w:type="dxa"/>
        </w:tblCellMar>
      </w:tblPr>
      <w:tblGrid>
        <w:gridCol w:w="193"/>
        <w:gridCol w:w="169"/>
        <w:gridCol w:w="169"/>
        <w:gridCol w:w="169"/>
        <w:gridCol w:w="169"/>
        <w:gridCol w:w="169"/>
        <w:gridCol w:w="1422"/>
        <w:gridCol w:w="1422"/>
        <w:gridCol w:w="2016"/>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With a copy to:</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Legal Department</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Shanghai Fosun Pharmaceutical (Group) Co., Ltd</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Building A, 1289 Yishan Road</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Minhang District, Shanghai 200233</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P.R.China</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Facaimile: [***]</w:t>
            </w:r>
          </w:p>
        </w:tc>
      </w:tr>
      <w:tr>
        <w:trPr/>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w:t>
            </w:r>
          </w:p>
        </w:tc>
      </w:tr>
    </w:tbl>
    <w:p>
      <w:pPr>
        <w:pStyle w:val="TextBody"/>
        <w:bidi w:val="0"/>
        <w:spacing w:lineRule="auto" w:line="288" w:before="0" w:after="240"/>
        <w:ind w:left="0" w:right="0" w:firstLine="720"/>
        <w:jc w:val="both"/>
        <w:rPr/>
      </w:pPr>
      <w:r>
        <w:rPr>
          <w:rFonts w:ascii="Times New Roman;serif" w:hAnsi="Times New Roman;serif"/>
          <w:b/>
          <w:color w:val="000000"/>
          <w:sz w:val="24"/>
        </w:rPr>
        <w:t>Section 14.05 Waiver</w:t>
      </w:r>
      <w:r>
        <w:rPr>
          <w:rFonts w:ascii="Times New Roman;serif" w:hAnsi="Times New Roman;serif"/>
          <w:b w:val="false"/>
          <w:color w:val="000000"/>
          <w:sz w:val="24"/>
        </w:rPr>
        <w:t>. Except as specifically provided for herein, the waiver from time to time by either of the Parties of any of their rights or their failure to exercise any remedy shall not operate or be construed as a waiver of any other of such Party’s rights or remedies provided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Section 14.06 Severability</w:t>
      </w:r>
      <w:r>
        <w:rPr>
          <w:rFonts w:ascii="Times New Roman;serif" w:hAnsi="Times New Roman;serif"/>
          <w:b w:val="false"/>
          <w:color w:val="000000"/>
          <w:sz w:val="24"/>
        </w:rPr>
        <w:t>. If any term, covenant or condition of this Agreement or the application thereof to any Party or circumstance shall, to any extent, be 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 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pStyle w:val="TextBody"/>
        <w:bidi w:val="0"/>
        <w:spacing w:lineRule="auto" w:line="288" w:before="0" w:after="240"/>
        <w:ind w:left="0" w:right="0" w:firstLine="720"/>
        <w:jc w:val="both"/>
        <w:rPr/>
      </w:pPr>
      <w:r>
        <w:rPr>
          <w:rFonts w:ascii="Times New Roman;serif" w:hAnsi="Times New Roman;serif"/>
          <w:b/>
          <w:color w:val="000000"/>
          <w:sz w:val="24"/>
        </w:rPr>
        <w:t>Section 14.07 Governing Law.</w:t>
      </w:r>
      <w:r>
        <w:rPr>
          <w:color w:val="000000"/>
        </w:rPr>
        <w:t xml:space="preserve"> </w:t>
      </w:r>
      <w:r>
        <w:rPr>
          <w:rFonts w:ascii="Times New Roman;serif" w:hAnsi="Times New Roman;serif"/>
          <w:b w:val="false"/>
          <w:color w:val="000000"/>
          <w:sz w:val="24"/>
        </w:rPr>
        <w:t>This Agreement shall be governed by and interpreted under the laws of the State of Delaware, USA, without giving effect to any conflict of law principle that would otherwise result in the application of the laws of any State or jurisdiction other than the State of Delaware, USA.</w:t>
      </w:r>
    </w:p>
    <w:p>
      <w:pPr>
        <w:pStyle w:val="TextBody"/>
        <w:bidi w:val="0"/>
        <w:spacing w:lineRule="auto" w:line="288" w:before="0" w:after="240"/>
        <w:ind w:left="0" w:right="0" w:firstLine="720"/>
        <w:jc w:val="both"/>
        <w:rPr/>
      </w:pPr>
      <w:r>
        <w:rPr>
          <w:rFonts w:ascii="Times New Roman;serif" w:hAnsi="Times New Roman;serif"/>
          <w:b/>
          <w:color w:val="000000"/>
          <w:sz w:val="24"/>
        </w:rPr>
        <w:t>Section 14.08 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color w:val="000000"/>
          <w:sz w:val="24"/>
        </w:rPr>
        <w:t>Section 14.09 Entire Agreement</w:t>
      </w:r>
      <w:r>
        <w:rPr>
          <w:rFonts w:ascii="Times New Roman;serif" w:hAnsi="Times New Roman;serif"/>
          <w:b w:val="false"/>
          <w:color w:val="000000"/>
          <w:sz w:val="24"/>
        </w:rPr>
        <w:t xml:space="preserve">. This Agreement, including without limitation all exhibits attached hereto, sets forth all the covenants, promises, agreements, warranties, representations, conditions, and understandings between the Parties and supersedes and terminates all prior and contemporaneous agreements and understanding between the Parties, including without limitation the agreements and amendments set forth in </w:t>
      </w:r>
      <w:r>
        <w:rPr>
          <w:rFonts w:ascii="Times New Roman;serif" w:hAnsi="Times New Roman;serif"/>
          <w:b w:val="false"/>
          <w:color w:val="000000"/>
          <w:sz w:val="24"/>
          <w:u w:val="single"/>
        </w:rPr>
        <w:t>Section 7.06</w:t>
      </w:r>
      <w:r>
        <w:rPr>
          <w:rFonts w:ascii="Times New Roman;serif" w:hAnsi="Times New Roman;serif"/>
          <w:b w:val="false"/>
          <w:color w:val="000000"/>
          <w:sz w:val="24"/>
        </w:rPr>
        <w:t>.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pStyle w:val="TextBody"/>
        <w:bidi w:val="0"/>
        <w:spacing w:lineRule="auto" w:line="288" w:before="0" w:after="240"/>
        <w:ind w:left="0" w:right="0" w:firstLine="720"/>
        <w:jc w:val="both"/>
        <w:rPr/>
      </w:pPr>
      <w:r>
        <w:rPr>
          <w:rFonts w:ascii="Times New Roman;serif" w:hAnsi="Times New Roman;serif"/>
          <w:b/>
          <w:color w:val="000000"/>
          <w:sz w:val="24"/>
        </w:rPr>
        <w:t>Section 14.10 Limitation of Liability</w:t>
      </w:r>
      <w:r>
        <w:rPr>
          <w:rFonts w:ascii="Times New Roman;serif" w:hAnsi="Times New Roman;serif"/>
          <w:b w:val="false"/>
          <w:color w:val="000000"/>
          <w:sz w:val="24"/>
        </w:rPr>
        <w:t xml:space="preserve">. EXCEPT IN CIRCUMSTANCES OF GROSS NEGLIGENCE OR INTENTIONAL MISCONDUCT BY A PARTY OR ITS AFFILIATES, OR WITH RESPECT TO THIRD PARTY CLAIMS UNDER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IN NO EVENT SHALL EITHER PARTY OR ITS RESPECTIVE AFFILIATES AND SUBLICENSEES BE LIABLE FOR SPECIAL, INDIRECT, INCIDENTAL, OR CONSEQUENTIAL DAMAGES, WHETHER IN CONTRACT, WARRANTY, TORT, STRICT LIABILITY, OR OTHERWISE, INCLUDING BUT NOT LIMITED TO LOSS OF PROFITS, REVENUE, MILESTONES OR ROYALTIES. This </w:t>
      </w:r>
      <w:r>
        <w:rPr>
          <w:rFonts w:ascii="Times New Roman;serif" w:hAnsi="Times New Roman;serif"/>
          <w:b w:val="false"/>
          <w:color w:val="000000"/>
          <w:sz w:val="24"/>
          <w:u w:val="single"/>
        </w:rPr>
        <w:t>Section 14.10</w:t>
      </w:r>
      <w:r>
        <w:rPr>
          <w:color w:val="000000"/>
        </w:rPr>
        <w:t xml:space="preserve"> </w:t>
      </w:r>
      <w:r>
        <w:rPr>
          <w:rFonts w:ascii="Times New Roman;serif" w:hAnsi="Times New Roman;serif"/>
          <w:b w:val="false"/>
          <w:color w:val="000000"/>
          <w:sz w:val="24"/>
        </w:rPr>
        <w:t xml:space="preserve">shall not limit either Party’s obligations under </w:t>
      </w:r>
      <w:r>
        <w:rPr>
          <w:rFonts w:ascii="Times New Roman;serif" w:hAnsi="Times New Roman;serif"/>
          <w:b w:val="false"/>
          <w:color w:val="000000"/>
          <w:sz w:val="24"/>
          <w:u w:val="single"/>
        </w:rPr>
        <w:t>Article XII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Section 14.11 No Partnership</w:t>
      </w:r>
      <w:r>
        <w:rPr>
          <w:rFonts w:ascii="Times New Roman;serif" w:hAnsi="Times New Roman;serif"/>
          <w:b w:val="false"/>
          <w:color w:val="000000"/>
          <w:sz w:val="24"/>
        </w:rPr>
        <w:t>. It is expressly agreed that the relationship between Ardelyx and FOSUN shall not constitute a partnership, joint venture, or agency. Neither Ardelyx nor FOSUN shall have the authority to make any statements, representations, or commitments of any kind, or to take any action, which shall be binding on the other Party, without the prior consent of such other Party to do so.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lineRule="auto" w:line="288" w:before="480" w:after="283"/>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in duplicate originals by their proper officers as of the Effective Date.</w:t>
      </w:r>
    </w:p>
    <w:tbl>
      <w:tblPr>
        <w:tblW w:w="6265" w:type="dxa"/>
        <w:jc w:val="left"/>
        <w:tblInd w:w="0" w:type="dxa"/>
        <w:tblLayout w:type="fixed"/>
        <w:tblCellMar>
          <w:top w:w="28" w:type="dxa"/>
          <w:left w:w="28" w:type="dxa"/>
          <w:bottom w:w="28" w:type="dxa"/>
          <w:right w:w="28" w:type="dxa"/>
        </w:tblCellMar>
      </w:tblPr>
      <w:tblGrid>
        <w:gridCol w:w="273"/>
        <w:gridCol w:w="238"/>
        <w:gridCol w:w="238"/>
        <w:gridCol w:w="558"/>
        <w:gridCol w:w="558"/>
        <w:gridCol w:w="578"/>
        <w:gridCol w:w="109"/>
        <w:gridCol w:w="109"/>
        <w:gridCol w:w="109"/>
        <w:gridCol w:w="544"/>
        <w:gridCol w:w="544"/>
        <w:gridCol w:w="544"/>
        <w:gridCol w:w="544"/>
        <w:gridCol w:w="544"/>
        <w:gridCol w:w="775"/>
      </w:tblGrid>
      <w:tr>
        <w:trPr/>
        <w:tc>
          <w:tcPr>
            <w:tcW w:w="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Ardelyx,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Fosun Pharmaceutical Industrial</w:t>
              <w:br/>
              <w:t>Development Co., Ltd.</w:t>
            </w:r>
          </w:p>
        </w:tc>
      </w:tr>
      <w:tr>
        <w:trPr/>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Yifang Wu</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Yifang Wu</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bl>
    <w:p>
      <w:pPr>
        <w:pStyle w:val="TextBody"/>
        <w:bidi w:val="0"/>
        <w:spacing w:before="24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TENAPANOR STRUCTURE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LISTED PATENTS</w:t>
      </w:r>
    </w:p>
    <w:tbl>
      <w:tblPr>
        <w:tblW w:w="5369" w:type="dxa"/>
        <w:jc w:val="left"/>
        <w:tblInd w:w="0" w:type="dxa"/>
        <w:tblLayout w:type="fixed"/>
        <w:tblCellMar>
          <w:top w:w="28" w:type="dxa"/>
          <w:left w:w="28" w:type="dxa"/>
          <w:bottom w:w="28" w:type="dxa"/>
          <w:right w:w="28" w:type="dxa"/>
        </w:tblCellMar>
      </w:tblPr>
      <w:tblGrid>
        <w:gridCol w:w="625"/>
        <w:gridCol w:w="549"/>
        <w:gridCol w:w="551"/>
        <w:gridCol w:w="559"/>
        <w:gridCol w:w="559"/>
        <w:gridCol w:w="561"/>
        <w:gridCol w:w="394"/>
        <w:gridCol w:w="394"/>
        <w:gridCol w:w="396"/>
        <w:gridCol w:w="228"/>
        <w:gridCol w:w="228"/>
        <w:gridCol w:w="325"/>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Application No.</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Publication No.</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Patent No.</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Status</w:t>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8"/>
        <w:ind w:left="0" w:right="0" w:firstLine="710"/>
        <w:jc w:val="righ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10"/>
        <w:jc w:val="right"/>
        <w:rPr>
          <w:rFonts w:ascii="Times New Roman;serif" w:hAnsi="Times New Roman;serif"/>
          <w:b/>
          <w:color w:val="000000"/>
          <w:sz w:val="22"/>
        </w:rPr>
      </w:pPr>
      <w:r>
        <w:rPr>
          <w:rFonts w:ascii="Times New Roman;serif" w:hAnsi="Times New Roman;serif"/>
          <w:b/>
          <w:color w:val="000000"/>
          <w:sz w:val="22"/>
        </w:rPr>
        <w:t>Exhibit 19.1</w:t>
      </w:r>
    </w:p>
    <w:p>
      <w:pPr>
        <w:pStyle w:val="TextBody"/>
        <w:bidi w:val="0"/>
        <w:spacing w:before="0" w:after="0"/>
        <w:ind w:left="0" w:right="0" w:hanging="10"/>
        <w:jc w:val="center"/>
        <w:rPr/>
      </w:pPr>
      <w:r>
        <w:rPr/>
      </w:r>
    </w:p>
    <w:p>
      <w:pPr>
        <w:pStyle w:val="TextBody"/>
        <w:bidi w:val="0"/>
        <w:spacing w:lineRule="auto" w:line="300" w:before="0" w:after="0"/>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ARDELYX, INC. </w:t>
      </w:r>
    </w:p>
    <w:p>
      <w:pPr>
        <w:pStyle w:val="TextBody"/>
        <w:bidi w:val="0"/>
        <w:spacing w:lineRule="auto" w:line="300" w:before="0" w:after="216"/>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INSIDER TRADING COMPLIANCE POLICY AND PROCEDURES </w:t>
      </w:r>
    </w:p>
    <w:p>
      <w:pPr>
        <w:pStyle w:val="TextBody"/>
        <w:bidi w:val="0"/>
        <w:spacing w:lineRule="auto" w:line="300" w:before="0" w:after="0"/>
        <w:ind w:left="0" w:right="0" w:hanging="10"/>
        <w:jc w:val="center"/>
        <w:rPr>
          <w:rFonts w:ascii="Times New Roman;serif" w:hAnsi="Times New Roman;serif"/>
          <w:b w:val="false"/>
          <w:color w:val="000000"/>
          <w:sz w:val="24"/>
        </w:rPr>
      </w:pPr>
      <w:r>
        <w:rPr>
          <w:rFonts w:ascii="Times New Roman;serif" w:hAnsi="Times New Roman;serif"/>
          <w:b w:val="false"/>
          <w:color w:val="000000"/>
          <w:sz w:val="24"/>
        </w:rPr>
        <w:t xml:space="preserve">(As amended on February 18, 2025) </w:t>
      </w:r>
    </w:p>
    <w:tbl>
      <w:tblPr>
        <w:tblW w:w="8174" w:type="dxa"/>
        <w:jc w:val="center"/>
        <w:tblInd w:w="0" w:type="dxa"/>
        <w:tblLayout w:type="fixed"/>
        <w:tblCellMar>
          <w:top w:w="28" w:type="dxa"/>
          <w:left w:w="28" w:type="dxa"/>
          <w:bottom w:w="28" w:type="dxa"/>
          <w:right w:w="28" w:type="dxa"/>
        </w:tblCellMar>
      </w:tblPr>
      <w:tblGrid>
        <w:gridCol w:w="516"/>
        <w:gridCol w:w="452"/>
        <w:gridCol w:w="457"/>
        <w:gridCol w:w="1964"/>
        <w:gridCol w:w="1964"/>
        <w:gridCol w:w="1981"/>
        <w:gridCol w:w="246"/>
        <w:gridCol w:w="246"/>
        <w:gridCol w:w="34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I </w:t>
            </w:r>
          </w:p>
        </w:tc>
        <w:tc>
          <w:tcPr>
            <w:tcW w:w="590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4"/>
              </w:rPr>
              <w:t>Summary</w:t>
            </w:r>
            <w:r>
              <w:rPr>
                <w:color w:val="000000"/>
              </w:rPr>
              <w:t xml:space="preserve"> </w:t>
            </w:r>
          </w:p>
        </w:tc>
        <w:tc>
          <w:tcPr>
            <w:tcW w:w="84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0"/>
              <w:jc w:val="right"/>
              <w:rPr/>
            </w:pPr>
            <w:r>
              <w:rPr>
                <w:rFonts w:ascii="Times New Roman;serif" w:hAnsi="Times New Roman;serif"/>
                <w:b w:val="false"/>
                <w:color w:val="000000"/>
                <w:sz w:val="24"/>
              </w:rPr>
              <w:t>page 1</w:t>
            </w:r>
            <w:r>
              <w:rPr>
                <w:color w:val="000000"/>
              </w:rPr>
              <w:t xml:space="preserve"> </w:t>
            </w:r>
          </w:p>
        </w:tc>
      </w:tr>
      <w:tr>
        <w:trPr/>
        <w:tc>
          <w:tcPr>
            <w:tcW w:w="142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II </w:t>
            </w:r>
          </w:p>
        </w:tc>
        <w:tc>
          <w:tcPr>
            <w:tcW w:w="590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Persons covered and administration of policy </w:t>
            </w:r>
          </w:p>
        </w:tc>
        <w:tc>
          <w:tcPr>
            <w:tcW w:w="840"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1 </w:t>
            </w:r>
          </w:p>
        </w:tc>
      </w:tr>
      <w:tr>
        <w:trPr/>
        <w:tc>
          <w:tcPr>
            <w:tcW w:w="142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III </w:t>
            </w:r>
          </w:p>
        </w:tc>
        <w:tc>
          <w:tcPr>
            <w:tcW w:w="590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Policy statement </w:t>
            </w:r>
          </w:p>
        </w:tc>
        <w:tc>
          <w:tcPr>
            <w:tcW w:w="84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2 </w:t>
            </w:r>
          </w:p>
        </w:tc>
      </w:tr>
      <w:tr>
        <w:trPr/>
        <w:tc>
          <w:tcPr>
            <w:tcW w:w="142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IV </w:t>
            </w:r>
          </w:p>
        </w:tc>
        <w:tc>
          <w:tcPr>
            <w:tcW w:w="590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Blackout periods </w:t>
            </w:r>
          </w:p>
        </w:tc>
        <w:tc>
          <w:tcPr>
            <w:tcW w:w="840"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3 </w:t>
            </w:r>
          </w:p>
        </w:tc>
      </w:tr>
      <w:tr>
        <w:trPr/>
        <w:tc>
          <w:tcPr>
            <w:tcW w:w="142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V </w:t>
            </w:r>
          </w:p>
        </w:tc>
        <w:tc>
          <w:tcPr>
            <w:tcW w:w="590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Preclearance of trades </w:t>
            </w:r>
          </w:p>
        </w:tc>
        <w:tc>
          <w:tcPr>
            <w:tcW w:w="84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3 </w:t>
            </w:r>
          </w:p>
        </w:tc>
      </w:tr>
      <w:tr>
        <w:trPr/>
        <w:tc>
          <w:tcPr>
            <w:tcW w:w="142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VI </w:t>
            </w:r>
          </w:p>
        </w:tc>
        <w:tc>
          <w:tcPr>
            <w:tcW w:w="590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Exempt transactions </w:t>
            </w:r>
          </w:p>
        </w:tc>
        <w:tc>
          <w:tcPr>
            <w:tcW w:w="840"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4 </w:t>
            </w:r>
          </w:p>
        </w:tc>
      </w:tr>
      <w:tr>
        <w:trPr/>
        <w:tc>
          <w:tcPr>
            <w:tcW w:w="142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VII </w:t>
            </w:r>
          </w:p>
        </w:tc>
        <w:tc>
          <w:tcPr>
            <w:tcW w:w="590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Material non-public information </w:t>
            </w:r>
          </w:p>
        </w:tc>
        <w:tc>
          <w:tcPr>
            <w:tcW w:w="84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5 </w:t>
            </w:r>
          </w:p>
        </w:tc>
      </w:tr>
      <w:tr>
        <w:trPr/>
        <w:tc>
          <w:tcPr>
            <w:tcW w:w="142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VIII </w:t>
            </w:r>
          </w:p>
        </w:tc>
        <w:tc>
          <w:tcPr>
            <w:tcW w:w="590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Post-termination and prohibited transactions </w:t>
            </w:r>
          </w:p>
        </w:tc>
        <w:tc>
          <w:tcPr>
            <w:tcW w:w="840"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6 </w:t>
            </w:r>
          </w:p>
        </w:tc>
      </w:tr>
      <w:tr>
        <w:trPr/>
        <w:tc>
          <w:tcPr>
            <w:tcW w:w="142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IX </w:t>
            </w:r>
          </w:p>
        </w:tc>
        <w:tc>
          <w:tcPr>
            <w:tcW w:w="590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Rule 10b5-1 trading plans </w:t>
            </w:r>
          </w:p>
        </w:tc>
        <w:tc>
          <w:tcPr>
            <w:tcW w:w="840"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7 </w:t>
            </w:r>
          </w:p>
        </w:tc>
      </w:tr>
      <w:tr>
        <w:trPr/>
        <w:tc>
          <w:tcPr>
            <w:tcW w:w="142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X </w:t>
            </w:r>
          </w:p>
        </w:tc>
        <w:tc>
          <w:tcPr>
            <w:tcW w:w="590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Interpretation, amendment, and implementation of this policy </w:t>
            </w:r>
          </w:p>
        </w:tc>
        <w:tc>
          <w:tcPr>
            <w:tcW w:w="840"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8 </w:t>
            </w:r>
          </w:p>
        </w:tc>
      </w:tr>
      <w:tr>
        <w:trPr/>
        <w:tc>
          <w:tcPr>
            <w:tcW w:w="1425"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Section XI </w:t>
            </w:r>
          </w:p>
        </w:tc>
        <w:tc>
          <w:tcPr>
            <w:tcW w:w="5909"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Review and acknowledgement of this policy </w:t>
            </w:r>
          </w:p>
        </w:tc>
        <w:tc>
          <w:tcPr>
            <w:tcW w:w="840" w:type="dxa"/>
            <w:gridSpan w:val="3"/>
            <w:tcBorders>
              <w:top w:val="single" w:sz="4" w:space="0" w:color="BFBFBF"/>
              <w:left w:val="single" w:sz="4" w:space="0" w:color="BFBFBF"/>
              <w:bottom w:val="single" w:sz="4" w:space="0" w:color="BFBFBF"/>
              <w:right w:val="single" w:sz="4" w:space="0" w:color="BFBFBF"/>
            </w:tcBorders>
            <w:tcMar>
              <w:top w:w="30" w:type="dxa"/>
              <w:bottom w:w="30" w:type="dxa"/>
            </w:tcMar>
            <w:vAlign w:val="center"/>
          </w:tcPr>
          <w:p>
            <w:pPr>
              <w:pStyle w:val="TableContents"/>
              <w:bidi w:val="0"/>
              <w:spacing w:lineRule="auto" w:line="300"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page 8 </w:t>
            </w:r>
          </w:p>
        </w:tc>
      </w:tr>
    </w:tbl>
    <w:p>
      <w:pPr>
        <w:pStyle w:val="TextBody"/>
        <w:bidi w:val="0"/>
        <w:spacing w:lineRule="auto" w:line="288" w:before="0" w:after="180"/>
        <w:jc w:val="left"/>
        <w:rPr/>
      </w:pPr>
      <w:r>
        <w:rPr>
          <w:rFonts w:ascii="Times New Roman;serif" w:hAnsi="Times New Roman;serif"/>
          <w:b/>
          <w:color w:val="000000"/>
          <w:sz w:val="24"/>
        </w:rPr>
        <w:t>I.</w:t>
      </w:r>
      <w:r>
        <w:rPr>
          <w:color w:val="000000"/>
        </w:rPr>
        <w:t>        </w:t>
      </w:r>
      <w:r>
        <w:rPr>
          <w:rFonts w:ascii="Times New Roman;serif" w:hAnsi="Times New Roman;serif"/>
          <w:b/>
          <w:color w:val="000000"/>
          <w:sz w:val="24"/>
        </w:rPr>
        <w:t>SUMMARY</w:t>
      </w:r>
    </w:p>
    <w:p>
      <w:pPr>
        <w:pStyle w:val="TextBody"/>
        <w:bidi w:val="0"/>
        <w:spacing w:lineRule="auto" w:line="288" w:before="0" w:after="180"/>
        <w:ind w:left="0" w:right="0" w:firstLine="720"/>
        <w:jc w:val="left"/>
        <w:rPr/>
      </w:pPr>
      <w:r>
        <w:rPr>
          <w:rFonts w:ascii="Times New Roman;serif" w:hAnsi="Times New Roman;serif"/>
          <w:b w:val="false"/>
          <w:color w:val="000000"/>
          <w:sz w:val="24"/>
        </w:rPr>
        <w:t>Preventing insider trading is necessary to comply with securities laws and to preserve the reputation and integrity of Ardelyx,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as well as that of all persons affiliated with the Company. “Insider trading” occurs when any person purchases or sells a security (e.g., stock) while in possession of “inside information” relating to the security. “Inside information” is information that is both “material” and “non-public.” Insider trading violates several laws, including civil and criminal laws. This Insider Trading Compliance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xml:space="preserve">) is designed to facilitate compliance with those laws. The penalties for violating insider trading laws include imprisonment, disgorgement of profits, civil fines, and criminal fines. Insider trading is also prohibited by this Policy, and violation of this Policy may result in Company-imposed sanctions, including removal or dismissal for cause. The Company reserves the right to take disciplinary or other measure(s) it determines in its sole discretion to be appropriate in any particular situation, including disclosure of wrongdoing to governmental authorities.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II.        PERSONS COVERED AND ADMINISTRATION OF POLICY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applies to all officers, directors and employees of the Company and extends to all activities within and outside an individual’s duties at the Company. For purposes of this Policy, “officers” refer to those individuals who meet the definition of “officer” under Section 16 </w:t>
      </w:r>
    </w:p>
    <w:p>
      <w:pPr>
        <w:pStyle w:val="TextBody"/>
        <w:bidi w:val="0"/>
        <w:spacing w:lineRule="auto" w:line="288" w:before="0" w:after="180"/>
        <w:jc w:val="left"/>
        <w:rPr/>
      </w:pPr>
      <w:r>
        <w:rPr>
          <w:rFonts w:ascii="Times New Roman;serif" w:hAnsi="Times New Roman;serif"/>
          <w:b w:val="false"/>
          <w:color w:val="000000"/>
          <w:sz w:val="24"/>
        </w:rPr>
        <w:t>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determine that this Policy applies to additional persons with access to material nonpublic information, such as contractors or consultants, listed under “Applicable Contractors and Consultants” (if any) on Schedule A or any other consultant otherwise designated as such by written notice from the Company’s Chief Legal Officer, together with members of their households and any other person designated above as being subject to this Policy and by the Company’s Chief Legal Officer are referred to collectively as “Covered Persons.”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Questions regarding this Policy should be directed to the Company’s Chief Legal Officer, who is responsible for the administration of this Policy.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III.        POLICY STATEMENT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Unless otherwise permitted by this Policy, no Covered Person shall: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purchase, sell, gift, or otherwise transfer any type of security of the Company while in possession of material nonpublic information about the Company;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purchase, sell, gift, or otherwise transfer any security of any other company, including a customer, supplier, business partner, or an economically-linked company, such as a competitor or peer company, while in possession of material nonpublic information obtained in connection with your employment by or service to the Company (to the extent there is a reasonable likelihood that such information would be considered important to an investor in making an investment decision in such other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directly or indirectly communicate (or “tip”) material nonpublic information to anyone outside the Company unless in accordance with Company policy regarding confidential information;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directly or indirectly communicate material nonpublic information to anyone within the Company except on a need-to-know basis.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For this purpose: </w:t>
      </w:r>
    </w:p>
    <w:p>
      <w:pPr>
        <w:pStyle w:val="TextBody"/>
        <w:bidi w:val="0"/>
        <w:spacing w:lineRule="auto" w:line="288" w:before="0" w:after="180"/>
        <w:ind w:left="0" w:right="0" w:firstLine="720"/>
        <w:jc w:val="left"/>
        <w:rPr/>
      </w:pPr>
      <w:r>
        <w:rPr>
          <w:color w:val="000000"/>
        </w:rPr>
        <w:t>“</w:t>
      </w:r>
      <w:r>
        <w:rPr>
          <w:rFonts w:ascii="Times New Roman;serif" w:hAnsi="Times New Roman;serif"/>
          <w:b w:val="false"/>
          <w:i/>
          <w:color w:val="000000"/>
          <w:sz w:val="24"/>
          <w:u w:val="single"/>
        </w:rPr>
        <w:t>Securities</w:t>
      </w:r>
      <w:r>
        <w:rPr>
          <w:color w:val="000000"/>
        </w:rPr>
        <w:t xml:space="preserve">” </w:t>
      </w:r>
      <w:r>
        <w:rPr>
          <w:rFonts w:ascii="Times New Roman;serif" w:hAnsi="Times New Roman;serif"/>
          <w:b w:val="false"/>
          <w:color w:val="000000"/>
          <w:sz w:val="24"/>
        </w:rPr>
        <w:t xml:space="preserve">includes stocks, bonds, notes, debentures, options, warrants, equity and other convertible securities, as well as derivative instruments. </w:t>
      </w:r>
    </w:p>
    <w:p>
      <w:pPr>
        <w:pStyle w:val="TextBody"/>
        <w:bidi w:val="0"/>
        <w:spacing w:lineRule="auto" w:line="288" w:before="0" w:after="180"/>
        <w:ind w:left="0" w:right="0" w:firstLine="720"/>
        <w:jc w:val="left"/>
        <w:rPr/>
      </w:pPr>
      <w:r>
        <w:rPr>
          <w:color w:val="000000"/>
        </w:rPr>
        <w:t>“</w:t>
      </w:r>
      <w:r>
        <w:rPr>
          <w:rFonts w:ascii="Times New Roman;serif" w:hAnsi="Times New Roman;serif"/>
          <w:b w:val="false"/>
          <w:i/>
          <w:color w:val="000000"/>
          <w:sz w:val="24"/>
          <w:u w:val="single"/>
        </w:rPr>
        <w:t>Purchase</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val="false"/>
          <w:i/>
          <w:color w:val="000000"/>
          <w:sz w:val="24"/>
          <w:u w:val="single"/>
        </w:rPr>
        <w:t>sale</w:t>
      </w:r>
      <w:r>
        <w:rPr>
          <w:color w:val="000000"/>
        </w:rPr>
        <w:t xml:space="preserve">” </w:t>
      </w:r>
      <w:r>
        <w:rPr>
          <w:rFonts w:ascii="Times New Roman;serif" w:hAnsi="Times New Roman;serif"/>
          <w:b w:val="false"/>
          <w:color w:val="000000"/>
          <w:sz w:val="24"/>
        </w:rPr>
        <w:t xml:space="preserve">are defined broadly under the federal securities law. </w:t>
      </w:r>
      <w:r>
        <w:rPr>
          <w:color w:val="000000"/>
        </w:rPr>
        <w:t>“</w:t>
      </w:r>
      <w:r>
        <w:rPr>
          <w:rFonts w:ascii="Times New Roman;serif" w:hAnsi="Times New Roman;serif"/>
          <w:b w:val="false"/>
          <w:i/>
          <w:color w:val="000000"/>
          <w:sz w:val="24"/>
        </w:rPr>
        <w:t>Purchase”</w:t>
      </w:r>
      <w:r>
        <w:rPr>
          <w:color w:val="000000"/>
        </w:rPr>
        <w:t xml:space="preserve"> </w:t>
      </w:r>
      <w:r>
        <w:rPr>
          <w:rFonts w:ascii="Times New Roman;serif" w:hAnsi="Times New Roman;serif"/>
          <w:b w:val="false"/>
          <w:color w:val="000000"/>
          <w:sz w:val="24"/>
        </w:rPr>
        <w:t xml:space="preserve">includes not only the actual purchase of a security, but also any contract to purchase or otherwise acquire a security. </w:t>
      </w:r>
      <w:r>
        <w:rPr>
          <w:color w:val="000000"/>
        </w:rPr>
        <w:t>“</w:t>
      </w:r>
      <w:r>
        <w:rPr>
          <w:rFonts w:ascii="Times New Roman;serif" w:hAnsi="Times New Roman;serif"/>
          <w:b w:val="false"/>
          <w:i/>
          <w:color w:val="000000"/>
          <w:sz w:val="24"/>
        </w:rPr>
        <w:t>Sale”</w:t>
      </w:r>
      <w:r>
        <w:rPr>
          <w:color w:val="000000"/>
        </w:rPr>
        <w:t xml:space="preserve"> </w:t>
      </w:r>
      <w:r>
        <w:rPr>
          <w:rFonts w:ascii="Times New Roman;serif" w:hAnsi="Times New Roman;serif"/>
          <w:b w:val="false"/>
          <w:color w:val="000000"/>
          <w:sz w:val="24"/>
        </w:rPr>
        <w:t xml:space="preserve">includes not only the actual sale of a security, but also any contract to sell or otherwise dispose of a security. These definitions extend to a broad range of transactions,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including conventional cash-for-stock transactions, conversions, the exercise of stock options or warrants, puts, calls, pledging and margin loans, or other derivative securities.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laws and regulations concerning insider trading are complex, and Covered Persons are encouraged to seek guidance from the Chief Legal Officer prior to considering a transaction in Company securities.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IV.        BLACKOUT PERIODS </w:t>
      </w:r>
    </w:p>
    <w:p>
      <w:pPr>
        <w:pStyle w:val="TextBody"/>
        <w:bidi w:val="0"/>
        <w:spacing w:lineRule="auto" w:line="288" w:before="0" w:after="180"/>
        <w:jc w:val="left"/>
        <w:rPr/>
      </w:pPr>
      <w:r>
        <w:rPr>
          <w:rFonts w:ascii="Times New Roman;serif" w:hAnsi="Times New Roman;serif"/>
          <w:b/>
          <w:color w:val="000000"/>
          <w:sz w:val="24"/>
          <w:u w:val="single"/>
        </w:rPr>
        <w:t>Quarterly Blackout Periods</w:t>
      </w:r>
      <w:r>
        <w:rPr>
          <w:color w:val="000000"/>
        </w:rPr>
        <w:t xml:space="preserve"> </w:t>
      </w:r>
    </w:p>
    <w:p>
      <w:pPr>
        <w:pStyle w:val="TextBody"/>
        <w:bidi w:val="0"/>
        <w:spacing w:lineRule="auto" w:line="288" w:before="0" w:after="180"/>
        <w:ind w:left="0" w:right="0" w:firstLine="720"/>
        <w:jc w:val="left"/>
        <w:rPr/>
      </w:pPr>
      <w:r>
        <w:rPr>
          <w:rFonts w:ascii="Times New Roman;serif" w:hAnsi="Times New Roman;serif"/>
          <w:b w:val="false"/>
          <w:color w:val="000000"/>
          <w:sz w:val="24"/>
        </w:rPr>
        <w:t xml:space="preserve">The Chief Legal Officer will designate a list of persons on </w:t>
      </w:r>
      <w:r>
        <w:rPr>
          <w:rFonts w:ascii="Times New Roman;serif" w:hAnsi="Times New Roman;serif"/>
          <w:b w:val="false"/>
          <w:color w:val="000000"/>
          <w:sz w:val="24"/>
          <w:u w:val="single"/>
        </w:rPr>
        <w:t>Schedule B</w:t>
      </w:r>
      <w:r>
        <w:rPr>
          <w:rFonts w:ascii="Times New Roman;serif" w:hAnsi="Times New Roman;serif"/>
          <w:b w:val="false"/>
          <w:color w:val="000000"/>
          <w:sz w:val="24"/>
        </w:rPr>
        <w:t xml:space="preserve">, as it may be revised by the Chief Legal Officer, or his or her designee, in each of his or her reasonable discretion, who (together with their controlled entities and household members) must not purchase, sell, gift or otherwise transfer any security of the Company during any blackout period, except as otherwise permitted by this Policy.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quarterly blackout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begins on the tenth (10</w:t>
      </w:r>
      <w:r>
        <w:rPr>
          <w:rFonts w:ascii="Times New Roman;serif" w:hAnsi="Times New Roman;serif"/>
          <w:b w:val="false"/>
          <w:color w:val="000000"/>
          <w:sz w:val="16"/>
        </w:rPr>
        <w:t>th</w:t>
      </w:r>
      <w:r>
        <w:rPr>
          <w:rFonts w:ascii="Times New Roman;serif" w:hAnsi="Times New Roman;serif"/>
          <w:b w:val="false"/>
          <w:color w:val="000000"/>
          <w:sz w:val="24"/>
        </w:rPr>
        <w:t>) calendar day before the end of any fiscal quarter of the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ends one full trading day after the public release of earnings data for such fiscal quarter. </w:t>
      </w:r>
    </w:p>
    <w:p>
      <w:pPr>
        <w:pStyle w:val="TextBody"/>
        <w:bidi w:val="0"/>
        <w:spacing w:lineRule="auto" w:line="288" w:before="0" w:after="180"/>
        <w:ind w:left="0" w:right="0" w:firstLine="720"/>
        <w:jc w:val="left"/>
        <w:rPr/>
      </w:pPr>
      <w:r>
        <w:rPr>
          <w:rFonts w:ascii="Times New Roman;serif" w:hAnsi="Times New Roman;serif"/>
          <w:b w:val="false"/>
          <w:color w:val="000000"/>
          <w:sz w:val="24"/>
        </w:rPr>
        <w:t>For the purposes of this Policy, a “</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 xml:space="preserve">is a day on which U.S. national stock exchanges are open for trading. If, for example, the Company were to make an announcement on Monday prior to 9:30 a.m. Eastern Time, then the blackout period would terminate after the close of trading on Monday. If an announcement were made on Monday after 9:30 a.m. Eastern Time, then the blackout period would terminate after the close of trading on Tuesday. If you have any question as to whether information is publicly available, please direct an inquiry to the Chief Legal Officer. </w:t>
      </w:r>
    </w:p>
    <w:p>
      <w:pPr>
        <w:pStyle w:val="TextBody"/>
        <w:bidi w:val="0"/>
        <w:spacing w:lineRule="auto" w:line="288" w:before="0" w:after="180"/>
        <w:jc w:val="left"/>
        <w:rPr/>
      </w:pPr>
      <w:r>
        <w:rPr>
          <w:rFonts w:ascii="Times New Roman;serif" w:hAnsi="Times New Roman;serif"/>
          <w:b/>
          <w:color w:val="000000"/>
          <w:sz w:val="24"/>
          <w:u w:val="single"/>
        </w:rPr>
        <w:t>Additional Blackout Periods</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From time to time, the Chief Legal Officer may determine that an additional blackout period is appropriate. Persons subject to an additional blackout period must not purchase, sell, gift or otherwise transfer any security of the Company, except as otherwise permitted by this Policy, and must not disclose to others that an additional blackout period is in effect.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V.        PRECLEARANCE OF TRADES      </w:t>
      </w:r>
    </w:p>
    <w:p>
      <w:pPr>
        <w:pStyle w:val="TextBody"/>
        <w:bidi w:val="0"/>
        <w:spacing w:lineRule="auto" w:line="288" w:before="0" w:after="180"/>
        <w:ind w:left="0" w:right="0" w:firstLine="720"/>
        <w:jc w:val="left"/>
        <w:rPr/>
      </w:pPr>
      <w:r>
        <w:rPr>
          <w:rFonts w:ascii="Times New Roman;serif" w:hAnsi="Times New Roman;serif"/>
          <w:b w:val="false"/>
          <w:color w:val="000000"/>
          <w:sz w:val="24"/>
        </w:rPr>
        <w:t xml:space="preserve">All transactions in the Company's securities (including without limitation, acquisitions and dispositions of Company stock, the “cashless exercise” of stock options and the sale of Company stock issued upon exercise of stock options) by all directors and officers and those employees and consultants (if any) listed on </w:t>
      </w:r>
      <w:r>
        <w:rPr>
          <w:rFonts w:ascii="Times New Roman;serif" w:hAnsi="Times New Roman;serif"/>
          <w:b w:val="false"/>
          <w:color w:val="000000"/>
          <w:sz w:val="24"/>
          <w:u w:val="single"/>
        </w:rPr>
        <w:t>Schedule C</w:t>
      </w:r>
      <w:r>
        <w:rPr>
          <w:rFonts w:ascii="Times New Roman;serif" w:hAnsi="Times New Roman;serif"/>
          <w:b w:val="false"/>
          <w:color w:val="000000"/>
          <w:sz w:val="24"/>
        </w:rPr>
        <w:t>, as it may be revised by the Chief Legal Officer, or his or her designee, in each of his or her reasonable discretion (together with their controlled entities and household members, each, a “</w:t>
      </w:r>
      <w:r>
        <w:rPr>
          <w:rFonts w:ascii="Times New Roman;serif" w:hAnsi="Times New Roman;serif"/>
          <w:b w:val="false"/>
          <w:color w:val="000000"/>
          <w:sz w:val="24"/>
          <w:u w:val="single"/>
        </w:rPr>
        <w:t>Preclearance Person</w:t>
      </w:r>
      <w:r>
        <w:rPr>
          <w:color w:val="000000"/>
        </w:rPr>
        <w:t>”</w:t>
      </w:r>
      <w:r>
        <w:rPr>
          <w:rFonts w:ascii="Times New Roman;serif" w:hAnsi="Times New Roman;serif"/>
          <w:b w:val="false"/>
          <w:color w:val="000000"/>
          <w:sz w:val="24"/>
        </w:rPr>
        <w:t xml:space="preserve">) must be precleared by the Chief Legal Officer, or his or her designee, by emailing preclearance@ardelyx.com.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confirm in writing that he or she is not aware of material nonpublic information about the Company. The Chief Legal Officer, or his or her designee, shall have sole discretion to decide whether to clear any contemplated transaction. Notwithstanding receipt of preclearance, if the Preclearance Person becomes aware of material nonpublic information, or becomes subject to a blackout period before the transaction is effected, the transaction may not be completed.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Preclearance should not be understood to represent legal advice by the Company that a proposed transaction complies with the law and preclearance does not relieve anyone of their responsibility under SEC rules. None of the Company, the Chief Legal Officer, or the Company’s other employees will have any liability for any delay in reviewing, or refusal of, a request for preclearance.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VI.        EXEMPT TRANSACTIONS </w:t>
      </w:r>
    </w:p>
    <w:p>
      <w:pPr>
        <w:pStyle w:val="TextBody"/>
        <w:bidi w:val="0"/>
        <w:spacing w:lineRule="auto" w:line="288" w:before="0" w:after="180"/>
        <w:ind w:left="0" w:right="0" w:firstLine="720"/>
        <w:jc w:val="left"/>
        <w:rPr/>
      </w:pPr>
      <w:r>
        <w:rPr>
          <w:rFonts w:ascii="Times New Roman;serif" w:hAnsi="Times New Roman;serif"/>
          <w:b w:val="false"/>
          <w:color w:val="000000"/>
          <w:sz w:val="24"/>
        </w:rPr>
        <w:t xml:space="preserve">The prohibitions set forth in </w:t>
      </w:r>
      <w:r>
        <w:rPr>
          <w:rFonts w:ascii="Times New Roman;serif" w:hAnsi="Times New Roman;serif"/>
          <w:b w:val="false"/>
          <w:color w:val="000000"/>
          <w:sz w:val="24"/>
          <w:u w:val="single"/>
        </w:rPr>
        <w:t>Section 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V</w:t>
      </w:r>
      <w:r>
        <w:rPr>
          <w:color w:val="000000"/>
        </w:rPr>
        <w:t xml:space="preserve"> </w:t>
      </w:r>
      <w:r>
        <w:rPr>
          <w:rFonts w:ascii="Times New Roman;serif" w:hAnsi="Times New Roman;serif"/>
          <w:b w:val="false"/>
          <w:color w:val="000000"/>
          <w:sz w:val="24"/>
        </w:rPr>
        <w:t xml:space="preserve">do not apply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purchases of the Company’s securities from the Company or sales of the Company’s securities to the Company, or the surrender to or withholding by the Company of the Company’s securities (</w:t>
      </w:r>
      <w:r>
        <w:rPr>
          <w:rFonts w:ascii="Times New Roman;serif" w:hAnsi="Times New Roman;serif"/>
          <w:b w:val="false"/>
          <w:i/>
          <w:color w:val="000000"/>
          <w:sz w:val="24"/>
        </w:rPr>
        <w:t>e.g.</w:t>
      </w:r>
      <w:r>
        <w:rPr>
          <w:rFonts w:ascii="Times New Roman;serif" w:hAnsi="Times New Roman;serif"/>
          <w:b w:val="false"/>
          <w:color w:val="000000"/>
          <w:sz w:val="24"/>
        </w:rPr>
        <w:t xml:space="preserve">, to cover withholding obligations upon the vesting or settlement of equity-based awards);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exercises of stock options or other equity awards or vesting of equity-based awards that do not involve a market sale of the Company’s securities (note that the “cashless exercise” of a Company stock option or other equity award through a broker </w:t>
      </w:r>
      <w:r>
        <w:rPr>
          <w:rFonts w:ascii="Times New Roman;serif" w:hAnsi="Times New Roman;serif"/>
          <w:b w:val="false"/>
          <w:color w:val="000000"/>
          <w:sz w:val="24"/>
          <w:u w:val="single"/>
        </w:rPr>
        <w:t>does</w:t>
      </w:r>
      <w:r>
        <w:rPr>
          <w:color w:val="000000"/>
        </w:rPr>
        <w:t xml:space="preserve"> </w:t>
      </w:r>
      <w:r>
        <w:rPr>
          <w:rFonts w:ascii="Times New Roman;serif" w:hAnsi="Times New Roman;serif"/>
          <w:b w:val="false"/>
          <w:color w:val="000000"/>
          <w:sz w:val="24"/>
        </w:rPr>
        <w:t xml:space="preserve">involve a market sale of the Company’s securities, and therefore would not qualify under this exception);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initial elections to participate in the Company’s Employee Stock Purchase Plan (“</w:t>
      </w:r>
      <w:r>
        <w:rPr>
          <w:rFonts w:ascii="Times New Roman;serif" w:hAnsi="Times New Roman;serif"/>
          <w:b w:val="false"/>
          <w:color w:val="000000"/>
          <w:sz w:val="24"/>
          <w:u w:val="single"/>
        </w:rPr>
        <w:t>ESPP</w:t>
      </w:r>
      <w:r>
        <w:rPr>
          <w:color w:val="000000"/>
        </w:rPr>
        <w:t>”</w:t>
      </w:r>
      <w:r>
        <w:rPr>
          <w:rFonts w:ascii="Times New Roman;serif" w:hAnsi="Times New Roman;serif"/>
          <w:b w:val="false"/>
          <w:color w:val="000000"/>
          <w:sz w:val="24"/>
        </w:rPr>
        <w:t xml:space="preserve">), subsequent elections to change the contribution amount under the ESPP, or purchases made pursuant to and in accordance with the ESPP;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gift transactions for family or estate planning purposes, where securities are gifted to a person or entity subject to this Policy, except that gift transactions involving Company securities are subject to pre-clearance;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sell-to-cover” transactions pursuant to a non-discretionary policy adopted by the Company that is intended to facilitate the payment of withholding taxes associated with vesting of equity awards (other than stock options);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purchases or sales of the Company’s securities made pursuant to a plan adopted to comply with Exchange Act Rule 10b5-1 (“</w:t>
      </w:r>
      <w:r>
        <w:rPr>
          <w:rFonts w:ascii="Times New Roman;serif" w:hAnsi="Times New Roman;serif"/>
          <w:b w:val="false"/>
          <w:color w:val="000000"/>
          <w:sz w:val="24"/>
          <w:u w:val="single"/>
        </w:rPr>
        <w:t>Rule 10b5-1</w:t>
      </w:r>
      <w:r>
        <w:rPr>
          <w:color w:val="000000"/>
        </w:rPr>
        <w:t>”</w:t>
      </w:r>
      <w:r>
        <w:rPr>
          <w:rFonts w:ascii="Times New Roman;serif" w:hAnsi="Times New Roman;serif"/>
          <w:b w:val="false"/>
          <w:color w:val="000000"/>
          <w:sz w:val="24"/>
        </w:rPr>
        <w:t xml:space="preserve">) and which plan (i) was precleared in advance pursuant to this Policy and (ii) has not been amended or modified in any respect after such initial preclearance without such amendment or </w:t>
      </w:r>
    </w:p>
    <w:p>
      <w:pPr>
        <w:pStyle w:val="TextBody"/>
        <w:bidi w:val="0"/>
        <w:spacing w:lineRule="auto" w:line="288" w:before="0" w:after="180"/>
        <w:jc w:val="left"/>
        <w:rPr/>
      </w:pPr>
      <w:r>
        <w:rPr>
          <w:rFonts w:ascii="Times New Roman;serif" w:hAnsi="Times New Roman;serif"/>
          <w:b w:val="false"/>
          <w:color w:val="000000"/>
          <w:sz w:val="24"/>
        </w:rPr>
        <w:t xml:space="preserve">modification being precleared in advance pursuant to this Policy. For more information about Rule 10b5-1 trading plans, see </w:t>
      </w:r>
      <w:r>
        <w:rPr>
          <w:rFonts w:ascii="Times New Roman;serif" w:hAnsi="Times New Roman;serif"/>
          <w:b w:val="false"/>
          <w:color w:val="000000"/>
          <w:sz w:val="24"/>
          <w:u w:val="single"/>
        </w:rPr>
        <w:t>Section IX</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Exceptions to the blackout period policy may be approved by the Chief Legal Officer or, in the case of exceptions for directors, the Audit Committee of the Board of Directors.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VII.        MATERIAL NON-PUBLIC INFORMATION </w:t>
      </w:r>
    </w:p>
    <w:p>
      <w:pPr>
        <w:pStyle w:val="TextBody"/>
        <w:bidi w:val="0"/>
        <w:spacing w:lineRule="auto" w:line="288" w:before="0" w:after="180"/>
        <w:ind w:left="0" w:right="0" w:firstLine="720"/>
        <w:jc w:val="left"/>
        <w:rPr/>
      </w:pPr>
      <w:r>
        <w:rPr>
          <w:rFonts w:ascii="Times New Roman;serif" w:hAnsi="Times New Roman;serif"/>
          <w:b w:val="false"/>
          <w:color w:val="000000"/>
          <w:sz w:val="24"/>
        </w:rPr>
        <w:t>The materiality of a fact depends upon the circumstances. A fact is considered “</w:t>
      </w:r>
      <w:r>
        <w:rPr>
          <w:rFonts w:ascii="Times New Roman;serif" w:hAnsi="Times New Roman;serif"/>
          <w:b w:val="false"/>
          <w:color w:val="000000"/>
          <w:sz w:val="24"/>
          <w:u w:val="single"/>
        </w:rPr>
        <w:t>material</w:t>
      </w:r>
      <w:r>
        <w:rPr>
          <w:color w:val="000000"/>
        </w:rPr>
        <w:t xml:space="preserve">” </w:t>
      </w:r>
      <w:r>
        <w:rPr>
          <w:rFonts w:ascii="Times New Roman;serif" w:hAnsi="Times New Roman;serif"/>
          <w:b w:val="false"/>
          <w:color w:val="000000"/>
          <w:sz w:val="24"/>
        </w:rPr>
        <w:t xml:space="preserve">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 could be deemed material.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Examples of material information may include (but are not limited to) information about: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corporate earnings or earnings forecasts;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communications sent to or received from the U.S. Food and Drug Administration;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possible mergers, acquisitions, tender offers or dispositions;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major new products or product developments;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important business developments such as developments regarding strategic collaborations;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management or control changes;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significant borrowing or financing developments including pending public sales or offerings of debt or equity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defaults on borrowings;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bankruptcies;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cybersecurity or data security incidents;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significant litigation or regulatory actions. </w:t>
      </w:r>
    </w:p>
    <w:p>
      <w:pPr>
        <w:pStyle w:val="TextBody"/>
        <w:bidi w:val="0"/>
        <w:spacing w:lineRule="auto" w:line="288" w:before="0" w:after="180"/>
        <w:ind w:left="0" w:right="0" w:firstLine="720"/>
        <w:jc w:val="left"/>
        <w:rPr/>
      </w:pPr>
      <w:r>
        <w:rPr>
          <w:rFonts w:ascii="Times New Roman;serif" w:hAnsi="Times New Roman;serif"/>
          <w:b w:val="false"/>
          <w:color w:val="000000"/>
          <w:sz w:val="24"/>
        </w:rPr>
        <w:t>Information is “</w:t>
      </w:r>
      <w:r>
        <w:rPr>
          <w:rFonts w:ascii="Times New Roman;serif" w:hAnsi="Times New Roman;serif"/>
          <w:b w:val="false"/>
          <w:color w:val="000000"/>
          <w:sz w:val="24"/>
          <w:u w:val="single"/>
        </w:rPr>
        <w:t>non-public</w:t>
      </w:r>
      <w:r>
        <w:rPr>
          <w:color w:val="000000"/>
        </w:rPr>
        <w:t xml:space="preserve">” </w:t>
      </w:r>
      <w:r>
        <w:rPr>
          <w:rFonts w:ascii="Times New Roman;serif" w:hAnsi="Times New Roman;serif"/>
          <w:b w:val="false"/>
          <w:color w:val="000000"/>
          <w:sz w:val="24"/>
        </w:rPr>
        <w:t>if it is not available to the general public. In order for information to be considered public, it must be widely disseminated in a manner making it generally available to investors in a Regulation FD-compliant method, such as through a press release, a filing with the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xml:space="preserve">) or a Regulation FD compliant conference call. The Chief Legal Officer shall have sole discretion to decide whether information is public for purposes of this Policy.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circulation of rumors, even if accurate and reported in the media, does not constitute public dissemination. In addition, even after a public announcement, a reasonable period of time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may need to lapse in order for the market to react to the information. Generally, one should allow one full trading day following release of information to the public, as a reasonable waiting period before such information is deemed to be public.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VIII.        POST-TERMINATION AND PROHIBITED TRANSACTIONS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A.        Post-Termination Transactions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individual is in possession of material non-public information when his or her service terminates, that individual may not trade in the Company’s securities until that information has become public or is no longer material.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B.        Prohibited Transactions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Company’s securities: </w:t>
      </w:r>
    </w:p>
    <w:p>
      <w:pPr>
        <w:pStyle w:val="TextBody"/>
        <w:bidi w:val="0"/>
        <w:spacing w:lineRule="auto" w:line="288" w:before="0" w:after="180"/>
        <w:ind w:left="0" w:right="0" w:hanging="360"/>
        <w:jc w:val="left"/>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u w:val="single"/>
        </w:rPr>
        <w:t>Short Sales</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Short sales of the Company’s securities are prohibited by this Policy. Short sales are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 </w:t>
      </w:r>
    </w:p>
    <w:p>
      <w:pPr>
        <w:pStyle w:val="TextBody"/>
        <w:bidi w:val="0"/>
        <w:spacing w:lineRule="auto" w:line="288" w:before="0" w:after="18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Options</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Transactions in puts, calls, or other derivative securities involving covered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pStyle w:val="TextBody"/>
        <w:bidi w:val="0"/>
        <w:spacing w:lineRule="auto" w:line="288" w:before="0" w:after="18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Hedging Transactions</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Hedging transactions involving covered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 </w:t>
      </w:r>
    </w:p>
    <w:p>
      <w:pPr>
        <w:pStyle w:val="TextBody"/>
        <w:bidi w:val="0"/>
        <w:spacing w:lineRule="auto" w:line="288" w:before="0" w:after="18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Margin Accounts and Pledging</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Individuals are prohibited from pledging covered securities as collateral for a loan, purchasing covered securities on margin (i.e., borrowing money to purchase the securities), or placing covered securities in a margin account. This prohibition does not apply to cashless exercises of stock options under the Company’s equity plans, nor to situations approved in advance by the Company's Chief Legal Officer.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IX.        RULE 10b5-1 TRADING PLANS </w:t>
      </w:r>
    </w:p>
    <w:p>
      <w:pPr>
        <w:pStyle w:val="TextBody"/>
        <w:bidi w:val="0"/>
        <w:spacing w:lineRule="auto" w:line="288" w:before="0" w:after="180"/>
        <w:ind w:left="0" w:right="0" w:firstLine="720"/>
        <w:jc w:val="left"/>
        <w:rPr/>
      </w:pPr>
      <w:r>
        <w:rPr>
          <w:rFonts w:ascii="Times New Roman;serif" w:hAnsi="Times New Roman;serif"/>
          <w:b w:val="false"/>
          <w:color w:val="000000"/>
          <w:sz w:val="24"/>
        </w:rPr>
        <w:t>The trading restrictions set forth in this Policy, other than those transactions described under “Prohibited Transactions”, do not apply to transactions under a previously established contract, plan or instruction to trade in the Company’s securities entered into in accordance with the terms of Rule 10b5-1 and all applicable state laws (a “</w:t>
      </w:r>
      <w:r>
        <w:rPr>
          <w:rFonts w:ascii="Times New Roman;serif" w:hAnsi="Times New Roman;serif"/>
          <w:b w:val="false"/>
          <w:color w:val="000000"/>
          <w:sz w:val="24"/>
          <w:u w:val="single"/>
        </w:rPr>
        <w:t>Trading Plan</w:t>
      </w:r>
      <w:r>
        <w:rPr>
          <w:color w:val="000000"/>
        </w:rPr>
        <w:t>”</w:t>
      </w:r>
      <w:r>
        <w:rPr>
          <w:rFonts w:ascii="Times New Roman;serif" w:hAnsi="Times New Roman;serif"/>
          <w:b w:val="false"/>
          <w:color w:val="000000"/>
          <w:sz w:val="24"/>
        </w:rPr>
        <w:t xml:space="preserve">)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has been submitted to and pre-approved by the Company’s Chief Legal Officer or Chief Financial Officer, or such other person as the Company’s Board of Directors may designate from time to time at least 30 days before the commencement of any transactions under the Trading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includes a “Cooling Off Period” for: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employees and any other persons, other than the Company, that extends 30 days after adoption or modification of a Trading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for Section 16 reporting persons, includes a representation in the Trading Plan that the Section 16 reporting person is (i) not aware of any material non-public information about the Company or its securities; and (ii) adopting the Trading Plan in good faith and not as part of a plan or scheme to evade Rule 10b-5;</w:t>
      </w:r>
      <w:r>
        <w:rPr>
          <w:color w:val="00000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either (i) specifies the amounts, prices, and dates of all transactions under the Trading Plan, (ii) provides a written formula, algorithm, or computer program for determining the amount, price, and date of the transactions, or (iii) prohibits the individual from exercising any subsequent influence over the transactions;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complies with all other applicable requirements of Rule 10b5-1.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Chief Legal Officer may impose such other conditions on the implementation and operation of the Trading Plan as the Chief Legal Officer deems necessary or advisable.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Individuals may not adopt more than one Trading Plan at a time except under the limited circumstances permitted by Rule 10b5-1 and subject to preapproval by the Chief Legal Officer.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individual may only modify a Trading Plan outside of a blackout period and, in any event, when the individual does not possess material non-public information. Modifications to and terminations of a Trading Plan are subject to preapproval by the Chief Legal Officer and modifications of a Trading Plan that change the amount, price, or timing of the purchase or sale of the securities underlying a Trading Plan will trigger a new Cooling-Off Period.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Chief Legal Officer or the Board of Directors, in its discretion, determines that such suspension, discontinuation, or other prohibition is in the best interests of the Company.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Compliance of a Trading Plan with the terms of Rule 10b5-1 and the execution of transactions pursuant to the Trading Plan are the sole responsibility of the person initiating the Trading Plan, and none of the Company, the Chief Legal Officer, or the Company’s other employees assumes any liability for any delay in reviewing and/or refusing to approve a Trading Plan submitted for approval, nor the legality or consequences relating to a person entering into, informing the Company of, or trading under, a Trading Plan. </w:t>
      </w:r>
    </w:p>
    <w:p>
      <w:pPr>
        <w:pStyle w:val="TextBody"/>
        <w:bidi w:val="0"/>
        <w:spacing w:lineRule="auto" w:line="288" w:before="0" w:after="180"/>
        <w:jc w:val="left"/>
        <w:rPr/>
      </w:pPr>
      <w:r>
        <w:rPr>
          <w:rFonts w:ascii="Times New Roman;serif" w:hAnsi="Times New Roman;serif"/>
          <w:b/>
          <w:color w:val="000000"/>
          <w:sz w:val="24"/>
        </w:rPr>
        <w:t>X.        INTERPRETATION, AMENDMENT, AND IMPLEMENTATION OF THIS POLICY</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Actions taken by the Company, the Chief Legal Officer, or any other Company personnel do not constitute legal advice, nor do they insulate you from the consequences of noncompliance with this Policy or with securities laws. </w:t>
      </w:r>
    </w:p>
    <w:p>
      <w:pPr>
        <w:pStyle w:val="TextBody"/>
        <w:bidi w:val="0"/>
        <w:spacing w:lineRule="auto" w:line="288" w:before="0" w:after="180"/>
        <w:jc w:val="left"/>
        <w:rPr/>
      </w:pPr>
      <w:r>
        <w:rPr>
          <w:rFonts w:ascii="Times New Roman;serif" w:hAnsi="Times New Roman;serif"/>
          <w:b/>
          <w:color w:val="000000"/>
          <w:sz w:val="24"/>
        </w:rPr>
        <w:t>XI</w:t>
      </w:r>
      <w:r>
        <w:rPr>
          <w:rFonts w:ascii="Times New Roman;serif" w:hAnsi="Times New Roman;serif"/>
          <w:b w:val="false"/>
          <w:color w:val="000000"/>
          <w:sz w:val="24"/>
        </w:rPr>
        <w:t>.        </w:t>
      </w:r>
      <w:r>
        <w:rPr>
          <w:rFonts w:ascii="Times New Roman;serif" w:hAnsi="Times New Roman;serif"/>
          <w:b/>
          <w:color w:val="000000"/>
          <w:sz w:val="24"/>
        </w:rPr>
        <w:t>REVIEW AND ACKNOWLEDGMENT OF THIS POLICY</w:t>
      </w:r>
      <w:r>
        <w:rPr>
          <w:color w:val="000000"/>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Covered Person that is employed by the Company is required to review this Policy and acknowledge such review and understanding of this Policy through ComplianceWire upon commencement of their employment with the Company and annually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pPr>
      <w:r>
        <w:rPr>
          <w:rFonts w:ascii="Times New Roman;serif" w:hAnsi="Times New Roman;serif"/>
          <w:b/>
          <w:color w:val="000000"/>
          <w:sz w:val="24"/>
          <w:u w:val="single"/>
        </w:rPr>
        <w:t>SCHEDULE A</w:t>
      </w:r>
      <w:r>
        <w:rPr>
          <w:color w:val="000000"/>
        </w:rPr>
        <w:t xml:space="preserve"> </w:t>
      </w:r>
    </w:p>
    <w:p>
      <w:pPr>
        <w:pStyle w:val="TextBody"/>
        <w:bidi w:val="0"/>
        <w:spacing w:lineRule="auto" w:line="288" w:before="0" w:after="180"/>
        <w:jc w:val="center"/>
        <w:rPr/>
      </w:pPr>
      <w:r>
        <w:rPr>
          <w:rFonts w:ascii="Times New Roman;serif" w:hAnsi="Times New Roman;serif"/>
          <w:b/>
          <w:color w:val="000000"/>
          <w:sz w:val="24"/>
          <w:u w:val="single"/>
        </w:rPr>
        <w:t>APPLICABLE CONTRACTORS AND CONSULTANTS</w:t>
      </w:r>
      <w:r>
        <w:rPr>
          <w:color w:val="000000"/>
        </w:rPr>
        <w:t xml:space="preserve"> </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pPr>
      <w:r>
        <w:rPr>
          <w:rFonts w:ascii="Times New Roman;serif" w:hAnsi="Times New Roman;serif"/>
          <w:b/>
          <w:color w:val="000000"/>
          <w:sz w:val="24"/>
          <w:u w:val="single"/>
        </w:rPr>
        <w:t>SCHEDULE B</w:t>
      </w:r>
      <w:r>
        <w:rPr>
          <w:color w:val="000000"/>
        </w:rPr>
        <w:t xml:space="preserve"> </w:t>
      </w:r>
    </w:p>
    <w:p>
      <w:pPr>
        <w:pStyle w:val="TextBody"/>
        <w:bidi w:val="0"/>
        <w:spacing w:lineRule="auto" w:line="288" w:before="0" w:after="180"/>
        <w:jc w:val="center"/>
        <w:rPr/>
      </w:pPr>
      <w:r>
        <w:rPr>
          <w:rFonts w:ascii="Times New Roman;serif" w:hAnsi="Times New Roman;serif"/>
          <w:b/>
          <w:color w:val="000000"/>
          <w:sz w:val="24"/>
          <w:u w:val="single"/>
        </w:rPr>
        <w:t>INDIVIDUALS SUBJECT TO QUARTERLY BLACKOUT PERIODS</w:t>
      </w:r>
      <w:r>
        <w:rPr>
          <w:color w:val="000000"/>
        </w:rPr>
        <w:t xml:space="preserve"> </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pPr>
      <w:r>
        <w:rPr>
          <w:rFonts w:ascii="Times New Roman;serif" w:hAnsi="Times New Roman;serif"/>
          <w:b/>
          <w:color w:val="000000"/>
          <w:sz w:val="24"/>
          <w:u w:val="single"/>
        </w:rPr>
        <w:t>SCHEDULE C</w:t>
      </w:r>
      <w:r>
        <w:rPr>
          <w:color w:val="000000"/>
        </w:rPr>
        <w:t xml:space="preserve"> </w:t>
      </w:r>
    </w:p>
    <w:p>
      <w:pPr>
        <w:pStyle w:val="TextBody"/>
        <w:bidi w:val="0"/>
        <w:spacing w:lineRule="auto" w:line="288" w:before="0" w:after="180"/>
        <w:jc w:val="center"/>
        <w:rPr/>
      </w:pPr>
      <w:r>
        <w:rPr>
          <w:rFonts w:ascii="Times New Roman;serif" w:hAnsi="Times New Roman;serif"/>
          <w:b/>
          <w:color w:val="000000"/>
          <w:sz w:val="24"/>
          <w:u w:val="single"/>
        </w:rPr>
        <w:t>INDIVIDUALS SUBJECT TO PRECLEARANCE REQUIREMENT</w:t>
      </w:r>
      <w:r>
        <w:rPr>
          <w:color w:val="000000"/>
        </w:rPr>
        <w:t xml:space="preserve"> </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on Form S-8 (No. 333-197408) pertaining to the 2008 Stock Incentive Plan, as amended, the 2014 Equity Incentive Award Plan and the 2014 Employee Stock Purchase Plan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Statements on Form S-8 (Nos. 333-202663 and 333-230156) pertaining to the 2014 Equity Incentive Award Plan and the 2014 Employee Stock Purchase Plan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3.Registration Statements on Form S-3 (Nos. 333-205630, 333-213085, 333-217441, 333-239764, 333-269297 and 333-291230)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4.Registration Statements on Form S-8 (Nos. 333-210079, 333-216154, 333-223694 and 333-237057) pertaining to the 2014 Equity Incentive Award Plan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5.Registration Statement on Form S-8 (No. 333-214538) pertaining to the 2016 Employment Commencement Incentive Plan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6.Registration Statements on Form S-8 (Nos. 333-254187 and 333-270314) pertaining to the 2014 Equity Incentive Award Plan, the 2014 Employee Stock Purchase Plan and the 2016 Employment Commencement Incentive Plan of Ardelyx, Inc.,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7.Registration Statements on Form S-8 (Nos. 333-263145 and 333-277428) pertaining to the 2014 Equity Incentive Award Plan and the 2016 Employment Commencement Incentive Plan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8.Registration Statement on Form S-8 (No. 333-283006) pertaining to the Amended and Restated 2014 Equity Incentive Award Plan and the Amended and Restated 2014 Employee Stock Purchase Plan of Ardelyx, Inc.,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9.Registration Statement on Form S-8 (No. 333-291229) pertaining to the Amended and Restated 2014 Equity Incentive Award Plan of Ardelyx, Inc.;</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19, 2026, with respect to the financial statements of Ardelyx, Inc. and the effectiveness of internal control over financial reporting of Ardelyx, Inc. included in this Annual Report (Form 10-K) of Ardelyx, Inc. for the year ended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Raab,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5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210"/>
        <w:gridCol w:w="1210"/>
        <w:gridCol w:w="171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Susan Hohenleitner,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80"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750"/>
        <w:gridCol w:w="750"/>
        <w:gridCol w:w="106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Ardelyx, Inc. (the “Company”) on Form 10-K for the period ending December 31, 2025, as filed with the Securities and Exchange Commission on the date hereof (the “Report”), Michael Raab, President and Chief Executive Officer of the Company, and Susan Hohenleitner, Chief Financial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95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210"/>
        <w:gridCol w:w="1210"/>
        <w:gridCol w:w="171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tbl>
      <w:tblPr>
        <w:tblW w:w="538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750"/>
        <w:gridCol w:w="750"/>
        <w:gridCol w:w="106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37402/000119312514247380/d748616dex31.htm" TargetMode="External"/><Relationship Id="rId5" Type="http://schemas.openxmlformats.org/officeDocument/2006/relationships/hyperlink" Target="https://www.sec.gov/Archives/edgar/data/1437402/000162828023022681/certificateofamendment6-16.htm" TargetMode="External"/><Relationship Id="rId6" Type="http://schemas.openxmlformats.org/officeDocument/2006/relationships/hyperlink" Target="https://www.sec.gov/Archives/edgar/data/1437402/000162828025037441/ardx-20250630xexhibit31.htm" TargetMode="External"/><Relationship Id="rId7" Type="http://schemas.openxmlformats.org/officeDocument/2006/relationships/hyperlink" Target="https://www.sec.gov/Archives/edgar/data/1437402/000119312514240520/d704770dex42.htm" TargetMode="External"/><Relationship Id="rId8" Type="http://schemas.openxmlformats.org/officeDocument/2006/relationships/hyperlink" Target="https://www.sec.gov/Archives/edgar/data/1437402/000155837021002500/ardx-20201231xex10d31.htm" TargetMode="External"/><Relationship Id="rId9" Type="http://schemas.openxmlformats.org/officeDocument/2006/relationships/hyperlink" Target="https://www.sec.gov/Archives/edgar/data/1437402/000162828024019990/prospectfifthave2ndamendme.htm" TargetMode="External"/><Relationship Id="rId10" Type="http://schemas.openxmlformats.org/officeDocument/2006/relationships/hyperlink" Target="https://www.sec.gov/Archives/edgar/data/1437402/000162828024019990/prospectfifthave3rdamendme.htm" TargetMode="External"/><Relationship Id="rId11" Type="http://schemas.openxmlformats.org/officeDocument/2006/relationships/hyperlink" Target="https://www.sec.gov/Archives/edgar/data/1437402/000162828025037464/ardx-20250630xex102.htm" TargetMode="External"/><Relationship Id="rId12" Type="http://schemas.openxmlformats.org/officeDocument/2006/relationships/hyperlink" Target="https://www.sec.gov/Archives/edgar/data/1437402/000162828024042602/exhibit101-ardelyxxlease.htm" TargetMode="External"/><Relationship Id="rId13" Type="http://schemas.openxmlformats.org/officeDocument/2006/relationships/hyperlink" Target="https://www.sec.gov/Archives/edgar/data/1437402/000162828024034121/exhibit101-xardelyxxamende.htm" TargetMode="External"/><Relationship Id="rId14" Type="http://schemas.openxmlformats.org/officeDocument/2006/relationships/hyperlink" Target="https://www.sec.gov/Archives/edgar/data/1437402/000162828025032172/ardx-20250618xexx101.htm" TargetMode="External"/><Relationship Id="rId15" Type="http://schemas.openxmlformats.org/officeDocument/2006/relationships/hyperlink" Target="https://www.sec.gov/Archives/edgar/data/1437402/000162828024034121/exhibit102-xardelyxxamende.htm" TargetMode="External"/><Relationship Id="rId16" Type="http://schemas.openxmlformats.org/officeDocument/2006/relationships/hyperlink" Target="https://www.sec.gov/Archives/edgar/data/1437402/000110465923029195/tm238542d1_ex99-3.htm" TargetMode="External"/><Relationship Id="rId17" Type="http://schemas.openxmlformats.org/officeDocument/2006/relationships/hyperlink" Target="https://www.sec.gov/Archives/edgar/data/1437402/000119312516764653/d276142dex992.htm" TargetMode="External"/><Relationship Id="rId18" Type="http://schemas.openxmlformats.org/officeDocument/2006/relationships/hyperlink" Target="https://www.sec.gov/Archives/edgar/data/1437402/000119312516764653/d276142dex993.htm" TargetMode="External"/><Relationship Id="rId19" Type="http://schemas.openxmlformats.org/officeDocument/2006/relationships/hyperlink" Target="https://www.sec.gov/Archives/edgar/data/1437402/000119312516764653/d276142dex994.htm" TargetMode="External"/><Relationship Id="rId20" Type="http://schemas.openxmlformats.org/officeDocument/2006/relationships/hyperlink" Target="https://www.sec.gov/Archives/edgar/data/1437402/000119312514229371/d704770dex107.htm" TargetMode="External"/><Relationship Id="rId21" Type="http://schemas.openxmlformats.org/officeDocument/2006/relationships/hyperlink" Target="https://www.sec.gov/Archives/edgar/data/1437402/000162828025021516/ardx-20250331xex101.htm" TargetMode="External"/><Relationship Id="rId22" Type="http://schemas.openxmlformats.org/officeDocument/2006/relationships/hyperlink" Target="https://www.sec.gov/Archives/edgar/data/1437402/000119312514229371/d704770dex1013.htm" TargetMode="External"/><Relationship Id="rId23" Type="http://schemas.openxmlformats.org/officeDocument/2006/relationships/hyperlink" Target="https://www.sec.gov/Archives/edgar/data/1437402/000119312514229371/d704770dex1013.htm" TargetMode="External"/><Relationship Id="rId24" Type="http://schemas.openxmlformats.org/officeDocument/2006/relationships/hyperlink" Target="https://www.sec.gov/Archives/edgar/data/1437402/000119312514229371/d704770dex1014.htm" TargetMode="External"/><Relationship Id="rId25" Type="http://schemas.openxmlformats.org/officeDocument/2006/relationships/hyperlink" Target="https://www.sec.gov/Archives/edgar/data/1437402/000155837020009636/ardx-20200630xex10d3.htm" TargetMode="External"/><Relationship Id="rId26" Type="http://schemas.openxmlformats.org/officeDocument/2006/relationships/hyperlink" Target="https://www.sec.gov/Archives/edgar/data/1437402/000143740225000018/ardx-20250930xex101.htm" TargetMode="External"/><Relationship Id="rId27" Type="http://schemas.openxmlformats.org/officeDocument/2006/relationships/hyperlink" Target="https://www.sec.gov/Archives/edgar/data/1437402/000162828025021516/ardx-20250331xex102.htm" TargetMode="External"/><Relationship Id="rId28" Type="http://schemas.openxmlformats.org/officeDocument/2006/relationships/hyperlink" Target="https://www.sec.gov/Archives/edgar/data/1437402/000162828024019990/mkelliherofferletterfeb132.htm" TargetMode="External"/><Relationship Id="rId29" Type="http://schemas.openxmlformats.org/officeDocument/2006/relationships/hyperlink" Target="https://www.sec.gov/Archives/edgar/data/1437402/000162828024044551/exhibit106-xericfosteroffe.htm" TargetMode="External"/><Relationship Id="rId30" Type="http://schemas.openxmlformats.org/officeDocument/2006/relationships/hyperlink" Target="https://www.sec.gov/Archives/edgar/data/1437402/000162828025037464/ardx-20250630xex103.htm" TargetMode="External"/><Relationship Id="rId31" Type="http://schemas.openxmlformats.org/officeDocument/2006/relationships/hyperlink" Target="https://www.sec.gov/Archives/edgar/data/1437402/000143740225000018/ardx-20250930xex102.htm" TargetMode="External"/><Relationship Id="rId32" Type="http://schemas.openxmlformats.org/officeDocument/2006/relationships/hyperlink" Target="https://www.sec.gov/Archives/edgar/data/1437402/000143740225000018/ardx-20250930xex103.htm" TargetMode="External"/><Relationship Id="rId33" Type="http://schemas.openxmlformats.org/officeDocument/2006/relationships/hyperlink" Target="https://www.sec.gov/Archives/edgar/data/1437402/000143740225000018/ardx-20250930xex104.htm" TargetMode="External"/><Relationship Id="rId34" Type="http://schemas.openxmlformats.org/officeDocument/2006/relationships/hyperlink" Target="https://www.sec.gov/Archives/edgar/data/1437402/000162828024036749/exhibit101-xardelyxcatalen.htm" TargetMode="External"/><Relationship Id="rId35" Type="http://schemas.openxmlformats.org/officeDocument/2006/relationships/hyperlink" Target="https://www.sec.gov/Archives/edgar/data/1437402/000162828024044551/exhibit102-xhovionecommerc.htm" TargetMode="External"/><Relationship Id="rId36" Type="http://schemas.openxmlformats.org/officeDocument/2006/relationships/hyperlink" Target="https://www.sec.gov/Archives/edgar/data/1437402/000162828023006041/kyowakirincoltdfkakyowahak.htm" TargetMode="External"/><Relationship Id="rId37" Type="http://schemas.openxmlformats.org/officeDocument/2006/relationships/hyperlink" Target="https://www.sec.gov/Archives/edgar/data/1437402/000162828022008924/a2ndamendmenttokkc-ardxlic.htm" TargetMode="External"/><Relationship Id="rId38" Type="http://schemas.openxmlformats.org/officeDocument/2006/relationships/hyperlink" Target="https://www.sec.gov/Archives/edgar/data/1437402/000162828022021047/hcr-ardelyxxroyaltyandmile.htm" TargetMode="External"/><Relationship Id="rId39" Type="http://schemas.openxmlformats.org/officeDocument/2006/relationships/hyperlink" Target="https://www.sec.gov/Archives/edgar/data/1437402/000162828022012630/slrloanandsecurityagreemen.htm" TargetMode="External"/><Relationship Id="rId40" Type="http://schemas.openxmlformats.org/officeDocument/2006/relationships/hyperlink" Target="https://www.sec.gov/Archives/edgar/data/1437402/000162828022021047/slr-ardelyxxfirstamendment.htm" TargetMode="External"/><Relationship Id="rId41" Type="http://schemas.openxmlformats.org/officeDocument/2006/relationships/hyperlink" Target="https://www.sec.gov/Archives/edgar/data/1437402/000162828023006041/slr-ardelyxxsecondamendmen.htm" TargetMode="External"/><Relationship Id="rId42" Type="http://schemas.openxmlformats.org/officeDocument/2006/relationships/hyperlink" Target="https://www.sec.gov/Archives/edgar/data/1437402/000162828023034587/ardelyx-thirdamendmenttolo.htm" TargetMode="External"/><Relationship Id="rId43" Type="http://schemas.openxmlformats.org/officeDocument/2006/relationships/hyperlink" Target="https://www.sec.gov/Archives/edgar/data/1437402/000162828024044551/exhibit105-xardelyxxfourth.htm" TargetMode="External"/><Relationship Id="rId44" Type="http://schemas.openxmlformats.org/officeDocument/2006/relationships/hyperlink" Target="https://www.sec.gov/Archives/edgar/data/1437402/000162828025034132/ardx-20250703xexx101.htm" TargetMode="External"/><Relationship Id="rId45" Type="http://schemas.openxmlformats.org/officeDocument/2006/relationships/hyperlink" Target="https://www.sec.gov/Archives/edgar/data/1437402/000162828022012630/slrexitfeeagreement-ex102.htm" TargetMode="External"/><Relationship Id="rId46" Type="http://schemas.openxmlformats.org/officeDocument/2006/relationships/hyperlink" Target="https://www.sec.gov/Archives/edgar/data/1437402/000155837018006606/ardx-20180630ex102467e2d.htm" TargetMode="External"/><Relationship Id="rId47" Type="http://schemas.openxmlformats.org/officeDocument/2006/relationships/hyperlink" Target="https://www.sec.gov/Archives/edgar/data/1437402/000155837020009636/ardx-20200630xex10d5.htm" TargetMode="External"/><Relationship Id="rId48" Type="http://schemas.openxmlformats.org/officeDocument/2006/relationships/hyperlink" Target="https://www.sec.gov/Archives/edgar/data/1437402/000162828023006041/ardelyx_psgxmsaamendment1.htm" TargetMode="External"/><Relationship Id="rId49" Type="http://schemas.openxmlformats.org/officeDocument/2006/relationships/hyperlink" Target="https://www.sec.gov/Archives/edgar/data/1437402/000119312523010411/d429337dex12.htm" TargetMode="External"/><Relationship Id="rId50" Type="http://schemas.openxmlformats.org/officeDocument/2006/relationships/hyperlink" Target="https://www.sec.gov/Archives/edgar/data/1437402/000119312525262712/d34492dex12.htm" TargetMode="External"/><Relationship Id="rId51" Type="http://schemas.openxmlformats.org/officeDocument/2006/relationships/hyperlink" Target="https://www.sec.gov/Archives/edgar/data/1437402/000162828024006393/policyforrecoveryoferroneo.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225</Pages>
  <Words>172860</Words>
  <Characters>948511</Characters>
  <CharactersWithSpaces>1116506</CharactersWithSpaces>
  <Paragraphs>7157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