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jc w:val="center"/>
              <w:ind w:left="862"/>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26-1303944</w:t>
            </w:r>
          </w:p>
        </w:tc>
      </w:tr>
      <w:tr>
        <w:trPr>
          <w:trHeight w:val="144"/>
        </w:trPr>
        <w:tc>
          <w:tcPr>
            <w:tcW w:w="2800" w:type="dxa"/>
            <w:vAlign w:val="bottom"/>
          </w:tcPr>
          <w:p>
            <w:pPr>
              <w:jc w:val="center"/>
              <w:ind w:left="88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00" w:type="dxa"/>
            <w:vAlign w:val="bottom"/>
          </w:tcPr>
          <w:p>
            <w:pPr>
              <w:jc w:val="center"/>
              <w:ind w:left="862"/>
              <w:spacing w:after="0"/>
              <w:rPr>
                <w:sz w:val="20"/>
                <w:szCs w:val="20"/>
                <w:color w:val="auto"/>
              </w:rPr>
            </w:pPr>
            <w:r>
              <w:rPr>
                <w:rFonts w:ascii="Arial" w:cs="Arial" w:eastAsia="Arial" w:hAnsi="Arial"/>
                <w:sz w:val="14"/>
                <w:szCs w:val="14"/>
                <w:b w:val="1"/>
                <w:bCs w:val="1"/>
                <w:color w:val="auto"/>
                <w:w w:val="94"/>
              </w:rPr>
              <w:t>of incorporation)</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22"/>
              <w:spacing w:after="0"/>
              <w:rPr>
                <w:sz w:val="20"/>
                <w:szCs w:val="20"/>
                <w:color w:val="auto"/>
              </w:rPr>
            </w:pPr>
            <w:r>
              <w:rPr>
                <w:rFonts w:ascii="Arial" w:cs="Arial" w:eastAsia="Arial" w:hAnsi="Arial"/>
                <w:sz w:val="14"/>
                <w:szCs w:val="14"/>
                <w:b w:val="1"/>
                <w:bCs w:val="1"/>
                <w:color w:val="auto"/>
                <w:w w:val="95"/>
              </w:rPr>
              <w:t>Identification Number)</w:t>
            </w:r>
          </w:p>
        </w:tc>
      </w:tr>
      <w:tr>
        <w:trPr>
          <w:trHeight w:val="40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8"/>
              </w:rPr>
              <w:t>34175 ARDENWOOD BLVD., FREMONT, CALIFORNIA 94555</w:t>
            </w:r>
          </w:p>
        </w:tc>
        <w:tc>
          <w:tcPr>
            <w:tcW w:w="2740" w:type="dxa"/>
            <w:vAlign w:val="bottom"/>
          </w:tcPr>
          <w:p>
            <w:pPr>
              <w:spacing w:after="0"/>
              <w:rPr>
                <w:sz w:val="24"/>
                <w:szCs w:val="24"/>
                <w:color w:val="auto"/>
              </w:rPr>
            </w:pPr>
          </w:p>
        </w:tc>
      </w:tr>
      <w:tr>
        <w:trPr>
          <w:trHeight w:val="212"/>
        </w:trPr>
        <w:tc>
          <w:tcPr>
            <w:tcW w:w="280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7"/>
              </w:rPr>
              <w:t>400 FIFTH AVE., SUITE 210, WALTHAM, MASSACHUSETTS 02451</w:t>
            </w:r>
          </w:p>
        </w:tc>
        <w:tc>
          <w:tcPr>
            <w:tcW w:w="2740" w:type="dxa"/>
            <w:vAlign w:val="bottom"/>
          </w:tcPr>
          <w:p>
            <w:pPr>
              <w:spacing w:after="0"/>
              <w:rPr>
                <w:sz w:val="18"/>
                <w:szCs w:val="18"/>
                <w:color w:val="auto"/>
              </w:rPr>
            </w:pPr>
          </w:p>
        </w:tc>
      </w:tr>
      <w:tr>
        <w:trPr>
          <w:trHeight w:val="186"/>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740" w:type="dxa"/>
            <w:vAlign w:val="bottom"/>
          </w:tcPr>
          <w:p>
            <w:pPr>
              <w:spacing w:after="0"/>
              <w:rPr>
                <w:sz w:val="16"/>
                <w:szCs w:val="16"/>
                <w:color w:val="auto"/>
              </w:rPr>
            </w:pPr>
          </w:p>
        </w:tc>
      </w:tr>
      <w:tr>
        <w:trPr>
          <w:trHeight w:val="36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8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70"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6"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On June 16, 2021, Ardelyx, Inc. (the “Company”) held its Annual Meeting of Stockholders (the “Annual Meeting”) online due to the public health impact of the coronavirus outbreak (COVID</w:t>
      </w:r>
      <w:r>
        <w:rPr>
          <w:rFonts w:ascii="MS PGothic" w:cs="MS PGothic" w:eastAsia="MS PGothic" w:hAnsi="MS PGothic"/>
          <w:sz w:val="16"/>
          <w:szCs w:val="16"/>
          <w:color w:val="auto"/>
        </w:rPr>
        <w:t>‑</w:t>
      </w:r>
      <w:r>
        <w:rPr>
          <w:rFonts w:ascii="Arial" w:cs="Arial" w:eastAsia="Arial" w:hAnsi="Arial"/>
          <w:sz w:val="16"/>
          <w:szCs w:val="16"/>
          <w:color w:val="auto"/>
        </w:rPr>
        <w:t>19) and to support the health and well-being of its employees, stockholders and partners. Only stockholders of record at the close of business on April 20, 2021, the record date for the Annual Meeting, were entitled to vote at the Annual Meeting. As of the record date, 98,688,577 shares of the Company’s common stock were outstanding and entitled to vote at the Annual Meeting. At the Annual Meeting, 83,464,603 shares of the Company’s common stock were voted in person or by proxy for the three proposals set forth below, each of which is described in the Company’s Definitive Proxy Statement on Schedule 14A filed with the U.S. Securities and Exchange Commission on April 30, 2021.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No. 1 - Election of Directors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stockholders elected the Class I director nominees below to the Company’s Board of Directors (the “Board”) to hold office until the 2024 Annual Meeting of Stockholders or until their successors are elected.</w:t>
      </w:r>
    </w:p>
    <w:p>
      <w:pPr>
        <w:spacing w:after="0" w:line="234" w:lineRule="exact"/>
        <w:rPr>
          <w:sz w:val="20"/>
          <w:szCs w:val="20"/>
          <w:color w:val="auto"/>
        </w:rPr>
      </w:pPr>
    </w:p>
    <w:tbl>
      <w:tblPr>
        <w:tblLayout w:type="fixed"/>
        <w:tblInd w:w="1180" w:type="dxa"/>
        <w:tblCellMar>
          <w:top w:w="0" w:type="dxa"/>
          <w:left w:w="0" w:type="dxa"/>
          <w:bottom w:w="0" w:type="dxa"/>
          <w:right w:w="0" w:type="dxa"/>
        </w:tblCellMar>
      </w:tblPr>
      <w:tr>
        <w:trPr>
          <w:trHeight w:val="234"/>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Class I Director Nominees</w:t>
            </w:r>
          </w:p>
        </w:tc>
        <w:tc>
          <w:tcPr>
            <w:tcW w:w="20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Votes For</w:t>
            </w:r>
          </w:p>
        </w:tc>
        <w:tc>
          <w:tcPr>
            <w:tcW w:w="206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Votes Withheld</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Bertrand, Jr. Esq.</w:t>
            </w:r>
          </w:p>
        </w:tc>
        <w:tc>
          <w:tcPr>
            <w:tcW w:w="20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58,529,521</w:t>
            </w:r>
          </w:p>
        </w:tc>
        <w:tc>
          <w:tcPr>
            <w:tcW w:w="20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13,182,760</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11,752,322</w:t>
            </w: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Onaiza Cadoret-Manier</w:t>
            </w:r>
          </w:p>
        </w:tc>
        <w:tc>
          <w:tcPr>
            <w:tcW w:w="2020" w:type="dxa"/>
            <w:vAlign w:val="bottom"/>
          </w:tcPr>
          <w:p>
            <w:pPr>
              <w:jc w:val="center"/>
              <w:ind w:left="70"/>
              <w:spacing w:after="0"/>
              <w:rPr>
                <w:sz w:val="20"/>
                <w:szCs w:val="20"/>
                <w:color w:val="auto"/>
              </w:rPr>
            </w:pPr>
            <w:r>
              <w:rPr>
                <w:rFonts w:ascii="Arial" w:cs="Arial" w:eastAsia="Arial" w:hAnsi="Arial"/>
                <w:sz w:val="18"/>
                <w:szCs w:val="18"/>
                <w:color w:val="auto"/>
                <w:w w:val="90"/>
              </w:rPr>
              <w:t>59,509,625</w:t>
            </w:r>
          </w:p>
        </w:tc>
        <w:tc>
          <w:tcPr>
            <w:tcW w:w="2060" w:type="dxa"/>
            <w:vAlign w:val="bottom"/>
          </w:tcPr>
          <w:p>
            <w:pPr>
              <w:jc w:val="center"/>
              <w:ind w:left="50"/>
              <w:spacing w:after="0"/>
              <w:rPr>
                <w:sz w:val="20"/>
                <w:szCs w:val="20"/>
                <w:color w:val="auto"/>
              </w:rPr>
            </w:pPr>
            <w:r>
              <w:rPr>
                <w:rFonts w:ascii="Arial" w:cs="Arial" w:eastAsia="Arial" w:hAnsi="Arial"/>
                <w:sz w:val="18"/>
                <w:szCs w:val="18"/>
                <w:color w:val="auto"/>
                <w:w w:val="88"/>
              </w:rPr>
              <w:t>12,202,656</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11,752,322</w:t>
            </w: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 Lundberg, PhD.</w:t>
            </w:r>
          </w:p>
        </w:tc>
        <w:tc>
          <w:tcPr>
            <w:tcW w:w="20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59,715,175</w:t>
            </w:r>
          </w:p>
        </w:tc>
        <w:tc>
          <w:tcPr>
            <w:tcW w:w="20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11,997,106</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11,752,322</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No. 2 - Ratification of Selection of Independent Registered Accounting Firm</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stockholders ratified the selection, by the Audit Committee of the Board, of Ernst &amp; Young LLP as the independent registered public accounting firm of the Company for the fiscal year ending December 31, 2021.</w:t>
      </w:r>
    </w:p>
    <w:p>
      <w:pPr>
        <w:spacing w:after="0" w:line="234"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23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Broker Non-Votes</w:t>
            </w:r>
          </w:p>
        </w:tc>
      </w:tr>
      <w:tr>
        <w:trPr>
          <w:trHeight w:val="230"/>
        </w:trPr>
        <w:tc>
          <w:tcPr>
            <w:tcW w:w="21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83,303,200</w:t>
            </w:r>
          </w:p>
        </w:tc>
        <w:tc>
          <w:tcPr>
            <w:tcW w:w="23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75,273</w:t>
            </w:r>
          </w:p>
        </w:tc>
        <w:tc>
          <w:tcPr>
            <w:tcW w:w="20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86,130</w:t>
            </w:r>
          </w:p>
        </w:tc>
        <w:tc>
          <w:tcPr>
            <w:tcW w:w="2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No. 3 - To approve, on an non-binding, advisory basis, the Say-On-Pay proposal.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stockholders approved, on a non-binding, advisory basis, the Say-On-Pay proposal.</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350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0"/>
              </w:rPr>
              <w:t>Broker Non-Votes</w:t>
            </w:r>
          </w:p>
        </w:tc>
      </w:tr>
      <w:tr>
        <w:trPr>
          <w:trHeight w:val="230"/>
        </w:trPr>
        <w:tc>
          <w:tcPr>
            <w:tcW w:w="1160" w:type="dxa"/>
            <w:vAlign w:val="bottom"/>
          </w:tcPr>
          <w:p>
            <w:pPr>
              <w:spacing w:after="0"/>
              <w:rPr>
                <w:sz w:val="19"/>
                <w:szCs w:val="19"/>
                <w:color w:val="auto"/>
              </w:rPr>
            </w:pPr>
          </w:p>
        </w:tc>
        <w:tc>
          <w:tcPr>
            <w:tcW w:w="21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69,356,278</w:t>
            </w:r>
          </w:p>
        </w:tc>
        <w:tc>
          <w:tcPr>
            <w:tcW w:w="232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2,313,136</w:t>
            </w:r>
          </w:p>
        </w:tc>
        <w:tc>
          <w:tcPr>
            <w:tcW w:w="20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42,867</w:t>
            </w:r>
          </w:p>
        </w:tc>
        <w:tc>
          <w:tcPr>
            <w:tcW w:w="23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11,752,322</w:t>
            </w:r>
          </w:p>
        </w:tc>
        <w:tc>
          <w:tcPr>
            <w:tcW w:w="1140" w:type="dxa"/>
            <w:vAlign w:val="bottom"/>
          </w:tcPr>
          <w:p>
            <w:pPr>
              <w:spacing w:after="0"/>
              <w:rPr>
                <w:sz w:val="19"/>
                <w:szCs w:val="19"/>
                <w:color w:val="auto"/>
              </w:rPr>
            </w:pPr>
          </w:p>
        </w:tc>
      </w:tr>
      <w:tr>
        <w:trPr>
          <w:trHeight w:val="1019"/>
        </w:trPr>
        <w:tc>
          <w:tcPr>
            <w:tcW w:w="11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June 21, 2021</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Elizabeth Grammer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Legal and Administrative Officer</w:t>
      </w:r>
    </w:p>
    <w:sectPr>
      <w:pgSz w:w="11900" w:h="16838" w:orient="portrait"/>
      <w:cols w:equalWidth="0" w:num="1">
        <w:col w:w="11220"/>
      </w:cols>
      <w:pgMar w:left="320" w:top="11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2021-06-21T11:02:43Z</dcterms:created>
  <dcterms:modified xsi:type="dcterms:W3CDTF">2021-06-21T11:02:43Z</dcterms:modified>
</cp:coreProperties>
</file>