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4, 2022, Ardelyx, Inc. (the “Company”) announced its financial results for the fiscal quarter ended June 30, 2022. The full text of the press release issued in connection with the announcement is furnished as Exhibit 99.1 to this Current Report on Form 8-K.</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ind w:left="20"/>
              <w:spacing w:after="0" w:line="20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of Ardelyx, Inc.</w:t>
              </w:r>
            </w:hyperlink>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Robert Felsch</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Senior Vice President and Chief Accounting Officer</w:t>
      </w:r>
    </w:p>
    <w:p>
      <w:pPr>
        <w:sectPr>
          <w:pgSz w:w="11900" w:h="16838" w:orient="portrait"/>
          <w:cols w:equalWidth="0" w:num="1">
            <w:col w:w="11220"/>
          </w:cols>
          <w:pgMar w:left="320" w:top="1147" w:right="35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Second Quarter 2022 Financial</w:t>
      </w:r>
    </w:p>
    <w:p>
      <w:pPr>
        <w:jc w:val="center"/>
        <w:spacing w:after="0"/>
        <w:rPr>
          <w:sz w:val="20"/>
          <w:szCs w:val="20"/>
          <w:color w:val="auto"/>
        </w:rPr>
      </w:pPr>
      <w:r>
        <w:rPr>
          <w:rFonts w:ascii="Arial" w:cs="Arial" w:eastAsia="Arial" w:hAnsi="Arial"/>
          <w:sz w:val="25"/>
          <w:szCs w:val="25"/>
          <w:b w:val="1"/>
          <w:bCs w:val="1"/>
          <w:color w:val="auto"/>
        </w:rPr>
        <w:t>Results and Recent Business Highlights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scheduled for 4:30 p.m. Eastern Time today</w:t>
      </w:r>
    </w:p>
    <w:p>
      <w:pPr>
        <w:spacing w:after="0" w:line="200" w:lineRule="exact"/>
        <w:rPr>
          <w:sz w:val="20"/>
          <w:szCs w:val="20"/>
          <w:color w:val="auto"/>
        </w:rPr>
      </w:pPr>
    </w:p>
    <w:p>
      <w:pPr>
        <w:spacing w:after="0" w:line="324" w:lineRule="exact"/>
        <w:rPr>
          <w:sz w:val="20"/>
          <w:szCs w:val="20"/>
          <w:color w:val="auto"/>
        </w:rPr>
      </w:pPr>
    </w:p>
    <w:p>
      <w:pPr>
        <w:ind w:right="360"/>
        <w:spacing w:after="0" w:line="381" w:lineRule="auto"/>
        <w:rPr>
          <w:sz w:val="20"/>
          <w:szCs w:val="20"/>
          <w:color w:val="auto"/>
        </w:rPr>
      </w:pPr>
      <w:r>
        <w:rPr>
          <w:rFonts w:ascii="Arial" w:cs="Arial" w:eastAsia="Arial" w:hAnsi="Arial"/>
          <w:sz w:val="21"/>
          <w:szCs w:val="21"/>
          <w:b w:val="1"/>
          <w:bCs w:val="1"/>
          <w:color w:val="auto"/>
        </w:rPr>
        <w:t xml:space="preserve">WALTHAM, Mass., Aug 4, 2022 </w:t>
      </w:r>
      <w:r>
        <w:rPr>
          <w:rFonts w:ascii="Arial" w:cs="Arial" w:eastAsia="Arial" w:hAnsi="Arial"/>
          <w:sz w:val="21"/>
          <w:szCs w:val="21"/>
          <w:color w:val="auto"/>
        </w:rPr>
        <w:t>- Ardelyx, Inc. (Nasdaq: ARDX), a biopharmaceutical company founded with a mission to</w:t>
      </w:r>
      <w:r>
        <w:rPr>
          <w:rFonts w:ascii="Arial" w:cs="Arial" w:eastAsia="Arial" w:hAnsi="Arial"/>
          <w:sz w:val="21"/>
          <w:szCs w:val="21"/>
          <w:b w:val="1"/>
          <w:bCs w:val="1"/>
          <w:color w:val="auto"/>
        </w:rPr>
        <w:t xml:space="preserve"> </w:t>
      </w:r>
      <w:r>
        <w:rPr>
          <w:rFonts w:ascii="Arial" w:cs="Arial" w:eastAsia="Arial" w:hAnsi="Arial"/>
          <w:sz w:val="21"/>
          <w:szCs w:val="21"/>
          <w:color w:val="auto"/>
        </w:rPr>
        <w:t>discover, develop and commercialize innovative first-in-class medicines that meet significant unmet medical needs, today reported business updates and financial results for the second quarter ended June 30, 2022.</w:t>
      </w:r>
    </w:p>
    <w:p>
      <w:pPr>
        <w:spacing w:after="0" w:line="192" w:lineRule="exact"/>
        <w:rPr>
          <w:sz w:val="20"/>
          <w:szCs w:val="20"/>
          <w:color w:val="auto"/>
        </w:rPr>
      </w:pPr>
    </w:p>
    <w:p>
      <w:pPr>
        <w:spacing w:after="0" w:line="358" w:lineRule="auto"/>
        <w:rPr>
          <w:sz w:val="20"/>
          <w:szCs w:val="20"/>
          <w:color w:val="auto"/>
        </w:rPr>
      </w:pPr>
      <w:r>
        <w:rPr>
          <w:rFonts w:ascii="Arial" w:cs="Arial" w:eastAsia="Arial" w:hAnsi="Arial"/>
          <w:sz w:val="20"/>
          <w:szCs w:val="20"/>
          <w:color w:val="auto"/>
        </w:rPr>
        <w:t>“The second quarter marks a significant point of transition for Ardelyx as a commercial company,” said Mike Raab, president and chief executive officer of Ardelyx. “We are now three months into the launch of IBSRELA</w:t>
      </w:r>
      <w:r>
        <w:rPr>
          <w:rFonts w:ascii="Arial" w:cs="Arial" w:eastAsia="Arial" w:hAnsi="Arial"/>
          <w:sz w:val="26"/>
          <w:szCs w:val="26"/>
          <w:color w:val="auto"/>
          <w:vertAlign w:val="superscript"/>
        </w:rPr>
        <w:t>®</w:t>
      </w:r>
      <w:r>
        <w:rPr>
          <w:rFonts w:ascii="Arial" w:cs="Arial" w:eastAsia="Arial" w:hAnsi="Arial"/>
          <w:sz w:val="20"/>
          <w:szCs w:val="20"/>
          <w:color w:val="auto"/>
        </w:rPr>
        <w:t>, for the treatment of IBS-C in adults, and see that the market is responding enthusiastically to this much-needed innovative therapy. We are building strong relationships with the treating community and, across GI practices. Our sales and marketing launch efforts are raising visibility and building a foundational demand for IBSRELA. Separately, the FDA assigned a date for the advisory committee to review our NDA for XPHOZAH</w:t>
      </w:r>
      <w:r>
        <w:rPr>
          <w:rFonts w:ascii="Arial" w:cs="Arial" w:eastAsia="Arial" w:hAnsi="Arial"/>
          <w:sz w:val="26"/>
          <w:szCs w:val="26"/>
          <w:color w:val="auto"/>
          <w:vertAlign w:val="superscript"/>
        </w:rPr>
        <w:t>®</w:t>
      </w:r>
      <w:r>
        <w:rPr>
          <w:rFonts w:ascii="Arial" w:cs="Arial" w:eastAsia="Arial" w:hAnsi="Arial"/>
          <w:sz w:val="20"/>
          <w:szCs w:val="20"/>
          <w:color w:val="auto"/>
        </w:rPr>
        <w:t xml:space="preserve"> for hyperphosphatemia, and we look forward to the opportunity to highlight the strong data that support XPHOZAH and its potential to make a difference in the lives of patients with chronic kidney disease on dialysis.”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Highlights and Updates</w:t>
      </w:r>
    </w:p>
    <w:p>
      <w:pPr>
        <w:spacing w:after="0" w:line="361" w:lineRule="exact"/>
        <w:rPr>
          <w:sz w:val="20"/>
          <w:szCs w:val="20"/>
          <w:color w:val="auto"/>
        </w:rPr>
      </w:pPr>
    </w:p>
    <w:p>
      <w:pPr>
        <w:ind w:left="340" w:right="20" w:hanging="332"/>
        <w:spacing w:after="0" w:line="362" w:lineRule="auto"/>
        <w:tabs>
          <w:tab w:leader="none" w:pos="335" w:val="left"/>
        </w:tabs>
        <w:numPr>
          <w:ilvl w:val="0"/>
          <w:numId w:val="2"/>
        </w:numPr>
        <w:rPr>
          <w:rFonts w:ascii="Arial" w:cs="Arial" w:eastAsia="Arial" w:hAnsi="Arial"/>
          <w:sz w:val="21"/>
          <w:szCs w:val="21"/>
          <w:color w:val="auto"/>
        </w:rPr>
      </w:pPr>
      <w:r>
        <w:rPr>
          <w:rFonts w:ascii="Arial" w:cs="Arial" w:eastAsia="Arial" w:hAnsi="Arial"/>
          <w:sz w:val="21"/>
          <w:szCs w:val="21"/>
          <w:color w:val="auto"/>
        </w:rPr>
        <w:t>Spherix Global Insights, a company that publishes independent, syndicated monthly tracking research has included IBSRELA (tenapanor) as one of the key launches to follow in the GI space. Three months post-launch, Spherix reports that with respect to those GIs surveyed in its market research, two-thirds are aware of IBSRELA, 41% report use of IBSRELA, and 92% rate IBSRELA as either a substantial or moderate advance over currently available irritable bowel syndrome with constipation (IBS-C) therapies. In addition, those GIs surveyed reported that 31% of their patients may be candidates for treatment. Among those who have not yet used IBSRELA, 57% expect to use it within three months and an additional 21% expect to use within six months.</w:t>
      </w:r>
    </w:p>
    <w:p>
      <w:pPr>
        <w:spacing w:after="0" w:line="1" w:lineRule="exact"/>
        <w:rPr>
          <w:rFonts w:ascii="Arial" w:cs="Arial" w:eastAsia="Arial" w:hAnsi="Arial"/>
          <w:sz w:val="21"/>
          <w:szCs w:val="21"/>
          <w:color w:val="auto"/>
        </w:rPr>
      </w:pPr>
    </w:p>
    <w:p>
      <w:pPr>
        <w:ind w:left="340" w:right="180" w:hanging="332"/>
        <w:spacing w:after="0" w:line="356"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American Gastroenterological Association (AGA) announced their updated Clinical Practice Guideline on the “Pharmacological Management of Irritable Bowel Syndrome with Constipation.” The updated guideline includes IBSRELA in their IBS-C treatment recommendations.</w:t>
      </w:r>
    </w:p>
    <w:p>
      <w:pPr>
        <w:sectPr>
          <w:pgSz w:w="11900" w:h="16838" w:orient="portrait"/>
          <w:cols w:equalWidth="0" w:num="1">
            <w:col w:w="11240"/>
          </w:cols>
          <w:pgMar w:left="320" w:top="1071" w:right="339" w:bottom="1440" w:gutter="0" w:footer="0" w:header="0"/>
        </w:sectPr>
      </w:pPr>
    </w:p>
    <w:bookmarkStart w:id="4" w:name="page5"/>
    <w:bookmarkEnd w:id="4"/>
    <w:p>
      <w:pPr>
        <w:ind w:left="340" w:right="120" w:hanging="332"/>
        <w:spacing w:after="0" w:line="345"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presented multiple posters at the Digestive Disease Week Conference (DDW 2022) in San Diego, CA on May 21-24, 2022, which included long term data demonstrating the impact of IBSRELA on abdominal pain and other abdominal symptoms; effect of IBSRELA on treatment satisfaction, degree of relief, and quality of life; and early onset of action in treating symptoms of irritable bowel syndrome with constipation.</w:t>
      </w:r>
    </w:p>
    <w:p>
      <w:pPr>
        <w:spacing w:after="0" w:line="3" w:lineRule="exact"/>
        <w:rPr>
          <w:rFonts w:ascii="Arial" w:cs="Arial" w:eastAsia="Arial" w:hAnsi="Arial"/>
          <w:sz w:val="22"/>
          <w:szCs w:val="22"/>
          <w:color w:val="auto"/>
        </w:rPr>
      </w:pPr>
    </w:p>
    <w:p>
      <w:pPr>
        <w:ind w:left="340" w:right="80" w:hanging="332"/>
        <w:spacing w:after="0" w:line="400" w:lineRule="auto"/>
        <w:tabs>
          <w:tab w:leader="none" w:pos="335"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June 21, 2022, the company announced that the U.S. Food and Drug Administration (FDA) informed the company that a meeting of the Cardiovascular and Renal Drugs Advisory Committee (Advisory Committee) is tentatively scheduled for November 16, 2022. As part of the Formal Dispute Resolution Request (FDRR), the Advisory Committee is being convened at the request of FDA’s Office of New Drugs (OND) in order to provide input regarding the clinical meaningfulness of the phosphate lowering effect observed in the company’s Phase 3 clinical program for XPHOZAH (tenapanor) for the control of serum phosphorus in adult patients with chronic kidney disease (CKD) on dialysis.</w:t>
      </w:r>
    </w:p>
    <w:p>
      <w:pPr>
        <w:spacing w:after="0" w:line="2" w:lineRule="exact"/>
        <w:rPr>
          <w:rFonts w:ascii="Arial" w:cs="Arial" w:eastAsia="Arial" w:hAnsi="Arial"/>
          <w:sz w:val="19"/>
          <w:szCs w:val="19"/>
          <w:color w:val="auto"/>
        </w:rPr>
      </w:pPr>
    </w:p>
    <w:p>
      <w:pPr>
        <w:ind w:left="340" w:hanging="332"/>
        <w:spacing w:after="0" w:line="410" w:lineRule="auto"/>
        <w:tabs>
          <w:tab w:leader="none" w:pos="335"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June 30, 2022, the company announced a $20 million financing agreement with HealthCare Royalty Partners (HealthCare Royalty) based on the sale of its future royalties and sales milestones from Kyowa Kirin Co., Ltd (Kyowa Kirin), its collaboration partner in Japan, for the commercialization of tenapanor for hyperphosphatemia. Under the agreement, the company received from HealthCare Royalty a $10 million upfront payment and is entitled to an additional $5 million following Kyowa Kirin's receipt of regulatory approval to market tenapanor for hyperphosphatemia in Japan, and $5 million in the event net sales in Japan exceed a certain target level in 2025. In return, HealthCare Royalty will receive the royalty payments and commercial sales milestones that the company may earn under the license agreement with Kyowa Kirin.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2022 Financial Results</w:t>
      </w:r>
    </w:p>
    <w:p>
      <w:pPr>
        <w:spacing w:after="0" w:line="355" w:lineRule="exact"/>
        <w:rPr>
          <w:sz w:val="20"/>
          <w:szCs w:val="20"/>
          <w:color w:val="auto"/>
        </w:rPr>
      </w:pPr>
    </w:p>
    <w:p>
      <w:pPr>
        <w:ind w:left="340" w:right="580" w:hanging="332"/>
        <w:spacing w:after="0" w:line="400" w:lineRule="auto"/>
        <w:tabs>
          <w:tab w:leader="none" w:pos="308"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June 30, 2022, the company had total cash, cash equivalents and investments of $81.0 million, as</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total cash, cash equivalents and investments of $116.7 million as of December 31, 2021.</w:t>
      </w:r>
    </w:p>
    <w:p>
      <w:pPr>
        <w:ind w:left="300" w:hanging="292"/>
        <w:spacing w:after="0"/>
        <w:tabs>
          <w:tab w:leader="none" w:pos="30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Product Sales: </w:t>
      </w:r>
      <w:r>
        <w:rPr>
          <w:rFonts w:ascii="Arial" w:cs="Arial" w:eastAsia="Arial" w:hAnsi="Arial"/>
          <w:sz w:val="22"/>
          <w:szCs w:val="22"/>
          <w:color w:val="auto"/>
        </w:rPr>
        <w:t>Net product sales for IBSRELA were $1.6 million during the quarter ended June 30, 2022.</w:t>
      </w:r>
    </w:p>
    <w:p>
      <w:pPr>
        <w:spacing w:after="0" w:line="111" w:lineRule="exact"/>
        <w:rPr>
          <w:rFonts w:ascii="Arial" w:cs="Arial" w:eastAsia="Arial" w:hAnsi="Arial"/>
          <w:sz w:val="22"/>
          <w:szCs w:val="22"/>
          <w:color w:val="auto"/>
        </w:rPr>
      </w:pPr>
    </w:p>
    <w:p>
      <w:pPr>
        <w:ind w:left="340" w:right="80" w:hanging="332"/>
        <w:spacing w:after="0" w:line="354"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Collaboration Revenue: </w:t>
      </w:r>
      <w:r>
        <w:rPr>
          <w:rFonts w:ascii="Arial" w:cs="Arial" w:eastAsia="Arial" w:hAnsi="Arial"/>
          <w:sz w:val="22"/>
          <w:szCs w:val="22"/>
          <w:color w:val="auto"/>
        </w:rPr>
        <w:t>The company generated $1.0 million in collaboration revenue for the quarter ended June 30, 2022,</w:t>
      </w:r>
      <w:r>
        <w:rPr>
          <w:rFonts w:ascii="Arial" w:cs="Arial" w:eastAsia="Arial" w:hAnsi="Arial"/>
          <w:sz w:val="22"/>
          <w:szCs w:val="22"/>
          <w:b w:val="1"/>
          <w:bCs w:val="1"/>
          <w:color w:val="auto"/>
        </w:rPr>
        <w:t xml:space="preserve"> </w:t>
      </w:r>
      <w:r>
        <w:rPr>
          <w:rFonts w:ascii="Arial" w:cs="Arial" w:eastAsia="Arial" w:hAnsi="Arial"/>
          <w:sz w:val="22"/>
          <w:szCs w:val="22"/>
          <w:color w:val="auto"/>
        </w:rPr>
        <w:t>as compared to $1.3 million for the quarter ended June 30, 2021. The decrease in collaboration revenue was primarily the result of the recognition of the previously received upfront payment from the 2019 research and collaboration agreement between the company and Kyowa Kirin</w:t>
      </w:r>
    </w:p>
    <w:p>
      <w:pPr>
        <w:sectPr>
          <w:pgSz w:w="11900" w:h="16838" w:orient="portrait"/>
          <w:cols w:equalWidth="0" w:num="1">
            <w:col w:w="11180"/>
          </w:cols>
          <w:pgMar w:left="320" w:top="955" w:right="399" w:bottom="1440" w:gutter="0" w:footer="0" w:header="0"/>
        </w:sectPr>
      </w:pPr>
    </w:p>
    <w:bookmarkStart w:id="5" w:name="page6"/>
    <w:bookmarkEnd w:id="5"/>
    <w:p>
      <w:pPr>
        <w:jc w:val="both"/>
        <w:ind w:left="340" w:right="600"/>
        <w:spacing w:after="0" w:line="398" w:lineRule="auto"/>
        <w:rPr>
          <w:sz w:val="20"/>
          <w:szCs w:val="20"/>
          <w:color w:val="auto"/>
        </w:rPr>
      </w:pPr>
      <w:r>
        <w:rPr>
          <w:rFonts w:ascii="Arial" w:cs="Arial" w:eastAsia="Arial" w:hAnsi="Arial"/>
          <w:sz w:val="19"/>
          <w:szCs w:val="19"/>
          <w:color w:val="auto"/>
        </w:rPr>
        <w:t>that was fully earned and recognized as revenue as of December 31, 2021. The decrease in collaboration revenue was partially offset by product supply revenue related to the manufacturing and supply of tenapanor and other materials for Kyowa Kirin pursuant to the 2017 license agreement between the company and Kyowa Kirin.</w:t>
      </w:r>
    </w:p>
    <w:p>
      <w:pPr>
        <w:spacing w:after="0" w:line="1"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R&amp;D Expenses</w:t>
      </w:r>
      <w:r>
        <w:rPr>
          <w:rFonts w:ascii="Arial" w:cs="Arial" w:eastAsia="Arial" w:hAnsi="Arial"/>
          <w:sz w:val="19"/>
          <w:szCs w:val="19"/>
          <w:color w:val="auto"/>
        </w:rPr>
        <w:t>: Research and development expenses were $9.7 million for the quarter ended June 30, 2022, a decrease of</w:t>
      </w:r>
    </w:p>
    <w:p>
      <w:pPr>
        <w:spacing w:after="0" w:line="152" w:lineRule="exact"/>
        <w:rPr>
          <w:sz w:val="20"/>
          <w:szCs w:val="20"/>
          <w:color w:val="auto"/>
        </w:rPr>
      </w:pPr>
    </w:p>
    <w:p>
      <w:pPr>
        <w:ind w:left="340" w:right="20"/>
        <w:spacing w:after="0" w:line="361" w:lineRule="auto"/>
        <w:rPr>
          <w:sz w:val="20"/>
          <w:szCs w:val="20"/>
          <w:color w:val="auto"/>
        </w:rPr>
      </w:pPr>
      <w:r>
        <w:rPr>
          <w:rFonts w:ascii="Arial" w:cs="Arial" w:eastAsia="Arial" w:hAnsi="Arial"/>
          <w:sz w:val="21"/>
          <w:szCs w:val="21"/>
          <w:color w:val="auto"/>
        </w:rPr>
        <w:t>$16.3 million, or 62.6%, compared to $26.0 million for the quarter ended June 30, 2021. Research and development expenses included non-cash stock compensation expense of approximately $1.0 million and $1.1 million in the quarters ended June 30, 2022, and June 30, 2021, respectively. The decrease in R&amp;D expenses is primarily the result of lower clinical study costs from the OPTIMIZE study, lower tenapanor manufacturing expenses due to the company’s capitalization of costs associated with the production of IBSRELA to inventory, and lower expenses for research following the elimination of the company’s research function in the fourth quarter of 2021.</w:t>
      </w:r>
    </w:p>
    <w:p>
      <w:pPr>
        <w:spacing w:after="0" w:line="2" w:lineRule="exact"/>
        <w:rPr>
          <w:sz w:val="20"/>
          <w:szCs w:val="20"/>
          <w:color w:val="auto"/>
        </w:rPr>
      </w:pPr>
    </w:p>
    <w:p>
      <w:pPr>
        <w:ind w:left="340" w:hanging="332"/>
        <w:spacing w:after="0" w:line="400" w:lineRule="auto"/>
        <w:tabs>
          <w:tab w:leader="none" w:pos="308"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SG&amp;A Expenses: </w:t>
      </w:r>
      <w:r>
        <w:rPr>
          <w:rFonts w:ascii="Arial" w:cs="Arial" w:eastAsia="Arial" w:hAnsi="Arial"/>
          <w:sz w:val="19"/>
          <w:szCs w:val="19"/>
          <w:color w:val="auto"/>
        </w:rPr>
        <w:t>Selling, general and administrative expenses were $18.9 million for the quarter ended June 30, 2022, a</w:t>
      </w:r>
      <w:r>
        <w:rPr>
          <w:rFonts w:ascii="Arial" w:cs="Arial" w:eastAsia="Arial" w:hAnsi="Arial"/>
          <w:sz w:val="19"/>
          <w:szCs w:val="19"/>
          <w:b w:val="1"/>
          <w:bCs w:val="1"/>
          <w:color w:val="auto"/>
        </w:rPr>
        <w:t xml:space="preserve"> </w:t>
      </w:r>
      <w:r>
        <w:rPr>
          <w:rFonts w:ascii="Arial" w:cs="Arial" w:eastAsia="Arial" w:hAnsi="Arial"/>
          <w:sz w:val="19"/>
          <w:szCs w:val="19"/>
          <w:color w:val="auto"/>
        </w:rPr>
        <w:t>decrease of $1.3 million, or 6.3%, compared to $20.1 million for the quarter ended June 30, 2021. Selling, general and administrative expenses included non-cash stock compensation expense of approximately $2.2 million and $2.1 million in the quarters ended June 30, 2022, and June 30, 2021, respectively. The decrease in selling, general and administrative expenses was primarily due to the timing of costs associated with preparing for and carrying out the commercial launch of IBSRELA.</w:t>
      </w:r>
    </w:p>
    <w:p>
      <w:pPr>
        <w:spacing w:after="0" w:line="1" w:lineRule="exact"/>
        <w:rPr>
          <w:rFonts w:ascii="Arial" w:cs="Arial" w:eastAsia="Arial" w:hAnsi="Arial"/>
          <w:sz w:val="19"/>
          <w:szCs w:val="19"/>
          <w:color w:val="auto"/>
        </w:rPr>
      </w:pPr>
    </w:p>
    <w:p>
      <w:pPr>
        <w:ind w:left="340" w:right="200" w:hanging="332"/>
        <w:spacing w:after="0" w:line="371" w:lineRule="auto"/>
        <w:tabs>
          <w:tab w:leader="none" w:pos="308"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quarter ended June 30, 2022 was $26.9 million, or $0.19 per share, compared to $45.2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$0.45 per share, for the quarter ended June 30, 2021.</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w:t>
      </w:r>
    </w:p>
    <w:p>
      <w:pPr>
        <w:spacing w:after="0" w:line="347" w:lineRule="exact"/>
        <w:rPr>
          <w:sz w:val="20"/>
          <w:szCs w:val="20"/>
          <w:color w:val="auto"/>
        </w:rPr>
      </w:pPr>
    </w:p>
    <w:p>
      <w:pPr>
        <w:ind w:right="300"/>
        <w:spacing w:after="0" w:line="420" w:lineRule="auto"/>
        <w:rPr>
          <w:sz w:val="20"/>
          <w:szCs w:val="20"/>
          <w:color w:val="auto"/>
        </w:rPr>
      </w:pPr>
      <w:r>
        <w:rPr>
          <w:rFonts w:ascii="Arial" w:cs="Arial" w:eastAsia="Arial" w:hAnsi="Arial"/>
          <w:sz w:val="19"/>
          <w:szCs w:val="19"/>
          <w:color w:val="auto"/>
        </w:rPr>
        <w:t xml:space="preserve">The company will host a conference call today, August 4, 2022, at 4:30 p.m. ET to review its financial results and provide a business overview. To participate in the conference call via telephone, please register using </w:t>
      </w:r>
      <w:r>
        <w:rPr>
          <w:rFonts w:ascii="Arial" w:cs="Arial" w:eastAsia="Arial" w:hAnsi="Arial"/>
          <w:sz w:val="19"/>
          <w:szCs w:val="19"/>
          <w:color w:val="008BA6"/>
        </w:rPr>
        <w:t>this online form</w:t>
      </w:r>
      <w:r>
        <w:rPr>
          <w:rFonts w:ascii="Arial" w:cs="Arial" w:eastAsia="Arial" w:hAnsi="Arial"/>
          <w:sz w:val="19"/>
          <w:szCs w:val="19"/>
          <w:color w:val="auto"/>
        </w:rPr>
        <w:t xml:space="preserve">. Live audio of the conference call will be simultaneously webcast and will be available under the Investors section of the company's website at </w:t>
      </w:r>
      <w:r>
        <w:rPr>
          <w:rFonts w:ascii="Arial" w:cs="Arial" w:eastAsia="Arial" w:hAnsi="Arial"/>
          <w:sz w:val="19"/>
          <w:szCs w:val="19"/>
          <w:color w:val="008BA6"/>
        </w:rPr>
        <w:t>www.ardelyx.com</w:t>
      </w:r>
      <w:r>
        <w:rPr>
          <w:rFonts w:ascii="Arial" w:cs="Arial" w:eastAsia="Arial" w:hAnsi="Arial"/>
          <w:sz w:val="19"/>
          <w:szCs w:val="19"/>
          <w:color w:val="000000"/>
        </w:rPr>
        <w:t>. The webcast will be archived and available for replay for 30 days following the call.</w:t>
      </w:r>
    </w:p>
    <w:p>
      <w:pPr>
        <w:sectPr>
          <w:pgSz w:w="11900" w:h="16838" w:orient="portrait"/>
          <w:cols w:equalWidth="0" w:num="1">
            <w:col w:w="11200"/>
          </w:cols>
          <w:pgMar w:left="320" w:top="1131"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IMPORTANT SAFETY INFORMATION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WARNING: RISK OF SERIOUS DEHYDRATION IN PEDIATRIC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491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491615"/>
                    </a:xfrm>
                    <a:prstGeom prst="rect">
                      <a:avLst/>
                    </a:prstGeom>
                    <a:noFill/>
                  </pic:spPr>
                </pic:pic>
              </a:graphicData>
            </a:graphic>
          </wp:anchor>
        </w:drawing>
      </w:r>
    </w:p>
    <w:p>
      <w:pPr>
        <w:spacing w:after="0" w:line="354" w:lineRule="exact"/>
        <w:rPr>
          <w:sz w:val="20"/>
          <w:szCs w:val="20"/>
          <w:color w:val="auto"/>
        </w:rPr>
      </w:pPr>
    </w:p>
    <w:p>
      <w:pPr>
        <w:ind w:left="40" w:right="720"/>
        <w:spacing w:after="0" w:line="352" w:lineRule="auto"/>
        <w:rPr>
          <w:sz w:val="20"/>
          <w:szCs w:val="20"/>
          <w:color w:val="auto"/>
        </w:rPr>
      </w:pPr>
      <w:r>
        <w:rPr>
          <w:rFonts w:ascii="Arial" w:cs="Arial" w:eastAsia="Arial" w:hAnsi="Arial"/>
          <w:sz w:val="22"/>
          <w:szCs w:val="22"/>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CONTRAINDICATIONS</w:t>
      </w:r>
    </w:p>
    <w:p>
      <w:pPr>
        <w:spacing w:after="0" w:line="11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IBSRELA is contraindicated in patients less than 6 years of age due to the risk of serious dehydration.</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IBSRELA is contraindicated in patients with known or suspected mechanical gastrointestinal obstruction.</w:t>
      </w:r>
    </w:p>
    <w:p>
      <w:pPr>
        <w:spacing w:after="0" w:line="10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WARNINGS AND PRECAUTIONS</w:t>
      </w:r>
    </w:p>
    <w:p>
      <w:pPr>
        <w:spacing w:after="0" w:line="11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Risk of Serious Dehydration in Pediatric Patients</w:t>
      </w:r>
    </w:p>
    <w:p>
      <w:pPr>
        <w:spacing w:after="0" w:line="117" w:lineRule="exact"/>
        <w:rPr>
          <w:rFonts w:ascii="Arial" w:cs="Arial" w:eastAsia="Arial" w:hAnsi="Arial"/>
          <w:sz w:val="22"/>
          <w:szCs w:val="22"/>
          <w:color w:val="auto"/>
        </w:rPr>
      </w:pPr>
    </w:p>
    <w:p>
      <w:pPr>
        <w:ind w:left="340" w:right="60" w:hanging="332"/>
        <w:spacing w:after="0" w:line="3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4" w:lineRule="exact"/>
        <w:rPr>
          <w:rFonts w:ascii="Arial" w:cs="Arial" w:eastAsia="Arial" w:hAnsi="Arial"/>
          <w:sz w:val="22"/>
          <w:szCs w:val="22"/>
          <w:color w:val="auto"/>
        </w:rPr>
      </w:pPr>
    </w:p>
    <w:p>
      <w:pPr>
        <w:ind w:left="340" w:right="200" w:hanging="332"/>
        <w:spacing w:after="0" w:line="3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Diarrhea</w:t>
      </w:r>
    </w:p>
    <w:p>
      <w:pPr>
        <w:spacing w:after="0" w:line="118" w:lineRule="exact"/>
        <w:rPr>
          <w:sz w:val="20"/>
          <w:szCs w:val="20"/>
          <w:color w:val="auto"/>
        </w:rPr>
      </w:pPr>
    </w:p>
    <w:p>
      <w:pPr>
        <w:jc w:val="both"/>
        <w:ind w:right="360"/>
        <w:spacing w:after="0" w:line="397" w:lineRule="auto"/>
        <w:rPr>
          <w:sz w:val="20"/>
          <w:szCs w:val="20"/>
          <w:color w:val="auto"/>
        </w:rPr>
      </w:pPr>
      <w:r>
        <w:rPr>
          <w:rFonts w:ascii="Arial" w:cs="Arial" w:eastAsia="Arial" w:hAnsi="Arial"/>
          <w:sz w:val="19"/>
          <w:szCs w:val="19"/>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rPr>
          <w:sz w:val="20"/>
          <w:szCs w:val="20"/>
          <w:color w:val="auto"/>
        </w:rPr>
      </w:pPr>
      <w:r>
        <w:rPr>
          <w:rFonts w:ascii="Arial" w:cs="Arial" w:eastAsia="Arial" w:hAnsi="Arial"/>
          <w:sz w:val="22"/>
          <w:szCs w:val="22"/>
          <w:b w:val="1"/>
          <w:bCs w:val="1"/>
          <w:color w:val="auto"/>
        </w:rPr>
        <w:t>MOST COMMON ADVERSE REACTIONS</w:t>
      </w:r>
    </w:p>
    <w:p>
      <w:pPr>
        <w:spacing w:after="0" w:line="118" w:lineRule="exact"/>
        <w:rPr>
          <w:sz w:val="20"/>
          <w:szCs w:val="20"/>
          <w:color w:val="auto"/>
        </w:rPr>
      </w:pPr>
    </w:p>
    <w:p>
      <w:pPr>
        <w:spacing w:after="0" w:line="359" w:lineRule="auto"/>
        <w:rPr>
          <w:sz w:val="20"/>
          <w:szCs w:val="20"/>
          <w:color w:val="auto"/>
        </w:rPr>
      </w:pPr>
      <w:r>
        <w:rPr>
          <w:rFonts w:ascii="Arial" w:cs="Arial" w:eastAsia="Arial" w:hAnsi="Arial"/>
          <w:sz w:val="21"/>
          <w:szCs w:val="21"/>
          <w:color w:val="auto"/>
        </w:rPr>
        <w:t>The most common adverse reactions in IBSRELA-treated patients (incidence ≥2% and greater than placebo) were: diarrhea (16% vs 4% placebo), abdominal distension (3% vs &lt;1%), flatulence (3% vs 1%) and dizziness (2% vs &lt;1%).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INDICATION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IBSRELA (tenapanor) is indicated for the treatment of Irritable Bowel Syndrome with Constipation (IBS-C) in adults.</w:t>
      </w:r>
    </w:p>
    <w:p>
      <w:pPr>
        <w:sectPr>
          <w:pgSz w:w="11900" w:h="16838" w:orient="portrait"/>
          <w:cols w:equalWidth="0" w:num="1">
            <w:col w:w="11220"/>
          </w:cols>
          <w:pgMar w:left="320" w:top="882"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Please see full Prescribing Information, including Boxed Warning, for additional risk information.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347" w:lineRule="exact"/>
        <w:rPr>
          <w:sz w:val="20"/>
          <w:szCs w:val="20"/>
          <w:color w:val="auto"/>
        </w:rPr>
      </w:pPr>
    </w:p>
    <w:p>
      <w:pPr>
        <w:spacing w:after="0" w:line="387" w:lineRule="auto"/>
        <w:rPr>
          <w:sz w:val="20"/>
          <w:szCs w:val="20"/>
          <w:color w:val="auto"/>
        </w:rPr>
      </w:pPr>
      <w:r>
        <w:rPr>
          <w:rFonts w:ascii="Arial" w:cs="Arial" w:eastAsia="Arial" w:hAnsi="Arial"/>
          <w:sz w:val="20"/>
          <w:szCs w:val="20"/>
          <w:color w:val="auto"/>
        </w:rPr>
        <w:t>Ardelyx was founded with a mission to discover, develop and commercialize innovative first-in-class medicines that meet significant unmet medical needs. Ardelyx’s first approved product, IBSRELA</w:t>
      </w:r>
      <w:r>
        <w:rPr>
          <w:rFonts w:ascii="Arial" w:cs="Arial" w:eastAsia="Arial" w:hAnsi="Arial"/>
          <w:sz w:val="11"/>
          <w:szCs w:val="11"/>
          <w:color w:val="auto"/>
        </w:rPr>
        <w:t>®</w:t>
      </w:r>
      <w:r>
        <w:rPr>
          <w:rFonts w:ascii="Arial" w:cs="Arial" w:eastAsia="Arial" w:hAnsi="Arial"/>
          <w:sz w:val="20"/>
          <w:szCs w:val="20"/>
          <w:color w:val="auto"/>
        </w:rPr>
        <w:t xml:space="preserve"> (tenapanor) is available in the United States and Canada. Ardelyx is developing XPHOZAH</w:t>
      </w:r>
      <w:r>
        <w:rPr>
          <w:rFonts w:ascii="Arial" w:cs="Arial" w:eastAsia="Arial" w:hAnsi="Arial"/>
          <w:sz w:val="11"/>
          <w:szCs w:val="11"/>
          <w:color w:val="auto"/>
        </w:rPr>
        <w:t>®</w:t>
      </w:r>
      <w:r>
        <w:rPr>
          <w:rFonts w:ascii="Arial" w:cs="Arial" w:eastAsia="Arial" w:hAnsi="Arial"/>
          <w:sz w:val="20"/>
          <w:szCs w:val="20"/>
          <w:color w:val="auto"/>
        </w:rPr>
        <w:t xml:space="preserve"> (tenapanor), a novel product candidate to control serum phosphorus in adult patients with CKD on dialysis, which has completed three successful Phase 3 trials. Ardelyx has a Phase 2 potassium secretagogue program,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347" w:lineRule="exact"/>
        <w:rPr>
          <w:sz w:val="20"/>
          <w:szCs w:val="20"/>
          <w:color w:val="auto"/>
        </w:rPr>
      </w:pPr>
    </w:p>
    <w:p>
      <w:pPr>
        <w:spacing w:after="0" w:line="405"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 regarding the timing of the Advisory Committee meeting to be convened to provide input regarding the clinical meaningfulness of the phosphate lowering effect observed in the Phase 3 clinical program for XPHOZAH, the potential receipt by Ardelyx of additional payments under the royalty financing agreement with HealthCare Royalty, and the potential for additional GIs to begin use of IBSRELA in the next three to six months as reported by the Spherix report.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FDA’s regulatory process, uncertainties in the drug development and regulatory processes in Japan and uncertainties associated with the commercialization of drugs.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4, 2022, and its future current and periodic reports to be filed with the Securities and Exchange Commission.</w:t>
      </w:r>
    </w:p>
    <w:p>
      <w:pPr>
        <w:sectPr>
          <w:pgSz w:w="11900" w:h="16838" w:orient="portrait"/>
          <w:cols w:equalWidth="0" w:num="1">
            <w:col w:w="11200"/>
          </w:cols>
          <w:pgMar w:left="320" w:top="1125" w:right="37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Investor and Media Contacts: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kkeshtbod@ardelyx.com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swheeler@wheelhouselsa.com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Wheelhouse Life Science Advisors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asantos@wheelhouselsa.com</w:t>
      </w:r>
    </w:p>
    <w:p>
      <w:pPr>
        <w:sectPr>
          <w:pgSz w:w="11900" w:h="16838" w:orient="portrait"/>
          <w:cols w:equalWidth="0" w:num="1">
            <w:col w:w="10139"/>
          </w:cols>
          <w:pgMar w:left="320" w:top="1138" w:right="1440"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2021</w:t>
            </w:r>
          </w:p>
        </w:tc>
      </w:tr>
      <w:tr>
        <w:trPr>
          <w:trHeight w:val="187"/>
        </w:trPr>
        <w:tc>
          <w:tcPr>
            <w:tcW w:w="7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(1)</w:t>
            </w:r>
          </w:p>
        </w:tc>
      </w:tr>
      <w:tr>
        <w:trPr>
          <w:trHeight w:val="23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72,428</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Prepaid commercial manufacturing</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9,406</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23"/>
        </w:trPr>
        <w:tc>
          <w:tcPr>
            <w:tcW w:w="73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4"/>
        </w:trPr>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32,264</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7,366</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royalty obligation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r>
      <w:tr>
        <w:trPr>
          <w:trHeight w:val="223"/>
        </w:trPr>
        <w:tc>
          <w:tcPr>
            <w:tcW w:w="73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2021.</w:t>
      </w:r>
    </w:p>
    <w:p>
      <w:pPr>
        <w:sectPr>
          <w:pgSz w:w="11900" w:h="16838" w:orient="portrait"/>
          <w:cols w:equalWidth="0" w:num="1">
            <w:col w:w="11060"/>
          </w:cols>
          <w:pgMar w:left="320" w:top="1431" w:right="519" w:bottom="1440" w:gutter="0" w:footer="0" w:header="0"/>
        </w:sectPr>
      </w:pPr>
    </w:p>
    <w:bookmarkStart w:id="10" w:name="page11"/>
    <w:bookmarkEnd w:id="10"/>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0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supply revenue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Licensing revenue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Collaborative development revenue</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37,255</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84,732</w:t>
            </w:r>
          </w:p>
        </w:tc>
        <w:tc>
          <w:tcPr>
            <w:tcW w:w="0" w:type="dxa"/>
            <w:vAlign w:val="bottom"/>
          </w:tcPr>
          <w:p>
            <w:pPr>
              <w:spacing w:after="0"/>
              <w:rPr>
                <w:sz w:val="1"/>
                <w:szCs w:val="1"/>
                <w:color w:val="auto"/>
              </w:rPr>
            </w:pPr>
          </w:p>
        </w:tc>
      </w:tr>
      <w:tr>
        <w:trPr>
          <w:trHeight w:val="223"/>
        </w:trPr>
        <w:tc>
          <w:tcPr>
            <w:tcW w:w="498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common share, basic and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Shares used in computing net loss per share - 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145,544,372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100,040,083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138,279,945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98,617,564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2022-08-04T15:37:00Z</dcterms:created>
  <dcterms:modified xsi:type="dcterms:W3CDTF">2022-08-04T15:37:00Z</dcterms:modified>
</cp:coreProperties>
</file>