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141605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274320</wp:posOffset>
            </wp:positionV>
            <wp:extent cx="60007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5"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500" w:type="dxa"/>
            <w:vAlign w:val="bottom"/>
          </w:tcPr>
          <w:p>
            <w:pPr>
              <w:jc w:val="center"/>
              <w:ind w:right="782"/>
              <w:spacing w:after="0"/>
              <w:rPr>
                <w:sz w:val="20"/>
                <w:szCs w:val="20"/>
                <w:color w:val="auto"/>
              </w:rPr>
            </w:pPr>
            <w:r>
              <w:rPr>
                <w:rFonts w:ascii="Arial" w:cs="Arial" w:eastAsia="Arial" w:hAnsi="Arial"/>
                <w:sz w:val="18"/>
                <w:szCs w:val="18"/>
                <w:b w:val="1"/>
                <w:bCs w:val="1"/>
                <w:color w:val="auto"/>
                <w:w w:val="91"/>
              </w:rPr>
              <w:t>Delaware</w:t>
            </w:r>
          </w:p>
        </w:tc>
        <w:tc>
          <w:tcPr>
            <w:tcW w:w="2620" w:type="dxa"/>
            <w:vAlign w:val="bottom"/>
          </w:tcPr>
          <w:p>
            <w:pPr>
              <w:ind w:left="900"/>
              <w:spacing w:after="0"/>
              <w:rPr>
                <w:sz w:val="20"/>
                <w:szCs w:val="20"/>
                <w:color w:val="auto"/>
              </w:rPr>
            </w:pPr>
            <w:r>
              <w:rPr>
                <w:rFonts w:ascii="Arial" w:cs="Arial" w:eastAsia="Arial" w:hAnsi="Arial"/>
                <w:sz w:val="18"/>
                <w:szCs w:val="18"/>
                <w:b w:val="1"/>
                <w:bCs w:val="1"/>
                <w:color w:val="auto"/>
              </w:rPr>
              <w:t>001-36485</w:t>
            </w:r>
          </w:p>
        </w:tc>
        <w:tc>
          <w:tcPr>
            <w:tcW w:w="2340" w:type="dxa"/>
            <w:vAlign w:val="bottom"/>
          </w:tcPr>
          <w:p>
            <w:pPr>
              <w:jc w:val="center"/>
              <w:ind w:left="84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2500" w:type="dxa"/>
            <w:vAlign w:val="bottom"/>
          </w:tcPr>
          <w:p>
            <w:pPr>
              <w:jc w:val="center"/>
              <w:ind w:right="7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62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(Commission</w:t>
            </w:r>
          </w:p>
        </w:tc>
        <w:tc>
          <w:tcPr>
            <w:tcW w:w="2340" w:type="dxa"/>
            <w:vAlign w:val="bottom"/>
          </w:tcPr>
          <w:p>
            <w:pPr>
              <w:jc w:val="center"/>
              <w:ind w:left="8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00" w:type="dxa"/>
            <w:vAlign w:val="bottom"/>
          </w:tcPr>
          <w:p>
            <w:pPr>
              <w:jc w:val="center"/>
              <w:ind w:right="782"/>
              <w:spacing w:after="0"/>
              <w:rPr>
                <w:sz w:val="20"/>
                <w:szCs w:val="20"/>
                <w:color w:val="auto"/>
              </w:rPr>
            </w:pPr>
            <w:r>
              <w:rPr>
                <w:rFonts w:ascii="Arial" w:cs="Arial" w:eastAsia="Arial" w:hAnsi="Arial"/>
                <w:sz w:val="14"/>
                <w:szCs w:val="14"/>
                <w:b w:val="1"/>
                <w:bCs w:val="1"/>
                <w:color w:val="auto"/>
                <w:w w:val="92"/>
              </w:rPr>
              <w:t>of incorporation)</w:t>
            </w:r>
          </w:p>
        </w:tc>
        <w:tc>
          <w:tcPr>
            <w:tcW w:w="2620" w:type="dxa"/>
            <w:vAlign w:val="bottom"/>
          </w:tcPr>
          <w:p>
            <w:pPr>
              <w:ind w:left="880"/>
              <w:spacing w:after="0"/>
              <w:rPr>
                <w:sz w:val="20"/>
                <w:szCs w:val="20"/>
                <w:color w:val="auto"/>
              </w:rPr>
            </w:pPr>
            <w:r>
              <w:rPr>
                <w:rFonts w:ascii="Arial" w:cs="Arial" w:eastAsia="Arial" w:hAnsi="Arial"/>
                <w:sz w:val="14"/>
                <w:szCs w:val="14"/>
                <w:b w:val="1"/>
                <w:bCs w:val="1"/>
                <w:color w:val="auto"/>
              </w:rPr>
              <w:t>File Number)</w:t>
            </w:r>
          </w:p>
        </w:tc>
        <w:tc>
          <w:tcPr>
            <w:tcW w:w="2340" w:type="dxa"/>
            <w:vAlign w:val="bottom"/>
          </w:tcPr>
          <w:p>
            <w:pPr>
              <w:jc w:val="center"/>
              <w:ind w:left="8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88"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34175 ARDENWOOD BLVD., FREMONT, CALIFORNIA 94555</w:t>
      </w:r>
    </w:p>
    <w:p>
      <w:pPr>
        <w:spacing w:after="0" w:line="27"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60" w:right="159"/>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340" w:hanging="28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340" w:hanging="28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40" w:hanging="28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40" w:hanging="284"/>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0" w:lineRule="exact"/>
        <w:rPr>
          <w:sz w:val="24"/>
          <w:szCs w:val="24"/>
          <w:color w:val="auto"/>
        </w:rPr>
      </w:pPr>
    </w:p>
    <w:p>
      <w:pPr>
        <w:ind w:left="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6" w:lineRule="exact"/>
        <w:rPr>
          <w:sz w:val="24"/>
          <w:szCs w:val="24"/>
          <w:color w:val="auto"/>
        </w:rPr>
      </w:pPr>
    </w:p>
    <w:tbl>
      <w:tblPr>
        <w:tblLayout w:type="fixed"/>
        <w:tblInd w:w="60" w:type="dxa"/>
        <w:tblCellMar>
          <w:top w:w="0" w:type="dxa"/>
          <w:left w:w="0" w:type="dxa"/>
          <w:bottom w:w="0" w:type="dxa"/>
          <w:right w:w="0" w:type="dxa"/>
        </w:tblCellMar>
      </w:tblPr>
      <w:tr>
        <w:trPr>
          <w:trHeight w:val="210"/>
        </w:trPr>
        <w:tc>
          <w:tcPr>
            <w:tcW w:w="3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Title of each class</w:t>
            </w:r>
          </w:p>
        </w:tc>
        <w:tc>
          <w:tcPr>
            <w:tcW w:w="2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Trading Symbol(s)</w:t>
            </w: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47"/>
        </w:trPr>
        <w:tc>
          <w:tcPr>
            <w:tcW w:w="28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r>
      <w:tr>
        <w:trPr>
          <w:trHeight w:val="200"/>
        </w:trPr>
        <w:tc>
          <w:tcPr>
            <w:tcW w:w="2880" w:type="dxa"/>
            <w:vAlign w:val="bottom"/>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24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rPr>
              <w:t>ARDX</w:t>
            </w:r>
          </w:p>
        </w:tc>
        <w:tc>
          <w:tcPr>
            <w:tcW w:w="240" w:type="dxa"/>
            <w:vAlign w:val="bottom"/>
          </w:tcPr>
          <w:p>
            <w:pPr>
              <w:spacing w:after="0"/>
              <w:rPr>
                <w:sz w:val="17"/>
                <w:szCs w:val="17"/>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48" w:lineRule="exact"/>
        <w:rPr>
          <w:sz w:val="24"/>
          <w:szCs w:val="24"/>
          <w:color w:val="auto"/>
        </w:rPr>
      </w:pPr>
    </w:p>
    <w:p>
      <w:pPr>
        <w:ind w:left="60" w:right="459"/>
        <w:spacing w:after="0" w:line="32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7" w:lineRule="exact"/>
        <w:rPr>
          <w:sz w:val="24"/>
          <w:szCs w:val="24"/>
          <w:color w:val="auto"/>
        </w:rPr>
      </w:pPr>
    </w:p>
    <w:p>
      <w:pPr>
        <w:ind w:left="60" w:right="659"/>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472440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69850</wp:posOffset>
            </wp:positionV>
            <wp:extent cx="5657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95250</wp:posOffset>
            </wp:positionV>
            <wp:extent cx="565785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1" w:name="page2"/>
    <w:bookmarkEnd w:id="1"/>
    <w:p>
      <w:pPr>
        <w:ind w:left="60"/>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0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April 29, 2021, Ardelyx, Inc. (the “Company”) announced that, in connection with the ongoing review of the Company’s New Drug Application (NDA) for tenapanor for the control of serum phosphorus in chronic kidney disease (CKD) patients on dialysis, the U.S. Food and Drug Administration (FDA) made a recent information request that required the Company to submit additional analyses of its clinical data to help the agency better understand the clinical data in light of tenapanor’s novel mechanism of action as compared to approved therapies. In response, the Company submitted the requested analyses which constitute a major amendment to the NDA, resulting in an extension of the PDUFA date by three months to July 29, 2021. Tenapanor has a unique mechanism of action and acts locally in the gut to inhibit the sodium hydrogen exchanger 3, or NHE3. This results in the tightening of the epithelial cell junctions and reducing paracellular uptake of phosphate, the primary pathway of phosphate absorption.</w:t>
      </w:r>
    </w:p>
    <w:p>
      <w:pPr>
        <w:spacing w:after="0" w:line="285"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 Exhibits.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Exhibit</w:t>
      </w:r>
    </w:p>
    <w:p>
      <w:pPr>
        <w:ind w:left="360"/>
        <w:spacing w:after="0"/>
        <w:tabs>
          <w:tab w:leader="none" w:pos="11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wp:posOffset>
            </wp:positionV>
            <wp:extent cx="5648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41"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657860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April 30, 2021</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Legal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631825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2021-05-03T05:38:28Z</dcterms:created>
  <dcterms:modified xsi:type="dcterms:W3CDTF">2021-05-03T05:38:28Z</dcterms:modified>
</cp:coreProperties>
</file>