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1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1533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gridSpan w:val="2"/>
            <w:vMerge w:val="restart"/>
          </w:tcPr>
          <w:p>
            <w:pPr>
              <w:spacing w:after="0" w:line="187" w:lineRule="exact"/>
              <w:rPr>
                <w:rFonts w:ascii="Times New Roman" w:cs="Times New Roman" w:eastAsia="Times New Roman" w:hAnsi="Times New Roman"/>
                <w:sz w:val="17"/>
                <w:szCs w:val="17"/>
                <w:color w:val="0000EE"/>
                <w:w w:val="96"/>
              </w:rPr>
            </w:pPr>
            <w:hyperlink r:id="rId13">
              <w:r>
                <w:rPr>
                  <w:rFonts w:ascii="Times New Roman" w:cs="Times New Roman" w:eastAsia="Times New Roman" w:hAnsi="Times New Roman"/>
                  <w:sz w:val="17"/>
                  <w:szCs w:val="17"/>
                  <w:color w:val="0000EE"/>
                  <w:w w:val="96"/>
                </w:rPr>
                <w:t>Bazemore Robert B</w:t>
              </w:r>
            </w:hyperlink>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0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ARDELYX,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ARDX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bottom w:val="single" w:sz="8" w:color="0000EE"/>
            </w:tcBorders>
          </w:tcPr>
          <w:p>
            <w:pPr>
              <w:spacing w:after="0"/>
              <w:rPr>
                <w:sz w:val="4"/>
                <w:szCs w:val="4"/>
                <w:color w:val="auto"/>
              </w:rPr>
            </w:pPr>
          </w:p>
        </w:tc>
        <w:tc>
          <w:tcPr>
            <w:tcW w:w="52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Borders>
              <w:bottom w:val="single" w:sz="8" w:color="0000EE"/>
            </w:tcBorders>
            <w:gridSpan w:val="2"/>
            <w:vMerge w:val="continue"/>
          </w:tcPr>
          <w:p>
            <w:pPr>
              <w:spacing w:after="0"/>
              <w:rPr>
                <w:sz w:val="4"/>
                <w:szCs w:val="4"/>
                <w:color w:val="auto"/>
              </w:rPr>
            </w:pPr>
          </w:p>
        </w:tc>
        <w:tc>
          <w:tcPr>
            <w:tcW w:w="40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2"/>
          </w:tcPr>
          <w:p>
            <w:pPr>
              <w:spacing w:after="0"/>
              <w:rPr>
                <w:sz w:val="4"/>
                <w:szCs w:val="4"/>
                <w:color w:val="auto"/>
              </w:rPr>
            </w:pPr>
          </w:p>
        </w:tc>
        <w:tc>
          <w:tcPr>
            <w:tcW w:w="4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6"/>
                <w:szCs w:val="6"/>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0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720" w:type="dxa"/>
            <w:vAlign w:val="bottom"/>
          </w:tcPr>
          <w:p>
            <w:pPr>
              <w:spacing w:after="0"/>
              <w:rPr>
                <w:sz w:val="2"/>
                <w:szCs w:val="2"/>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ARDELYX, INC.</w:t>
            </w: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06/16/2026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400 FIFTH AVENUE, SUITE 210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40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WALTHAM</w:t>
            </w:r>
          </w:p>
        </w:tc>
        <w:tc>
          <w:tcPr>
            <w:tcW w:w="7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MA</w:t>
            </w:r>
          </w:p>
        </w:tc>
        <w:tc>
          <w:tcPr>
            <w:tcW w:w="720" w:type="dxa"/>
            <w:vAlign w:val="bottom"/>
          </w:tcPr>
          <w:p>
            <w:pPr>
              <w:spacing w:after="0"/>
              <w:rPr>
                <w:sz w:val="7"/>
                <w:szCs w:val="7"/>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02451</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40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00" w:type="dxa"/>
            <w:vAlign w:val="bottom"/>
            <w:gridSpan w:val="2"/>
          </w:tcPr>
          <w:p>
            <w:pPr>
              <w:ind w:left="200"/>
              <w:spacing w:after="0"/>
              <w:rPr>
                <w:sz w:val="20"/>
                <w:szCs w:val="20"/>
                <w:color w:val="auto"/>
              </w:rPr>
            </w:pPr>
            <w:r>
              <w:rPr>
                <w:rFonts w:ascii="Arial" w:cs="Arial" w:eastAsia="Arial" w:hAnsi="Arial"/>
                <w:sz w:val="10"/>
                <w:szCs w:val="10"/>
                <w:color w:val="auto"/>
              </w:rPr>
              <w:t>(State)</w:t>
            </w:r>
          </w:p>
        </w:tc>
        <w:tc>
          <w:tcPr>
            <w:tcW w:w="72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960" w:type="dxa"/>
            <w:vAlign w:val="bottom"/>
            <w:gridSpan w:val="3"/>
          </w:tcPr>
          <w:p>
            <w:pPr>
              <w:ind w:left="14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960" w:type="dxa"/>
            <w:vAlign w:val="bottom"/>
            <w:gridSpan w:val="3"/>
          </w:tcPr>
          <w:p>
            <w:pPr>
              <w:ind w:left="14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3"/>
          </w:tcPr>
          <w:p>
            <w:pPr>
              <w:ind w:left="14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06/16/2026</w:t>
            </w: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26,455</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68,006</w:t>
            </w: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3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30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40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Conversion</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Price of</w:t>
            </w:r>
          </w:p>
        </w:tc>
        <w:tc>
          <w:tcPr>
            <w:tcW w:w="720" w:type="dxa"/>
            <w:vAlign w:val="bottom"/>
          </w:tcPr>
          <w:p>
            <w:pPr>
              <w:spacing w:after="0"/>
              <w:rPr>
                <w:sz w:val="9"/>
                <w:szCs w:val="9"/>
                <w:color w:val="auto"/>
              </w:rPr>
            </w:pP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Derivative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(D) (Instr. 3, 4 and 5)</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Stock Option (Right to</w:t>
            </w:r>
          </w:p>
        </w:tc>
        <w:tc>
          <w:tcPr>
            <w:tcW w:w="70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5.67</w:t>
            </w:r>
          </w:p>
        </w:tc>
        <w:tc>
          <w:tcPr>
            <w:tcW w:w="72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0000FF"/>
              </w:rPr>
              <w:t>06/16/2026</w:t>
            </w:r>
          </w:p>
        </w:tc>
        <w:tc>
          <w:tcPr>
            <w:tcW w:w="1020" w:type="dxa"/>
            <w:vAlign w:val="bottom"/>
          </w:tcPr>
          <w:p>
            <w:pPr>
              <w:spacing w:after="0"/>
              <w:rPr>
                <w:sz w:val="12"/>
                <w:szCs w:val="12"/>
                <w:color w:val="auto"/>
              </w:rPr>
            </w:pPr>
          </w:p>
        </w:tc>
        <w:tc>
          <w:tcPr>
            <w:tcW w:w="8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00FF"/>
              </w:rPr>
              <w:t>39,715</w:t>
            </w:r>
            <w:r>
              <w:rPr>
                <w:rFonts w:ascii="Times New Roman" w:cs="Times New Roman" w:eastAsia="Times New Roman" w:hAnsi="Times New Roman"/>
                <w:sz w:val="17"/>
                <w:szCs w:val="17"/>
                <w:color w:val="008000"/>
                <w:vertAlign w:val="superscript"/>
              </w:rPr>
              <w:t>(2)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9"/>
                <w:szCs w:val="9"/>
                <w:color w:val="008000"/>
              </w:rPr>
              <w:t>(3)</w:t>
            </w:r>
          </w:p>
        </w:tc>
        <w:tc>
          <w:tcPr>
            <w:tcW w:w="26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06/16/2036</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39,715</w:t>
            </w:r>
          </w:p>
        </w:tc>
        <w:tc>
          <w:tcPr>
            <w:tcW w:w="80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0000FF"/>
              </w:rPr>
              <w:t>39,715</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Buy)</w:t>
            </w:r>
          </w:p>
        </w:tc>
        <w:tc>
          <w:tcPr>
            <w:tcW w:w="70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("RSUs"). The Reporting Person is entitled to receive one (1) share of Common Stock for each one (1) RSU upon the vesting thereof. The RSUs were issued pursuant to the Issuer's Non-Employee Director Compensation Program.</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was issued pursuant to the Issuer's Non-Employee Director Compensation Program.</w:t>
      </w:r>
    </w:p>
    <w:p>
      <w:pPr>
        <w:spacing w:after="0" w:line="40" w:lineRule="exact"/>
        <w:rPr>
          <w:rFonts w:ascii="Times New Roman" w:cs="Times New Roman" w:eastAsia="Times New Roman" w:hAnsi="Times New Roman"/>
          <w:sz w:val="10"/>
          <w:szCs w:val="10"/>
          <w:color w:val="008000"/>
        </w:rPr>
      </w:pPr>
    </w:p>
    <w:p>
      <w:pPr>
        <w:ind w:left="40" w:right="4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24.1 -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Felecia Ettenberg, Attorney-in-Fact</w:t>
            </w:r>
          </w:p>
        </w:tc>
        <w:tc>
          <w:tcPr>
            <w:tcW w:w="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06/18/2026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for Robert B. Bazemore</w:t>
            </w: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2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2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2015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2026-06-18T15:03:29Z</dcterms:created>
  <dcterms:modified xsi:type="dcterms:W3CDTF">2026-06-18T15:03:29Z</dcterms:modified>
</cp:coreProperties>
</file>