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both"/>
        <w:ind w:firstLine="8"/>
        <w:spacing w:after="0" w:line="261" w:lineRule="auto"/>
        <w:tabs>
          <w:tab w:leader="none" w:pos="43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by Ardelyx, Inc. with respect to portions of this letter.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6692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6925"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June 2, 2014</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HAND DELIVERY</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20549-6010</w:t>
      </w:r>
    </w:p>
    <w:p>
      <w:pPr>
        <w:spacing w:after="0" w:line="238" w:lineRule="exact"/>
        <w:rPr>
          <w:sz w:val="24"/>
          <w:szCs w:val="24"/>
          <w:color w:val="auto"/>
        </w:rPr>
      </w:pPr>
    </w:p>
    <w:p>
      <w:pPr>
        <w:ind w:left="20"/>
        <w:spacing w:after="0"/>
        <w:rPr>
          <w:sz w:val="20"/>
          <w:szCs w:val="20"/>
          <w:color w:val="auto"/>
        </w:rPr>
      </w:pPr>
      <w:r>
        <w:rPr>
          <w:rFonts w:ascii="Arial" w:cs="Arial" w:eastAsia="Arial" w:hAnsi="Arial"/>
          <w:sz w:val="18"/>
          <w:szCs w:val="18"/>
          <w:color w:val="auto"/>
        </w:rPr>
        <w:t>Attention: Jeffrey P. Riedler, Assistant Director</w:t>
      </w:r>
    </w:p>
    <w:p>
      <w:pPr>
        <w:spacing w:after="0" w:line="23" w:lineRule="exact"/>
        <w:rPr>
          <w:sz w:val="24"/>
          <w:szCs w:val="24"/>
          <w:color w:val="auto"/>
        </w:rPr>
      </w:pPr>
    </w:p>
    <w:p>
      <w:pPr>
        <w:ind w:left="840"/>
        <w:spacing w:after="0"/>
        <w:rPr>
          <w:sz w:val="20"/>
          <w:szCs w:val="20"/>
          <w:color w:val="auto"/>
        </w:rPr>
      </w:pPr>
      <w:r>
        <w:rPr>
          <w:rFonts w:ascii="Arial" w:cs="Arial" w:eastAsia="Arial" w:hAnsi="Arial"/>
          <w:sz w:val="18"/>
          <w:szCs w:val="18"/>
          <w:color w:val="auto"/>
        </w:rPr>
        <w:t>Matt Jones</w:t>
      </w:r>
    </w:p>
    <w:p>
      <w:pPr>
        <w:spacing w:after="0" w:line="9" w:lineRule="exact"/>
        <w:rPr>
          <w:sz w:val="24"/>
          <w:szCs w:val="24"/>
          <w:color w:val="auto"/>
        </w:rPr>
      </w:pPr>
    </w:p>
    <w:p>
      <w:pPr>
        <w:ind w:left="840"/>
        <w:spacing w:after="0"/>
        <w:rPr>
          <w:sz w:val="20"/>
          <w:szCs w:val="20"/>
          <w:color w:val="auto"/>
        </w:rPr>
      </w:pPr>
      <w:r>
        <w:rPr>
          <w:rFonts w:ascii="Arial" w:cs="Arial" w:eastAsia="Arial" w:hAnsi="Arial"/>
          <w:sz w:val="18"/>
          <w:szCs w:val="18"/>
          <w:color w:val="auto"/>
        </w:rPr>
        <w:t>Tabatha McCullom</w:t>
      </w:r>
    </w:p>
    <w:p>
      <w:pPr>
        <w:spacing w:after="0" w:line="9" w:lineRule="exact"/>
        <w:rPr>
          <w:sz w:val="24"/>
          <w:szCs w:val="24"/>
          <w:color w:val="auto"/>
        </w:rPr>
      </w:pPr>
    </w:p>
    <w:p>
      <w:pPr>
        <w:ind w:left="840"/>
        <w:spacing w:after="0"/>
        <w:rPr>
          <w:sz w:val="20"/>
          <w:szCs w:val="20"/>
          <w:color w:val="auto"/>
        </w:rPr>
      </w:pPr>
      <w:r>
        <w:rPr>
          <w:rFonts w:ascii="Arial" w:cs="Arial" w:eastAsia="Arial" w:hAnsi="Arial"/>
          <w:sz w:val="18"/>
          <w:szCs w:val="18"/>
          <w:color w:val="auto"/>
        </w:rPr>
        <w:t>Joel Parker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0"/>
        <w:spacing w:after="0"/>
        <w:tabs>
          <w:tab w:leader="none" w:pos="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b w:val="1"/>
          <w:bCs w:val="1"/>
          <w:color w:val="auto"/>
        </w:rPr>
        <w:t>Ardelyx, Inc.</w:t>
      </w:r>
    </w:p>
    <w:p>
      <w:pPr>
        <w:spacing w:after="0" w:line="27" w:lineRule="exact"/>
        <w:rPr>
          <w:sz w:val="24"/>
          <w:szCs w:val="24"/>
          <w:color w:val="auto"/>
        </w:rPr>
      </w:pPr>
    </w:p>
    <w:p>
      <w:pPr>
        <w:ind w:left="480"/>
        <w:spacing w:after="0"/>
        <w:rPr>
          <w:sz w:val="20"/>
          <w:szCs w:val="20"/>
          <w:color w:val="auto"/>
        </w:rPr>
      </w:pPr>
      <w:r>
        <w:rPr>
          <w:rFonts w:ascii="Arial" w:cs="Arial" w:eastAsia="Arial" w:hAnsi="Arial"/>
          <w:sz w:val="18"/>
          <w:szCs w:val="18"/>
          <w:color w:val="auto"/>
        </w:rPr>
        <w:t>Stock-Based Compensation</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u w:val="single" w:color="auto"/>
          <w:color w:val="auto"/>
        </w:rPr>
        <w:t>Registration Statement on Form S-1 (File No. 333-196090)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140 Scott Drive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Menlo Park, California 94025</w:t>
      </w:r>
    </w:p>
    <w:p>
      <w:pPr>
        <w:spacing w:after="0" w:line="9" w:lineRule="exact"/>
        <w:rPr>
          <w:sz w:val="24"/>
          <w:szCs w:val="24"/>
          <w:color w:val="auto"/>
        </w:rPr>
      </w:pPr>
    </w:p>
    <w:p>
      <w:pPr>
        <w:ind w:right="2280"/>
        <w:spacing w:after="0" w:line="261" w:lineRule="auto"/>
        <w:rPr>
          <w:sz w:val="20"/>
          <w:szCs w:val="20"/>
          <w:color w:val="auto"/>
        </w:rPr>
      </w:pPr>
      <w:r>
        <w:rPr>
          <w:rFonts w:ascii="Arial" w:cs="Arial" w:eastAsia="Arial" w:hAnsi="Arial"/>
          <w:sz w:val="18"/>
          <w:szCs w:val="18"/>
          <w:color w:val="auto"/>
        </w:rPr>
        <w:t>Tel: +1.650.328.4600 Fax: +1.650.463.2600 www.lw.com</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color w:val="auto"/>
        </w:rPr>
        <w:t>FIRM / AFFILIATE OFFICES</w:t>
      </w:r>
    </w:p>
    <w:p>
      <w:pPr>
        <w:spacing w:after="0" w:line="50"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Abu Dhabi</w:t>
            </w:r>
          </w:p>
        </w:tc>
        <w:tc>
          <w:tcPr>
            <w:tcW w:w="4460" w:type="dxa"/>
            <w:vAlign w:val="bottom"/>
          </w:tcPr>
          <w:p>
            <w:pPr>
              <w:ind w:left="120"/>
              <w:spacing w:after="0"/>
              <w:rPr>
                <w:sz w:val="20"/>
                <w:szCs w:val="20"/>
                <w:color w:val="auto"/>
              </w:rPr>
            </w:pPr>
            <w:r>
              <w:rPr>
                <w:rFonts w:ascii="Arial" w:cs="Arial" w:eastAsia="Arial" w:hAnsi="Arial"/>
                <w:sz w:val="18"/>
                <w:szCs w:val="18"/>
                <w:color w:val="auto"/>
              </w:rPr>
              <w:t>Milan</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Barcelona</w:t>
            </w:r>
          </w:p>
        </w:tc>
        <w:tc>
          <w:tcPr>
            <w:tcW w:w="4460" w:type="dxa"/>
            <w:vAlign w:val="bottom"/>
          </w:tcPr>
          <w:p>
            <w:pPr>
              <w:ind w:left="120"/>
              <w:spacing w:after="0"/>
              <w:rPr>
                <w:sz w:val="20"/>
                <w:szCs w:val="20"/>
                <w:color w:val="auto"/>
              </w:rPr>
            </w:pPr>
            <w:r>
              <w:rPr>
                <w:rFonts w:ascii="Arial" w:cs="Arial" w:eastAsia="Arial" w:hAnsi="Arial"/>
                <w:sz w:val="18"/>
                <w:szCs w:val="18"/>
                <w:color w:val="auto"/>
              </w:rPr>
              <w:t>Moscow</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Beijing</w:t>
            </w:r>
          </w:p>
        </w:tc>
        <w:tc>
          <w:tcPr>
            <w:tcW w:w="4460" w:type="dxa"/>
            <w:vAlign w:val="bottom"/>
          </w:tcPr>
          <w:p>
            <w:pPr>
              <w:ind w:left="120"/>
              <w:spacing w:after="0"/>
              <w:rPr>
                <w:sz w:val="20"/>
                <w:szCs w:val="20"/>
                <w:color w:val="auto"/>
              </w:rPr>
            </w:pPr>
            <w:r>
              <w:rPr>
                <w:rFonts w:ascii="Arial" w:cs="Arial" w:eastAsia="Arial" w:hAnsi="Arial"/>
                <w:sz w:val="18"/>
                <w:szCs w:val="18"/>
                <w:color w:val="auto"/>
              </w:rPr>
              <w:t>Munich</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Boston</w:t>
            </w:r>
          </w:p>
        </w:tc>
        <w:tc>
          <w:tcPr>
            <w:tcW w:w="4460" w:type="dxa"/>
            <w:vAlign w:val="bottom"/>
          </w:tcPr>
          <w:p>
            <w:pPr>
              <w:ind w:left="120"/>
              <w:spacing w:after="0"/>
              <w:rPr>
                <w:sz w:val="20"/>
                <w:szCs w:val="20"/>
                <w:color w:val="auto"/>
              </w:rPr>
            </w:pPr>
            <w:r>
              <w:rPr>
                <w:rFonts w:ascii="Arial" w:cs="Arial" w:eastAsia="Arial" w:hAnsi="Arial"/>
                <w:sz w:val="18"/>
                <w:szCs w:val="18"/>
                <w:color w:val="auto"/>
              </w:rPr>
              <w:t>New Jersey</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Brussels</w:t>
            </w:r>
          </w:p>
        </w:tc>
        <w:tc>
          <w:tcPr>
            <w:tcW w:w="4460" w:type="dxa"/>
            <w:vAlign w:val="bottom"/>
          </w:tcPr>
          <w:p>
            <w:pPr>
              <w:ind w:left="120"/>
              <w:spacing w:after="0"/>
              <w:rPr>
                <w:sz w:val="20"/>
                <w:szCs w:val="20"/>
                <w:color w:val="auto"/>
              </w:rPr>
            </w:pPr>
            <w:r>
              <w:rPr>
                <w:rFonts w:ascii="Arial" w:cs="Arial" w:eastAsia="Arial" w:hAnsi="Arial"/>
                <w:sz w:val="18"/>
                <w:szCs w:val="18"/>
                <w:color w:val="auto"/>
              </w:rPr>
              <w:t>New York</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Chicago</w:t>
            </w:r>
          </w:p>
        </w:tc>
        <w:tc>
          <w:tcPr>
            <w:tcW w:w="4460" w:type="dxa"/>
            <w:vAlign w:val="bottom"/>
          </w:tcPr>
          <w:p>
            <w:pPr>
              <w:ind w:left="120"/>
              <w:spacing w:after="0"/>
              <w:rPr>
                <w:sz w:val="20"/>
                <w:szCs w:val="20"/>
                <w:color w:val="auto"/>
              </w:rPr>
            </w:pPr>
            <w:r>
              <w:rPr>
                <w:rFonts w:ascii="Arial" w:cs="Arial" w:eastAsia="Arial" w:hAnsi="Arial"/>
                <w:sz w:val="18"/>
                <w:szCs w:val="18"/>
                <w:color w:val="auto"/>
              </w:rPr>
              <w:t>Orange County</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Doha</w:t>
            </w:r>
          </w:p>
        </w:tc>
        <w:tc>
          <w:tcPr>
            <w:tcW w:w="4460" w:type="dxa"/>
            <w:vAlign w:val="bottom"/>
          </w:tcPr>
          <w:p>
            <w:pPr>
              <w:ind w:left="120"/>
              <w:spacing w:after="0"/>
              <w:rPr>
                <w:sz w:val="20"/>
                <w:szCs w:val="20"/>
                <w:color w:val="auto"/>
              </w:rPr>
            </w:pPr>
            <w:r>
              <w:rPr>
                <w:rFonts w:ascii="Arial" w:cs="Arial" w:eastAsia="Arial" w:hAnsi="Arial"/>
                <w:sz w:val="18"/>
                <w:szCs w:val="18"/>
                <w:color w:val="auto"/>
              </w:rPr>
              <w:t>Paris</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Dubai</w:t>
            </w:r>
          </w:p>
        </w:tc>
        <w:tc>
          <w:tcPr>
            <w:tcW w:w="4460" w:type="dxa"/>
            <w:vAlign w:val="bottom"/>
          </w:tcPr>
          <w:p>
            <w:pPr>
              <w:ind w:left="120"/>
              <w:spacing w:after="0"/>
              <w:rPr>
                <w:sz w:val="20"/>
                <w:szCs w:val="20"/>
                <w:color w:val="auto"/>
              </w:rPr>
            </w:pPr>
            <w:r>
              <w:rPr>
                <w:rFonts w:ascii="Arial" w:cs="Arial" w:eastAsia="Arial" w:hAnsi="Arial"/>
                <w:sz w:val="18"/>
                <w:szCs w:val="18"/>
                <w:color w:val="auto"/>
              </w:rPr>
              <w:t>Riyadh</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Düsseldorf</w:t>
            </w:r>
          </w:p>
        </w:tc>
        <w:tc>
          <w:tcPr>
            <w:tcW w:w="4460" w:type="dxa"/>
            <w:vAlign w:val="bottom"/>
          </w:tcPr>
          <w:p>
            <w:pPr>
              <w:ind w:left="120"/>
              <w:spacing w:after="0"/>
              <w:rPr>
                <w:sz w:val="20"/>
                <w:szCs w:val="20"/>
                <w:color w:val="auto"/>
              </w:rPr>
            </w:pPr>
            <w:r>
              <w:rPr>
                <w:rFonts w:ascii="Arial" w:cs="Arial" w:eastAsia="Arial" w:hAnsi="Arial"/>
                <w:sz w:val="18"/>
                <w:szCs w:val="18"/>
                <w:color w:val="auto"/>
              </w:rPr>
              <w:t>Rome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Frankfurt</w:t>
            </w:r>
          </w:p>
        </w:tc>
        <w:tc>
          <w:tcPr>
            <w:tcW w:w="4460" w:type="dxa"/>
            <w:vAlign w:val="bottom"/>
          </w:tcPr>
          <w:p>
            <w:pPr>
              <w:ind w:left="120"/>
              <w:spacing w:after="0"/>
              <w:rPr>
                <w:sz w:val="20"/>
                <w:szCs w:val="20"/>
                <w:color w:val="auto"/>
              </w:rPr>
            </w:pPr>
            <w:r>
              <w:rPr>
                <w:rFonts w:ascii="Arial" w:cs="Arial" w:eastAsia="Arial" w:hAnsi="Arial"/>
                <w:sz w:val="18"/>
                <w:szCs w:val="18"/>
                <w:color w:val="auto"/>
              </w:rPr>
              <w:t>San Diego</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Hamburg</w:t>
            </w:r>
          </w:p>
        </w:tc>
        <w:tc>
          <w:tcPr>
            <w:tcW w:w="4460" w:type="dxa"/>
            <w:vAlign w:val="bottom"/>
          </w:tcPr>
          <w:p>
            <w:pPr>
              <w:ind w:left="120"/>
              <w:spacing w:after="0"/>
              <w:rPr>
                <w:sz w:val="20"/>
                <w:szCs w:val="20"/>
                <w:color w:val="auto"/>
              </w:rPr>
            </w:pPr>
            <w:r>
              <w:rPr>
                <w:rFonts w:ascii="Arial" w:cs="Arial" w:eastAsia="Arial" w:hAnsi="Arial"/>
                <w:sz w:val="18"/>
                <w:szCs w:val="18"/>
                <w:color w:val="auto"/>
              </w:rPr>
              <w:t>San Francisco</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Hong Kong</w:t>
            </w:r>
          </w:p>
        </w:tc>
        <w:tc>
          <w:tcPr>
            <w:tcW w:w="4460" w:type="dxa"/>
            <w:vAlign w:val="bottom"/>
          </w:tcPr>
          <w:p>
            <w:pPr>
              <w:ind w:left="120"/>
              <w:spacing w:after="0"/>
              <w:rPr>
                <w:sz w:val="20"/>
                <w:szCs w:val="20"/>
                <w:color w:val="auto"/>
              </w:rPr>
            </w:pPr>
            <w:r>
              <w:rPr>
                <w:rFonts w:ascii="Arial" w:cs="Arial" w:eastAsia="Arial" w:hAnsi="Arial"/>
                <w:sz w:val="18"/>
                <w:szCs w:val="18"/>
                <w:color w:val="auto"/>
              </w:rPr>
              <w:t>Shanghai</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Houston</w:t>
            </w:r>
          </w:p>
        </w:tc>
        <w:tc>
          <w:tcPr>
            <w:tcW w:w="4460" w:type="dxa"/>
            <w:vAlign w:val="bottom"/>
          </w:tcPr>
          <w:p>
            <w:pPr>
              <w:ind w:left="120"/>
              <w:spacing w:after="0"/>
              <w:rPr>
                <w:sz w:val="20"/>
                <w:szCs w:val="20"/>
                <w:color w:val="auto"/>
              </w:rPr>
            </w:pPr>
            <w:r>
              <w:rPr>
                <w:rFonts w:ascii="Arial" w:cs="Arial" w:eastAsia="Arial" w:hAnsi="Arial"/>
                <w:sz w:val="18"/>
                <w:szCs w:val="18"/>
                <w:color w:val="auto"/>
              </w:rPr>
              <w:t>Silicon Valley</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London</w:t>
            </w:r>
          </w:p>
        </w:tc>
        <w:tc>
          <w:tcPr>
            <w:tcW w:w="4460" w:type="dxa"/>
            <w:vAlign w:val="bottom"/>
          </w:tcPr>
          <w:p>
            <w:pPr>
              <w:ind w:left="120"/>
              <w:spacing w:after="0"/>
              <w:rPr>
                <w:sz w:val="20"/>
                <w:szCs w:val="20"/>
                <w:color w:val="auto"/>
              </w:rPr>
            </w:pPr>
            <w:r>
              <w:rPr>
                <w:rFonts w:ascii="Arial" w:cs="Arial" w:eastAsia="Arial" w:hAnsi="Arial"/>
                <w:sz w:val="18"/>
                <w:szCs w:val="18"/>
                <w:color w:val="auto"/>
              </w:rPr>
              <w:t>Singapore</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Los Angeles</w:t>
            </w:r>
          </w:p>
        </w:tc>
        <w:tc>
          <w:tcPr>
            <w:tcW w:w="4460" w:type="dxa"/>
            <w:vAlign w:val="bottom"/>
          </w:tcPr>
          <w:p>
            <w:pPr>
              <w:ind w:left="120"/>
              <w:spacing w:after="0"/>
              <w:rPr>
                <w:sz w:val="20"/>
                <w:szCs w:val="20"/>
                <w:color w:val="auto"/>
              </w:rPr>
            </w:pPr>
            <w:r>
              <w:rPr>
                <w:rFonts w:ascii="Arial" w:cs="Arial" w:eastAsia="Arial" w:hAnsi="Arial"/>
                <w:sz w:val="18"/>
                <w:szCs w:val="18"/>
                <w:color w:val="auto"/>
              </w:rPr>
              <w:t>Tokyo</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Madrid</w:t>
            </w:r>
          </w:p>
        </w:tc>
        <w:tc>
          <w:tcPr>
            <w:tcW w:w="4460" w:type="dxa"/>
            <w:vAlign w:val="bottom"/>
          </w:tcPr>
          <w:p>
            <w:pPr>
              <w:ind w:left="120"/>
              <w:spacing w:after="0"/>
              <w:rPr>
                <w:sz w:val="20"/>
                <w:szCs w:val="20"/>
                <w:color w:val="auto"/>
              </w:rPr>
            </w:pPr>
            <w:r>
              <w:rPr>
                <w:rFonts w:ascii="Arial" w:cs="Arial" w:eastAsia="Arial" w:hAnsi="Arial"/>
                <w:sz w:val="18"/>
                <w:szCs w:val="18"/>
                <w:color w:val="auto"/>
              </w:rPr>
              <w:t>Washington, D.C.</w:t>
            </w:r>
          </w:p>
        </w:tc>
      </w:tr>
      <w:tr>
        <w:trPr>
          <w:trHeight w:val="240"/>
        </w:trPr>
        <w:tc>
          <w:tcPr>
            <w:tcW w:w="1040" w:type="dxa"/>
            <w:vAlign w:val="bottom"/>
            <w:tcBorders>
              <w:bottom w:val="single" w:sz="8" w:color="auto"/>
            </w:tcBorders>
          </w:tcPr>
          <w:p>
            <w:pPr>
              <w:spacing w:after="0"/>
              <w:rPr>
                <w:sz w:val="20"/>
                <w:szCs w:val="20"/>
                <w:color w:val="auto"/>
              </w:rPr>
            </w:pPr>
          </w:p>
        </w:tc>
        <w:tc>
          <w:tcPr>
            <w:tcW w:w="4460" w:type="dxa"/>
            <w:vAlign w:val="bottom"/>
            <w:tcBorders>
              <w:bottom w:val="single" w:sz="8" w:color="auto"/>
            </w:tcBorders>
          </w:tcPr>
          <w:p>
            <w:pPr>
              <w:spacing w:after="0"/>
              <w:rPr>
                <w:sz w:val="20"/>
                <w:szCs w:val="20"/>
                <w:color w:val="auto"/>
              </w:rPr>
            </w:pPr>
          </w:p>
        </w:tc>
      </w:tr>
      <w:tr>
        <w:trPr>
          <w:trHeight w:val="266"/>
        </w:trPr>
        <w:tc>
          <w:tcPr>
            <w:tcW w:w="1040" w:type="dxa"/>
            <w:vAlign w:val="bottom"/>
            <w:tcBorders>
              <w:left w:val="single" w:sz="8" w:color="auto"/>
            </w:tcBorders>
          </w:tcPr>
          <w:p>
            <w:pPr>
              <w:spacing w:after="0"/>
              <w:rPr>
                <w:sz w:val="23"/>
                <w:szCs w:val="23"/>
                <w:color w:val="auto"/>
              </w:rPr>
            </w:pPr>
          </w:p>
        </w:tc>
        <w:tc>
          <w:tcPr>
            <w:tcW w:w="44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FOIA Confidential Treatment Requested</w:t>
            </w:r>
          </w:p>
        </w:tc>
      </w:tr>
      <w:tr>
        <w:trPr>
          <w:trHeight w:val="230"/>
        </w:trPr>
        <w:tc>
          <w:tcPr>
            <w:tcW w:w="1040" w:type="dxa"/>
            <w:vAlign w:val="bottom"/>
            <w:tcBorders>
              <w:left w:val="single" w:sz="8" w:color="auto"/>
            </w:tcBorders>
          </w:tcPr>
          <w:p>
            <w:pPr>
              <w:spacing w:after="0"/>
              <w:rPr>
                <w:sz w:val="20"/>
                <w:szCs w:val="20"/>
                <w:color w:val="auto"/>
              </w:rPr>
            </w:pPr>
          </w:p>
        </w:tc>
        <w:tc>
          <w:tcPr>
            <w:tcW w:w="4460" w:type="dxa"/>
            <w:vAlign w:val="bottom"/>
            <w:tcBorders>
              <w:right w:val="single" w:sz="8" w:color="auto"/>
            </w:tcBorders>
          </w:tcPr>
          <w:p>
            <w:pPr>
              <w:ind w:left="820"/>
              <w:spacing w:after="0"/>
              <w:rPr>
                <w:sz w:val="20"/>
                <w:szCs w:val="20"/>
                <w:color w:val="auto"/>
              </w:rPr>
            </w:pPr>
            <w:r>
              <w:rPr>
                <w:rFonts w:ascii="Arial" w:cs="Arial" w:eastAsia="Arial" w:hAnsi="Arial"/>
                <w:sz w:val="18"/>
                <w:szCs w:val="18"/>
                <w:color w:val="auto"/>
              </w:rPr>
              <w:t>Under 17 C.F.R §200.83</w:t>
            </w:r>
          </w:p>
        </w:tc>
      </w:tr>
      <w:tr>
        <w:trPr>
          <w:trHeight w:val="91"/>
        </w:trPr>
        <w:tc>
          <w:tcPr>
            <w:tcW w:w="1040" w:type="dxa"/>
            <w:vAlign w:val="bottom"/>
            <w:tcBorders>
              <w:left w:val="single" w:sz="8" w:color="auto"/>
              <w:bottom w:val="single" w:sz="8" w:color="auto"/>
            </w:tcBorders>
          </w:tcPr>
          <w:p>
            <w:pPr>
              <w:spacing w:after="0"/>
              <w:rPr>
                <w:sz w:val="7"/>
                <w:szCs w:val="7"/>
                <w:color w:val="auto"/>
              </w:rPr>
            </w:pPr>
          </w:p>
        </w:tc>
        <w:tc>
          <w:tcPr>
            <w:tcW w:w="4460" w:type="dxa"/>
            <w:vAlign w:val="bottom"/>
            <w:tcBorders>
              <w:bottom w:val="single" w:sz="8" w:color="auto"/>
              <w:right w:val="single" w:sz="8" w:color="auto"/>
            </w:tcBorders>
          </w:tcPr>
          <w:p>
            <w:pPr>
              <w:spacing w:after="0"/>
              <w:rPr>
                <w:sz w:val="7"/>
                <w:szCs w:val="7"/>
                <w:color w:val="auto"/>
              </w:rPr>
            </w:pPr>
          </w:p>
        </w:tc>
      </w:tr>
    </w:tbl>
    <w:p>
      <w:pPr>
        <w:spacing w:after="0" w:line="1200" w:lineRule="exact"/>
        <w:rPr>
          <w:sz w:val="24"/>
          <w:szCs w:val="24"/>
          <w:color w:val="auto"/>
        </w:rPr>
      </w:pPr>
    </w:p>
    <w:p>
      <w:pPr>
        <w:sectPr>
          <w:pgSz w:w="11900" w:h="16838" w:orient="portrait"/>
          <w:cols w:equalWidth="0" w:num="2">
            <w:col w:w="5440" w:space="340"/>
            <w:col w:w="5640"/>
          </w:cols>
          <w:pgMar w:left="240" w:top="283" w:right="239" w:bottom="1440" w:gutter="0" w:footer="0" w:header="0"/>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Gentleman:</w:t>
      </w:r>
    </w:p>
    <w:p>
      <w:pPr>
        <w:spacing w:after="0" w:line="225" w:lineRule="exact"/>
        <w:rPr>
          <w:sz w:val="24"/>
          <w:szCs w:val="24"/>
          <w:color w:val="auto"/>
        </w:rPr>
      </w:pPr>
    </w:p>
    <w:p>
      <w:pPr>
        <w:ind w:right="20" w:firstLine="456"/>
        <w:spacing w:after="0" w:line="254" w:lineRule="auto"/>
        <w:rPr>
          <w:sz w:val="20"/>
          <w:szCs w:val="20"/>
          <w:color w:val="auto"/>
        </w:rPr>
      </w:pPr>
      <w:r>
        <w:rPr>
          <w:rFonts w:ascii="Arial" w:cs="Arial" w:eastAsia="Arial" w:hAnsi="Arial"/>
          <w:sz w:val="18"/>
          <w:szCs w:val="18"/>
          <w:color w:val="auto"/>
        </w:rPr>
        <w:t>On behalf of Ardelyx,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submit this letter (the “</w:t>
      </w:r>
      <w:r>
        <w:rPr>
          <w:rFonts w:ascii="Arial" w:cs="Arial" w:eastAsia="Arial" w:hAnsi="Arial"/>
          <w:sz w:val="18"/>
          <w:szCs w:val="18"/>
          <w:b w:val="1"/>
          <w:bCs w:val="1"/>
          <w:i w:val="1"/>
          <w:iCs w:val="1"/>
          <w:color w:val="auto"/>
        </w:rPr>
        <w:t>Letter</w:t>
      </w:r>
      <w:r>
        <w:rPr>
          <w:rFonts w:ascii="Arial" w:cs="Arial" w:eastAsia="Arial" w:hAnsi="Arial"/>
          <w:sz w:val="18"/>
          <w:szCs w:val="18"/>
          <w:color w:val="auto"/>
        </w:rPr>
        <w:t>”) to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The Company originally filed the above-referenced Registration Statement on Form S-1 with the Commission on May 19, 2014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The purpose of this Letter is to provide supplemental information to the Staff in respect of the accounting treatment for stock-based compensation for its consideration during the review cycle so that the Company may be in a position to print a preliminary prospectus as promptly as practicable after filing an amendment to the Registration Statement. We are respectfully requesting confidential treatment for certain portions of this Letter pursuant to Rule 83 promulgated by the Commission, 17 C.F.R. §200.83. This Letter is accompanied by such request for confidential treatment because of the commercially sensitive nature of the information discussed in this Letter. A redacted letter will be filed on EDGAR, omitting the confidential information contained in the Letter.</w:t>
      </w:r>
    </w:p>
    <w:p>
      <w:pPr>
        <w:spacing w:after="0" w:line="192" w:lineRule="exact"/>
        <w:rPr>
          <w:sz w:val="24"/>
          <w:szCs w:val="24"/>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Company’s discussion of stock-based compensation is primarily contained within the section of the Registration Statement entitled “Management’s Discussion and Analysis of Financial Condition and Results of Operations—Critical Accounting Policies and Estimates—Stock-Based Compensation” included on pages 66 through 68 of the Registration Statement.</w:t>
      </w:r>
    </w:p>
    <w:p>
      <w:pPr>
        <w:spacing w:after="0" w:line="181" w:lineRule="exact"/>
        <w:rPr>
          <w:sz w:val="24"/>
          <w:szCs w:val="24"/>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Company supplementally advises the Staff that while not reflected in the Registration Statement, based on discussions with the Company’s Board of Directors and reflecting the input from the lead underwriters for its initial public offering (the “</w:t>
      </w:r>
      <w:r>
        <w:rPr>
          <w:rFonts w:ascii="Arial" w:cs="Arial" w:eastAsia="Arial" w:hAnsi="Arial"/>
          <w:sz w:val="18"/>
          <w:szCs w:val="18"/>
          <w:b w:val="1"/>
          <w:bCs w:val="1"/>
          <w:i w:val="1"/>
          <w:iCs w:val="1"/>
          <w:color w:val="auto"/>
        </w:rPr>
        <w:t>Underwriters</w:t>
      </w:r>
      <w:r>
        <w:rPr>
          <w:rFonts w:ascii="Arial" w:cs="Arial" w:eastAsia="Arial" w:hAnsi="Arial"/>
          <w:sz w:val="18"/>
          <w:szCs w:val="18"/>
          <w:color w:val="auto"/>
        </w:rPr>
        <w:t>”), the Company currently anticipates a price range of $[***] to $[***] per share for the Company’s common stock (the</w:t>
      </w:r>
    </w:p>
    <w:p>
      <w:pPr>
        <w:spacing w:after="0" w:line="114"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ARDELYX,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ARDX-1001</w:t>
      </w:r>
    </w:p>
    <w:p>
      <w:pPr>
        <w:sectPr>
          <w:pgSz w:w="11900" w:h="16838" w:orient="portrait"/>
          <w:cols w:equalWidth="0" w:num="1">
            <w:col w:w="11420"/>
          </w:cols>
          <w:pgMar w:left="240" w:top="28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2, 2014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236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Preliminary IPO Price Range</w:t>
      </w:r>
      <w:r>
        <w:rPr>
          <w:rFonts w:ascii="Arial" w:cs="Arial" w:eastAsia="Arial" w:hAnsi="Arial"/>
          <w:sz w:val="17"/>
          <w:szCs w:val="17"/>
          <w:color w:val="auto"/>
        </w:rPr>
        <w:t>”), with a midpoint of the anticipated range of approximately $[***] per share (the “</w:t>
      </w:r>
      <w:r>
        <w:rPr>
          <w:rFonts w:ascii="Arial" w:cs="Arial" w:eastAsia="Arial" w:hAnsi="Arial"/>
          <w:sz w:val="17"/>
          <w:szCs w:val="17"/>
          <w:b w:val="1"/>
          <w:bCs w:val="1"/>
          <w:i w:val="1"/>
          <w:iCs w:val="1"/>
          <w:color w:val="auto"/>
        </w:rPr>
        <w:t>Preliminary Assumed IPO Price</w:t>
      </w:r>
      <w:r>
        <w:rPr>
          <w:rFonts w:ascii="Arial" w:cs="Arial" w:eastAsia="Arial" w:hAnsi="Arial"/>
          <w:sz w:val="17"/>
          <w:szCs w:val="17"/>
          <w:color w:val="auto"/>
        </w:rPr>
        <w:t>”). The Preliminary IPO Price Range and Preliminary Assumed IPO Price do not reflect any reverse stock split that the Company will give effect prior to the Commission’s declaration of effectiveness of the Registration Statement. The Company will implement a reverse stock split, which, for purposes of this Letter, the Company currently estimates to be approximately [***] to [***]. This reverse stock split would result in a post-split Preliminary IPO Price Range of $[***] to $[***] per share, with a midpoint of $[***] per share. The Company’s final post-split Preliminary IPO Price Range remains under discussion between the Company and the lead underwriters, and a bona fide price range will be included in an amendment to the Registration Statement prior to any distribution of the preliminary prospectus in connection with the Company’s road show.</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FAIR VALUE DETERMINATION AND METHODOLOGY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As previously disclosed, the Company has historically determined the fair value of its common stock using methodologies, approaches and assumptions consistent with the American Institute of Certified Public Accountants Accounting and Valuation Guide, </w:t>
      </w:r>
      <w:r>
        <w:rPr>
          <w:rFonts w:ascii="Arial" w:cs="Arial" w:eastAsia="Arial" w:hAnsi="Arial"/>
          <w:sz w:val="18"/>
          <w:szCs w:val="18"/>
          <w:i w:val="1"/>
          <w:iCs w:val="1"/>
          <w:color w:val="auto"/>
        </w:rPr>
        <w:t>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Issued as Compensation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AICPA Practice Guide</w:t>
      </w:r>
      <w:r>
        <w:rPr>
          <w:rFonts w:ascii="Arial" w:cs="Arial" w:eastAsia="Arial" w:hAnsi="Arial"/>
          <w:sz w:val="18"/>
          <w:szCs w:val="18"/>
          <w:color w:val="auto"/>
        </w:rPr>
        <w:t>”). In addition, the Company’s Board of Directors also considered numerous objective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 factors, along with input from management and third-party valuations, to determine the fair value of the Company’s common stock as disclosed in the Registration Statement.</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Company has historically utilized the probability-weighted expected return method (“</w:t>
      </w:r>
      <w:r>
        <w:rPr>
          <w:rFonts w:ascii="Arial" w:cs="Arial" w:eastAsia="Arial" w:hAnsi="Arial"/>
          <w:sz w:val="17"/>
          <w:szCs w:val="17"/>
          <w:b w:val="1"/>
          <w:bCs w:val="1"/>
          <w:i w:val="1"/>
          <w:iCs w:val="1"/>
          <w:color w:val="auto"/>
        </w:rPr>
        <w:t>PWERM</w:t>
      </w:r>
      <w:r>
        <w:rPr>
          <w:rFonts w:ascii="Arial" w:cs="Arial" w:eastAsia="Arial" w:hAnsi="Arial"/>
          <w:sz w:val="17"/>
          <w:szCs w:val="17"/>
          <w:color w:val="auto"/>
        </w:rPr>
        <w:t>”) in combination with the option pricing method (“</w:t>
      </w:r>
      <w:r>
        <w:rPr>
          <w:rFonts w:ascii="Arial" w:cs="Arial" w:eastAsia="Arial" w:hAnsi="Arial"/>
          <w:sz w:val="17"/>
          <w:szCs w:val="17"/>
          <w:b w:val="1"/>
          <w:bCs w:val="1"/>
          <w:i w:val="1"/>
          <w:iCs w:val="1"/>
          <w:color w:val="auto"/>
        </w:rPr>
        <w:t>OPM</w:t>
      </w:r>
      <w:r>
        <w:rPr>
          <w:rFonts w:ascii="Arial" w:cs="Arial" w:eastAsia="Arial" w:hAnsi="Arial"/>
          <w:sz w:val="17"/>
          <w:szCs w:val="17"/>
          <w:color w:val="auto"/>
        </w:rPr>
        <w:t>”) as a hybrid method (“</w:t>
      </w:r>
      <w:r>
        <w:rPr>
          <w:rFonts w:ascii="Arial" w:cs="Arial" w:eastAsia="Arial" w:hAnsi="Arial"/>
          <w:sz w:val="17"/>
          <w:szCs w:val="17"/>
          <w:b w:val="1"/>
          <w:bCs w:val="1"/>
          <w:i w:val="1"/>
          <w:iCs w:val="1"/>
          <w:color w:val="auto"/>
        </w:rPr>
        <w:t>Hybrid Method</w:t>
      </w:r>
      <w:r>
        <w:rPr>
          <w:rFonts w:ascii="Arial" w:cs="Arial" w:eastAsia="Arial" w:hAnsi="Arial"/>
          <w:sz w:val="17"/>
          <w:szCs w:val="17"/>
          <w:color w:val="auto"/>
        </w:rPr>
        <w:t>”), each an accepted valuation method under the AICPA Practice Guide, for determining the fair value of its common stock. The PWERM is a scenario-based analysis that estimates the value per share of common stock based on the probability-weighted present value of expected future equity values for the common stock, under various possible future liquidity event scenarios, in light of the rights and preferences of each class of stock, discounted for a lack of marketability. The OPM values each equity class by creating a series of call options on the equity value, with exercise prices based on the liquidation preferences, participation rights and strike prices of derivatives. The Hybrid Method is appropriate for a company expecting a near term liquidity event, but where, due to market or other factors, the likelihood of completing the liquidity event is uncertain. The Hybrid Method considers a company’s going concern nature, stage of development and the company’s ability to forecast near and long-term future liquidity scenarios. At each grant date, the Company’s Board of Directors considered whether any events occurred that would trigger any material changes to the business or would require adjustment to the fair value of its common stock.</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DISCUSSION OF RECENT FAIR VALUE DETERMINATIONS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March 21, 2014, the Company determined the fair value of its common stock to be $1.47 per share (the “</w:t>
      </w:r>
      <w:r>
        <w:rPr>
          <w:rFonts w:ascii="Arial" w:cs="Arial" w:eastAsia="Arial" w:hAnsi="Arial"/>
          <w:sz w:val="18"/>
          <w:szCs w:val="18"/>
          <w:b w:val="1"/>
          <w:bCs w:val="1"/>
          <w:i w:val="1"/>
          <w:iCs w:val="1"/>
          <w:color w:val="auto"/>
        </w:rPr>
        <w:t>March 21 Estimated Fair Value Per</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This determination was based in part on a third-party valuation conducted as of March 1, 2014 (the “</w:t>
      </w:r>
      <w:r>
        <w:rPr>
          <w:rFonts w:ascii="Arial" w:cs="Arial" w:eastAsia="Arial" w:hAnsi="Arial"/>
          <w:sz w:val="18"/>
          <w:szCs w:val="18"/>
          <w:b w:val="1"/>
          <w:bCs w:val="1"/>
          <w:i w:val="1"/>
          <w:iCs w:val="1"/>
          <w:color w:val="auto"/>
        </w:rPr>
        <w:t>March 1 Valuation</w:t>
      </w:r>
      <w:r>
        <w:rPr>
          <w:rFonts w:ascii="Arial" w:cs="Arial" w:eastAsia="Arial" w:hAnsi="Arial"/>
          <w:sz w:val="18"/>
          <w:szCs w:val="18"/>
          <w:color w:val="auto"/>
        </w:rPr>
        <w:t>”) utilizing the Hybrid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Method and the Board of Directors’ determination that there were no material changes to the business or required adjustments to the estimated fair value of its common stock since March 1, 2014.</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For purposes of the March 1 Valuation, the Company anticipated a thirty percent (30%) probability of an IPO event to occur in mid-2014. However, the likelihood of the Company consummating an IPO was not certain, and due to market uncertainty and various strategic business factors, the Company also considered alternative scenarios for the Company.</w:t>
      </w:r>
    </w:p>
    <w:p>
      <w:pPr>
        <w:spacing w:after="0" w:line="110" w:lineRule="exact"/>
        <w:rPr>
          <w:sz w:val="20"/>
          <w:szCs w:val="20"/>
          <w:color w:val="auto"/>
        </w:rPr>
      </w:pPr>
    </w:p>
    <w:p>
      <w:pPr>
        <w:ind w:right="560" w:firstLine="8"/>
        <w:spacing w:after="0" w:line="282" w:lineRule="auto"/>
        <w:tabs>
          <w:tab w:leader="none" w:pos="43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by Ardelyx, Inc. with respect to portions of this letter.</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ARDX-1002</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2, 2014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236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On May 15, 2014, the Company determined the fair value of its common stock to be $1.68 per share (the “</w:t>
      </w:r>
      <w:r>
        <w:rPr>
          <w:rFonts w:ascii="Arial" w:cs="Arial" w:eastAsia="Arial" w:hAnsi="Arial"/>
          <w:sz w:val="17"/>
          <w:szCs w:val="17"/>
          <w:b w:val="1"/>
          <w:bCs w:val="1"/>
          <w:i w:val="1"/>
          <w:iCs w:val="1"/>
          <w:color w:val="auto"/>
        </w:rPr>
        <w:t>Estimated Fair Value Per Share</w:t>
      </w:r>
      <w:r>
        <w:rPr>
          <w:rFonts w:ascii="Arial" w:cs="Arial" w:eastAsia="Arial" w:hAnsi="Arial"/>
          <w:sz w:val="17"/>
          <w:szCs w:val="17"/>
          <w:color w:val="auto"/>
        </w:rPr>
        <w:t>”). This determination was based in part on a third-party valuation conducted as of March 31, 2014 (the “</w:t>
      </w:r>
      <w:r>
        <w:rPr>
          <w:rFonts w:ascii="Arial" w:cs="Arial" w:eastAsia="Arial" w:hAnsi="Arial"/>
          <w:sz w:val="17"/>
          <w:szCs w:val="17"/>
          <w:b w:val="1"/>
          <w:bCs w:val="1"/>
          <w:i w:val="1"/>
          <w:iCs w:val="1"/>
          <w:color w:val="auto"/>
        </w:rPr>
        <w:t>March 31 Valuation</w:t>
      </w:r>
      <w:r>
        <w:rPr>
          <w:rFonts w:ascii="Arial" w:cs="Arial" w:eastAsia="Arial" w:hAnsi="Arial"/>
          <w:sz w:val="17"/>
          <w:szCs w:val="17"/>
          <w:color w:val="auto"/>
        </w:rPr>
        <w:t>” and together with the March 1 Valuation, the “</w:t>
      </w:r>
      <w:r>
        <w:rPr>
          <w:rFonts w:ascii="Arial" w:cs="Arial" w:eastAsia="Arial" w:hAnsi="Arial"/>
          <w:sz w:val="17"/>
          <w:szCs w:val="17"/>
          <w:b w:val="1"/>
          <w:bCs w:val="1"/>
          <w:i w:val="1"/>
          <w:iCs w:val="1"/>
          <w:color w:val="auto"/>
        </w:rPr>
        <w:t>Valuations</w:t>
      </w:r>
      <w:r>
        <w:rPr>
          <w:rFonts w:ascii="Arial" w:cs="Arial" w:eastAsia="Arial" w:hAnsi="Arial"/>
          <w:sz w:val="17"/>
          <w:szCs w:val="17"/>
          <w:color w:val="auto"/>
        </w:rPr>
        <w:t>”) utilizing the Hybrid Method. For purposes of the Estimated Fair Value Per Share, the Company anticipated a relatively substantial probability of an IPO event to occur in mid-2014 increasing the probability from the March 1 Valuation from 30% to 50%. However, the likelihood of the Company consummating an IPO in the near-term was not certain, and due to market uncertainty and various strategic business factors, the Company also considered alternative scenarios for the Company. Ultimately, the Company determined each of the March 21 Estimated Fair Value Per Share and the Estimated Fair Value Per Share assuming three (3) potential future events:</w:t>
      </w:r>
    </w:p>
    <w:p>
      <w:pPr>
        <w:spacing w:after="0" w:line="70" w:lineRule="exact"/>
        <w:rPr>
          <w:sz w:val="20"/>
          <w:szCs w:val="20"/>
          <w:color w:val="auto"/>
        </w:rPr>
      </w:pPr>
    </w:p>
    <w:p>
      <w:pPr>
        <w:ind w:left="680" w:hanging="216"/>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initial public offering in mid-2014 (the “</w:t>
      </w:r>
      <w:r>
        <w:rPr>
          <w:rFonts w:ascii="Arial" w:cs="Arial" w:eastAsia="Arial" w:hAnsi="Arial"/>
          <w:sz w:val="18"/>
          <w:szCs w:val="18"/>
          <w:b w:val="1"/>
          <w:bCs w:val="1"/>
          <w:i w:val="1"/>
          <w:iCs w:val="1"/>
          <w:color w:val="auto"/>
        </w:rPr>
        <w:t>2014 IPO</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strategic merger or sale of the Company in mid-2014 (the “</w:t>
      </w:r>
      <w:r>
        <w:rPr>
          <w:rFonts w:ascii="Arial" w:cs="Arial" w:eastAsia="Arial" w:hAnsi="Arial"/>
          <w:sz w:val="18"/>
          <w:szCs w:val="18"/>
          <w:b w:val="1"/>
          <w:bCs w:val="1"/>
          <w:i w:val="1"/>
          <w:iCs w:val="1"/>
          <w:color w:val="auto"/>
        </w:rPr>
        <w:t>2014 Sale</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780" w:hanging="31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continuing to remain privately held (“</w:t>
      </w:r>
      <w:r>
        <w:rPr>
          <w:rFonts w:ascii="Arial" w:cs="Arial" w:eastAsia="Arial" w:hAnsi="Arial"/>
          <w:sz w:val="18"/>
          <w:szCs w:val="18"/>
          <w:b w:val="1"/>
          <w:bCs w:val="1"/>
          <w:i w:val="1"/>
          <w:iCs w:val="1"/>
          <w:color w:val="auto"/>
        </w:rPr>
        <w:t>Stay Private</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each of the potential future liquidity events, the Company estimated an equity value at the time of the liquidity event, an equity value discounted to present value, a common stock per share value, and a probability weighting of the applicable liquidity event. For the Stay Private scenario, the Company estimated an equity value based on a discounted cash flow model and applied a discount for lack of marketability (a “</w:t>
      </w:r>
      <w:r>
        <w:rPr>
          <w:rFonts w:ascii="Arial" w:cs="Arial" w:eastAsia="Arial" w:hAnsi="Arial"/>
          <w:sz w:val="18"/>
          <w:szCs w:val="18"/>
          <w:b w:val="1"/>
          <w:bCs w:val="1"/>
          <w:i w:val="1"/>
          <w:iCs w:val="1"/>
          <w:color w:val="auto"/>
        </w:rPr>
        <w:t>DLOM</w:t>
      </w:r>
      <w:r>
        <w:rPr>
          <w:rFonts w:ascii="Arial" w:cs="Arial" w:eastAsia="Arial" w:hAnsi="Arial"/>
          <w:sz w:val="18"/>
          <w:szCs w:val="18"/>
          <w:color w:val="auto"/>
        </w:rPr>
        <w:t>”) to the derived per share price for that scenario, as it contemplates the Company remaining as a closely held, non-public company with no ready market for its shares. The Company then calculated a probability-weighted common stock per share value.</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the results of the Hybrid Method used to determine the March 21 Estimated Fair Value Per Share (in millions, except per share data)</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gridSpan w:val="3"/>
          </w:tcPr>
          <w:p>
            <w:pPr>
              <w:spacing w:after="0"/>
              <w:rPr>
                <w:sz w:val="20"/>
                <w:szCs w:val="20"/>
                <w:color w:val="auto"/>
              </w:rPr>
            </w:pPr>
            <w:r>
              <w:rPr>
                <w:rFonts w:ascii="Arial" w:cs="Arial" w:eastAsia="Arial" w:hAnsi="Arial"/>
                <w:sz w:val="14"/>
                <w:szCs w:val="14"/>
                <w:b w:val="1"/>
                <w:bCs w:val="1"/>
                <w:color w:val="auto"/>
              </w:rPr>
              <w:t>March 21</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196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3"/>
              </w:rPr>
              <w:t>Estimated Fair Value Per Share</w:t>
            </w:r>
          </w:p>
        </w:tc>
        <w:tc>
          <w:tcPr>
            <w:tcW w:w="49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2014 IPO</w:t>
            </w:r>
          </w:p>
        </w:tc>
        <w:tc>
          <w:tcPr>
            <w:tcW w:w="2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2014 Sale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Stay Private</w:t>
            </w:r>
          </w:p>
        </w:tc>
      </w:tr>
      <w:tr>
        <w:trPr>
          <w:trHeight w:val="21"/>
        </w:trPr>
        <w:tc>
          <w:tcPr>
            <w:tcW w:w="20" w:type="dxa"/>
            <w:vAlign w:val="bottom"/>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Value (PV)</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Common Stock Per Share Value (PV)</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weighting</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Probability Weighted Equity Value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 Per Share (pre-DLOM for Stay Private)</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March 21 Estimated Fair Value Per Share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16" w:lineRule="exact"/>
        <w:rPr>
          <w:sz w:val="20"/>
          <w:szCs w:val="20"/>
          <w:color w:val="auto"/>
        </w:rPr>
      </w:pPr>
    </w:p>
    <w:p>
      <w:pPr>
        <w:ind w:right="560" w:firstLine="8"/>
        <w:spacing w:after="0" w:line="282" w:lineRule="auto"/>
        <w:tabs>
          <w:tab w:leader="none" w:pos="43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by Ardelyx, Inc. with respect to portions of this letter.</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ARDX-1003</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2, 2014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236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results of the Hybrid Method used to determine the Estimated Fair Value Per Share (in millions, except per share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9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Estimated Fair Value Per Share</w:t>
            </w:r>
          </w:p>
        </w:tc>
        <w:tc>
          <w:tcPr>
            <w:tcW w:w="4960" w:type="dxa"/>
            <w:vAlign w:val="bottom"/>
          </w:tcPr>
          <w:p>
            <w:pPr>
              <w:spacing w:after="0"/>
              <w:rPr>
                <w:sz w:val="16"/>
                <w:szCs w:val="16"/>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2014 IPO</w:t>
            </w:r>
          </w:p>
        </w:tc>
        <w:tc>
          <w:tcPr>
            <w:tcW w:w="28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2014 Sale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Stay Private</w:t>
            </w: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Value (PV)</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Common Stock Per Share Value (PV)</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Probability weighting</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Probability Weighted Equity Value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 Per Share (pre-DLOM for Stay Private)</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Estimated Fair Value Per Share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20"/>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To determine the equity values for the 2014 IPO scenario, the Company utilized a blended valuation based on both (i) a range of pre-IPO equity values from an analysis of valuations of comparably sized biotechnology companies that completed their respective IPOs and (ii) a market based approach from an analysis of comparably sized publicly trading biotechnology companies in a similar stage of development. To determine the equity value for the 2014 Sale scenario, the Company derived a range of equity values from an analysis of the valuations of comparably sized biotechnology companies at the time of their acquisitions.</w:t>
      </w:r>
    </w:p>
    <w:p>
      <w:pPr>
        <w:spacing w:after="0" w:line="188"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The Company believes that the potential liquidity events used in the Valuations and the probability weighting of each liquidity event was reasonable and appropriate at the time, in light of the Company’s stage of development, including the status of its research and development efforts and financial position, external market conditions affecting the biotechnology industry, the volatility in the capital markets, especially with respect to initial public offerings, and the relative likelihood of achieving a liquidity event such as an initial public offering or sale of the Company in light of prevailing market conditions. The timing of these future liquidity event scenarios was determined based primarily on input from the Company’s board of directors and management.</w:t>
      </w:r>
    </w:p>
    <w:p>
      <w:pPr>
        <w:spacing w:after="0" w:line="193"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Prior to March 21, 2014, the last date that the Company determined the fair value of its common stock for purposes of granting stock options was July 18, 2013.</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PRELIMINARY ASSUMED IPO PRICE</w:t>
      </w:r>
    </w:p>
    <w:p>
      <w:pPr>
        <w:spacing w:after="0" w:line="11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As noted above, the Preliminary IPO Price Range is $[***] to $[***] per share, with a Preliminary Assumed IPO Price of approximately $[***] per share. The prices per share above do not reflect any reverse stock split that the Company might give effect to in the preliminary prospectus.</w:t>
      </w:r>
    </w:p>
    <w:p>
      <w:pPr>
        <w:spacing w:after="0" w:line="75" w:lineRule="exact"/>
        <w:rPr>
          <w:sz w:val="20"/>
          <w:szCs w:val="20"/>
          <w:color w:val="auto"/>
        </w:rPr>
      </w:pPr>
    </w:p>
    <w:p>
      <w:pPr>
        <w:ind w:right="560" w:firstLine="8"/>
        <w:spacing w:after="0" w:line="282" w:lineRule="auto"/>
        <w:tabs>
          <w:tab w:leader="none" w:pos="43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by Ardelyx, Inc. with respect to portions of this letter.</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ARDX-1004</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2, 2014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2367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Preliminary IPO Price Range was derived using a combination of valuation methodologies, including: (a) a comparison of public companies at a similar stage of product development and/or with product candidates to treat a similar indication, (b) a comparison of comparable company valuations at the time of their IPO; and (c) a comparison of the valuation increases for comparable companies at the time of their IPO. The following table summarizes the Company’s anticipated Pre-Offering Equity Values (based on the low-end, mid-point and high-end of the Preliminary IPO Price Range) (in millions, except per share data).</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Low-End</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Mid-Point</w:t>
            </w:r>
          </w:p>
        </w:tc>
        <w:tc>
          <w:tcPr>
            <w:tcW w:w="26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High-End</w:t>
            </w: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Pre-Offering Equity Value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Pre-Offering Equity Value per Share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COMPARISON OF IPO PRICE RANGE AND ESTIMATED FAIR VALUE</w:t>
      </w:r>
    </w:p>
    <w:p>
      <w:pPr>
        <w:spacing w:after="0" w:line="117"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 xml:space="preserve">As compared, the Preliminary Assumed IPO Price (mid-point of the Preliminary IPO Price Range) is basically identical to the Estimated Fair Value Per Share. In addition, the probability weighted equity value prior to the application of the DLOM ($[***] million, </w:t>
      </w:r>
      <w:r>
        <w:rPr>
          <w:rFonts w:ascii="Arial" w:cs="Arial" w:eastAsia="Arial" w:hAnsi="Arial"/>
          <w:sz w:val="16"/>
          <w:szCs w:val="16"/>
          <w:b w:val="1"/>
          <w:bCs w:val="1"/>
          <w:color w:val="auto"/>
        </w:rPr>
        <w:t>bolded in the table on page 4 for emphasis</w:t>
      </w:r>
      <w:r>
        <w:rPr>
          <w:rFonts w:ascii="Arial" w:cs="Arial" w:eastAsia="Arial" w:hAnsi="Arial"/>
          <w:sz w:val="16"/>
          <w:szCs w:val="16"/>
          <w:color w:val="auto"/>
        </w:rPr>
        <w:t xml:space="preserve">) and the pre-offering enterprise value at the Preliminary Assumed IPO Price ($[***] million, </w:t>
      </w:r>
      <w:r>
        <w:rPr>
          <w:rFonts w:ascii="Arial" w:cs="Arial" w:eastAsia="Arial" w:hAnsi="Arial"/>
          <w:sz w:val="16"/>
          <w:szCs w:val="16"/>
          <w:b w:val="1"/>
          <w:bCs w:val="1"/>
          <w:color w:val="auto"/>
        </w:rPr>
        <w:t>bolded in the table above for emphasis</w:t>
      </w:r>
      <w:r>
        <w:rPr>
          <w:rFonts w:ascii="Arial" w:cs="Arial" w:eastAsia="Arial" w:hAnsi="Arial"/>
          <w:sz w:val="16"/>
          <w:szCs w:val="16"/>
          <w:color w:val="auto"/>
        </w:rPr>
        <w:t>) differ by only 0.1%.</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compared, the March 21 Estimated Fair Value Per Share is within the Preliminary IPO Price Range. The primary factor that accounts for the increase of the Preliminary Assumed IPO Price over the March 21 Estimated Fair Value Per Share is the difference in valuation methodology. In particular, because the PWERM methodology utilizes a probability-weighted approach (as outlined above), the March 21 Estimated Fair Value Per Share is inherently decreased due to the potential for scenarios other than the 2014 IPO scenario. Conversely, the Preliminary IPO Price Range necessarily assumes only a single liquidity event and does not include a discount for lack of marketability, as an active trading market for the common stock is expected to exist following the IPO. As noted above, the primary factor that contributes to the increase in the Estimated Fair Value Per Share over the March 21 Estimated Fair Value Per Share is the shifting of increased probability to the 2014 IPO scenario away from the Stay Private scenario.</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CONCLUSION</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Company has historically determined the fair value of its common stock consistent with the guidance set forth in the AICPA Practice Guide, including, specifically, its use of the Hybrid Method, which is an accepted valuation method under the AICPA Practice Guide. The Company believes that the probability weighting of each potential liquidity event used in its fair value analysis was reasonable at the time, in light of the Company’s stage of development, including the status of its research and development efforts and financial position, external market conditions affecting the biotechnology industry, the volatility in the capital markets, especially with respect to initial public offerings, and the relative likelihood of achieving a liquidity event such as an initial public offering or sale of the Company in light of prevailing market conditions</w:t>
      </w:r>
    </w:p>
    <w:p>
      <w:pPr>
        <w:spacing w:after="0" w:line="17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light of the Preliminary IPO Price Range, in particular, the comparison of the Preliminary Assumed IPO Price and the Estimated Fair Value Per Share, the Company believes that the deemed per share fair values used as the basis for determining stock-based compensation in connection with its stock option grants have been reasonable and appropriate.</w:t>
      </w:r>
    </w:p>
    <w:p>
      <w:pPr>
        <w:spacing w:after="0" w:line="110" w:lineRule="exact"/>
        <w:rPr>
          <w:sz w:val="20"/>
          <w:szCs w:val="20"/>
          <w:color w:val="auto"/>
        </w:rPr>
      </w:pPr>
    </w:p>
    <w:p>
      <w:pPr>
        <w:ind w:right="560" w:firstLine="8"/>
        <w:spacing w:after="0" w:line="282" w:lineRule="auto"/>
        <w:tabs>
          <w:tab w:leader="none" w:pos="43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by Ardelyx, Inc. with respect to portions of this letter.</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ARDX-1005</w:t>
      </w:r>
    </w:p>
    <w:p>
      <w:pPr>
        <w:sectPr>
          <w:pgSz w:w="11900" w:h="16838" w:orient="portrait"/>
          <w:cols w:equalWidth="0" w:num="1">
            <w:col w:w="11420"/>
          </w:cols>
          <w:pgMar w:left="240" w:top="27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June 2, 2014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2367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3670" cy="1289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Please do not hesitate to contact me by telephone at (650) 463-3014 or by fax at (650) 463-2600 with any questions or comments regarding this correspondence.</w:t>
      </w:r>
    </w:p>
    <w:p>
      <w:pPr>
        <w:spacing w:after="0" w:line="27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8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Brian J. Cuneo</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J. Cuneo</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 LATHAM &amp; WATKINS LLP</w:t>
      </w:r>
    </w:p>
    <w:p>
      <w:pPr>
        <w:spacing w:after="0" w:line="359" w:lineRule="exact"/>
        <w:rPr>
          <w:sz w:val="20"/>
          <w:szCs w:val="20"/>
          <w:color w:val="auto"/>
        </w:rPr>
      </w:pPr>
    </w:p>
    <w:p>
      <w:pPr>
        <w:ind w:left="460" w:right="8500" w:hanging="452"/>
        <w:spacing w:after="0" w:line="291" w:lineRule="auto"/>
        <w:tabs>
          <w:tab w:leader="none" w:pos="449" w:val="left"/>
        </w:tabs>
        <w:numPr>
          <w:ilvl w:val="0"/>
          <w:numId w:val="7"/>
        </w:numPr>
        <w:rPr>
          <w:rFonts w:ascii="Arial" w:cs="Arial" w:eastAsia="Arial" w:hAnsi="Arial"/>
          <w:sz w:val="16"/>
          <w:szCs w:val="16"/>
          <w:color w:val="auto"/>
        </w:rPr>
      </w:pPr>
      <w:r>
        <w:rPr>
          <w:rFonts w:ascii="Arial" w:cs="Arial" w:eastAsia="Arial" w:hAnsi="Arial"/>
          <w:sz w:val="16"/>
          <w:szCs w:val="16"/>
          <w:color w:val="auto"/>
        </w:rPr>
        <w:t>Michael Raab, Ardelyx, Inc. Elizabeth Grammer, Ardelyx, Inc.</w:t>
      </w:r>
    </w:p>
    <w:p>
      <w:pPr>
        <w:ind w:left="460" w:right="7740"/>
        <w:spacing w:after="0" w:line="255" w:lineRule="auto"/>
        <w:rPr>
          <w:rFonts w:ascii="Arial" w:cs="Arial" w:eastAsia="Arial" w:hAnsi="Arial"/>
          <w:sz w:val="16"/>
          <w:szCs w:val="16"/>
          <w:color w:val="auto"/>
        </w:rPr>
      </w:pPr>
      <w:r>
        <w:rPr>
          <w:rFonts w:ascii="Arial" w:cs="Arial" w:eastAsia="Arial" w:hAnsi="Arial"/>
          <w:sz w:val="18"/>
          <w:szCs w:val="18"/>
          <w:color w:val="auto"/>
        </w:rPr>
        <w:t>Alan C. Mendelson, Latham &amp; Watkins LLP Mark V. Roeder, Latham &amp; Watkins LLP David Saul, Ropes &amp; Gray LLP</w:t>
      </w:r>
    </w:p>
    <w:p>
      <w:pPr>
        <w:spacing w:after="0" w:line="119" w:lineRule="exact"/>
        <w:rPr>
          <w:sz w:val="20"/>
          <w:szCs w:val="20"/>
          <w:color w:val="auto"/>
        </w:rPr>
      </w:pPr>
    </w:p>
    <w:p>
      <w:pPr>
        <w:ind w:right="560" w:firstLine="8"/>
        <w:spacing w:after="0" w:line="282" w:lineRule="auto"/>
        <w:tabs>
          <w:tab w:leader="none" w:pos="43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and filed separately with the Securities and Exchange Commission. Confidential treatment has been requested by Ardelyx, Inc. with respect to portions of this letter.</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 BY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ARDELYX,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ARDX-1006</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29"/>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2019-12-07T19:14:35Z</dcterms:created>
  <dcterms:modified xsi:type="dcterms:W3CDTF">2019-12-07T19:14:35Z</dcterms:modified>
</cp:coreProperties>
</file>