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80" w:lineRule="exact"/>
        <w:rPr>
          <w:sz w:val="24"/>
          <w:szCs w:val="24"/>
          <w:color w:val="auto"/>
        </w:rPr>
      </w:pPr>
    </w:p>
    <w:p>
      <w:pPr>
        <w:ind w:right="580"/>
        <w:spacing w:after="0" w:line="30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15, 2022, Ardelyx, Inc. (the “Company”) held its Annual Meeting of Stockholders (the “Annual Meeting”) online. Only stockholders of record at the close of business on April 25, 2022, the record date for the Annual Meeting, were entitled to vote at the Annual Meeting. As of the record date, 144,122,828 shares of the Company’s common stock were outstanding and entitled to vote at the Annual Meeting. At the Annual Meeting, 91,166,503 shares of the Company’s common stock were voted in person or by proxy for the four proposals set forth below, each of which is described in the Company’s Definitive Proxy Statement on Schedule 14A filed with the U.S. Securities and Exchange Commission (the “SEC”) on April 29, 2022, as</w:t>
      </w:r>
    </w:p>
    <w:p>
      <w:pPr>
        <w:spacing w:after="0" w:line="1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amended by Amendment No. 1 to Proxy Statement filed with the SEC on May 13, 2022. The Annual Meeting was partially adjourned solely with respect to the voting on Proposal No. 2. The Annual Meeting will resume with respect to Proposal No. 2 at 11:30 a.m. Eastern Time on July 13, 2022 via live audio-only webcast at www.virtualshareholdermeeting.com/ARDX2022.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1 - Election of Directors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Class II director nominees below to the Company’s Board of Directors (the “Board”) to hold office until the 2025 Annual Meeting of Stockholders or until their successors are elected.</w:t>
      </w:r>
    </w:p>
    <w:p>
      <w:pPr>
        <w:spacing w:after="0" w:line="225"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II Director Nominees</w:t>
            </w:r>
          </w:p>
        </w:tc>
        <w:tc>
          <w:tcPr>
            <w:tcW w:w="20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Geoffrey A. Block, M.D.</w:t>
            </w:r>
          </w:p>
        </w:tc>
        <w:tc>
          <w:tcPr>
            <w:tcW w:w="20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56,205,153</w:t>
            </w:r>
          </w:p>
        </w:tc>
        <w:tc>
          <w:tcPr>
            <w:tcW w:w="20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9,774,784</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25,186,566</w:t>
            </w: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Mott</w:t>
            </w:r>
          </w:p>
        </w:tc>
        <w:tc>
          <w:tcPr>
            <w:tcW w:w="2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42,163,514</w:t>
            </w:r>
          </w:p>
        </w:tc>
        <w:tc>
          <w:tcPr>
            <w:tcW w:w="2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23,816,423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25,186,566</w:t>
            </w: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Raab</w:t>
            </w:r>
          </w:p>
        </w:tc>
        <w:tc>
          <w:tcPr>
            <w:tcW w:w="20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52,933,245</w:t>
            </w:r>
          </w:p>
        </w:tc>
        <w:tc>
          <w:tcPr>
            <w:tcW w:w="20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13,046,692</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25,186,566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2 – Approval of the Amendment to our Amended and Restated Certificate of Incorporation to effect a Reverse Stock Split</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Proposal No. 2 is a proposal to grant our Board authority to effect a reverse stock split of our authorized common stock and issued and outstanding common stock by amending our Amended and Restated Certificate of Incorporation by September 15, 2022 and within a range of not less than 1-for-2 and</w:t>
      </w:r>
    </w:p>
    <w:p>
      <w:pPr>
        <w:spacing w:after="0" w:line="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not more 1-for-10, if our Board deems it within our best interests. The Company has adjourned the Annual Meeting with respect to Proposal No. 2 to provide its stockholders additional time to vote on Proposal No. 2. As of June 15, 2022, support for Proposal No. 2 was approximately 66.74% of the votes cast on the proposal. However, the affirmative vote of holders of more than 50% of all of the Company’s issued and outstanding shares of common stock is necessary for Proposal No. 2 to be approved. There can be no assurances that the votes cast in favor of Proposal No. 2 will continue to support Proposal No. 2 throughout the adjournment, or that additional shares necessary to reach the required threshold for approval will be obtained.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3 - Ratification of Selection of Independent Registered Accounting Firm</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Board, of Ernst &amp; Young LLP as the independent registered public accounting firm of the Company for the fiscal year ending December 31, 2022.</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21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85,722,493</w:t>
            </w:r>
          </w:p>
        </w:tc>
        <w:tc>
          <w:tcPr>
            <w:tcW w:w="23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2,608,498</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2,835,512</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4 - To approve, on a non-binding, advisory basis, the Say-On-Pay proposal.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Say-On-Pay proposal.</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5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1160" w:type="dxa"/>
            <w:vAlign w:val="bottom"/>
          </w:tcPr>
          <w:p>
            <w:pPr>
              <w:spacing w:after="0"/>
              <w:rPr>
                <w:sz w:val="19"/>
                <w:szCs w:val="19"/>
                <w:color w:val="auto"/>
              </w:rPr>
            </w:pPr>
          </w:p>
        </w:tc>
        <w:tc>
          <w:tcPr>
            <w:tcW w:w="21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47,998,568</w:t>
            </w:r>
          </w:p>
        </w:tc>
        <w:tc>
          <w:tcPr>
            <w:tcW w:w="23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14,379,122</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3,602,247</w:t>
            </w:r>
          </w:p>
        </w:tc>
        <w:tc>
          <w:tcPr>
            <w:tcW w:w="23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25,186,566</w:t>
            </w:r>
          </w:p>
        </w:tc>
        <w:tc>
          <w:tcPr>
            <w:tcW w:w="1140" w:type="dxa"/>
            <w:vAlign w:val="bottom"/>
          </w:tcPr>
          <w:p>
            <w:pPr>
              <w:spacing w:after="0"/>
              <w:rPr>
                <w:sz w:val="19"/>
                <w:szCs w:val="19"/>
                <w:color w:val="auto"/>
              </w:rPr>
            </w:pPr>
          </w:p>
        </w:tc>
      </w:tr>
      <w:tr>
        <w:trPr>
          <w:trHeight w:val="1019"/>
        </w:trPr>
        <w:tc>
          <w:tcPr>
            <w:tcW w:w="11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June 22, 2022</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Legal and Administrative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2022-06-22T16:26:21Z</dcterms:created>
  <dcterms:modified xsi:type="dcterms:W3CDTF">2022-06-22T16:26:21Z</dcterms:modified>
</cp:coreProperties>
</file>