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15, 2018</w:t>
      </w:r>
    </w:p>
    <w:p>
      <w:pPr>
        <w:spacing w:after="0" w:line="27" w:lineRule="exact"/>
        <w:rPr>
          <w:sz w:val="24"/>
          <w:szCs w:val="24"/>
          <w:color w:val="auto"/>
        </w:rPr>
      </w:pPr>
    </w:p>
    <w:p>
      <w:pPr>
        <w:ind w:left="90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26-1303944</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2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Fremont, CA 94555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745-1700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2014 Equity Incentive Award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Raab</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34175 Ardenwood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Fremont, CA 94555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 745-1700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V. Roeder,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140 Scott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(650) 328-4600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(650) 463-2600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8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58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4"/>
                <w:szCs w:val="14"/>
                <w:b w:val="1"/>
                <w:bCs w:val="1"/>
                <w:color w:val="auto"/>
                <w:w w:val="98"/>
              </w:rPr>
              <w:t>Amount</w:t>
            </w:r>
          </w:p>
        </w:tc>
        <w:tc>
          <w:tcPr>
            <w:tcW w:w="1600" w:type="dxa"/>
            <w:vAlign w:val="bottom"/>
            <w:tcBorders>
              <w:right w:val="single" w:sz="8" w:color="auto"/>
            </w:tcBorders>
          </w:tcPr>
          <w:p>
            <w:pPr>
              <w:jc w:val="center"/>
              <w:ind w:left="5"/>
              <w:spacing w:after="0" w:line="116" w:lineRule="exact"/>
              <w:rPr>
                <w:sz w:val="20"/>
                <w:szCs w:val="20"/>
                <w:color w:val="auto"/>
              </w:rPr>
            </w:pPr>
            <w:r>
              <w:rPr>
                <w:rFonts w:ascii="Arial" w:cs="Arial" w:eastAsia="Arial" w:hAnsi="Arial"/>
                <w:sz w:val="13"/>
                <w:szCs w:val="13"/>
                <w:b w:val="1"/>
                <w:bCs w:val="1"/>
                <w:color w:val="auto"/>
                <w:w w:val="93"/>
              </w:rPr>
              <w:t>Proposed</w:t>
            </w:r>
          </w:p>
        </w:tc>
        <w:tc>
          <w:tcPr>
            <w:tcW w:w="1580" w:type="dxa"/>
            <w:vAlign w:val="bottom"/>
            <w:tcBorders>
              <w:right w:val="single" w:sz="8" w:color="auto"/>
            </w:tcBorders>
          </w:tcPr>
          <w:p>
            <w:pPr>
              <w:jc w:val="center"/>
              <w:ind w:left="5"/>
              <w:spacing w:after="0" w:line="116" w:lineRule="exact"/>
              <w:rPr>
                <w:sz w:val="20"/>
                <w:szCs w:val="20"/>
                <w:color w:val="auto"/>
              </w:rPr>
            </w:pPr>
            <w:r>
              <w:rPr>
                <w:rFonts w:ascii="Arial" w:cs="Arial" w:eastAsia="Arial" w:hAnsi="Arial"/>
                <w:sz w:val="13"/>
                <w:szCs w:val="13"/>
                <w:b w:val="1"/>
                <w:bCs w:val="1"/>
                <w:color w:val="auto"/>
                <w:w w:val="96"/>
              </w:rPr>
              <w:t>Proposed</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208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9"/>
              </w:rPr>
              <w:t>Maximum</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right w:val="single" w:sz="8" w:color="auto"/>
            </w:tcBorders>
            <w:vMerge w:val="continue"/>
          </w:tcPr>
          <w:p>
            <w:pPr>
              <w:spacing w:after="0"/>
              <w:rPr>
                <w:sz w:val="12"/>
                <w:szCs w:val="12"/>
                <w:color w:val="auto"/>
              </w:rPr>
            </w:pPr>
          </w:p>
        </w:tc>
        <w:tc>
          <w:tcPr>
            <w:tcW w:w="2080" w:type="dxa"/>
            <w:vAlign w:val="bottom"/>
            <w:tcBorders>
              <w:right w:val="single" w:sz="8" w:color="auto"/>
            </w:tcBorders>
          </w:tcPr>
          <w:p>
            <w:pPr>
              <w:jc w:val="center"/>
              <w:ind w:left="24"/>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208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1"/>
              </w:rPr>
              <w:t>Registered(1)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Price(2)</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$0.0001 per share</w:t>
            </w:r>
          </w:p>
        </w:tc>
        <w:tc>
          <w:tcPr>
            <w:tcW w:w="208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9"/>
              </w:rPr>
              <w:t>1,901,339 shares(3)</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8"/>
              </w:rPr>
              <w:t>$5.55</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$10,552,431.45</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$1,313.78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29" w:right="239" w:bottom="0" w:gutter="0" w:footer="0" w:header="0"/>
        </w:sectPr>
      </w:pPr>
    </w:p>
    <w:bookmarkStart w:id="1" w:name="page2"/>
    <w:bookmarkEnd w:id="1"/>
    <w:p>
      <w:pPr>
        <w:ind w:left="46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shares of the Registrant’s common stock that become issuable under the 2014 Equity Incentive Award Plan (the “2014 Plan”) by reason of any stock dividend, stock split, recapitalization or similar transaction effected without the Registrant’s receipt of consideration which would increase the number of outstanding shares of common stock.</w:t>
      </w:r>
    </w:p>
    <w:p>
      <w:pPr>
        <w:spacing w:after="0" w:line="2"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457(h) and Rule 457(c) promulgated under the Securities Act. The proposed maximum offering price per share and the proposed maximum aggregate offering price for shares reserved for future issuance under the 2014 Plan are based on the average of the high and the low price of Registrant’s Common Stock as reported on The NASDAQ Global Market on March 14, 2018.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1,901,339 shares of the Registrant’s common stock issuable under the 2014 Plan.</w:t>
      </w:r>
    </w:p>
    <w:p>
      <w:pPr>
        <w:spacing w:after="0" w:line="20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This registration statement will become effective upon filing in accordance with Rule 462 under the Securities Act. Proposed sale to take place as soon after the effective date of the registration statement as awards under the plans are exercised and/or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39"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OF ADDITIONAL SECURITIES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By a registration statement on Form S-8 filed with the Securities and Exchange Commission (the “SEC”) on July 14, 2014, File No. 333-197408 (the “Original Registration Statement”), Ardelyx, Inc. (the “Registrant”) registered 1,646,134 shares of common stock, par value $0.0001 per share (the “Common Stock”), issuable under the Ardelyx, Inc. 2014 Equity Incentive Award Plan (the “2014 Plan”). The Original Registration Statement also registered 880,497 shares of Common Stock issuable under the Ardelyx, Inc. 2008 Stock Incentive Plan, as amended (the “2008 Plan”), which shares become available for issuance under the 2014 Plan to the extent awards under the 2008 Plan are forfeited or lapse unexercised and are not issued under the 2008 Plan. By a registration statement on Form S-8 filed with the SEC on March 11, 2015, File No. 333-202663 (the “2015 Registration Statement”), the Registrant registered an additional 743,569 shares of Common Stock issuable under the 2014 Plan. By a registration statement on Form S-8 filed with the SEC on March 10, 2016, File No. 333-210079 (the “2016 Registration Statement”), the Registrant registered an additional 1,038,595 shares of Common Stock issuable under the 2014 Plan. By a registration statement on Form S-8 filed with the SEC on February 21, 2017, File No. 333-216154 (the “2017 Registration Statement”), the Registrant registered an additional 1,892,376 shares of Common Stock issuable under the 2014 Plan. The Registrant is hereby registering an additional 1,901,339 shares of Common Stock issuable under the 2014 Plan, which shares are now available for grant due to automatic annual increase provisions in the 2014 Plan.</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Instruction E of Form S-8, the contents of the Original Registration Statement, the 2015 Registration Statement, the 2016 Registration Statement and the 2017 Registration Statement are incorporated by reference in this registration statement on Form S-8.</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information called for in Part I of Form S-8 is not being filed with or included in this Form S-8 (by incorporation by reference or otherwise) in accordance with the rules and regulations of the SEC.</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this registration statement, Ardelyx, Inc. is sometimes referred to as “Registrant,” “we,” “us” or “our.”</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Incorporation of Documents by Reference</w:t>
      </w:r>
      <w:r>
        <w:rPr>
          <w:rFonts w:ascii="Arial" w:cs="Arial" w:eastAsia="Arial" w:hAnsi="Arial"/>
          <w:sz w:val="16"/>
          <w:szCs w:val="16"/>
          <w:b w:val="1"/>
          <w:bCs w:val="1"/>
          <w:color w:val="auto"/>
        </w:rPr>
        <w: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spacing w:after="0" w:line="92" w:lineRule="exact"/>
        <w:rPr>
          <w:sz w:val="20"/>
          <w:szCs w:val="20"/>
          <w:color w:val="auto"/>
        </w:rPr>
      </w:pPr>
    </w:p>
    <w:p>
      <w:pPr>
        <w:ind w:left="460" w:right="9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2017, as filed with the SEC on March 14, 2018 (File No. 001-36485);</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as filed with the SEC on February 12, 2018 (File No. 001-36485); and</w:t>
      </w:r>
    </w:p>
    <w:p>
      <w:pPr>
        <w:spacing w:after="0" w:line="130"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(File No. 001-36485), filed by the Registrant with the SEC under Section 12(b) of the Securities Exchange Act of 1934, as amended (the “Exchange Act”), on June 9, 2014, including any amendments or reports filed for the purpose of updating such description.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w:t>
      </w:r>
    </w:p>
    <w:p>
      <w:pPr>
        <w:sectPr>
          <w:pgSz w:w="11900" w:h="16838" w:orient="portrait"/>
          <w:cols w:equalWidth="0" w:num="1">
            <w:col w:w="11400"/>
          </w:cols>
          <w:pgMar w:left="240" w:top="270" w:right="259" w:bottom="1440" w:gutter="0" w:footer="0" w:header="0"/>
        </w:sectPr>
      </w:pPr>
    </w:p>
    <w:bookmarkStart w:id="3" w:name="page4"/>
    <w:bookmarkEnd w:id="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deemed to be incorporated by reference in this registration statement and to be a part hereof from the date of the filing of such documents; except as to any portion of any future annual or quarterly report to stockholders, or document or current report furnished under any current or future items of Form 8-K (including current Items 2.02 and 7.01, and exhibits furnished on such form that relate to such items), in each case,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and exhibits furnished on such form that relate to such items, be deemed incorporated herein by reference unless such Form 8-K expressly provides to the contrary.</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Description of Securities</w:t>
      </w:r>
      <w:r>
        <w:rPr>
          <w:rFonts w:ascii="Arial" w:cs="Arial" w:eastAsia="Arial" w:hAnsi="Arial"/>
          <w:sz w:val="15"/>
          <w:szCs w:val="15"/>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Interests of Named Experts and Counsel</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Indemnification of Directors and Officers</w:t>
      </w:r>
      <w:r>
        <w:rPr>
          <w:rFonts w:ascii="Arial" w:cs="Arial" w:eastAsia="Arial" w:hAnsi="Arial"/>
          <w:sz w:val="16"/>
          <w:szCs w:val="16"/>
          <w:b w:val="1"/>
          <w:bCs w:val="1"/>
          <w:color w:val="auto"/>
        </w:rPr>
        <w:t>.</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bylaws that limit or eliminate the personal liability of our directors for a breach of their fiduciary duties of care as directors.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94"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permitted by Section 145 of the Delaware General Corporation Law, our amended and restated bylaws provide that:</w:t>
      </w:r>
    </w:p>
    <w:p>
      <w:pPr>
        <w:spacing w:after="0" w:line="131" w:lineRule="exact"/>
        <w:rPr>
          <w:sz w:val="20"/>
          <w:szCs w:val="20"/>
          <w:color w:val="auto"/>
        </w:rPr>
      </w:pPr>
    </w:p>
    <w:p>
      <w:pPr>
        <w:ind w:left="900" w:right="3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amended and restated certificate of incorporation and our amended and restated bylaws provide for the indemnification provisions described above and elsewhere herein. We have also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w:t>
      </w:r>
    </w:p>
    <w:p>
      <w:pPr>
        <w:sectPr>
          <w:pgSz w:w="11900" w:h="16838" w:orient="portrait"/>
          <w:cols w:equalWidth="0" w:num="1">
            <w:col w:w="11360"/>
          </w:cols>
          <w:pgMar w:left="240" w:top="274" w:right="299" w:bottom="1440" w:gutter="0" w:footer="0" w:header="0"/>
        </w:sectPr>
      </w:pPr>
    </w:p>
    <w:bookmarkStart w:id="4" w:name="page5"/>
    <w:bookmarkEnd w:id="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Exemption from Registration Claimed</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Item 8.</w:t>
            </w:r>
          </w:p>
        </w:tc>
        <w:tc>
          <w:tcPr>
            <w:tcW w:w="7200" w:type="dxa"/>
            <w:vAlign w:val="bottom"/>
            <w:gridSpan w:val="17"/>
          </w:tcPr>
          <w:p>
            <w:pPr>
              <w:ind w:left="280"/>
              <w:spacing w:after="0"/>
              <w:rPr>
                <w:sz w:val="20"/>
                <w:szCs w:val="20"/>
                <w:color w:val="auto"/>
              </w:rPr>
            </w:pPr>
            <w:r>
              <w:rPr>
                <w:rFonts w:ascii="Arial" w:cs="Arial" w:eastAsia="Arial" w:hAnsi="Arial"/>
                <w:sz w:val="18"/>
                <w:szCs w:val="18"/>
                <w:b w:val="1"/>
                <w:bCs w:val="1"/>
                <w:color w:val="auto"/>
              </w:rPr>
              <w:t>Exhibits.</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8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Incorporated by Reference</w:t>
            </w:r>
          </w:p>
        </w:tc>
        <w:tc>
          <w:tcPr>
            <w:tcW w:w="5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30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Form</w:t>
            </w:r>
          </w:p>
        </w:tc>
        <w:tc>
          <w:tcPr>
            <w:tcW w:w="132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Exhibit</w:t>
            </w:r>
          </w:p>
        </w:tc>
        <w:tc>
          <w:tcPr>
            <w:tcW w:w="4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00" w:type="dxa"/>
            <w:vAlign w:val="bottom"/>
            <w:gridSpan w:val="10"/>
            <w:vMerge w:val="continue"/>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500" w:type="dxa"/>
            <w:vAlign w:val="bottom"/>
          </w:tcPr>
          <w:p>
            <w:pPr>
              <w:jc w:val="right"/>
              <w:ind w:right="139"/>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2"/>
                <w:szCs w:val="22"/>
                <w:color w:val="auto"/>
              </w:rPr>
            </w:pPr>
          </w:p>
        </w:tc>
        <w:tc>
          <w:tcPr>
            <w:tcW w:w="7200" w:type="dxa"/>
            <w:vAlign w:val="bottom"/>
            <w:gridSpan w:val="17"/>
          </w:tcPr>
          <w:p>
            <w:pPr>
              <w:spacing w:after="0"/>
              <w:rPr>
                <w:rFonts w:ascii="Arial" w:cs="Arial" w:eastAsia="Arial" w:hAnsi="Arial"/>
                <w:sz w:val="18"/>
                <w:szCs w:val="18"/>
                <w:color w:val="0000EE"/>
              </w:rPr>
            </w:pPr>
            <w:hyperlink r:id="rId21">
              <w:r>
                <w:rPr>
                  <w:rFonts w:ascii="Arial" w:cs="Arial" w:eastAsia="Arial" w:hAnsi="Arial"/>
                  <w:sz w:val="18"/>
                  <w:szCs w:val="18"/>
                  <w:color w:val="0000EE"/>
                </w:rPr>
                <w:t>Amended and Restated Certificate of Incorporation.</w:t>
              </w:r>
            </w:hyperlink>
          </w:p>
        </w:tc>
        <w:tc>
          <w:tcPr>
            <w:tcW w:w="40" w:type="dxa"/>
            <w:vAlign w:val="bottom"/>
          </w:tcPr>
          <w:p>
            <w:pPr>
              <w:spacing w:after="0"/>
              <w:rPr>
                <w:sz w:val="22"/>
                <w:szCs w:val="22"/>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June 24, 2014</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jc w:val="right"/>
              <w:ind w:right="139"/>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3740" w:type="dxa"/>
            <w:vAlign w:val="bottom"/>
            <w:tcBorders>
              <w:top w:val="single" w:sz="8" w:color="0000EE"/>
            </w:tcBorders>
            <w:gridSpan w:val="9"/>
          </w:tcPr>
          <w:p>
            <w:pPr>
              <w:spacing w:after="0"/>
              <w:rPr>
                <w:rFonts w:ascii="Arial" w:cs="Arial" w:eastAsia="Arial" w:hAnsi="Arial"/>
                <w:sz w:val="18"/>
                <w:szCs w:val="18"/>
                <w:color w:val="0000EE"/>
              </w:rPr>
            </w:pPr>
            <w:hyperlink r:id="rId22">
              <w:r>
                <w:rPr>
                  <w:rFonts w:ascii="Arial" w:cs="Arial" w:eastAsia="Arial" w:hAnsi="Arial"/>
                  <w:sz w:val="18"/>
                  <w:szCs w:val="18"/>
                  <w:color w:val="0000EE"/>
                </w:rPr>
                <w:t>Amended and Restated Bylaws.</w:t>
              </w:r>
            </w:hyperlink>
          </w:p>
        </w:tc>
        <w:tc>
          <w:tcPr>
            <w:tcW w:w="346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June 24, 2014</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jc w:val="right"/>
              <w:ind w:right="139"/>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7200" w:type="dxa"/>
            <w:vAlign w:val="bottom"/>
            <w:gridSpan w:val="17"/>
          </w:tcPr>
          <w:p>
            <w:pPr>
              <w:spacing w:after="0"/>
              <w:rPr>
                <w:rFonts w:ascii="Arial" w:cs="Arial" w:eastAsia="Arial" w:hAnsi="Arial"/>
                <w:sz w:val="18"/>
                <w:szCs w:val="18"/>
                <w:color w:val="0000EE"/>
              </w:rPr>
            </w:pPr>
            <w:hyperlink r:id="rId23">
              <w:r>
                <w:rPr>
                  <w:rFonts w:ascii="Arial" w:cs="Arial" w:eastAsia="Arial" w:hAnsi="Arial"/>
                  <w:sz w:val="18"/>
                  <w:szCs w:val="18"/>
                  <w:color w:val="0000EE"/>
                </w:rPr>
                <w:t>Form of Common Stock Certificate.</w:t>
              </w:r>
            </w:hyperlink>
          </w:p>
        </w:tc>
        <w:tc>
          <w:tcPr>
            <w:tcW w:w="540" w:type="dxa"/>
            <w:vAlign w:val="bottom"/>
            <w:gridSpan w:val="3"/>
          </w:tcPr>
          <w:p>
            <w:pPr>
              <w:jc w:val="center"/>
              <w:ind w:right="100"/>
              <w:spacing w:after="0"/>
              <w:rPr>
                <w:sz w:val="20"/>
                <w:szCs w:val="20"/>
                <w:color w:val="auto"/>
              </w:rPr>
            </w:pPr>
            <w:r>
              <w:rPr>
                <w:rFonts w:ascii="Arial" w:cs="Arial" w:eastAsia="Arial" w:hAnsi="Arial"/>
                <w:sz w:val="18"/>
                <w:szCs w:val="18"/>
                <w:color w:val="auto"/>
                <w:w w:val="97"/>
              </w:rPr>
              <w:t>S-1/A</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June 18, 2014</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jc w:val="right"/>
              <w:ind w:right="139"/>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26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w w:val="93"/>
              </w:rPr>
              <w:t>Opinion of Latham &amp; Watkins LLP.</w:t>
            </w:r>
          </w:p>
        </w:tc>
        <w:tc>
          <w:tcPr>
            <w:tcW w:w="460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220" w:type="dxa"/>
            <w:vAlign w:val="bottom"/>
          </w:tcPr>
          <w:p>
            <w:pPr>
              <w:spacing w:after="0"/>
              <w:rPr>
                <w:sz w:val="24"/>
                <w:szCs w:val="24"/>
                <w:color w:val="auto"/>
              </w:rPr>
            </w:pPr>
          </w:p>
        </w:tc>
        <w:tc>
          <w:tcPr>
            <w:tcW w:w="7200" w:type="dxa"/>
            <w:vAlign w:val="bottom"/>
            <w:gridSpan w:val="17"/>
          </w:tcPr>
          <w:p>
            <w:pPr>
              <w:spacing w:after="0"/>
              <w:rPr>
                <w:sz w:val="20"/>
                <w:szCs w:val="20"/>
                <w:color w:val="auto"/>
              </w:rPr>
            </w:pPr>
            <w:r>
              <w:rPr>
                <w:rFonts w:ascii="Arial" w:cs="Arial" w:eastAsia="Arial" w:hAnsi="Arial"/>
                <w:sz w:val="18"/>
                <w:szCs w:val="18"/>
                <w:color w:val="0000EE"/>
              </w:rPr>
              <w:t>Consent of Independent Registered Public Accounting Firm.</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23.2</w:t>
            </w:r>
          </w:p>
        </w:tc>
        <w:tc>
          <w:tcPr>
            <w:tcW w:w="220" w:type="dxa"/>
            <w:vAlign w:val="bottom"/>
          </w:tcPr>
          <w:p>
            <w:pPr>
              <w:spacing w:after="0"/>
              <w:rPr>
                <w:sz w:val="24"/>
                <w:szCs w:val="24"/>
                <w:color w:val="auto"/>
              </w:rPr>
            </w:pPr>
          </w:p>
        </w:tc>
        <w:tc>
          <w:tcPr>
            <w:tcW w:w="7200" w:type="dxa"/>
            <w:vAlign w:val="bottom"/>
            <w:gridSpan w:val="17"/>
          </w:tcPr>
          <w:p>
            <w:pPr>
              <w:spacing w:after="0"/>
              <w:rPr>
                <w:sz w:val="20"/>
                <w:szCs w:val="20"/>
                <w:color w:val="auto"/>
              </w:rPr>
            </w:pPr>
            <w:r>
              <w:rPr>
                <w:rFonts w:ascii="Arial" w:cs="Arial" w:eastAsia="Arial" w:hAnsi="Arial"/>
                <w:sz w:val="18"/>
                <w:szCs w:val="18"/>
                <w:color w:val="0000EE"/>
              </w:rPr>
              <w:t>Consent of Latham &amp; Watkins LLP (included in Exhibit 5.1).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40" w:type="dxa"/>
            <w:vAlign w:val="bottom"/>
            <w:gridSpan w:val="2"/>
          </w:tcPr>
          <w:p>
            <w:pPr>
              <w:jc w:val="center"/>
              <w:spacing w:after="0"/>
              <w:rPr>
                <w:sz w:val="20"/>
                <w:szCs w:val="20"/>
                <w:color w:val="auto"/>
              </w:rPr>
            </w:pPr>
            <w:r>
              <w:rPr>
                <w:rFonts w:ascii="Arial" w:cs="Arial" w:eastAsia="Arial" w:hAnsi="Arial"/>
                <w:sz w:val="18"/>
                <w:szCs w:val="18"/>
                <w:color w:val="auto"/>
                <w:w w:val="91"/>
              </w:rPr>
              <w:t>24.1</w:t>
            </w:r>
          </w:p>
        </w:tc>
        <w:tc>
          <w:tcPr>
            <w:tcW w:w="220" w:type="dxa"/>
            <w:vAlign w:val="bottom"/>
          </w:tcPr>
          <w:p>
            <w:pPr>
              <w:spacing w:after="0"/>
              <w:rPr>
                <w:sz w:val="24"/>
                <w:szCs w:val="24"/>
                <w:color w:val="auto"/>
              </w:rPr>
            </w:pPr>
          </w:p>
        </w:tc>
        <w:tc>
          <w:tcPr>
            <w:tcW w:w="442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Power of Attorney (included on signature page hereto).</w:t>
              </w:r>
            </w:hyperlink>
          </w:p>
        </w:tc>
        <w:tc>
          <w:tcPr>
            <w:tcW w:w="27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04"/>
        </w:trPr>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99.1(#)</w:t>
            </w:r>
          </w:p>
        </w:tc>
        <w:tc>
          <w:tcPr>
            <w:tcW w:w="220" w:type="dxa"/>
            <w:vAlign w:val="bottom"/>
          </w:tcPr>
          <w:p>
            <w:pPr>
              <w:spacing w:after="0"/>
              <w:rPr>
                <w:sz w:val="24"/>
                <w:szCs w:val="24"/>
                <w:color w:val="auto"/>
              </w:rPr>
            </w:pPr>
          </w:p>
        </w:tc>
        <w:tc>
          <w:tcPr>
            <w:tcW w:w="3980" w:type="dxa"/>
            <w:vAlign w:val="bottom"/>
            <w:tcBorders>
              <w:top w:val="single" w:sz="8" w:color="0000EE"/>
            </w:tcBorders>
            <w:gridSpan w:val="11"/>
          </w:tcPr>
          <w:p>
            <w:pPr>
              <w:spacing w:after="0"/>
              <w:rPr>
                <w:rFonts w:ascii="Arial" w:cs="Arial" w:eastAsia="Arial" w:hAnsi="Arial"/>
                <w:sz w:val="18"/>
                <w:szCs w:val="18"/>
                <w:color w:val="0000EE"/>
              </w:rPr>
            </w:pPr>
            <w:hyperlink r:id="rId24">
              <w:r>
                <w:rPr>
                  <w:rFonts w:ascii="Arial" w:cs="Arial" w:eastAsia="Arial" w:hAnsi="Arial"/>
                  <w:sz w:val="18"/>
                  <w:szCs w:val="18"/>
                  <w:color w:val="0000EE"/>
                </w:rPr>
                <w:t>Ardelyx, Inc. 2014 Equity Incentive Award Plan</w:t>
              </w:r>
            </w:hyperlink>
          </w:p>
        </w:tc>
        <w:tc>
          <w:tcPr>
            <w:tcW w:w="322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S-8</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July 14, 2014</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99.3</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99.2(#)</w:t>
            </w:r>
          </w:p>
        </w:tc>
        <w:tc>
          <w:tcPr>
            <w:tcW w:w="220" w:type="dxa"/>
            <w:vAlign w:val="bottom"/>
          </w:tcPr>
          <w:p>
            <w:pPr>
              <w:spacing w:after="0"/>
              <w:rPr>
                <w:sz w:val="24"/>
                <w:szCs w:val="24"/>
                <w:color w:val="auto"/>
              </w:rPr>
            </w:pPr>
          </w:p>
        </w:tc>
        <w:tc>
          <w:tcPr>
            <w:tcW w:w="7200" w:type="dxa"/>
            <w:vAlign w:val="bottom"/>
            <w:gridSpan w:val="17"/>
          </w:tcPr>
          <w:p>
            <w:pPr>
              <w:spacing w:after="0"/>
              <w:rPr>
                <w:rFonts w:ascii="Arial" w:cs="Arial" w:eastAsia="Arial" w:hAnsi="Arial"/>
                <w:sz w:val="18"/>
                <w:szCs w:val="18"/>
                <w:color w:val="0000EE"/>
                <w:w w:val="96"/>
              </w:rPr>
            </w:pPr>
            <w:hyperlink r:id="rId25">
              <w:r>
                <w:rPr>
                  <w:rFonts w:ascii="Arial" w:cs="Arial" w:eastAsia="Arial" w:hAnsi="Arial"/>
                  <w:sz w:val="18"/>
                  <w:szCs w:val="18"/>
                  <w:color w:val="0000EE"/>
                  <w:w w:val="96"/>
                </w:rPr>
                <w:t>Form of Stock Option Grant Notice and Stock Option Agreement under the Ardelyx, Inc. 2014</w:t>
              </w:r>
            </w:hyperlink>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Equity Incentive Award Plan</w:t>
              </w:r>
            </w:hyperlink>
          </w:p>
        </w:tc>
        <w:tc>
          <w:tcPr>
            <w:tcW w:w="360" w:type="dxa"/>
            <w:vAlign w:val="bottom"/>
            <w:gridSpan w:val="2"/>
          </w:tcPr>
          <w:p>
            <w:pPr>
              <w:spacing w:after="0"/>
              <w:rPr>
                <w:sz w:val="17"/>
                <w:szCs w:val="17"/>
                <w:color w:val="auto"/>
              </w:rPr>
            </w:pPr>
          </w:p>
        </w:tc>
        <w:tc>
          <w:tcPr>
            <w:tcW w:w="540" w:type="dxa"/>
            <w:vAlign w:val="bottom"/>
            <w:gridSpan w:val="3"/>
          </w:tcPr>
          <w:p>
            <w:pPr>
              <w:jc w:val="center"/>
              <w:ind w:right="100"/>
              <w:spacing w:after="0" w:line="196" w:lineRule="exact"/>
              <w:rPr>
                <w:sz w:val="20"/>
                <w:szCs w:val="20"/>
                <w:color w:val="auto"/>
              </w:rPr>
            </w:pPr>
            <w:r>
              <w:rPr>
                <w:rFonts w:ascii="Arial" w:cs="Arial" w:eastAsia="Arial" w:hAnsi="Arial"/>
                <w:sz w:val="18"/>
                <w:szCs w:val="18"/>
                <w:color w:val="auto"/>
                <w:w w:val="97"/>
              </w:rPr>
              <w:t>S-1/A</w:t>
            </w:r>
          </w:p>
        </w:tc>
        <w:tc>
          <w:tcPr>
            <w:tcW w:w="132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88"/>
              </w:rPr>
              <w:t>June 9, 2014</w:t>
            </w:r>
          </w:p>
        </w:tc>
        <w:tc>
          <w:tcPr>
            <w:tcW w:w="9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10.6(b)</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99.3(#)</w:t>
            </w:r>
          </w:p>
        </w:tc>
        <w:tc>
          <w:tcPr>
            <w:tcW w:w="220" w:type="dxa"/>
            <w:vAlign w:val="bottom"/>
          </w:tcPr>
          <w:p>
            <w:pPr>
              <w:spacing w:after="0"/>
              <w:rPr>
                <w:sz w:val="24"/>
                <w:szCs w:val="24"/>
                <w:color w:val="auto"/>
              </w:rPr>
            </w:pPr>
          </w:p>
        </w:tc>
        <w:tc>
          <w:tcPr>
            <w:tcW w:w="6900" w:type="dxa"/>
            <w:vAlign w:val="bottom"/>
            <w:tcBorders>
              <w:bottom w:val="single" w:sz="8" w:color="0000EE"/>
            </w:tcBorders>
            <w:gridSpan w:val="16"/>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Form of Restricted Stock Award Agreement and Restricted Stock Unit Award Agreement under</w:t>
              </w:r>
            </w:hyperlink>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26">
              <w:r>
                <w:rPr>
                  <w:rFonts w:ascii="Arial" w:cs="Arial" w:eastAsia="Arial" w:hAnsi="Arial"/>
                  <w:sz w:val="18"/>
                  <w:szCs w:val="18"/>
                  <w:color w:val="0000EE"/>
                  <w:w w:val="92"/>
                </w:rPr>
                <w:t>the Ardelyx, Inc. 2014 Equity Incentive Award Plan</w:t>
              </w:r>
            </w:hyperlink>
          </w:p>
        </w:tc>
        <w:tc>
          <w:tcPr>
            <w:tcW w:w="3440" w:type="dxa"/>
            <w:vAlign w:val="bottom"/>
            <w:gridSpan w:val="7"/>
          </w:tcPr>
          <w:p>
            <w:pPr>
              <w:spacing w:after="0"/>
              <w:rPr>
                <w:sz w:val="17"/>
                <w:szCs w:val="17"/>
                <w:color w:val="auto"/>
              </w:rPr>
            </w:pPr>
          </w:p>
        </w:tc>
        <w:tc>
          <w:tcPr>
            <w:tcW w:w="540" w:type="dxa"/>
            <w:vAlign w:val="bottom"/>
            <w:gridSpan w:val="3"/>
          </w:tcPr>
          <w:p>
            <w:pPr>
              <w:jc w:val="center"/>
              <w:ind w:right="100"/>
              <w:spacing w:after="0" w:line="196" w:lineRule="exact"/>
              <w:rPr>
                <w:sz w:val="20"/>
                <w:szCs w:val="20"/>
                <w:color w:val="auto"/>
              </w:rPr>
            </w:pPr>
            <w:r>
              <w:rPr>
                <w:rFonts w:ascii="Arial" w:cs="Arial" w:eastAsia="Arial" w:hAnsi="Arial"/>
                <w:sz w:val="18"/>
                <w:szCs w:val="18"/>
                <w:color w:val="auto"/>
                <w:w w:val="97"/>
              </w:rPr>
              <w:t>S-1/A</w:t>
            </w:r>
          </w:p>
        </w:tc>
        <w:tc>
          <w:tcPr>
            <w:tcW w:w="132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88"/>
              </w:rPr>
              <w:t>June 9, 2014</w:t>
            </w:r>
          </w:p>
        </w:tc>
        <w:tc>
          <w:tcPr>
            <w:tcW w:w="9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10.6(c)</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Undertakings</w:t>
      </w:r>
      <w:r>
        <w:rPr>
          <w:rFonts w:ascii="Arial" w:cs="Arial" w:eastAsia="Arial" w:hAnsi="Arial"/>
          <w:sz w:val="16"/>
          <w:szCs w:val="16"/>
          <w:b w:val="1"/>
          <w:bCs w:val="1"/>
          <w:color w:val="auto"/>
        </w:rPr>
        <w:t>.</w:t>
      </w:r>
    </w:p>
    <w:p>
      <w:pPr>
        <w:spacing w:after="0" w:line="12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ectPr>
          <w:pgSz w:w="11900" w:h="16838" w:orient="portrait"/>
          <w:cols w:equalWidth="0" w:num="1">
            <w:col w:w="11360"/>
          </w:cols>
          <w:pgMar w:left="240" w:top="274" w:right="299" w:bottom="1440" w:gutter="0" w:footer="0" w:header="0"/>
        </w:sectPr>
      </w:pPr>
    </w:p>
    <w:bookmarkStart w:id="5" w:name="page6"/>
    <w:bookmarkEnd w:id="5"/>
    <w:p>
      <w:pPr>
        <w:ind w:right="60" w:firstLine="1492"/>
        <w:spacing w:after="0" w:line="293" w:lineRule="auto"/>
        <w:tabs>
          <w:tab w:leader="none" w:pos="1748"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color w:val="auto"/>
        </w:rPr>
      </w:pPr>
    </w:p>
    <w:p>
      <w:pPr>
        <w:ind w:right="40" w:firstLine="1492"/>
        <w:spacing w:after="0" w:line="277" w:lineRule="auto"/>
        <w:tabs>
          <w:tab w:leader="none" w:pos="17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registration statement is on Form S-8 and the information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a post-effective amendment by those paragraphs is contained in periodic reports filed with or furnished to the SEC by the Registrant pursuant to Section 13 or 15(d) of the Exchange Act that are incorporated by reference in the registration statement.</w:t>
      </w:r>
    </w:p>
    <w:p>
      <w:pPr>
        <w:spacing w:after="0" w:line="181" w:lineRule="exact"/>
        <w:rPr>
          <w:sz w:val="20"/>
          <w:szCs w:val="20"/>
          <w:color w:val="auto"/>
        </w:rPr>
      </w:pPr>
    </w:p>
    <w:p>
      <w:pPr>
        <w:ind w:right="400" w:firstLine="464"/>
        <w:spacing w:after="0" w:line="264" w:lineRule="auto"/>
        <w:tabs>
          <w:tab w:leader="none" w:pos="711"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firstLine="464"/>
        <w:spacing w:after="0" w:line="277" w:lineRule="auto"/>
        <w:tabs>
          <w:tab w:leader="none" w:pos="711"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20" w:firstLine="8"/>
        <w:spacing w:after="0" w:line="302"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right="40" w:firstLine="8"/>
        <w:spacing w:after="0" w:line="291" w:lineRule="auto"/>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80"/>
          </w:cols>
          <w:pgMar w:left="240" w:top="274"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Fremont, California, on March 14, 2018.</w:t>
      </w:r>
    </w:p>
    <w:p>
      <w:pPr>
        <w:spacing w:after="0" w:line="3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ARDELYX,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Raab</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Michael Raab</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Michael Raab and Mark Kaufmann, and each of them, as attorneys-in-fact, each with the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such attorneys-in-fact and agents or any of them, or their substitute or substitutes, may lawfully do or cause to be done by virtue hereof.</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4"/>
                <w:szCs w:val="14"/>
                <w:color w:val="auto"/>
              </w:rPr>
            </w:pPr>
          </w:p>
        </w:tc>
        <w:tc>
          <w:tcPr>
            <w:tcW w:w="2520" w:type="dxa"/>
            <w:vAlign w:val="bottom"/>
            <w:gridSpan w:val="2"/>
          </w:tcPr>
          <w:p>
            <w:pPr>
              <w:jc w:val="center"/>
              <w:ind w:right="2240"/>
              <w:spacing w:after="0"/>
              <w:rPr>
                <w:sz w:val="20"/>
                <w:szCs w:val="20"/>
                <w:color w:val="auto"/>
              </w:rPr>
            </w:pPr>
            <w:r>
              <w:rPr>
                <w:rFonts w:ascii="Arial" w:cs="Arial" w:eastAsia="Arial" w:hAnsi="Arial"/>
                <w:sz w:val="14"/>
                <w:szCs w:val="14"/>
                <w:b w:val="1"/>
                <w:bCs w:val="1"/>
                <w:color w:val="auto"/>
                <w:w w:val="97"/>
              </w:rPr>
              <w:t>Title</w:t>
            </w:r>
          </w:p>
        </w:tc>
        <w:tc>
          <w:tcPr>
            <w:tcW w:w="1820" w:type="dxa"/>
            <w:vAlign w:val="bottom"/>
            <w:gridSpan w:val="3"/>
          </w:tcPr>
          <w:p>
            <w:pPr>
              <w:jc w:val="center"/>
              <w:ind w:left="59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154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color w:val="auto"/>
              </w:rPr>
              <w:t>/s/</w:t>
            </w:r>
          </w:p>
        </w:tc>
        <w:tc>
          <w:tcPr>
            <w:tcW w:w="274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90"/>
              </w:rPr>
              <w:t>Michael Raab</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President, Chief Executive Officer and Director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14, 2018</w:t>
            </w:r>
          </w:p>
        </w:tc>
      </w:tr>
      <w:tr>
        <w:trPr>
          <w:trHeight w:val="224"/>
        </w:trPr>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3"/>
          </w:tcPr>
          <w:p>
            <w:pPr>
              <w:jc w:val="center"/>
              <w:ind w:right="1540"/>
              <w:spacing w:after="0"/>
              <w:rPr>
                <w:sz w:val="20"/>
                <w:szCs w:val="20"/>
                <w:color w:val="auto"/>
              </w:rPr>
            </w:pPr>
            <w:r>
              <w:rPr>
                <w:rFonts w:ascii="Arial" w:cs="Arial" w:eastAsia="Arial" w:hAnsi="Arial"/>
                <w:sz w:val="18"/>
                <w:szCs w:val="18"/>
                <w:color w:val="auto"/>
                <w:w w:val="90"/>
              </w:rPr>
              <w:t>Michael Raab</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3"/>
              </w:rPr>
              <w:t>/s/</w:t>
            </w: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94"/>
              </w:rPr>
              <w:t>Mark Kaufmann</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4"/>
              </w:rPr>
              <w:t>Chief Financial Officer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14, 2018</w:t>
            </w:r>
          </w:p>
        </w:tc>
      </w:tr>
      <w:tr>
        <w:trPr>
          <w:trHeight w:val="182"/>
        </w:trPr>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3"/>
          </w:tcPr>
          <w:p>
            <w:pPr>
              <w:jc w:val="center"/>
              <w:ind w:right="1540"/>
              <w:spacing w:after="0" w:line="182" w:lineRule="exact"/>
              <w:rPr>
                <w:sz w:val="20"/>
                <w:szCs w:val="20"/>
                <w:color w:val="auto"/>
              </w:rPr>
            </w:pPr>
            <w:r>
              <w:rPr>
                <w:rFonts w:ascii="Arial" w:cs="Arial" w:eastAsia="Arial" w:hAnsi="Arial"/>
                <w:sz w:val="18"/>
                <w:szCs w:val="18"/>
                <w:color w:val="auto"/>
                <w:w w:val="94"/>
              </w:rPr>
              <w:t>Mark Kaufmann</w:t>
            </w:r>
          </w:p>
        </w:tc>
        <w:tc>
          <w:tcPr>
            <w:tcW w:w="5020" w:type="dxa"/>
            <w:vAlign w:val="bottom"/>
            <w:gridSpan w:val="3"/>
          </w:tcPr>
          <w:p>
            <w:pPr>
              <w:jc w:val="center"/>
              <w:ind w:left="190"/>
              <w:spacing w:after="0" w:line="182" w:lineRule="exact"/>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financial officer and principal</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020" w:type="dxa"/>
            <w:vAlign w:val="bottom"/>
            <w:gridSpan w:val="3"/>
          </w:tcPr>
          <w:p>
            <w:pPr>
              <w:jc w:val="center"/>
              <w:ind w:left="190"/>
              <w:spacing w:after="0"/>
              <w:rPr>
                <w:sz w:val="20"/>
                <w:szCs w:val="20"/>
                <w:color w:val="auto"/>
              </w:rPr>
            </w:pPr>
            <w:r>
              <w:rPr>
                <w:rFonts w:ascii="Arial" w:cs="Arial" w:eastAsia="Arial" w:hAnsi="Arial"/>
                <w:sz w:val="18"/>
                <w:szCs w:val="18"/>
                <w:i w:val="1"/>
                <w:iCs w:val="1"/>
                <w:color w:val="auto"/>
                <w:w w:val="93"/>
              </w:rPr>
              <w:t>accounting officer</w:t>
            </w:r>
            <w:r>
              <w:rPr>
                <w:rFonts w:ascii="Arial" w:cs="Arial" w:eastAsia="Arial" w:hAnsi="Arial"/>
                <w:sz w:val="18"/>
                <w:szCs w:val="18"/>
                <w:color w:val="auto"/>
                <w:w w:val="93"/>
              </w:rPr>
              <w:t>)</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w:t>
            </w:r>
          </w:p>
        </w:tc>
        <w:tc>
          <w:tcPr>
            <w:tcW w:w="274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97"/>
              </w:rPr>
              <w:t>David Mott</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2"/>
              </w:rPr>
              <w:t>Chairman of the Board of Directors</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14, 2018</w:t>
            </w:r>
          </w:p>
        </w:tc>
      </w:tr>
      <w:tr>
        <w:trPr>
          <w:trHeight w:val="224"/>
        </w:trPr>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3"/>
          </w:tcPr>
          <w:p>
            <w:pPr>
              <w:jc w:val="center"/>
              <w:ind w:right="1540"/>
              <w:spacing w:after="0"/>
              <w:rPr>
                <w:sz w:val="20"/>
                <w:szCs w:val="20"/>
                <w:color w:val="auto"/>
              </w:rPr>
            </w:pPr>
            <w:r>
              <w:rPr>
                <w:rFonts w:ascii="Arial" w:cs="Arial" w:eastAsia="Arial" w:hAnsi="Arial"/>
                <w:sz w:val="18"/>
                <w:szCs w:val="18"/>
                <w:color w:val="auto"/>
                <w:w w:val="97"/>
              </w:rPr>
              <w:t>David Mott</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4"/>
              </w:rPr>
              <w:t>/s/</w:t>
            </w:r>
          </w:p>
        </w:tc>
        <w:tc>
          <w:tcPr>
            <w:tcW w:w="2920" w:type="dxa"/>
            <w:vAlign w:val="bottom"/>
            <w:tcBorders>
              <w:bottom w:val="single" w:sz="8" w:color="auto"/>
            </w:tcBorders>
            <w:gridSpan w:val="4"/>
          </w:tcPr>
          <w:p>
            <w:pPr>
              <w:jc w:val="center"/>
              <w:ind w:right="1380"/>
              <w:spacing w:after="0"/>
              <w:rPr>
                <w:sz w:val="20"/>
                <w:szCs w:val="20"/>
                <w:color w:val="auto"/>
              </w:rPr>
            </w:pPr>
            <w:r>
              <w:rPr>
                <w:rFonts w:ascii="Arial" w:cs="Arial" w:eastAsia="Arial" w:hAnsi="Arial"/>
                <w:sz w:val="18"/>
                <w:szCs w:val="18"/>
                <w:color w:val="auto"/>
                <w:w w:val="89"/>
              </w:rPr>
              <w:t>Robert Bazemore</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14, 2018</w:t>
            </w:r>
          </w:p>
        </w:tc>
      </w:tr>
      <w:tr>
        <w:trPr>
          <w:trHeight w:val="224"/>
        </w:trPr>
        <w:tc>
          <w:tcPr>
            <w:tcW w:w="1360" w:type="dxa"/>
            <w:vAlign w:val="bottom"/>
          </w:tcPr>
          <w:p>
            <w:pPr>
              <w:spacing w:after="0"/>
              <w:rPr>
                <w:sz w:val="19"/>
                <w:szCs w:val="19"/>
                <w:color w:val="auto"/>
              </w:rPr>
            </w:pPr>
          </w:p>
        </w:tc>
        <w:tc>
          <w:tcPr>
            <w:tcW w:w="2920" w:type="dxa"/>
            <w:vAlign w:val="bottom"/>
            <w:gridSpan w:val="4"/>
          </w:tcPr>
          <w:p>
            <w:pPr>
              <w:jc w:val="center"/>
              <w:ind w:right="1360"/>
              <w:spacing w:after="0"/>
              <w:rPr>
                <w:sz w:val="20"/>
                <w:szCs w:val="20"/>
                <w:color w:val="auto"/>
              </w:rPr>
            </w:pPr>
            <w:r>
              <w:rPr>
                <w:rFonts w:ascii="Arial" w:cs="Arial" w:eastAsia="Arial" w:hAnsi="Arial"/>
                <w:sz w:val="18"/>
                <w:szCs w:val="18"/>
                <w:color w:val="auto"/>
                <w:w w:val="90"/>
              </w:rPr>
              <w:t>Robert Bazemore</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4"/>
          </w:tcPr>
          <w:p>
            <w:pPr>
              <w:jc w:val="center"/>
              <w:ind w:right="1360"/>
              <w:spacing w:after="0"/>
              <w:rPr>
                <w:sz w:val="20"/>
                <w:szCs w:val="20"/>
                <w:color w:val="auto"/>
              </w:rPr>
            </w:pPr>
            <w:r>
              <w:rPr>
                <w:rFonts w:ascii="Arial" w:cs="Arial" w:eastAsia="Arial" w:hAnsi="Arial"/>
                <w:sz w:val="18"/>
                <w:szCs w:val="18"/>
                <w:color w:val="auto"/>
                <w:w w:val="93"/>
              </w:rPr>
              <w:t>William Bertrand, Jr.</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14, 2018</w:t>
            </w:r>
          </w:p>
        </w:tc>
      </w:tr>
      <w:tr>
        <w:trPr>
          <w:trHeight w:val="224"/>
        </w:trPr>
        <w:tc>
          <w:tcPr>
            <w:tcW w:w="1360" w:type="dxa"/>
            <w:vAlign w:val="bottom"/>
          </w:tcPr>
          <w:p>
            <w:pPr>
              <w:spacing w:after="0"/>
              <w:rPr>
                <w:sz w:val="19"/>
                <w:szCs w:val="19"/>
                <w:color w:val="auto"/>
              </w:rPr>
            </w:pPr>
          </w:p>
        </w:tc>
        <w:tc>
          <w:tcPr>
            <w:tcW w:w="2920" w:type="dxa"/>
            <w:vAlign w:val="bottom"/>
            <w:gridSpan w:val="4"/>
          </w:tcPr>
          <w:p>
            <w:pPr>
              <w:jc w:val="center"/>
              <w:ind w:right="1360"/>
              <w:spacing w:after="0"/>
              <w:rPr>
                <w:sz w:val="20"/>
                <w:szCs w:val="20"/>
                <w:color w:val="auto"/>
              </w:rPr>
            </w:pPr>
            <w:r>
              <w:rPr>
                <w:rFonts w:ascii="Arial" w:cs="Arial" w:eastAsia="Arial" w:hAnsi="Arial"/>
                <w:sz w:val="18"/>
                <w:szCs w:val="18"/>
                <w:color w:val="auto"/>
                <w:w w:val="93"/>
              </w:rPr>
              <w:t>William Bertrand, Jr.</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3"/>
              </w:rPr>
              <w:t>/s/</w:t>
            </w:r>
          </w:p>
        </w:tc>
        <w:tc>
          <w:tcPr>
            <w:tcW w:w="2920" w:type="dxa"/>
            <w:vAlign w:val="bottom"/>
            <w:tcBorders>
              <w:bottom w:val="single" w:sz="8" w:color="auto"/>
            </w:tcBorders>
            <w:gridSpan w:val="4"/>
          </w:tcPr>
          <w:p>
            <w:pPr>
              <w:jc w:val="center"/>
              <w:ind w:right="1380"/>
              <w:spacing w:after="0"/>
              <w:rPr>
                <w:sz w:val="20"/>
                <w:szCs w:val="20"/>
                <w:color w:val="auto"/>
              </w:rPr>
            </w:pPr>
            <w:r>
              <w:rPr>
                <w:rFonts w:ascii="Arial" w:cs="Arial" w:eastAsia="Arial" w:hAnsi="Arial"/>
                <w:sz w:val="18"/>
                <w:szCs w:val="18"/>
                <w:color w:val="auto"/>
                <w:w w:val="90"/>
              </w:rPr>
              <w:t>Annalisa Jenkins</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14, 2018</w:t>
            </w:r>
          </w:p>
        </w:tc>
      </w:tr>
      <w:tr>
        <w:trPr>
          <w:trHeight w:val="224"/>
        </w:trPr>
        <w:tc>
          <w:tcPr>
            <w:tcW w:w="4280" w:type="dxa"/>
            <w:vAlign w:val="bottom"/>
            <w:gridSpan w:val="5"/>
          </w:tcPr>
          <w:p>
            <w:pPr>
              <w:jc w:val="center"/>
              <w:spacing w:after="0"/>
              <w:rPr>
                <w:sz w:val="20"/>
                <w:szCs w:val="20"/>
                <w:color w:val="auto"/>
              </w:rPr>
            </w:pPr>
            <w:r>
              <w:rPr>
                <w:rFonts w:ascii="Arial" w:cs="Arial" w:eastAsia="Arial" w:hAnsi="Arial"/>
                <w:sz w:val="18"/>
                <w:szCs w:val="18"/>
                <w:color w:val="auto"/>
                <w:w w:val="92"/>
              </w:rPr>
              <w:t>Annalisa Jenkins, MBBS, FRCP</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w w:val="73"/>
              </w:rPr>
              <w:t>/s/</w:t>
            </w: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center"/>
              <w:ind w:right="1560"/>
              <w:spacing w:after="0"/>
              <w:rPr>
                <w:sz w:val="20"/>
                <w:szCs w:val="20"/>
                <w:color w:val="auto"/>
              </w:rPr>
            </w:pPr>
            <w:r>
              <w:rPr>
                <w:rFonts w:ascii="Arial" w:cs="Arial" w:eastAsia="Arial" w:hAnsi="Arial"/>
                <w:sz w:val="18"/>
                <w:szCs w:val="18"/>
                <w:color w:val="auto"/>
                <w:w w:val="93"/>
              </w:rPr>
              <w:t>Gordon Ringold</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14, 2018</w:t>
            </w:r>
          </w:p>
        </w:tc>
      </w:tr>
      <w:tr>
        <w:trPr>
          <w:trHeight w:val="224"/>
        </w:trPr>
        <w:tc>
          <w:tcPr>
            <w:tcW w:w="4280" w:type="dxa"/>
            <w:vAlign w:val="bottom"/>
            <w:gridSpan w:val="5"/>
          </w:tcPr>
          <w:p>
            <w:pPr>
              <w:jc w:val="center"/>
              <w:spacing w:after="0"/>
              <w:rPr>
                <w:sz w:val="20"/>
                <w:szCs w:val="20"/>
                <w:color w:val="auto"/>
              </w:rPr>
            </w:pPr>
            <w:r>
              <w:rPr>
                <w:rFonts w:ascii="Arial" w:cs="Arial" w:eastAsia="Arial" w:hAnsi="Arial"/>
                <w:sz w:val="18"/>
                <w:szCs w:val="18"/>
                <w:color w:val="auto"/>
                <w:w w:val="92"/>
              </w:rPr>
              <w:t>Gordon Ringold, Ph.D.</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3"/>
              </w:rPr>
              <w:t>/s/</w:t>
            </w:r>
          </w:p>
        </w:tc>
        <w:tc>
          <w:tcPr>
            <w:tcW w:w="2920" w:type="dxa"/>
            <w:vAlign w:val="bottom"/>
            <w:tcBorders>
              <w:bottom w:val="single" w:sz="8" w:color="auto"/>
            </w:tcBorders>
            <w:gridSpan w:val="4"/>
          </w:tcPr>
          <w:p>
            <w:pPr>
              <w:jc w:val="center"/>
              <w:ind w:right="1380"/>
              <w:spacing w:after="0"/>
              <w:rPr>
                <w:sz w:val="20"/>
                <w:szCs w:val="20"/>
                <w:color w:val="auto"/>
              </w:rPr>
            </w:pPr>
            <w:r>
              <w:rPr>
                <w:rFonts w:ascii="Arial" w:cs="Arial" w:eastAsia="Arial" w:hAnsi="Arial"/>
                <w:sz w:val="18"/>
                <w:szCs w:val="18"/>
                <w:color w:val="auto"/>
                <w:w w:val="90"/>
              </w:rPr>
              <w:t>Richard Rodgers</w:t>
            </w:r>
          </w:p>
        </w:tc>
        <w:tc>
          <w:tcPr>
            <w:tcW w:w="5020" w:type="dxa"/>
            <w:vAlign w:val="bottom"/>
            <w:gridSpan w:val="3"/>
          </w:tcPr>
          <w:p>
            <w:pPr>
              <w:jc w:val="center"/>
              <w:ind w:left="170"/>
              <w:spacing w:after="0"/>
              <w:rPr>
                <w:sz w:val="20"/>
                <w:szCs w:val="20"/>
                <w:color w:val="auto"/>
              </w:rPr>
            </w:pPr>
            <w:r>
              <w:rPr>
                <w:rFonts w:ascii="Arial" w:cs="Arial" w:eastAsia="Arial" w:hAnsi="Arial"/>
                <w:sz w:val="18"/>
                <w:szCs w:val="18"/>
                <w:color w:val="auto"/>
                <w:w w:val="95"/>
              </w:rPr>
              <w:t>Director</w:t>
            </w:r>
          </w:p>
        </w:tc>
        <w:tc>
          <w:tcPr>
            <w:tcW w:w="1820" w:type="dxa"/>
            <w:vAlign w:val="bottom"/>
            <w:gridSpan w:val="3"/>
          </w:tcPr>
          <w:p>
            <w:pPr>
              <w:jc w:val="center"/>
              <w:ind w:left="592"/>
              <w:spacing w:after="0"/>
              <w:rPr>
                <w:sz w:val="20"/>
                <w:szCs w:val="20"/>
                <w:color w:val="auto"/>
              </w:rPr>
            </w:pPr>
            <w:r>
              <w:rPr>
                <w:rFonts w:ascii="Arial" w:cs="Arial" w:eastAsia="Arial" w:hAnsi="Arial"/>
                <w:sz w:val="18"/>
                <w:szCs w:val="18"/>
                <w:color w:val="auto"/>
                <w:w w:val="91"/>
              </w:rPr>
              <w:t>March 14, 2018</w:t>
            </w:r>
          </w:p>
        </w:tc>
      </w:tr>
      <w:tr>
        <w:trPr>
          <w:trHeight w:val="224"/>
        </w:trPr>
        <w:tc>
          <w:tcPr>
            <w:tcW w:w="1360" w:type="dxa"/>
            <w:vAlign w:val="bottom"/>
          </w:tcPr>
          <w:p>
            <w:pPr>
              <w:spacing w:after="0"/>
              <w:rPr>
                <w:sz w:val="19"/>
                <w:szCs w:val="19"/>
                <w:color w:val="auto"/>
              </w:rPr>
            </w:pPr>
          </w:p>
        </w:tc>
        <w:tc>
          <w:tcPr>
            <w:tcW w:w="2920" w:type="dxa"/>
            <w:vAlign w:val="bottom"/>
            <w:gridSpan w:val="4"/>
          </w:tcPr>
          <w:p>
            <w:pPr>
              <w:jc w:val="center"/>
              <w:ind w:right="1360"/>
              <w:spacing w:after="0"/>
              <w:rPr>
                <w:sz w:val="20"/>
                <w:szCs w:val="20"/>
                <w:color w:val="auto"/>
              </w:rPr>
            </w:pPr>
            <w:r>
              <w:rPr>
                <w:rFonts w:ascii="Arial" w:cs="Arial" w:eastAsia="Arial" w:hAnsi="Arial"/>
                <w:sz w:val="18"/>
                <w:szCs w:val="18"/>
                <w:color w:val="auto"/>
                <w:w w:val="88"/>
              </w:rPr>
              <w:t>Richard Rodgers</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060" w:type="dxa"/>
            <w:vAlign w:val="bottom"/>
          </w:tcPr>
          <w:p>
            <w:pPr>
              <w:ind w:left="1220"/>
              <w:spacing w:after="0"/>
              <w:rPr>
                <w:sz w:val="20"/>
                <w:szCs w:val="20"/>
                <w:color w:val="auto"/>
              </w:rPr>
            </w:pPr>
            <w:r>
              <w:rPr>
                <w:rFonts w:ascii="Arial" w:cs="Arial" w:eastAsia="Arial" w:hAnsi="Arial"/>
                <w:sz w:val="18"/>
                <w:szCs w:val="18"/>
                <w:b w:val="1"/>
                <w:bCs w:val="1"/>
                <w:color w:val="auto"/>
                <w:w w:val="91"/>
              </w:rPr>
              <w:t>Exhibit 5.1</w:t>
            </w:r>
          </w:p>
        </w:tc>
      </w:tr>
      <w:tr>
        <w:trPr>
          <w:trHeight w:val="445"/>
        </w:trPr>
        <w:tc>
          <w:tcPr>
            <w:tcW w:w="4460" w:type="dxa"/>
            <w:vAlign w:val="bottom"/>
          </w:tcPr>
          <w:p>
            <w:pPr>
              <w:spacing w:after="0"/>
              <w:rPr>
                <w:sz w:val="24"/>
                <w:szCs w:val="24"/>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140 Scott Drive</w:t>
            </w:r>
          </w:p>
        </w:tc>
        <w:tc>
          <w:tcPr>
            <w:tcW w:w="2060" w:type="dxa"/>
            <w:vAlign w:val="bottom"/>
          </w:tcPr>
          <w:p>
            <w:pPr>
              <w:spacing w:after="0"/>
              <w:rPr>
                <w:sz w:val="24"/>
                <w:szCs w:val="24"/>
                <w:color w:val="auto"/>
              </w:rPr>
            </w:pPr>
          </w:p>
        </w:tc>
      </w:tr>
      <w:tr>
        <w:trPr>
          <w:trHeight w:val="216"/>
        </w:trPr>
        <w:tc>
          <w:tcPr>
            <w:tcW w:w="4460" w:type="dxa"/>
            <w:vAlign w:val="bottom"/>
          </w:tcPr>
          <w:p>
            <w:pPr>
              <w:spacing w:after="0"/>
              <w:rPr>
                <w:sz w:val="18"/>
                <w:szCs w:val="18"/>
                <w:color w:val="auto"/>
              </w:rPr>
            </w:pPr>
          </w:p>
        </w:tc>
        <w:tc>
          <w:tcPr>
            <w:tcW w:w="6960" w:type="dxa"/>
            <w:vAlign w:val="bottom"/>
            <w:gridSpan w:val="2"/>
          </w:tcPr>
          <w:p>
            <w:pPr>
              <w:ind w:left="3320"/>
              <w:spacing w:after="0"/>
              <w:rPr>
                <w:sz w:val="20"/>
                <w:szCs w:val="20"/>
                <w:color w:val="auto"/>
              </w:rPr>
            </w:pPr>
            <w:r>
              <w:rPr>
                <w:rFonts w:ascii="Arial" w:cs="Arial" w:eastAsia="Arial" w:hAnsi="Arial"/>
                <w:sz w:val="18"/>
                <w:szCs w:val="18"/>
                <w:color w:val="auto"/>
              </w:rPr>
              <w:t>Menlo Park, California 94025</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w w:val="91"/>
              </w:rPr>
              <w:t>Tel: +1.650.328.4600</w:t>
            </w:r>
          </w:p>
        </w:tc>
        <w:tc>
          <w:tcPr>
            <w:tcW w:w="2060" w:type="dxa"/>
            <w:vAlign w:val="bottom"/>
          </w:tcPr>
          <w:p>
            <w:pPr>
              <w:ind w:left="60"/>
              <w:spacing w:after="0"/>
              <w:rPr>
                <w:sz w:val="20"/>
                <w:szCs w:val="20"/>
                <w:color w:val="auto"/>
              </w:rPr>
            </w:pPr>
            <w:r>
              <w:rPr>
                <w:rFonts w:ascii="Arial" w:cs="Arial" w:eastAsia="Arial" w:hAnsi="Arial"/>
                <w:sz w:val="18"/>
                <w:szCs w:val="18"/>
                <w:color w:val="auto"/>
              </w:rPr>
              <w:t>Fax: +1.650.463.2600</w:t>
            </w:r>
          </w:p>
        </w:tc>
      </w:tr>
      <w:tr>
        <w:trPr>
          <w:trHeight w:val="230"/>
        </w:trPr>
        <w:tc>
          <w:tcPr>
            <w:tcW w:w="4460" w:type="dxa"/>
            <w:vAlign w:val="bottom"/>
          </w:tcPr>
          <w:p>
            <w:pPr>
              <w:spacing w:after="0"/>
              <w:rPr>
                <w:sz w:val="20"/>
                <w:szCs w:val="20"/>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www.lw.com</w:t>
            </w:r>
          </w:p>
        </w:tc>
        <w:tc>
          <w:tcPr>
            <w:tcW w:w="2060" w:type="dxa"/>
            <w:vAlign w:val="bottom"/>
          </w:tcPr>
          <w:p>
            <w:pPr>
              <w:spacing w:after="0"/>
              <w:rPr>
                <w:sz w:val="20"/>
                <w:szCs w:val="20"/>
                <w:color w:val="auto"/>
              </w:rPr>
            </w:pPr>
          </w:p>
        </w:tc>
      </w:tr>
      <w:tr>
        <w:trPr>
          <w:trHeight w:val="310"/>
        </w:trPr>
        <w:tc>
          <w:tcPr>
            <w:tcW w:w="4460" w:type="dxa"/>
            <w:vAlign w:val="bottom"/>
          </w:tcPr>
          <w:p>
            <w:pPr>
              <w:spacing w:after="0"/>
              <w:rPr>
                <w:sz w:val="24"/>
                <w:szCs w:val="24"/>
                <w:color w:val="auto"/>
              </w:rPr>
            </w:pPr>
          </w:p>
        </w:tc>
        <w:tc>
          <w:tcPr>
            <w:tcW w:w="6960" w:type="dxa"/>
            <w:vAlign w:val="bottom"/>
            <w:gridSpan w:val="2"/>
          </w:tcPr>
          <w:p>
            <w:pPr>
              <w:ind w:left="3320"/>
              <w:spacing w:after="0"/>
              <w:rPr>
                <w:sz w:val="20"/>
                <w:szCs w:val="20"/>
                <w:color w:val="auto"/>
              </w:rPr>
            </w:pPr>
            <w:r>
              <w:rPr>
                <w:rFonts w:ascii="Arial" w:cs="Arial" w:eastAsia="Arial" w:hAnsi="Arial"/>
                <w:sz w:val="18"/>
                <w:szCs w:val="18"/>
                <w:color w:val="auto"/>
              </w:rPr>
              <w:t>FIRM / AFFILIATE OFFICES</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Beijing</w:t>
            </w:r>
          </w:p>
        </w:tc>
        <w:tc>
          <w:tcPr>
            <w:tcW w:w="2060" w:type="dxa"/>
            <w:vAlign w:val="bottom"/>
          </w:tcPr>
          <w:p>
            <w:pPr>
              <w:ind w:left="240"/>
              <w:spacing w:after="0"/>
              <w:rPr>
                <w:sz w:val="20"/>
                <w:szCs w:val="20"/>
                <w:color w:val="auto"/>
              </w:rPr>
            </w:pPr>
            <w:r>
              <w:rPr>
                <w:rFonts w:ascii="Arial" w:cs="Arial" w:eastAsia="Arial" w:hAnsi="Arial"/>
                <w:sz w:val="18"/>
                <w:szCs w:val="18"/>
                <w:color w:val="auto"/>
              </w:rPr>
              <w:t>Moscow</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Boston</w:t>
            </w:r>
          </w:p>
        </w:tc>
        <w:tc>
          <w:tcPr>
            <w:tcW w:w="2060" w:type="dxa"/>
            <w:vAlign w:val="bottom"/>
          </w:tcPr>
          <w:p>
            <w:pPr>
              <w:ind w:left="240"/>
              <w:spacing w:after="0"/>
              <w:rPr>
                <w:sz w:val="20"/>
                <w:szCs w:val="20"/>
                <w:color w:val="auto"/>
              </w:rPr>
            </w:pPr>
            <w:r>
              <w:rPr>
                <w:rFonts w:ascii="Arial" w:cs="Arial" w:eastAsia="Arial" w:hAnsi="Arial"/>
                <w:sz w:val="18"/>
                <w:szCs w:val="18"/>
                <w:color w:val="auto"/>
              </w:rPr>
              <w:t>Munich</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Brussels</w:t>
            </w:r>
          </w:p>
        </w:tc>
        <w:tc>
          <w:tcPr>
            <w:tcW w:w="2060" w:type="dxa"/>
            <w:vAlign w:val="bottom"/>
          </w:tcPr>
          <w:p>
            <w:pPr>
              <w:ind w:left="240"/>
              <w:spacing w:after="0"/>
              <w:rPr>
                <w:sz w:val="20"/>
                <w:szCs w:val="20"/>
                <w:color w:val="auto"/>
              </w:rPr>
            </w:pPr>
            <w:r>
              <w:rPr>
                <w:rFonts w:ascii="Arial" w:cs="Arial" w:eastAsia="Arial" w:hAnsi="Arial"/>
                <w:sz w:val="18"/>
                <w:szCs w:val="18"/>
                <w:color w:val="auto"/>
              </w:rPr>
              <w:t>New York</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Century City</w:t>
            </w:r>
          </w:p>
        </w:tc>
        <w:tc>
          <w:tcPr>
            <w:tcW w:w="2060" w:type="dxa"/>
            <w:vAlign w:val="bottom"/>
          </w:tcPr>
          <w:p>
            <w:pPr>
              <w:ind w:left="240"/>
              <w:spacing w:after="0"/>
              <w:rPr>
                <w:sz w:val="20"/>
                <w:szCs w:val="20"/>
                <w:color w:val="auto"/>
              </w:rPr>
            </w:pPr>
            <w:r>
              <w:rPr>
                <w:rFonts w:ascii="Arial" w:cs="Arial" w:eastAsia="Arial" w:hAnsi="Arial"/>
                <w:sz w:val="18"/>
                <w:szCs w:val="18"/>
                <w:color w:val="auto"/>
              </w:rPr>
              <w:t>Orange County</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Chicago</w:t>
            </w:r>
          </w:p>
        </w:tc>
        <w:tc>
          <w:tcPr>
            <w:tcW w:w="2060" w:type="dxa"/>
            <w:vAlign w:val="bottom"/>
          </w:tcPr>
          <w:p>
            <w:pPr>
              <w:ind w:left="240"/>
              <w:spacing w:after="0"/>
              <w:rPr>
                <w:sz w:val="20"/>
                <w:szCs w:val="20"/>
                <w:color w:val="auto"/>
              </w:rPr>
            </w:pPr>
            <w:r>
              <w:rPr>
                <w:rFonts w:ascii="Arial" w:cs="Arial" w:eastAsia="Arial" w:hAnsi="Arial"/>
                <w:sz w:val="18"/>
                <w:szCs w:val="18"/>
                <w:color w:val="auto"/>
              </w:rPr>
              <w:t>Paris</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Dubai</w:t>
            </w:r>
          </w:p>
        </w:tc>
        <w:tc>
          <w:tcPr>
            <w:tcW w:w="2060" w:type="dxa"/>
            <w:vAlign w:val="bottom"/>
          </w:tcPr>
          <w:p>
            <w:pPr>
              <w:ind w:left="240"/>
              <w:spacing w:after="0"/>
              <w:rPr>
                <w:sz w:val="20"/>
                <w:szCs w:val="20"/>
                <w:color w:val="auto"/>
              </w:rPr>
            </w:pPr>
            <w:r>
              <w:rPr>
                <w:rFonts w:ascii="Arial" w:cs="Arial" w:eastAsia="Arial" w:hAnsi="Arial"/>
                <w:sz w:val="18"/>
                <w:szCs w:val="18"/>
                <w:color w:val="auto"/>
              </w:rPr>
              <w:t>Riyadh</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March 15, 2018</w:t>
            </w:r>
          </w:p>
        </w:tc>
        <w:tc>
          <w:tcPr>
            <w:tcW w:w="4900" w:type="dxa"/>
            <w:vAlign w:val="bottom"/>
          </w:tcPr>
          <w:p>
            <w:pPr>
              <w:ind w:left="3320"/>
              <w:spacing w:after="0"/>
              <w:rPr>
                <w:sz w:val="20"/>
                <w:szCs w:val="20"/>
                <w:color w:val="auto"/>
              </w:rPr>
            </w:pPr>
            <w:r>
              <w:rPr>
                <w:rFonts w:ascii="Arial" w:cs="Arial" w:eastAsia="Arial" w:hAnsi="Arial"/>
                <w:sz w:val="18"/>
                <w:szCs w:val="18"/>
                <w:color w:val="auto"/>
              </w:rPr>
              <w:t>Düsseldorf</w:t>
            </w:r>
          </w:p>
        </w:tc>
        <w:tc>
          <w:tcPr>
            <w:tcW w:w="2060" w:type="dxa"/>
            <w:vAlign w:val="bottom"/>
          </w:tcPr>
          <w:p>
            <w:pPr>
              <w:ind w:left="240"/>
              <w:spacing w:after="0"/>
              <w:rPr>
                <w:sz w:val="20"/>
                <w:szCs w:val="20"/>
                <w:color w:val="auto"/>
              </w:rPr>
            </w:pPr>
            <w:r>
              <w:rPr>
                <w:rFonts w:ascii="Arial" w:cs="Arial" w:eastAsia="Arial" w:hAnsi="Arial"/>
                <w:sz w:val="18"/>
                <w:szCs w:val="18"/>
                <w:color w:val="auto"/>
              </w:rPr>
              <w:t>Rome</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Frankfurt</w:t>
            </w:r>
          </w:p>
        </w:tc>
        <w:tc>
          <w:tcPr>
            <w:tcW w:w="2060" w:type="dxa"/>
            <w:vAlign w:val="bottom"/>
          </w:tcPr>
          <w:p>
            <w:pPr>
              <w:ind w:left="240"/>
              <w:spacing w:after="0"/>
              <w:rPr>
                <w:sz w:val="20"/>
                <w:szCs w:val="20"/>
                <w:color w:val="auto"/>
              </w:rPr>
            </w:pPr>
            <w:r>
              <w:rPr>
                <w:rFonts w:ascii="Arial" w:cs="Arial" w:eastAsia="Arial" w:hAnsi="Arial"/>
                <w:sz w:val="18"/>
                <w:szCs w:val="18"/>
                <w:color w:val="auto"/>
              </w:rPr>
              <w:t>San Diego</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Hamburg</w:t>
            </w:r>
          </w:p>
        </w:tc>
        <w:tc>
          <w:tcPr>
            <w:tcW w:w="2060" w:type="dxa"/>
            <w:vAlign w:val="bottom"/>
          </w:tcPr>
          <w:p>
            <w:pPr>
              <w:ind w:left="240"/>
              <w:spacing w:after="0"/>
              <w:rPr>
                <w:sz w:val="20"/>
                <w:szCs w:val="20"/>
                <w:color w:val="auto"/>
              </w:rPr>
            </w:pPr>
            <w:r>
              <w:rPr>
                <w:rFonts w:ascii="Arial" w:cs="Arial" w:eastAsia="Arial" w:hAnsi="Arial"/>
                <w:sz w:val="18"/>
                <w:szCs w:val="18"/>
                <w:color w:val="auto"/>
              </w:rPr>
              <w:t>San Francisco</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Hong Kong</w:t>
            </w:r>
          </w:p>
        </w:tc>
        <w:tc>
          <w:tcPr>
            <w:tcW w:w="2060" w:type="dxa"/>
            <w:vAlign w:val="bottom"/>
          </w:tcPr>
          <w:p>
            <w:pPr>
              <w:ind w:left="240"/>
              <w:spacing w:after="0"/>
              <w:rPr>
                <w:sz w:val="20"/>
                <w:szCs w:val="20"/>
                <w:color w:val="auto"/>
              </w:rPr>
            </w:pPr>
            <w:r>
              <w:rPr>
                <w:rFonts w:ascii="Arial" w:cs="Arial" w:eastAsia="Arial" w:hAnsi="Arial"/>
                <w:sz w:val="18"/>
                <w:szCs w:val="18"/>
                <w:color w:val="auto"/>
              </w:rPr>
              <w:t>Seoul</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Houston</w:t>
            </w:r>
          </w:p>
        </w:tc>
        <w:tc>
          <w:tcPr>
            <w:tcW w:w="2060" w:type="dxa"/>
            <w:vAlign w:val="bottom"/>
          </w:tcPr>
          <w:p>
            <w:pPr>
              <w:ind w:left="240"/>
              <w:spacing w:after="0"/>
              <w:rPr>
                <w:sz w:val="20"/>
                <w:szCs w:val="20"/>
                <w:color w:val="auto"/>
              </w:rPr>
            </w:pPr>
            <w:r>
              <w:rPr>
                <w:rFonts w:ascii="Arial" w:cs="Arial" w:eastAsia="Arial" w:hAnsi="Arial"/>
                <w:sz w:val="18"/>
                <w:szCs w:val="18"/>
                <w:color w:val="auto"/>
              </w:rPr>
              <w:t>Shanghai</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London</w:t>
            </w:r>
          </w:p>
        </w:tc>
        <w:tc>
          <w:tcPr>
            <w:tcW w:w="2060" w:type="dxa"/>
            <w:vAlign w:val="bottom"/>
          </w:tcPr>
          <w:p>
            <w:pPr>
              <w:ind w:left="240"/>
              <w:spacing w:after="0"/>
              <w:rPr>
                <w:sz w:val="20"/>
                <w:szCs w:val="20"/>
                <w:color w:val="auto"/>
              </w:rPr>
            </w:pPr>
            <w:r>
              <w:rPr>
                <w:rFonts w:ascii="Arial" w:cs="Arial" w:eastAsia="Arial" w:hAnsi="Arial"/>
                <w:sz w:val="18"/>
                <w:szCs w:val="18"/>
                <w:color w:val="auto"/>
              </w:rPr>
              <w:t>Silicon Valley</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Los Angeles</w:t>
            </w:r>
          </w:p>
        </w:tc>
        <w:tc>
          <w:tcPr>
            <w:tcW w:w="2060" w:type="dxa"/>
            <w:vAlign w:val="bottom"/>
          </w:tcPr>
          <w:p>
            <w:pPr>
              <w:ind w:left="240"/>
              <w:spacing w:after="0"/>
              <w:rPr>
                <w:sz w:val="20"/>
                <w:szCs w:val="20"/>
                <w:color w:val="auto"/>
              </w:rPr>
            </w:pPr>
            <w:r>
              <w:rPr>
                <w:rFonts w:ascii="Arial" w:cs="Arial" w:eastAsia="Arial" w:hAnsi="Arial"/>
                <w:sz w:val="18"/>
                <w:szCs w:val="18"/>
                <w:color w:val="auto"/>
              </w:rPr>
              <w:t>Singapore</w:t>
            </w:r>
          </w:p>
        </w:tc>
      </w:tr>
      <w:tr>
        <w:trPr>
          <w:trHeight w:val="216"/>
        </w:trPr>
        <w:tc>
          <w:tcPr>
            <w:tcW w:w="4460" w:type="dxa"/>
            <w:vAlign w:val="bottom"/>
          </w:tcPr>
          <w:p>
            <w:pPr>
              <w:spacing w:after="0"/>
              <w:rPr>
                <w:sz w:val="18"/>
                <w:szCs w:val="18"/>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Madrid</w:t>
            </w:r>
          </w:p>
        </w:tc>
        <w:tc>
          <w:tcPr>
            <w:tcW w:w="2060" w:type="dxa"/>
            <w:vAlign w:val="bottom"/>
          </w:tcPr>
          <w:p>
            <w:pPr>
              <w:ind w:left="240"/>
              <w:spacing w:after="0"/>
              <w:rPr>
                <w:sz w:val="20"/>
                <w:szCs w:val="20"/>
                <w:color w:val="auto"/>
              </w:rPr>
            </w:pPr>
            <w:r>
              <w:rPr>
                <w:rFonts w:ascii="Arial" w:cs="Arial" w:eastAsia="Arial" w:hAnsi="Arial"/>
                <w:sz w:val="18"/>
                <w:szCs w:val="18"/>
                <w:color w:val="auto"/>
              </w:rPr>
              <w:t>Tokyo</w:t>
            </w:r>
          </w:p>
        </w:tc>
      </w:tr>
      <w:tr>
        <w:trPr>
          <w:trHeight w:val="230"/>
        </w:trPr>
        <w:tc>
          <w:tcPr>
            <w:tcW w:w="4460" w:type="dxa"/>
            <w:vAlign w:val="bottom"/>
          </w:tcPr>
          <w:p>
            <w:pPr>
              <w:spacing w:after="0"/>
              <w:rPr>
                <w:sz w:val="20"/>
                <w:szCs w:val="20"/>
                <w:color w:val="auto"/>
              </w:rPr>
            </w:pPr>
          </w:p>
        </w:tc>
        <w:tc>
          <w:tcPr>
            <w:tcW w:w="4900" w:type="dxa"/>
            <w:vAlign w:val="bottom"/>
          </w:tcPr>
          <w:p>
            <w:pPr>
              <w:ind w:left="3320"/>
              <w:spacing w:after="0"/>
              <w:rPr>
                <w:sz w:val="20"/>
                <w:szCs w:val="20"/>
                <w:color w:val="auto"/>
              </w:rPr>
            </w:pPr>
            <w:r>
              <w:rPr>
                <w:rFonts w:ascii="Arial" w:cs="Arial" w:eastAsia="Arial" w:hAnsi="Arial"/>
                <w:sz w:val="18"/>
                <w:szCs w:val="18"/>
                <w:color w:val="auto"/>
              </w:rPr>
              <w:t>Milan</w:t>
            </w:r>
          </w:p>
        </w:tc>
        <w:tc>
          <w:tcPr>
            <w:tcW w:w="2060" w:type="dxa"/>
            <w:vAlign w:val="bottom"/>
          </w:tcPr>
          <w:p>
            <w:pPr>
              <w:ind w:left="240"/>
              <w:spacing w:after="0"/>
              <w:rPr>
                <w:sz w:val="20"/>
                <w:szCs w:val="20"/>
                <w:color w:val="auto"/>
              </w:rPr>
            </w:pPr>
            <w:r>
              <w:rPr>
                <w:rFonts w:ascii="Arial" w:cs="Arial" w:eastAsia="Arial" w:hAnsi="Arial"/>
                <w:sz w:val="18"/>
                <w:szCs w:val="18"/>
                <w:color w:val="auto"/>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-2134870</wp:posOffset>
            </wp:positionV>
            <wp:extent cx="201549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015490" cy="1543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Ardelyx,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34175 Ardenwood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 94555</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u w:val="single" w:color="auto"/>
          <w:color w:val="auto"/>
        </w:rPr>
        <w:t>Registration Statement on Form S-8; 1,901,339 shares of Common Stock of Ardelyx, Inc., par value $0.0001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acted as special counsel to Ardelyx,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registration by the Company of 1,901,339 shares of common stock of the Company, par value $0.0001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issuable under the Company’s 2014 Equity Incentive Award Plan (the “</w:t>
      </w:r>
      <w:r>
        <w:rPr>
          <w:rFonts w:ascii="Arial" w:cs="Arial" w:eastAsia="Arial" w:hAnsi="Arial"/>
          <w:sz w:val="18"/>
          <w:szCs w:val="18"/>
          <w:b w:val="1"/>
          <w:bCs w:val="1"/>
          <w:i w:val="1"/>
          <w:iCs w:val="1"/>
          <w:color w:val="auto"/>
        </w:rPr>
        <w:t>2014 Plan</w:t>
      </w:r>
      <w:r>
        <w:rPr>
          <w:rFonts w:ascii="Arial" w:cs="Arial" w:eastAsia="Arial" w:hAnsi="Arial"/>
          <w:sz w:val="18"/>
          <w:szCs w:val="18"/>
          <w:color w:val="auto"/>
        </w:rPr>
        <w:t>”).</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Shares are included in a registration statement on Form S-8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March 15, 2018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w:t>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15,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397635"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397635" cy="1117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against payment therefor (not less than par value) in the circumstances contemplated by the 2014 Plan, assuming in each case that the individual issuances, grants or awards under the 2014 Plan are duly authorized by all necessary corporate action and duly issued, granted or awarded and exercised in accordance with the requirements of law and the 2014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400"/>
          </w:cols>
          <w:pgMar w:left="240" w:top="270" w:right="2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2014 Equity Incentive Award Plan of Ardelyx, Inc. of our report dated March 14, 2018, with respect to the consolidated financial statements of Ardelyx, Inc. included in its Annual Report (Form 10-K) for the year ended December 31, 2017,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1"/>
      <w:numFmt w:val="lowerLetter"/>
      <w:start w:val="1"/>
    </w:lvl>
    <w:lvl w:ilvl="1">
      <w:lvlJc w:val="left"/>
      <w:lvlText w:val="(%2)"/>
      <w:numFmt w:val="decimal"/>
      <w:start w:val="2"/>
    </w:lvl>
  </w:abstractNum>
  <w:abstractNum w:abstractNumId="7">
    <w:nsid w:val="7545E146"/>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jpeg"/><Relationship Id="rId31" Type="http://schemas.openxmlformats.org/officeDocument/2006/relationships/image" Target="media/image18.png"/><Relationship Id="rId32" Type="http://schemas.openxmlformats.org/officeDocument/2006/relationships/image" Target="media/image19.jpeg"/><Relationship Id="rId21" Type="http://schemas.openxmlformats.org/officeDocument/2006/relationships/hyperlink" Target="http://www.sec.gov/Archives/edgar/data/1437402/000119312514247380/d748616dex31.htm" TargetMode="External"/><Relationship Id="rId22" Type="http://schemas.openxmlformats.org/officeDocument/2006/relationships/hyperlink" Target="http://www.sec.gov/Archives/edgar/data/1437402/000119312514247380/d748616dex32.htm" TargetMode="External"/><Relationship Id="rId23" Type="http://schemas.openxmlformats.org/officeDocument/2006/relationships/hyperlink" Target="http://www.sec.gov/Archives/edgar/data/1437402/000119312514240520/d704770dex42.htm" TargetMode="External"/><Relationship Id="rId24" Type="http://schemas.openxmlformats.org/officeDocument/2006/relationships/hyperlink" Target="http://www.sec.gov/Archives/edgar/data/1437402/000119312514267896/d758186dex993.htm" TargetMode="External"/><Relationship Id="rId25" Type="http://schemas.openxmlformats.org/officeDocument/2006/relationships/hyperlink" Target="http://www.sec.gov/Archives/edgar/data/1437402/000119312514229371/d704770dex106b.htm" TargetMode="External"/><Relationship Id="rId26" Type="http://schemas.openxmlformats.org/officeDocument/2006/relationships/hyperlink" Target="http://www.sec.gov/Archives/edgar/data/1437402/000119312514229371/d704770dex106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2019-12-07T13:33:03Z</dcterms:created>
  <dcterms:modified xsi:type="dcterms:W3CDTF">2019-12-07T13:33:03Z</dcterms:modified>
</cp:coreProperties>
</file>