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200660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57543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37" w:lineRule="exact"/>
        <w:rPr>
          <w:sz w:val="24"/>
          <w:szCs w:val="24"/>
          <w:color w:val="auto"/>
        </w:rPr>
      </w:pPr>
    </w:p>
    <w:p>
      <w:pPr>
        <w:jc w:val="center"/>
        <w:spacing w:after="0" w:line="368" w:lineRule="exact"/>
        <w:rPr>
          <w:sz w:val="20"/>
          <w:szCs w:val="20"/>
          <w:color w:val="auto"/>
        </w:rPr>
      </w:pPr>
      <w:r>
        <w:rPr>
          <w:rFonts w:ascii="Times New Roman" w:cs="Times New Roman" w:eastAsia="Times New Roman" w:hAnsi="Times New Roman"/>
          <w:sz w:val="32"/>
          <w:szCs w:val="32"/>
          <w:b w:val="1"/>
          <w:bCs w:val="1"/>
          <w:color w:val="auto"/>
        </w:rPr>
        <w:t>FORM 8</w:t>
      </w:r>
      <w:r>
        <w:rPr>
          <w:rFonts w:ascii="MS PGothic" w:cs="MS PGothic" w:eastAsia="MS PGothic" w:hAnsi="MS PGothic"/>
          <w:sz w:val="32"/>
          <w:szCs w:val="32"/>
          <w:color w:val="auto"/>
          <w:strike w:val="1"/>
        </w:rPr>
        <w:t>‑</w:t>
      </w:r>
      <w:r>
        <w:rPr>
          <w:rFonts w:ascii="Times New Roman" w:cs="Times New Roman" w:eastAsia="Times New Roman" w:hAnsi="Times New Roman"/>
          <w:sz w:val="32"/>
          <w:szCs w:val="32"/>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575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575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5754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332" w:lineRule="exact"/>
        <w:rPr>
          <w:sz w:val="24"/>
          <w:szCs w:val="24"/>
          <w:color w:val="auto"/>
        </w:rPr>
      </w:pPr>
    </w:p>
    <w:tbl>
      <w:tblPr>
        <w:tblLayout w:type="fixed"/>
        <w:tblInd w:w="680" w:type="dxa"/>
        <w:tblCellMar>
          <w:top w:w="0" w:type="dxa"/>
          <w:left w:w="0" w:type="dxa"/>
          <w:bottom w:w="0" w:type="dxa"/>
          <w:right w:w="0" w:type="dxa"/>
        </w:tblCellMar>
      </w:tblPr>
      <w:tr>
        <w:trPr>
          <w:trHeight w:val="238"/>
        </w:trPr>
        <w:tc>
          <w:tcPr>
            <w:tcW w:w="2580" w:type="dxa"/>
            <w:vAlign w:val="bottom"/>
          </w:tcPr>
          <w:p>
            <w:pPr>
              <w:jc w:val="center"/>
              <w:ind w:right="84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960"/>
              <w:spacing w:after="0" w:line="207" w:lineRule="exact"/>
              <w:rPr>
                <w:sz w:val="20"/>
                <w:szCs w:val="20"/>
                <w:color w:val="auto"/>
              </w:rPr>
            </w:pPr>
            <w:r>
              <w:rPr>
                <w:rFonts w:ascii="Times New Roman" w:cs="Times New Roman" w:eastAsia="Times New Roman" w:hAnsi="Times New Roman"/>
                <w:sz w:val="18"/>
                <w:szCs w:val="18"/>
                <w:b w:val="1"/>
                <w:bCs w:val="1"/>
                <w:color w:val="auto"/>
              </w:rPr>
              <w:t>001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36485</w:t>
            </w:r>
          </w:p>
        </w:tc>
        <w:tc>
          <w:tcPr>
            <w:tcW w:w="2380" w:type="dxa"/>
            <w:vAlign w:val="bottom"/>
          </w:tcPr>
          <w:p>
            <w:pPr>
              <w:jc w:val="center"/>
              <w:ind w:left="862"/>
              <w:spacing w:after="0" w:line="207" w:lineRule="exact"/>
              <w:rPr>
                <w:sz w:val="20"/>
                <w:szCs w:val="20"/>
                <w:color w:val="auto"/>
              </w:rPr>
            </w:pPr>
            <w:r>
              <w:rPr>
                <w:rFonts w:ascii="Times New Roman" w:cs="Times New Roman" w:eastAsia="Times New Roman" w:hAnsi="Times New Roman"/>
                <w:sz w:val="18"/>
                <w:szCs w:val="18"/>
                <w:b w:val="1"/>
                <w:bCs w:val="1"/>
                <w:color w:val="auto"/>
              </w:rPr>
              <w:t>26</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1303944</w:t>
            </w:r>
          </w:p>
        </w:tc>
      </w:tr>
      <w:tr>
        <w:trPr>
          <w:trHeight w:val="149"/>
        </w:trPr>
        <w:tc>
          <w:tcPr>
            <w:tcW w:w="2580" w:type="dxa"/>
            <w:vAlign w:val="bottom"/>
          </w:tcPr>
          <w:p>
            <w:pPr>
              <w:jc w:val="center"/>
              <w:ind w:right="8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9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38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80" w:type="dxa"/>
            <w:vAlign w:val="bottom"/>
          </w:tcPr>
          <w:p>
            <w:pPr>
              <w:jc w:val="center"/>
              <w:ind w:right="8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380" w:type="dxa"/>
            <w:vAlign w:val="bottom"/>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34175 Ardenwood Blvd.,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Fremont, CA 94555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9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745</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19" w:lineRule="exact"/>
        <w:rPr>
          <w:sz w:val="24"/>
          <w:szCs w:val="24"/>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w:t>
      </w:r>
    </w:p>
    <w:p>
      <w:pPr>
        <w:spacing w:after="0" w:line="132" w:lineRule="exact"/>
        <w:rPr>
          <w:sz w:val="24"/>
          <w:szCs w:val="24"/>
          <w:color w:val="auto"/>
        </w:rPr>
      </w:pPr>
    </w:p>
    <w:p>
      <w:pPr>
        <w:ind w:left="360" w:hanging="357"/>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28" w:lineRule="exact"/>
        <w:rPr>
          <w:rFonts w:ascii="MS PGothic" w:cs="MS PGothic" w:eastAsia="MS PGothic" w:hAnsi="MS PGothic"/>
          <w:sz w:val="18"/>
          <w:szCs w:val="18"/>
          <w:color w:val="auto"/>
        </w:rPr>
      </w:pPr>
    </w:p>
    <w:p>
      <w:pPr>
        <w:ind w:left="360" w:hanging="357"/>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171" w:lineRule="exact"/>
        <w:rPr>
          <w:rFonts w:ascii="MS PGothic" w:cs="MS PGothic" w:eastAsia="MS PGothic" w:hAnsi="MS PGothic"/>
          <w:sz w:val="18"/>
          <w:szCs w:val="18"/>
          <w:color w:val="auto"/>
        </w:rPr>
      </w:pPr>
    </w:p>
    <w:p>
      <w:pPr>
        <w:ind w:left="360" w:hanging="357"/>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171" w:lineRule="exact"/>
        <w:rPr>
          <w:rFonts w:ascii="MS PGothic" w:cs="MS PGothic" w:eastAsia="MS PGothic" w:hAnsi="MS PGothic"/>
          <w:sz w:val="18"/>
          <w:szCs w:val="18"/>
          <w:color w:val="auto"/>
        </w:rPr>
      </w:pPr>
    </w:p>
    <w:p>
      <w:pPr>
        <w:ind w:left="360" w:hanging="357"/>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186"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 (§240.12b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this chapter).</w:t>
      </w:r>
    </w:p>
    <w:p>
      <w:pPr>
        <w:spacing w:after="0" w:line="8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58" w:lineRule="exact"/>
        <w:rPr>
          <w:sz w:val="24"/>
          <w:szCs w:val="24"/>
          <w:color w:val="auto"/>
        </w:rPr>
      </w:pPr>
    </w:p>
    <w:p>
      <w:pPr>
        <w:ind w:right="8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w:t>
            </w:r>
          </w:p>
        </w:tc>
        <w:tc>
          <w:tcPr>
            <w:tcW w:w="240" w:type="dxa"/>
            <w:vAlign w:val="bottom"/>
          </w:tcPr>
          <w:p>
            <w:pPr>
              <w:spacing w:after="0"/>
              <w:rPr>
                <w:sz w:val="15"/>
                <w:szCs w:val="15"/>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ARDX</w:t>
            </w:r>
          </w:p>
        </w:tc>
        <w:tc>
          <w:tcPr>
            <w:tcW w:w="240" w:type="dxa"/>
            <w:vAlign w:val="bottom"/>
          </w:tcPr>
          <w:p>
            <w:pPr>
              <w:spacing w:after="0"/>
              <w:rPr>
                <w:sz w:val="15"/>
                <w:szCs w:val="15"/>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r>
        <w:trPr>
          <w:trHeight w:val="109"/>
        </w:trPr>
        <w:tc>
          <w:tcPr>
            <w:tcW w:w="2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r>
      <w:tr>
        <w:trPr>
          <w:trHeight w:val="41"/>
        </w:trPr>
        <w:tc>
          <w:tcPr>
            <w:tcW w:w="27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r>
      <w:tr>
        <w:trPr>
          <w:trHeight w:val="682"/>
        </w:trPr>
        <w:tc>
          <w:tcPr>
            <w:tcW w:w="2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376" w:right="1419" w:bottom="1440" w:gutter="0" w:footer="0" w:header="0"/>
        </w:sectPr>
      </w:pPr>
    </w:p>
    <w:bookmarkStart w:id="1" w:name="page2"/>
    <w:bookmarkEnd w:id="1"/>
    <w:p>
      <w:pPr>
        <w:ind w:left="4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08" w:lineRule="exact"/>
        <w:rPr>
          <w:sz w:val="20"/>
          <w:szCs w:val="20"/>
          <w:color w:val="auto"/>
        </w:rPr>
      </w:pPr>
    </w:p>
    <w:p>
      <w:pPr>
        <w:ind w:right="59"/>
        <w:spacing w:after="0" w:line="229" w:lineRule="exact"/>
        <w:rPr>
          <w:sz w:val="20"/>
          <w:szCs w:val="20"/>
          <w:color w:val="auto"/>
        </w:rPr>
      </w:pPr>
      <w:r>
        <w:rPr>
          <w:rFonts w:ascii="Times New Roman" w:cs="Times New Roman" w:eastAsia="Times New Roman" w:hAnsi="Times New Roman"/>
          <w:sz w:val="18"/>
          <w:szCs w:val="18"/>
          <w:color w:val="auto"/>
        </w:rPr>
        <w:t>On May 7, 2019, Ardelyx, Inc. (the “Company”) announced its financial results for the quarter ended March 31, 2019. The full text of the press release issued in connection with the announcement is furnished as Exhibit 99.1 to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71" w:lineRule="exact"/>
        <w:rPr>
          <w:sz w:val="20"/>
          <w:szCs w:val="20"/>
          <w:color w:val="auto"/>
        </w:rPr>
      </w:pPr>
    </w:p>
    <w:p>
      <w:pPr>
        <w:ind w:right="39"/>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3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Exhibit</w:t>
      </w:r>
    </w:p>
    <w:p>
      <w:pPr>
        <w:ind w:left="180"/>
        <w:spacing w:after="0"/>
        <w:tabs>
          <w:tab w:leader="none" w:pos="84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32" w:lineRule="exact"/>
        <w:rPr>
          <w:sz w:val="20"/>
          <w:szCs w:val="20"/>
          <w:color w:val="auto"/>
        </w:rPr>
      </w:pPr>
    </w:p>
    <w:p>
      <w:pPr>
        <w:spacing w:after="0"/>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of Ardelyx,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4500" w:val="left"/>
        </w:tabs>
        <w:rPr>
          <w:sz w:val="20"/>
          <w:szCs w:val="20"/>
          <w:color w:val="auto"/>
        </w:rPr>
      </w:pPr>
      <w:r>
        <w:rPr>
          <w:rFonts w:ascii="Times New Roman" w:cs="Times New Roman" w:eastAsia="Times New Roman" w:hAnsi="Times New Roman"/>
          <w:sz w:val="18"/>
          <w:szCs w:val="18"/>
          <w:color w:val="auto"/>
        </w:rPr>
        <w:t>Date: May 7, 2019</w:t>
      </w:r>
      <w:r>
        <w:rPr>
          <w:sz w:val="20"/>
          <w:szCs w:val="20"/>
          <w:color w:val="auto"/>
        </w:rPr>
        <w:tab/>
      </w:r>
      <w:r>
        <w:rPr>
          <w:rFonts w:ascii="Times New Roman" w:cs="Times New Roman" w:eastAsia="Times New Roman" w:hAnsi="Times New Roman"/>
          <w:sz w:val="17"/>
          <w:szCs w:val="17"/>
          <w:color w:val="auto"/>
        </w:rPr>
        <w:t>ARDELYX,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Mark Kaufmann</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-130810</wp:posOffset>
            </wp:positionV>
            <wp:extent cx="2667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157480</wp:posOffset>
            </wp:positionV>
            <wp:extent cx="168973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97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Reports First Quarter 2019 Financial Results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Two Pivotal Phase 3 readouts in 2H 2019</w:t>
      </w:r>
    </w:p>
    <w:p>
      <w:pPr>
        <w:spacing w:after="0" w:line="22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FREMONT, Calif., May 7, 2019 </w:t>
      </w:r>
      <w:r>
        <w:rPr>
          <w:rFonts w:ascii="Times New Roman" w:cs="Times New Roman" w:eastAsia="Times New Roman" w:hAnsi="Times New Roman"/>
          <w:sz w:val="18"/>
          <w:szCs w:val="18"/>
          <w:color w:val="auto"/>
        </w:rPr>
        <w:t>-- Ardelyx, Inc. (NASDAQ: ARDX), a specialized biopharmaceutical company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developing first-in-class medicines to improve treatment choices for people with cardiorenal diseases, today reported business highlights and financial results for the first quarter ended March 31, 2019.</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“With our two ongoing Phase 3 clinical trials for tenapanor for the treatment of hyperphosphatemia in patients with ESRD on dialysis, one as a single agent therapy and the other as adjunctive therapy with phosphate binders, we are positioned for significant catalysts this year,” said Mike Raab, president and chief executive officer of Ardelyx. "Current treatment options for hyperphosphatemia have many limitations, leading to poor adherence and inadequate phosphorus control. If the results from our PHREEDOM and AMPLIFY clinical trials are positive and tenapanor is approved, we believe tenapanor would be an enormous step forward in the management of hyperphosphatemia in ESRD patients on dialysis. Tenapanor provides a completely novel and differentiated mechanism that could lower pill burden and improve adherence thus improving efficacy of the patient’s phosphate lowering therapy.”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and Pipeline Updates</w:t>
      </w:r>
    </w:p>
    <w:p>
      <w:pPr>
        <w:spacing w:after="0" w:line="227" w:lineRule="exact"/>
        <w:rPr>
          <w:sz w:val="20"/>
          <w:szCs w:val="20"/>
          <w:color w:val="auto"/>
        </w:rPr>
      </w:pPr>
    </w:p>
    <w:p>
      <w:pPr>
        <w:ind w:left="660" w:right="620" w:hanging="333"/>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Published positive Phase 3 results of tenapanor for the treatment of hyperphosphatemia in the </w:t>
      </w:r>
      <w:r>
        <w:rPr>
          <w:rFonts w:ascii="Times New Roman" w:cs="Times New Roman" w:eastAsia="Times New Roman" w:hAnsi="Times New Roman"/>
          <w:sz w:val="18"/>
          <w:szCs w:val="18"/>
          <w:i w:val="1"/>
          <w:iCs w:val="1"/>
          <w:color w:val="auto"/>
        </w:rPr>
        <w:t>Journal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American Society of Nephrology</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renowned nephrologist Geoff A. Block, M.D., to its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2019 Milestones</w:t>
      </w:r>
    </w:p>
    <w:p>
      <w:pPr>
        <w:spacing w:after="0" w:line="229" w:lineRule="exact"/>
        <w:rPr>
          <w:sz w:val="20"/>
          <w:szCs w:val="20"/>
          <w:color w:val="auto"/>
        </w:rPr>
      </w:pPr>
    </w:p>
    <w:p>
      <w:pPr>
        <w:ind w:left="660" w:right="160" w:hanging="333"/>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PHREEDOM clinical trial, the company’s second Phase 3 clinical trial of tenapanor for hyperphosphatemia in patients with end-stage renal disease (ESRD) who are on dialysis, is currently expected to read out in the fourth quarter of 2019.</w:t>
      </w:r>
    </w:p>
    <w:p>
      <w:pPr>
        <w:spacing w:after="0" w:line="176" w:lineRule="exact"/>
        <w:rPr>
          <w:rFonts w:ascii="Times New Roman" w:cs="Times New Roman" w:eastAsia="Times New Roman" w:hAnsi="Times New Roman"/>
          <w:sz w:val="18"/>
          <w:szCs w:val="18"/>
          <w:color w:val="auto"/>
        </w:rPr>
      </w:pPr>
    </w:p>
    <w:p>
      <w:pPr>
        <w:ind w:left="660" w:right="40" w:hanging="333"/>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AMPLIFY clinical trial, the company’s additional Phase 3 clinical trial of tenapanor as adjunctive therapy with phosphate binders for hyperphosphatemia in patients with ESRD who are on dialysis, is currently expected to read out in the second half of 2019.</w:t>
      </w:r>
    </w:p>
    <w:p>
      <w:pPr>
        <w:spacing w:after="0" w:line="176" w:lineRule="exact"/>
        <w:rPr>
          <w:rFonts w:ascii="Times New Roman" w:cs="Times New Roman" w:eastAsia="Times New Roman" w:hAnsi="Times New Roman"/>
          <w:sz w:val="18"/>
          <w:szCs w:val="18"/>
          <w:color w:val="auto"/>
        </w:rPr>
      </w:pPr>
    </w:p>
    <w:p>
      <w:pPr>
        <w:ind w:left="660" w:right="80" w:hanging="333"/>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New Drug Application for U.S. marketing authorization of tenapanor for patients with IBS-C has a target action date under the Prescription Drug User Fee Act (PDUFA) of September 12,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2019 Financial Results</w:t>
      </w:r>
    </w:p>
    <w:p>
      <w:pPr>
        <w:spacing w:after="0" w:line="225" w:lineRule="exact"/>
        <w:rPr>
          <w:sz w:val="20"/>
          <w:szCs w:val="20"/>
          <w:color w:val="auto"/>
        </w:rPr>
      </w:pPr>
    </w:p>
    <w:p>
      <w:pPr>
        <w:ind w:left="660" w:right="240" w:hanging="333"/>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Position</w:t>
      </w:r>
      <w:r>
        <w:rPr>
          <w:rFonts w:ascii="Times New Roman" w:cs="Times New Roman" w:eastAsia="Times New Roman" w:hAnsi="Times New Roman"/>
          <w:sz w:val="18"/>
          <w:szCs w:val="18"/>
          <w:color w:val="auto"/>
        </w:rPr>
        <w:t>: As of March 31, 2019, Ardelyx had total capital resources including cash, cash equivalents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investments of $151.6 million compared to total capital resources including cash, cash equivalents and short-term investments of $168.1 million as of December 31, 2018.</w:t>
      </w:r>
    </w:p>
    <w:p>
      <w:pPr>
        <w:spacing w:after="0" w:line="170" w:lineRule="exact"/>
        <w:rPr>
          <w:rFonts w:ascii="Times New Roman" w:cs="Times New Roman" w:eastAsia="Times New Roman" w:hAnsi="Times New Roman"/>
          <w:sz w:val="18"/>
          <w:szCs w:val="18"/>
          <w:color w:val="auto"/>
        </w:rPr>
      </w:pPr>
    </w:p>
    <w:p>
      <w:pPr>
        <w:ind w:left="660" w:right="160" w:hanging="333"/>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w:t>
      </w:r>
      <w:r>
        <w:rPr>
          <w:rFonts w:ascii="Times New Roman" w:cs="Times New Roman" w:eastAsia="Times New Roman" w:hAnsi="Times New Roman"/>
          <w:sz w:val="18"/>
          <w:szCs w:val="18"/>
          <w:color w:val="auto"/>
        </w:rPr>
        <w:t>: Licensing revenue for the quarter ended March 31, 2019 was zero. The company generated $2.3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license revenue for the quarter ended March 31, 2018.</w:t>
      </w:r>
    </w:p>
    <w:p>
      <w:pPr>
        <w:spacing w:after="0" w:line="154" w:lineRule="exact"/>
        <w:rPr>
          <w:rFonts w:ascii="Times New Roman" w:cs="Times New Roman" w:eastAsia="Times New Roman" w:hAnsi="Times New Roman"/>
          <w:sz w:val="18"/>
          <w:szCs w:val="18"/>
          <w:color w:val="auto"/>
        </w:rPr>
      </w:pPr>
    </w:p>
    <w:p>
      <w:pPr>
        <w:ind w:left="660" w:right="740" w:hanging="333"/>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Cost of Revenue</w:t>
      </w:r>
      <w:r>
        <w:rPr>
          <w:rFonts w:ascii="Times New Roman" w:cs="Times New Roman" w:eastAsia="Times New Roman" w:hAnsi="Times New Roman"/>
          <w:sz w:val="18"/>
          <w:szCs w:val="18"/>
          <w:color w:val="auto"/>
        </w:rPr>
        <w:t>: Cost of revenue for the quarter ended March 31, 2019 was zero. The cost of revenue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quarter ended March 31, 2018 was $0.5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661670</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4" w:name="page5"/>
    <w:bookmarkEnd w:id="4"/>
    <w:p>
      <w:pPr>
        <w:ind w:left="660" w:right="240" w:hanging="333"/>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4968240</wp:posOffset>
            </wp:positionH>
            <wp:positionV relativeFrom="page">
              <wp:posOffset>88900</wp:posOffset>
            </wp:positionV>
            <wp:extent cx="168973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89735" cy="445770"/>
                    </a:xfrm>
                    <a:prstGeom prst="rect">
                      <a:avLst/>
                    </a:prstGeom>
                    <a:noFill/>
                  </pic:spPr>
                </pic:pic>
              </a:graphicData>
            </a:graphic>
          </wp:anchor>
        </w:drawing>
        <w:t>R&amp;D Expenses</w:t>
      </w:r>
      <w:r>
        <w:rPr>
          <w:rFonts w:ascii="Times New Roman" w:cs="Times New Roman" w:eastAsia="Times New Roman" w:hAnsi="Times New Roman"/>
          <w:sz w:val="18"/>
          <w:szCs w:val="18"/>
          <w:color w:val="auto"/>
        </w:rPr>
        <w:t>: Research and development expenses were $20.4 million for the three months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an increase of $7.0 million, or 53 percent, compared to $13.4 million for the three months ended March 31, 2018. The increase was primarily related to the Company’s PHREEDOM and AMPLIFY clinical trials as well as the RDX013 program.</w:t>
      </w:r>
    </w:p>
    <w:p>
      <w:pPr>
        <w:spacing w:after="0" w:line="176" w:lineRule="exact"/>
        <w:rPr>
          <w:rFonts w:ascii="Times New Roman" w:cs="Times New Roman" w:eastAsia="Times New Roman" w:hAnsi="Times New Roman"/>
          <w:sz w:val="18"/>
          <w:szCs w:val="18"/>
          <w:color w:val="auto"/>
        </w:rPr>
      </w:pPr>
    </w:p>
    <w:p>
      <w:pPr>
        <w:ind w:left="660" w:right="380" w:hanging="333"/>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G&amp;A Expenses</w:t>
      </w:r>
      <w:r>
        <w:rPr>
          <w:rFonts w:ascii="Times New Roman" w:cs="Times New Roman" w:eastAsia="Times New Roman" w:hAnsi="Times New Roman"/>
          <w:sz w:val="18"/>
          <w:szCs w:val="18"/>
          <w:color w:val="auto"/>
        </w:rPr>
        <w:t>: General and administrative expenses were $5.1 million for the three months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a decrease of $1.1 million, or 17 percent, compared to $6.2 million for the three months ended March 31, 2018. The decrease was primarily related to a decrease in professional services and a reduction in stock-based compensation costs.</w:t>
      </w:r>
    </w:p>
    <w:p>
      <w:pPr>
        <w:spacing w:after="0" w:line="176" w:lineRule="exact"/>
        <w:rPr>
          <w:rFonts w:ascii="Times New Roman" w:cs="Times New Roman" w:eastAsia="Times New Roman" w:hAnsi="Times New Roman"/>
          <w:sz w:val="18"/>
          <w:szCs w:val="18"/>
          <w:color w:val="auto"/>
        </w:rPr>
      </w:pPr>
    </w:p>
    <w:p>
      <w:pPr>
        <w:ind w:left="660" w:right="80" w:hanging="333"/>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Net loss for the quarter ended March 31, 2019, was $26.1 million compared to a net loss of $17.0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quarter ended March 31, 2018.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Ardelyx, Inc.</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Ardelyx is focused on enhancing the way people with cardiorenal diseases are treated by developing first-in-class medicines. Ardelyx’s cardiorenal pipeline includes the Phase 3 development of tenapanor for the treatment of hyperphosphatemia in people with end-stage renal disease (ESRD) who are on dialysis, and RDX013, a potassium secretagogue program for the potential treatment of high potassium, or hyperkalemia, a problem among certain patients with kidney and/or heart disease. In addition, Ardelyx has completed Phase 3 development of tenapanor for the treatment of irritable bowel syndrome with constipation (IBS-C) and submitted a new drug application, or NDA, to the U.S. Food and Drug Administration, or FDA, for the treatment of patients with IBS-C which has been granted a target action date under the Prescription Drug User Fee Act (PDUFA) of September 12, 2019. To efficiently bring its treatments to market, Ardelyx is pursuing strategic collaborations for tenapanor for IBS-C and hyperphosphatemia in certain territories. Ardelyx has established agreements with Kyowa Hakko Kirin in Japan, Fosun Pharma in China and Knight Therapeutics in Canada. For more information, please visit http://www.ardelyx.com and connect with us on Twitter @Ardelyx.</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spacing w:after="0" w:line="216" w:lineRule="exact"/>
        <w:rPr>
          <w:sz w:val="20"/>
          <w:szCs w:val="20"/>
          <w:color w:val="auto"/>
        </w:rPr>
      </w:pPr>
      <w:r>
        <w:rPr>
          <w:rFonts w:ascii="Times New Roman" w:cs="Times New Roman" w:eastAsia="Times New Roman" w:hAnsi="Times New Roman"/>
          <w:sz w:val="18"/>
          <w:szCs w:val="18"/>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the potential for Ardelyx’s product candidates in treating the diseases and conditions for which they are being developed, the potential for the use of tenapanor as monotherapy and in combination with phosphate binders as adjunctive therapy for the treatment of hyperphosphatemia, and Ardelyx’s expected timing for receipt of data from its ongoing Phase 3 clinical trials of tenapanor for the treatment of hyperphosphatemia in ESRD patients. Such forward-looking statements involve substantial risks and uncertainties that could cause the development of Ardelyx’s product candidates or Ardelyx’s future results, performance or achievements to differ significantly from those expressed or implied by the forward-looking statements. Such risks and uncertainties include, among others, the uncertainties inherent in the clinical development process, including the regulatory approval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filed with the Securities and Exchange Commission on May 7, 2019, and its future current and periodic reports to be filed with the Securities and Exchange Commission.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Kimia Keshtbod</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510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745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1751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8BA6"/>
        </w:rPr>
        <w:t>kkeshtbod@ardelyx.com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Sylvia Wheeler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8BA6"/>
        </w:rPr>
        <w:t>swheeler@wheelhouselsa.com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Santos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8BA6"/>
        </w:rPr>
        <w:t>asantos@wheelhouselsa.com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426085</wp:posOffset>
            </wp:positionV>
            <wp:extent cx="57543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36" w:right="14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4968240</wp:posOffset>
            </wp:positionH>
            <wp:positionV relativeFrom="page">
              <wp:posOffset>88900</wp:posOffset>
            </wp:positionV>
            <wp:extent cx="1689735"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89735" cy="445770"/>
                    </a:xfrm>
                    <a:prstGeom prst="rect">
                      <a:avLst/>
                    </a:prstGeom>
                    <a:noFill/>
                  </pic:spPr>
                </pic:pic>
              </a:graphicData>
            </a:graphic>
          </wp:anchor>
        </w:drawing>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42"/>
        </w:trPr>
        <w:tc>
          <w:tcPr>
            <w:tcW w:w="708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(1)</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7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92,036</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78,768</w:t>
            </w:r>
          </w:p>
        </w:tc>
      </w:tr>
      <w:tr>
        <w:trPr>
          <w:trHeight w:val="216"/>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89,321</w:t>
            </w:r>
          </w:p>
        </w:tc>
      </w:tr>
      <w:tr>
        <w:trPr>
          <w:trHeight w:val="216"/>
        </w:trPr>
        <w:tc>
          <w:tcPr>
            <w:tcW w:w="7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Unbilled license revenue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7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w:t>
            </w:r>
          </w:p>
        </w:tc>
      </w:tr>
      <w:tr>
        <w:trPr>
          <w:trHeight w:val="216"/>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w:t>
            </w:r>
          </w:p>
        </w:tc>
      </w:tr>
      <w:tr>
        <w:trPr>
          <w:trHeight w:val="217"/>
        </w:trPr>
        <w:tc>
          <w:tcPr>
            <w:tcW w:w="7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166,135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183,332</w:t>
            </w:r>
          </w:p>
        </w:tc>
      </w:tr>
      <w:tr>
        <w:trPr>
          <w:trHeight w:val="216"/>
        </w:trPr>
        <w:tc>
          <w:tcPr>
            <w:tcW w:w="7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7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18,724</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16,728</w:t>
            </w:r>
          </w:p>
        </w:tc>
      </w:tr>
      <w:tr>
        <w:trPr>
          <w:trHeight w:val="216"/>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Uncharged license fees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Loan payable, long term</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49,209</w:t>
            </w:r>
          </w:p>
        </w:tc>
      </w:tr>
      <w:tr>
        <w:trPr>
          <w:trHeight w:val="216"/>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70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115,813</w:t>
            </w:r>
          </w:p>
        </w:tc>
      </w:tr>
      <w:tr>
        <w:trPr>
          <w:trHeight w:val="217"/>
        </w:trPr>
        <w:tc>
          <w:tcPr>
            <w:tcW w:w="7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166,135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79" w:lineRule="exact"/>
        <w:rPr>
          <w:sz w:val="20"/>
          <w:szCs w:val="20"/>
          <w:color w:val="auto"/>
        </w:rPr>
      </w:pPr>
    </w:p>
    <w:p>
      <w:pPr>
        <w:ind w:left="320" w:right="340" w:hanging="317"/>
        <w:spacing w:after="0" w:line="239" w:lineRule="exact"/>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financial statements included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249555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36" w:right="14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4968240</wp:posOffset>
            </wp:positionH>
            <wp:positionV relativeFrom="page">
              <wp:posOffset>88900</wp:posOffset>
            </wp:positionV>
            <wp:extent cx="1689735"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689735" cy="445770"/>
                    </a:xfrm>
                    <a:prstGeom prst="rect">
                      <a:avLst/>
                    </a:prstGeom>
                    <a:noFill/>
                  </pic:spPr>
                </pic:pic>
              </a:graphicData>
            </a:graphic>
          </wp:anchor>
        </w:drawing>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0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2"/>
                <w:szCs w:val="12"/>
                <w:color w:val="auto"/>
              </w:rPr>
            </w:pPr>
          </w:p>
        </w:tc>
      </w:tr>
      <w:tr>
        <w:trPr>
          <w:trHeight w:val="21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Licensing revenue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 w:type="dxa"/>
            <w:vAlign w:val="bottom"/>
          </w:tcPr>
          <w:p>
            <w:pPr>
              <w:spacing w:after="0"/>
              <w:rPr>
                <w:sz w:val="18"/>
                <w:szCs w:val="18"/>
                <w:color w:val="auto"/>
              </w:rPr>
            </w:pPr>
          </w:p>
        </w:tc>
      </w:tr>
      <w:tr>
        <w:trPr>
          <w:trHeight w:val="21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tcPr>
          <w:p>
            <w:pPr>
              <w:spacing w:after="0"/>
              <w:rPr>
                <w:sz w:val="18"/>
                <w:szCs w:val="18"/>
                <w:color w:val="auto"/>
              </w:rPr>
            </w:pPr>
          </w:p>
        </w:tc>
      </w:tr>
      <w:tr>
        <w:trPr>
          <w:trHeight w:val="210"/>
        </w:trPr>
        <w:tc>
          <w:tcPr>
            <w:tcW w:w="60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20" w:type="dxa"/>
            <w:vAlign w:val="bottom"/>
          </w:tcPr>
          <w:p>
            <w:pPr>
              <w:spacing w:after="0"/>
              <w:rPr>
                <w:sz w:val="18"/>
                <w:szCs w:val="18"/>
                <w:color w:val="auto"/>
              </w:rPr>
            </w:pPr>
          </w:p>
        </w:tc>
      </w:tr>
      <w:tr>
        <w:trPr>
          <w:trHeight w:val="21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20,381</w:t>
            </w:r>
          </w:p>
        </w:tc>
        <w:tc>
          <w:tcPr>
            <w:tcW w:w="12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20" w:type="dxa"/>
            <w:vAlign w:val="bottom"/>
          </w:tcPr>
          <w:p>
            <w:pPr>
              <w:spacing w:after="0"/>
              <w:rPr>
                <w:sz w:val="18"/>
                <w:szCs w:val="18"/>
                <w:color w:val="auto"/>
              </w:rPr>
            </w:pPr>
          </w:p>
        </w:tc>
      </w:tr>
      <w:tr>
        <w:trPr>
          <w:trHeight w:val="216"/>
        </w:trPr>
        <w:tc>
          <w:tcPr>
            <w:tcW w:w="6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20" w:type="dxa"/>
            <w:vAlign w:val="bottom"/>
          </w:tcPr>
          <w:p>
            <w:pPr>
              <w:spacing w:after="0"/>
              <w:rPr>
                <w:sz w:val="18"/>
                <w:szCs w:val="18"/>
                <w:color w:val="auto"/>
              </w:rPr>
            </w:pPr>
          </w:p>
        </w:tc>
      </w:tr>
      <w:tr>
        <w:trPr>
          <w:trHeight w:val="210"/>
        </w:trPr>
        <w:tc>
          <w:tcPr>
            <w:tcW w:w="6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19,541</w:t>
            </w:r>
          </w:p>
        </w:tc>
        <w:tc>
          <w:tcPr>
            <w:tcW w:w="20" w:type="dxa"/>
            <w:vAlign w:val="bottom"/>
          </w:tcPr>
          <w:p>
            <w:pPr>
              <w:spacing w:after="0"/>
              <w:rPr>
                <w:sz w:val="18"/>
                <w:szCs w:val="18"/>
                <w:color w:val="auto"/>
              </w:rPr>
            </w:pPr>
          </w:p>
        </w:tc>
      </w:tr>
      <w:tr>
        <w:trPr>
          <w:trHeight w:val="21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20" w:type="dxa"/>
            <w:vAlign w:val="bottom"/>
          </w:tcPr>
          <w:p>
            <w:pPr>
              <w:spacing w:after="0"/>
              <w:rPr>
                <w:sz w:val="18"/>
                <w:szCs w:val="18"/>
                <w:color w:val="auto"/>
              </w:rPr>
            </w:pPr>
          </w:p>
        </w:tc>
      </w:tr>
      <w:tr>
        <w:trPr>
          <w:trHeight w:val="216"/>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18"/>
                <w:szCs w:val="18"/>
                <w:color w:val="auto"/>
              </w:rPr>
            </w:pPr>
          </w:p>
        </w:tc>
      </w:tr>
      <w:tr>
        <w:trPr>
          <w:trHeight w:val="216"/>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230"/>
        </w:trPr>
        <w:tc>
          <w:tcPr>
            <w:tcW w:w="6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20" w:type="dxa"/>
            <w:vAlign w:val="bottom"/>
          </w:tcPr>
          <w:p>
            <w:pPr>
              <w:spacing w:after="0"/>
              <w:rPr>
                <w:sz w:val="19"/>
                <w:szCs w:val="19"/>
                <w:color w:val="auto"/>
              </w:rPr>
            </w:pPr>
          </w:p>
        </w:tc>
      </w:tr>
      <w:tr>
        <w:trPr>
          <w:trHeight w:val="210"/>
        </w:trPr>
        <w:tc>
          <w:tcPr>
            <w:tcW w:w="60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per common share, basic &amp; diluted</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20" w:type="dxa"/>
            <w:vAlign w:val="bottom"/>
          </w:tcPr>
          <w:p>
            <w:pPr>
              <w:spacing w:after="0"/>
              <w:rPr>
                <w:sz w:val="18"/>
                <w:szCs w:val="18"/>
                <w:color w:val="auto"/>
              </w:rPr>
            </w:pPr>
          </w:p>
        </w:tc>
      </w:tr>
      <w:tr>
        <w:trPr>
          <w:trHeight w:val="223"/>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used in computing net loss per share, basic and diluted</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62,546,295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47,559,366</w:t>
            </w:r>
          </w:p>
        </w:tc>
        <w:tc>
          <w:tcPr>
            <w:tcW w:w="20" w:type="dxa"/>
            <w:vAlign w:val="bottom"/>
          </w:tcPr>
          <w:p>
            <w:pPr>
              <w:spacing w:after="0"/>
              <w:rPr>
                <w:sz w:val="19"/>
                <w:szCs w:val="19"/>
                <w:color w:val="auto"/>
              </w:rPr>
            </w:pPr>
          </w:p>
        </w:tc>
      </w:tr>
      <w:tr>
        <w:trPr>
          <w:trHeight w:val="439"/>
        </w:trPr>
        <w:tc>
          <w:tcPr>
            <w:tcW w:w="6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60"/>
      </w:cols>
      <w:pgMar w:left="1420" w:top="1036"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2019-12-28T12:52:00Z</dcterms:created>
  <dcterms:modified xsi:type="dcterms:W3CDTF">2019-12-28T12:52:00Z</dcterms:modified>
</cp:coreProperties>
</file>