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02,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Rule 13d-1(b)</w:t>
      </w:r>
    </w:p>
    <w:p>
      <w:pPr>
        <w:spacing w:after="0" w:line="40" w:lineRule="exact"/>
        <w:rPr>
          <w:sz w:val="24"/>
          <w:szCs w:val="24"/>
          <w:color w:val="auto"/>
        </w:rPr>
      </w:pPr>
    </w:p>
    <w:p>
      <w:pPr>
        <w:jc w:val="both"/>
        <w:ind w:left="660" w:right="9340" w:hanging="4"/>
        <w:spacing w:after="0" w:line="259" w:lineRule="auto"/>
        <w:tabs>
          <w:tab w:leader="none" w:pos="89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Rule 13d-1(c) </w:t>
      </w:r>
      <w:r>
        <w:rPr>
          <w:rFonts w:ascii="Times New Roman" w:cs="Times New Roman" w:eastAsia="Times New Roman" w:hAnsi="Times New Roman"/>
          <w:sz w:val="21"/>
          <w:szCs w:val="21"/>
          <w:color w:val="auto"/>
        </w:rPr>
        <w:t xml:space="preserve">o </w:t>
      </w:r>
      <w:r>
        <w:rPr>
          <w:rFonts w:ascii="Times New Roman" w:cs="Times New Roman" w:eastAsia="Times New Roman" w:hAnsi="Times New Roman"/>
          <w:sz w:val="17"/>
          <w:szCs w:val="17"/>
          <w:color w:val="auto"/>
        </w:rPr>
        <w:t>Rule 13d-1(d)</w:t>
      </w:r>
    </w:p>
    <w:p>
      <w:pPr>
        <w:spacing w:after="0" w:line="200" w:lineRule="exact"/>
        <w:rPr>
          <w:sz w:val="24"/>
          <w:szCs w:val="24"/>
          <w:color w:val="auto"/>
        </w:rPr>
      </w:pPr>
    </w:p>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14,252,831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ARDELYX,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400 Fifth Avenue, Suite 210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$0.0001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039697107</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September 12, 2022,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ind w:right="1520" w:firstLine="792"/>
        <w:spacing w:after="0" w:line="323" w:lineRule="auto"/>
        <w:rPr>
          <w:sz w:val="20"/>
          <w:szCs w:val="20"/>
          <w:color w:val="auto"/>
        </w:rPr>
      </w:pPr>
      <w:r>
        <w:rPr>
          <w:rFonts w:ascii="Times New Roman" w:cs="Times New Roman" w:eastAsia="Times New Roman" w:hAnsi="Times New Roman"/>
          <w:sz w:val="18"/>
          <w:szCs w:val="18"/>
          <w:color w:val="auto"/>
        </w:rPr>
        <w:t xml:space="preserve">The amount beneficially owned by each Reporting Person is determined based on 168,653,575 Common Stock outstanding. </w:t>
      </w:r>
      <w:r>
        <w:rPr>
          <w:rFonts w:ascii="Times New Roman" w:cs="Times New Roman" w:eastAsia="Times New Roman" w:hAnsi="Times New Roman"/>
          <w:sz w:val="18"/>
          <w:szCs w:val="18"/>
          <w:b w:val="1"/>
          <w:bCs w:val="1"/>
          <w:color w:val="auto"/>
        </w:rPr>
        <w:t>Item 5. Ownership of Five Percent or Less of a Class</w:t>
      </w:r>
    </w:p>
    <w:p>
      <w:pPr>
        <w:spacing w:after="0" w:line="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12,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12,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2022-09-12T15:21:44Z</dcterms:created>
  <dcterms:modified xsi:type="dcterms:W3CDTF">2022-09-12T15:21:44Z</dcterms:modified>
</cp:coreProperties>
</file>