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300" w:type="dxa"/>
            <w:vAlign w:val="bottom"/>
          </w:tcPr>
          <w:p>
            <w:pPr>
              <w:spacing w:after="0"/>
              <w:rPr>
                <w:sz w:val="24"/>
                <w:szCs w:val="24"/>
                <w:color w:val="auto"/>
              </w:rPr>
            </w:pPr>
          </w:p>
        </w:tc>
        <w:tc>
          <w:tcPr>
            <w:tcW w:w="8120" w:type="dxa"/>
            <w:vAlign w:val="bottom"/>
          </w:tcPr>
          <w:p>
            <w:pPr>
              <w:jc w:val="center"/>
              <w:ind w:right="2185"/>
              <w:spacing w:after="0"/>
              <w:rPr>
                <w:sz w:val="20"/>
                <w:szCs w:val="20"/>
                <w:color w:val="auto"/>
              </w:rPr>
            </w:pPr>
            <w:r>
              <w:rPr>
                <w:rFonts w:ascii="Arial" w:cs="Arial" w:eastAsia="Arial" w:hAnsi="Arial"/>
                <w:sz w:val="32"/>
                <w:szCs w:val="32"/>
                <w:b w:val="1"/>
                <w:bCs w:val="1"/>
                <w:color w:val="auto"/>
                <w:w w:val="99"/>
              </w:rPr>
              <w:t>SCHEDULE 14A</w:t>
            </w:r>
          </w:p>
        </w:tc>
      </w:tr>
      <w:tr>
        <w:trPr>
          <w:trHeight w:val="268"/>
        </w:trPr>
        <w:tc>
          <w:tcPr>
            <w:tcW w:w="2300" w:type="dxa"/>
            <w:vAlign w:val="bottom"/>
          </w:tcPr>
          <w:p>
            <w:pPr>
              <w:spacing w:after="0"/>
              <w:rPr>
                <w:sz w:val="23"/>
                <w:szCs w:val="23"/>
                <w:color w:val="auto"/>
              </w:rPr>
            </w:pPr>
          </w:p>
        </w:tc>
        <w:tc>
          <w:tcPr>
            <w:tcW w:w="8120" w:type="dxa"/>
            <w:vAlign w:val="bottom"/>
          </w:tcPr>
          <w:p>
            <w:pPr>
              <w:jc w:val="center"/>
              <w:ind w:right="2185"/>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300" w:type="dxa"/>
            <w:vAlign w:val="bottom"/>
          </w:tcPr>
          <w:p>
            <w:pPr>
              <w:spacing w:after="0"/>
              <w:rPr>
                <w:sz w:val="21"/>
                <w:szCs w:val="21"/>
                <w:color w:val="auto"/>
              </w:rPr>
            </w:pPr>
          </w:p>
        </w:tc>
        <w:tc>
          <w:tcPr>
            <w:tcW w:w="8120" w:type="dxa"/>
            <w:vAlign w:val="bottom"/>
          </w:tcPr>
          <w:p>
            <w:pPr>
              <w:jc w:val="center"/>
              <w:ind w:right="2165"/>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300" w:type="dxa"/>
            <w:vAlign w:val="bottom"/>
          </w:tcPr>
          <w:p>
            <w:pPr>
              <w:spacing w:after="0"/>
              <w:rPr>
                <w:sz w:val="24"/>
                <w:szCs w:val="24"/>
                <w:color w:val="auto"/>
              </w:rPr>
            </w:pPr>
          </w:p>
        </w:tc>
        <w:tc>
          <w:tcPr>
            <w:tcW w:w="8120" w:type="dxa"/>
            <w:vAlign w:val="bottom"/>
          </w:tcPr>
          <w:p>
            <w:pPr>
              <w:jc w:val="center"/>
              <w:ind w:right="2165"/>
              <w:spacing w:after="0"/>
              <w:rPr>
                <w:sz w:val="20"/>
                <w:szCs w:val="20"/>
                <w:color w:val="auto"/>
              </w:rPr>
            </w:pPr>
            <w:r>
              <w:rPr>
                <w:rFonts w:ascii="Arial" w:cs="Arial" w:eastAsia="Arial" w:hAnsi="Arial"/>
                <w:sz w:val="22"/>
                <w:szCs w:val="22"/>
                <w:b w:val="1"/>
                <w:bCs w:val="1"/>
                <w:color w:val="auto"/>
                <w:w w:val="96"/>
              </w:rPr>
              <w:t>(Amendment No.  )</w:t>
            </w:r>
          </w:p>
        </w:tc>
      </w:tr>
      <w:tr>
        <w:trPr>
          <w:trHeight w:val="98"/>
        </w:trPr>
        <w:tc>
          <w:tcPr>
            <w:tcW w:w="2300" w:type="dxa"/>
            <w:vAlign w:val="bottom"/>
            <w:tcBorders>
              <w:bottom w:val="single" w:sz="8" w:color="auto"/>
            </w:tcBorders>
          </w:tcPr>
          <w:p>
            <w:pPr>
              <w:spacing w:after="0"/>
              <w:rPr>
                <w:sz w:val="8"/>
                <w:szCs w:val="8"/>
                <w:color w:val="auto"/>
              </w:rPr>
            </w:pPr>
          </w:p>
        </w:tc>
        <w:tc>
          <w:tcPr>
            <w:tcW w:w="8120" w:type="dxa"/>
            <w:vAlign w:val="bottom"/>
            <w:tcBorders>
              <w:bottom w:val="single" w:sz="8" w:color="auto"/>
            </w:tcBorders>
          </w:tcPr>
          <w:p>
            <w:pPr>
              <w:spacing w:after="0"/>
              <w:rPr>
                <w:sz w:val="8"/>
                <w:szCs w:val="8"/>
                <w:color w:val="auto"/>
              </w:rPr>
            </w:pPr>
          </w:p>
        </w:tc>
      </w:tr>
      <w:tr>
        <w:trPr>
          <w:trHeight w:val="324"/>
        </w:trPr>
        <w:tc>
          <w:tcPr>
            <w:tcW w:w="23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12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64"/>
        </w:trPr>
        <w:tc>
          <w:tcPr>
            <w:tcW w:w="2300" w:type="dxa"/>
            <w:vAlign w:val="bottom"/>
          </w:tcPr>
          <w:p>
            <w:pPr>
              <w:ind w:left="20"/>
              <w:spacing w:after="0"/>
              <w:rPr>
                <w:sz w:val="20"/>
                <w:szCs w:val="20"/>
                <w:color w:val="auto"/>
              </w:rPr>
            </w:pPr>
            <w:r>
              <w:rPr>
                <w:rFonts w:ascii="Arial" w:cs="Arial" w:eastAsia="Arial" w:hAnsi="Arial"/>
                <w:sz w:val="18"/>
                <w:szCs w:val="18"/>
                <w:color w:val="auto"/>
              </w:rPr>
              <w:t>Check the appropriate box:</w:t>
            </w:r>
          </w:p>
        </w:tc>
        <w:tc>
          <w:tcPr>
            <w:tcW w:w="8120" w:type="dxa"/>
            <w:vAlign w:val="bottom"/>
          </w:tcPr>
          <w:p>
            <w:pPr>
              <w:spacing w:after="0"/>
              <w:rPr>
                <w:sz w:val="22"/>
                <w:szCs w:val="22"/>
                <w:color w:val="auto"/>
              </w:rPr>
            </w:pPr>
          </w:p>
        </w:tc>
      </w:tr>
    </w:tbl>
    <w:p>
      <w:pPr>
        <w:spacing w:after="0" w:line="67" w:lineRule="exact"/>
        <w:rPr>
          <w:sz w:val="24"/>
          <w:szCs w:val="24"/>
          <w:color w:val="auto"/>
        </w:rPr>
      </w:pPr>
    </w:p>
    <w:p>
      <w:pPr>
        <w:ind w:left="620" w:hanging="60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620" w:hanging="609"/>
        <w:spacing w:after="0" w:line="207" w:lineRule="exact"/>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27" w:lineRule="exact"/>
        <w:rPr>
          <w:rFonts w:ascii="MS PGothic" w:cs="MS PGothic" w:eastAsia="MS PGothic" w:hAnsi="MS PGothic"/>
          <w:sz w:val="18"/>
          <w:szCs w:val="18"/>
          <w:color w:val="auto"/>
        </w:rPr>
      </w:pPr>
    </w:p>
    <w:p>
      <w:pPr>
        <w:ind w:left="620" w:hanging="609"/>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1" w:lineRule="exact"/>
        <w:rPr>
          <w:rFonts w:ascii="MS PGothic" w:cs="MS PGothic" w:eastAsia="MS PGothic" w:hAnsi="MS PGothic"/>
          <w:sz w:val="18"/>
          <w:szCs w:val="18"/>
          <w:color w:val="auto"/>
        </w:rPr>
      </w:pPr>
    </w:p>
    <w:p>
      <w:pPr>
        <w:ind w:left="620" w:hanging="609"/>
        <w:spacing w:after="0" w:line="207" w:lineRule="exact"/>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74"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00" w:hanging="586"/>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600" w:hanging="586"/>
        <w:spacing w:after="0" w:line="207" w:lineRule="exact"/>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03" w:lineRule="exact"/>
        <w:rPr>
          <w:rFonts w:ascii="MS PGothic" w:cs="MS PGothic" w:eastAsia="MS PGothic" w:hAnsi="MS PGothic"/>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80" w:right="160" w:hanging="585"/>
        <w:spacing w:after="0" w:line="223" w:lineRule="exact"/>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16" w:lineRule="exact"/>
        <w:rPr>
          <w:rFonts w:ascii="Arial" w:cs="Arial" w:eastAsia="Arial" w:hAnsi="Arial"/>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600" w:hanging="586"/>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600" w:right="60" w:hanging="586"/>
        <w:spacing w:after="0" w:line="224" w:lineRule="exact"/>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w:t>
      </w:r>
      <w:r>
        <w:rPr>
          <w:rFonts w:ascii="MS PGothic" w:cs="MS PGothic" w:eastAsia="MS PGothic" w:hAnsi="MS PGothic"/>
          <w:sz w:val="16"/>
          <w:szCs w:val="16"/>
          <w:color w:val="auto"/>
        </w:rPr>
        <w:t>‑</w:t>
      </w:r>
      <w:r>
        <w:rPr>
          <w:rFonts w:ascii="Arial" w:cs="Arial" w:eastAsia="Arial" w:hAnsi="Arial"/>
          <w:sz w:val="16"/>
          <w:szCs w:val="16"/>
          <w:color w:val="auto"/>
        </w:rPr>
        <w:t>11(a)(2) and identify the filing for which the offsetting fee was paid previously. Identify the previous filing by registration statement number, or the Form or Schedule and the date of its filing.</w:t>
      </w:r>
    </w:p>
    <w:p>
      <w:pPr>
        <w:spacing w:after="0" w:line="80" w:lineRule="exact"/>
        <w:rPr>
          <w:rFonts w:ascii="MS PGothic" w:cs="MS PGothic" w:eastAsia="MS PGothic" w:hAnsi="MS PGothic"/>
          <w:sz w:val="16"/>
          <w:szCs w:val="16"/>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80" w:hanging="585"/>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759460</wp:posOffset>
            </wp:positionH>
            <wp:positionV relativeFrom="paragraph">
              <wp:posOffset>152400</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-130175</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-413385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-695960</wp:posOffset>
            </wp:positionV>
            <wp:extent cx="5857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-1562735</wp:posOffset>
            </wp:positionV>
            <wp:extent cx="5857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-1845310</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-2128520</wp:posOffset>
            </wp:positionV>
            <wp:extent cx="585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-2548890</wp:posOffset>
            </wp:positionV>
            <wp:extent cx="5857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-2831465</wp:posOffset>
            </wp:positionV>
            <wp:extent cx="5857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6612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0"/>
          </w:cols>
          <w:pgMar w:left="740"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358140</wp:posOffset>
            </wp:positionV>
            <wp:extent cx="153479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200</w:t>
      </w:r>
    </w:p>
    <w:p>
      <w:pPr>
        <w:spacing w:after="0" w:line="9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Fremont, CA 94555</w:t>
      </w:r>
    </w:p>
    <w:p>
      <w:pPr>
        <w:spacing w:after="0" w:line="11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13,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Ardelyx, Inc.:</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2019 Annual Meeting of Stockholders, or the 2019 Annual Meeting, of Ardelyx, Inc., a Delaware corporation, or the Company, will be held on June 13, 2019 at 8:30 a.m. local time at the Company’s headquarters at 34175 Ardenwood Blvd., Suite 200 (2nd Floor), Fremont, CA 94555 for the following purposes:</w:t>
      </w:r>
    </w:p>
    <w:p>
      <w:pPr>
        <w:spacing w:after="0" w:line="73" w:lineRule="exact"/>
        <w:rPr>
          <w:sz w:val="20"/>
          <w:szCs w:val="20"/>
          <w:color w:val="auto"/>
        </w:rPr>
      </w:pPr>
    </w:p>
    <w:p>
      <w:pPr>
        <w:ind w:left="660" w:right="64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 directors to hold office until the 2022 Annual Meeting of Stockholders and until their successors are elected and qualified;</w:t>
      </w:r>
    </w:p>
    <w:p>
      <w:pPr>
        <w:spacing w:after="0" w:line="62" w:lineRule="exact"/>
        <w:rPr>
          <w:rFonts w:ascii="Arial" w:cs="Arial" w:eastAsia="Arial" w:hAnsi="Arial"/>
          <w:sz w:val="18"/>
          <w:szCs w:val="18"/>
          <w:color w:val="auto"/>
        </w:rPr>
      </w:pPr>
    </w:p>
    <w:p>
      <w:pPr>
        <w:ind w:left="660" w:right="20" w:hanging="333"/>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by the Audit Committee of our Board of Directors, of Ernst &amp; Young LLP as the independent registered public accounting firm of the Company for the fiscal year ending December 31, 2019; and</w:t>
      </w:r>
    </w:p>
    <w:p>
      <w:pPr>
        <w:spacing w:after="0" w:line="15" w:lineRule="exact"/>
        <w:rPr>
          <w:rFonts w:ascii="Arial" w:cs="Arial" w:eastAsia="Arial" w:hAnsi="Arial"/>
          <w:sz w:val="16"/>
          <w:szCs w:val="16"/>
          <w:color w:val="auto"/>
        </w:rPr>
      </w:pPr>
    </w:p>
    <w:p>
      <w:pPr>
        <w:ind w:left="660" w:right="48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2019 Annual Meeting or any adjournment or postponement thereof.</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of Annual Meeting of Stockholders. Only stockholders who owned the Company’s common stock at the close of business on April 18, 2019 may vote at the 2019 Annual Meeting or any adjournments that take place.</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As a result, we are mailing most of our stockholders a paper copy of the Notice of Internet Availability of Proxy Materials, or the Notice, but not a paper copy of our proxy statement and our 2018 Annual Report to Stockholders.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those documents over the internet. The Notice also contains instructions on how to request a paper copy of our proxy materials, including this proxy statement, our 2018 Annual Report to Stockholders and a form of proxy card or voting instruction card. All stockholders who have previously requested a paper copy of our proxy materials will continue to receive a paper copy of the proxy materials by mail.</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You are cordially invited to attend the 2019 Annual Meeting in person. Whether or not you plan to attend the 2019 Annual Meeting, please vote as soon as possible. You may vote over the internet or by a toll-free telephone number. If, however, you requested to receive paper proxy materials, then you may also vote by mailing a complete, signed and dated proxy card or voting instruction card in the envelope provided. Please note that any stockholder attending the 2019 Annual Meeting may vote in person, even if the stockholder has already voted over the internet or by phone or returned a proxy card or voting instruction card by mail.</w:t>
      </w:r>
    </w:p>
    <w:p>
      <w:pPr>
        <w:spacing w:after="0" w:line="8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Our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director nominees named in Proposal No. 1 of the proxy statement and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as described in Proposal No. 2 of the proxy statement.</w:t>
      </w:r>
    </w:p>
    <w:p>
      <w:pPr>
        <w:spacing w:after="0" w:line="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Elizabeth Grammer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190"/>
        </w:trPr>
        <w:tc>
          <w:tcPr>
            <w:tcW w:w="8660" w:type="dxa"/>
            <w:vAlign w:val="bottom"/>
            <w:gridSpan w:val="1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QUESTIONS AND ANSWERS REGARDING THE PROXY MATERIALS AND THE VOTING PROCESS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412"/>
        </w:trPr>
        <w:tc>
          <w:tcPr>
            <w:tcW w:w="3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PROPOSAL NO. 1 ELECTION OF DIRECTORS</w:t>
              </w:r>
            </w:hyperlink>
          </w:p>
        </w:tc>
        <w:tc>
          <w:tcPr>
            <w:tcW w:w="4280" w:type="dxa"/>
            <w:vAlign w:val="bottom"/>
            <w:tcBorders>
              <w:top w:val="single" w:sz="8" w:color="0000EE"/>
            </w:tcBorders>
            <w:gridSpan w:val="6"/>
          </w:tcPr>
          <w:p>
            <w:pPr>
              <w:spacing w:after="0"/>
              <w:rPr>
                <w:sz w:val="24"/>
                <w:szCs w:val="24"/>
                <w:color w:val="auto"/>
              </w:rPr>
            </w:pPr>
          </w:p>
        </w:tc>
        <w:tc>
          <w:tcPr>
            <w:tcW w:w="72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8660" w:type="dxa"/>
            <w:vAlign w:val="bottom"/>
            <w:gridSpan w:val="14"/>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PROPOSAL NO. 2 RATIFICATION OF SELECTION OF INDEPENDENT REGISTERED PUBLIC ACCOUNTING</w:t>
              </w:r>
            </w:hyperlink>
          </w:p>
        </w:tc>
        <w:tc>
          <w:tcPr>
            <w:tcW w:w="400" w:type="dxa"/>
            <w:vAlign w:val="bottom"/>
          </w:tcPr>
          <w:p>
            <w:pPr>
              <w:spacing w:after="0"/>
              <w:rPr>
                <w:sz w:val="24"/>
                <w:szCs w:val="24"/>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FIRM</w:t>
              </w:r>
            </w:hyperlink>
          </w:p>
        </w:tc>
        <w:tc>
          <w:tcPr>
            <w:tcW w:w="7960" w:type="dxa"/>
            <w:vAlign w:val="bottom"/>
            <w:tcBorders>
              <w:top w:val="single" w:sz="8" w:color="0000EE"/>
            </w:tcBorders>
            <w:gridSpan w:val="11"/>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412"/>
        </w:trPr>
        <w:tc>
          <w:tcPr>
            <w:tcW w:w="57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REPORT OF THE AUDIT COMMITTEE OF THE BOARD OF DIRECTORS</w:t>
              </w:r>
            </w:hyperlink>
          </w:p>
        </w:tc>
        <w:tc>
          <w:tcPr>
            <w:tcW w:w="29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23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CORPORATE GOVERNANCE</w:t>
              </w:r>
            </w:hyperlink>
          </w:p>
        </w:tc>
        <w:tc>
          <w:tcPr>
            <w:tcW w:w="632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54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CERTAIN RELATIONSHIPS AND RELATED PARTY TRANSACTIONS</w:t>
              </w:r>
            </w:hyperlink>
          </w:p>
        </w:tc>
        <w:tc>
          <w:tcPr>
            <w:tcW w:w="318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866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NON-EMPLOYEE DIRECTOR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EXECUTIVE OFFICERS</w:t>
              </w:r>
            </w:hyperlink>
          </w:p>
        </w:tc>
        <w:tc>
          <w:tcPr>
            <w:tcW w:w="1880" w:type="dxa"/>
            <w:vAlign w:val="bottom"/>
            <w:tcBorders>
              <w:top w:val="single" w:sz="8" w:color="0000EE"/>
            </w:tcBorders>
            <w:gridSpan w:val="4"/>
          </w:tcPr>
          <w:p>
            <w:pPr>
              <w:spacing w:after="0"/>
              <w:rPr>
                <w:sz w:val="24"/>
                <w:szCs w:val="24"/>
                <w:color w:val="auto"/>
              </w:rPr>
            </w:pPr>
          </w:p>
        </w:tc>
        <w:tc>
          <w:tcPr>
            <w:tcW w:w="488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866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440" w:type="dxa"/>
            <w:vAlign w:val="bottom"/>
            <w:tcBorders>
              <w:right w:val="single" w:sz="8" w:color="0000EE"/>
            </w:tcBorders>
            <w:gridSpan w:val="5"/>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SECURITY OWNERSHIP OF CERTAIN BENEFICIAL OWNERS AND MANAGEMENT</w:t>
              </w:r>
            </w:hyperlink>
          </w:p>
        </w:tc>
        <w:tc>
          <w:tcPr>
            <w:tcW w:w="19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6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SECTION 16(a) BENEFICIAL OWNERSHIP REPORTING COMPLIANCE</w:t>
              </w:r>
            </w:hyperlink>
          </w:p>
        </w:tc>
        <w:tc>
          <w:tcPr>
            <w:tcW w:w="302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6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ADDITIONAL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459"/>
        </w:trPr>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Suite 200</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JUNE 13, 2019</w:t>
      </w:r>
    </w:p>
    <w:p>
      <w:pPr>
        <w:spacing w:after="0" w:line="207" w:lineRule="exact"/>
        <w:rPr>
          <w:sz w:val="20"/>
          <w:szCs w:val="20"/>
          <w:color w:val="auto"/>
        </w:rPr>
      </w:pPr>
    </w:p>
    <w:p>
      <w:pPr>
        <w:jc w:val="center"/>
        <w:ind w:left="1520" w:right="50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TO BE HELD ON JUNE 13, 2019</w:t>
      </w:r>
    </w:p>
    <w:p>
      <w:pPr>
        <w:spacing w:after="0" w:line="166" w:lineRule="exact"/>
        <w:rPr>
          <w:sz w:val="20"/>
          <w:szCs w:val="20"/>
          <w:color w:val="auto"/>
        </w:rPr>
      </w:pPr>
    </w:p>
    <w:p>
      <w:pPr>
        <w:ind w:right="79"/>
        <w:spacing w:after="0" w:line="221" w:lineRule="exact"/>
        <w:rPr>
          <w:sz w:val="20"/>
          <w:szCs w:val="20"/>
          <w:color w:val="auto"/>
        </w:rPr>
      </w:pPr>
      <w:r>
        <w:rPr>
          <w:rFonts w:ascii="Arial" w:cs="Arial" w:eastAsia="Arial" w:hAnsi="Arial"/>
          <w:sz w:val="18"/>
          <w:szCs w:val="18"/>
          <w:color w:val="auto"/>
        </w:rPr>
        <w:t>This proxy statement and our 2018 Annual Report to Stockholders, which includes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are available at our website at www.ardelyx.com and at www.astproxyportal.com/ast/19476.</w:t>
      </w:r>
    </w:p>
    <w:p>
      <w:pPr>
        <w:spacing w:after="0" w:line="202"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Unless the context requires otherwise, in this proxy statement the terms “Ardelyx,” “we,” “us,” “our” and “the Company” refer to Ardelyx,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REGARDING THE PROXY MATERIALS AND THE VOTING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229" w:lineRule="exact"/>
        <w:rPr>
          <w:sz w:val="20"/>
          <w:szCs w:val="20"/>
          <w:color w:val="auto"/>
        </w:rPr>
      </w:pPr>
    </w:p>
    <w:p>
      <w:pPr>
        <w:ind w:right="199"/>
        <w:spacing w:after="0" w:line="293" w:lineRule="auto"/>
        <w:rPr>
          <w:sz w:val="20"/>
          <w:szCs w:val="20"/>
          <w:color w:val="auto"/>
        </w:rPr>
      </w:pPr>
      <w:r>
        <w:rPr>
          <w:rFonts w:ascii="Arial" w:cs="Arial" w:eastAsia="Arial" w:hAnsi="Arial"/>
          <w:sz w:val="16"/>
          <w:szCs w:val="16"/>
          <w:color w:val="auto"/>
        </w:rPr>
        <w:t>We have made these proxy materials available to you on the internet or, upon your request, have delivered paper proxy materials to you, because the board of directors of Ardelyx is soliciting your proxy to vote at the 2019 Annual Meeting of Stockholders, or the 2019 Annual Meeting, or any adjournments that take place. The 2019 Annual Meeting will be held on June 13, 2019 at 8:30 a.m. local time at the Company’s headquarters at 34175 Ardenwood Blvd., Suite 200 (2nd Floor), Fremont, CA 94555. As a stockholder, you are invited to attend the 2019 Annual Meeting and are requested to vote on the proposals described in this proxy statement. However, you do not need to attend the 2019 Annual Meeting to vote.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225" w:lineRule="exact"/>
        <w:rPr>
          <w:sz w:val="20"/>
          <w:szCs w:val="20"/>
          <w:color w:val="auto"/>
        </w:rPr>
      </w:pPr>
    </w:p>
    <w:p>
      <w:pPr>
        <w:ind w:left="780" w:right="439" w:hanging="318"/>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2019 Annual Meeting, the voting process, corporate governance, the compensation of our directors and certain executive officers, and other required information;</w:t>
      </w:r>
    </w:p>
    <w:p>
      <w:pPr>
        <w:spacing w:after="0" w:line="181" w:lineRule="exact"/>
        <w:rPr>
          <w:rFonts w:ascii="Arial" w:cs="Arial" w:eastAsia="Arial" w:hAnsi="Arial"/>
          <w:sz w:val="18"/>
          <w:szCs w:val="18"/>
          <w:color w:val="auto"/>
        </w:rPr>
      </w:pPr>
    </w:p>
    <w:p>
      <w:pPr>
        <w:ind w:left="780" w:right="339" w:hanging="318"/>
        <w:spacing w:after="0" w:line="223" w:lineRule="exact"/>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2018 Annual Report to Stockholders, which includes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and</w:t>
      </w:r>
    </w:p>
    <w:p>
      <w:pPr>
        <w:spacing w:after="0" w:line="203" w:lineRule="exact"/>
        <w:rPr>
          <w:rFonts w:ascii="Arial" w:cs="Arial" w:eastAsia="Arial" w:hAnsi="Arial"/>
          <w:sz w:val="18"/>
          <w:szCs w:val="18"/>
          <w:color w:val="auto"/>
        </w:rPr>
      </w:pPr>
    </w:p>
    <w:p>
      <w:pPr>
        <w:ind w:left="780" w:hanging="31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2019 Annual Meeting.</w:t>
      </w:r>
    </w:p>
    <w:p>
      <w:pPr>
        <w:spacing w:after="0" w:line="225" w:lineRule="exact"/>
        <w:rPr>
          <w:sz w:val="20"/>
          <w:szCs w:val="20"/>
          <w:color w:val="auto"/>
        </w:rPr>
      </w:pPr>
    </w:p>
    <w:p>
      <w:pPr>
        <w:ind w:right="439"/>
        <w:spacing w:after="0" w:line="277" w:lineRule="auto"/>
        <w:rPr>
          <w:sz w:val="20"/>
          <w:szCs w:val="20"/>
          <w:color w:val="auto"/>
        </w:rPr>
      </w:pPr>
      <w:r>
        <w:rPr>
          <w:rFonts w:ascii="Arial" w:cs="Arial" w:eastAsia="Arial" w:hAnsi="Arial"/>
          <w:sz w:val="18"/>
          <w:szCs w:val="18"/>
          <w:color w:val="auto"/>
        </w:rPr>
        <w:t>The proxy materials are being mailed or made available to stockholders on or about April 26, 2019, and are available at www.ardelyx.com.</w:t>
      </w:r>
    </w:p>
    <w:p>
      <w:pPr>
        <w:spacing w:after="0" w:line="166" w:lineRule="exact"/>
        <w:rPr>
          <w:sz w:val="20"/>
          <w:szCs w:val="20"/>
          <w:color w:val="auto"/>
        </w:rPr>
      </w:pPr>
    </w:p>
    <w:p>
      <w:pPr>
        <w:ind w:right="79"/>
        <w:spacing w:after="0" w:line="282" w:lineRule="auto"/>
        <w:rPr>
          <w:sz w:val="20"/>
          <w:szCs w:val="20"/>
          <w:color w:val="auto"/>
        </w:rPr>
      </w:pPr>
      <w:r>
        <w:rPr>
          <w:rFonts w:ascii="Arial" w:cs="Arial" w:eastAsia="Arial" w:hAnsi="Arial"/>
          <w:sz w:val="18"/>
          <w:szCs w:val="18"/>
          <w:b w:val="1"/>
          <w:bCs w:val="1"/>
          <w:color w:val="auto"/>
        </w:rPr>
        <w:t>Why did I receive a Notice of Internet Availability of Proxy Materials, or the Notice, in the mail instead of a complete set of paper proxy materials?</w:t>
      </w:r>
    </w:p>
    <w:p>
      <w:pPr>
        <w:spacing w:after="0" w:line="166" w:lineRule="exact"/>
        <w:rPr>
          <w:sz w:val="20"/>
          <w:szCs w:val="20"/>
          <w:color w:val="auto"/>
        </w:rPr>
      </w:pPr>
    </w:p>
    <w:p>
      <w:pPr>
        <w:ind w:right="339"/>
        <w:spacing w:after="0" w:line="342" w:lineRule="auto"/>
        <w:rPr>
          <w:sz w:val="20"/>
          <w:szCs w:val="20"/>
          <w:color w:val="auto"/>
        </w:rPr>
      </w:pPr>
      <w:r>
        <w:rPr>
          <w:rFonts w:ascii="Arial" w:cs="Arial" w:eastAsia="Arial" w:hAnsi="Arial"/>
          <w:sz w:val="16"/>
          <w:szCs w:val="16"/>
          <w:color w:val="auto"/>
        </w:rPr>
        <w:t>We have elected to provide our proxy materials to our stockholders over the internet as permitted by the rules of the U.S. Securities and Exchange Commission, or SEC. As a result, we are mailing most of our stockholders a paper copy of the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The Notice contains instructions on how to access the proxy materials over the internet, and how to request a paper copy of the proxy materials. All stockholders who have previously elected to receive a paper copy of our proxy materials will continue to receive a paper copy of the proxy materials by mail until the stockholder terminates such election.</w:t>
      </w:r>
    </w:p>
    <w:p>
      <w:pPr>
        <w:spacing w:after="0" w:line="18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Why did I receive a complete set of paper proxy materials in the mail instead of a Notice of Internet Availability of Proxy Materials?</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2019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at the close of business on April 18, 2019 will be entitled to vote at the 2019 Annual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this record date, there were 62,600,443 shares of common stock outstanding and entitled to vote.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If, at the close of business on April 18, 2019, your shares were registered directly in your name with our transfer agent, American Stock Transfer &amp; Trust Company, LLC, then you are a stockholder of record. As a stockholder of record, you may vote in person at the 2019 Annual Meeting or vote by proxy. Whether or not you plan to attend the 2019 Annual Meeting, please vote as soon as possible by internet, telephone or by mail as instructed below to ensure your vote is counted.</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or Bank</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at the close of business on April 18, 2019,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2019 Annual Meeting. As a beneficial owner, you have the right to direct your broker or other agent how to vote the shares in your account. You are also invited to attend the 2019 Annual Meeting. However, because you are not the stockholder of record, you may not vote your shares in person at the 2019 Annual Meeting unless you request and obtain a valid proxy from your broker or other agent.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are scheduled for a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proposals scheduled for a vote at the 2019 Annual Meeting:</w:t>
      </w:r>
    </w:p>
    <w:p>
      <w:pPr>
        <w:spacing w:after="0" w:line="225" w:lineRule="exact"/>
        <w:rPr>
          <w:sz w:val="20"/>
          <w:szCs w:val="20"/>
          <w:color w:val="auto"/>
        </w:rPr>
      </w:pPr>
    </w:p>
    <w:p>
      <w:pPr>
        <w:ind w:left="780" w:right="220" w:hanging="318"/>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1 — To elect three Class II directors to hold office until the 2022 Annual Meeting of Stockholders and until their successors are elected and qualified; and</w:t>
      </w:r>
    </w:p>
    <w:p>
      <w:pPr>
        <w:spacing w:after="0" w:line="170" w:lineRule="exact"/>
        <w:rPr>
          <w:rFonts w:ascii="Arial" w:cs="Arial" w:eastAsia="Arial" w:hAnsi="Arial"/>
          <w:sz w:val="18"/>
          <w:szCs w:val="18"/>
          <w:color w:val="auto"/>
        </w:rPr>
      </w:pPr>
    </w:p>
    <w:p>
      <w:pPr>
        <w:ind w:left="780" w:right="560" w:hanging="318"/>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No. 2 — To ratify the selection, by the Audit Committee of our Board of Directors, of Ernst &amp; Young LLP as the independent registered public accounting firm of the Company for the fiscal year ending December 31,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Proposal No. 1, you may either vote “</w:t>
      </w:r>
      <w:r>
        <w:rPr>
          <w:rFonts w:ascii="Arial" w:cs="Arial" w:eastAsia="Arial" w:hAnsi="Arial"/>
          <w:sz w:val="18"/>
          <w:szCs w:val="18"/>
          <w:b w:val="1"/>
          <w:bCs w:val="1"/>
          <w:color w:val="auto"/>
        </w:rPr>
        <w:t>FOR</w:t>
      </w:r>
      <w:r>
        <w:rPr>
          <w:rFonts w:ascii="Arial" w:cs="Arial" w:eastAsia="Arial" w:hAnsi="Arial"/>
          <w:sz w:val="18"/>
          <w:szCs w:val="18"/>
          <w:color w:val="auto"/>
        </w:rPr>
        <w:t>” all nominees to the board of directors or you may “</w:t>
      </w:r>
      <w:r>
        <w:rPr>
          <w:rFonts w:ascii="Arial" w:cs="Arial" w:eastAsia="Arial" w:hAnsi="Arial"/>
          <w:sz w:val="18"/>
          <w:szCs w:val="18"/>
          <w:b w:val="1"/>
          <w:bCs w:val="1"/>
          <w:color w:val="auto"/>
        </w:rPr>
        <w:t>WITHHOLD</w:t>
      </w:r>
      <w:r>
        <w:rPr>
          <w:rFonts w:ascii="Arial" w:cs="Arial" w:eastAsia="Arial" w:hAnsi="Arial"/>
          <w:sz w:val="18"/>
          <w:szCs w:val="18"/>
          <w:color w:val="auto"/>
        </w:rPr>
        <w:t>” your vote for any nominee you specify. For Proposal No. 2,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you may abstain from voting.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as follows: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If you are a stockholder of record, you may vote in person at the 2019 Annual Meeting or vote by internet, telephone or by mail. Whether or not you plan to attend the 2019 Annual Meeting, please vote as soon as possible to ensure your vote is counted. You may still attend the 2019 Annual Meeting and vote in person even if you have already voted by proxy.</w:t>
      </w:r>
    </w:p>
    <w:p>
      <w:pPr>
        <w:spacing w:after="0" w:line="143" w:lineRule="exact"/>
        <w:rPr>
          <w:sz w:val="20"/>
          <w:szCs w:val="20"/>
          <w:color w:val="auto"/>
        </w:rPr>
      </w:pPr>
    </w:p>
    <w:p>
      <w:pPr>
        <w:ind w:left="780" w:right="280" w:hanging="318"/>
        <w:spacing w:after="0" w:line="282"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 vote in person. </w:t>
      </w:r>
      <w:r>
        <w:rPr>
          <w:rFonts w:ascii="Arial" w:cs="Arial" w:eastAsia="Arial" w:hAnsi="Arial"/>
          <w:sz w:val="18"/>
          <w:szCs w:val="18"/>
          <w:color w:val="auto"/>
        </w:rPr>
        <w:t>You may attend the 2019 Annual Meeting and we will give you a ballot when you arrive. If</w:t>
      </w:r>
      <w:r>
        <w:rPr>
          <w:rFonts w:ascii="Arial" w:cs="Arial" w:eastAsia="Arial" w:hAnsi="Arial"/>
          <w:sz w:val="18"/>
          <w:szCs w:val="18"/>
          <w:b w:val="1"/>
          <w:bCs w:val="1"/>
          <w:color w:val="auto"/>
        </w:rPr>
        <w:t xml:space="preserve"> </w:t>
      </w:r>
      <w:r>
        <w:rPr>
          <w:rFonts w:ascii="Arial" w:cs="Arial" w:eastAsia="Arial" w:hAnsi="Arial"/>
          <w:sz w:val="18"/>
          <w:szCs w:val="18"/>
          <w:color w:val="auto"/>
        </w:rPr>
        <w:t>you need directions to the meeting, please visit www.ardelyx.com/contact.</w:t>
      </w:r>
    </w:p>
    <w:p>
      <w:pPr>
        <w:spacing w:after="0" w:line="161" w:lineRule="exact"/>
        <w:rPr>
          <w:rFonts w:ascii="Arial" w:cs="Arial" w:eastAsia="Arial" w:hAnsi="Arial"/>
          <w:sz w:val="18"/>
          <w:szCs w:val="18"/>
          <w:color w:val="auto"/>
        </w:rPr>
      </w:pPr>
    </w:p>
    <w:p>
      <w:pPr>
        <w:ind w:left="780" w:right="60" w:hanging="318"/>
        <w:spacing w:after="0" w:line="289"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To vote by proxy by internet or telephone. </w:t>
      </w:r>
      <w:r>
        <w:rPr>
          <w:rFonts w:ascii="Arial" w:cs="Arial" w:eastAsia="Arial" w:hAnsi="Arial"/>
          <w:sz w:val="17"/>
          <w:szCs w:val="17"/>
          <w:color w:val="auto"/>
        </w:rPr>
        <w:t>If you have internet or telephone access, you may submit your proxy</w:t>
      </w:r>
      <w:r>
        <w:rPr>
          <w:rFonts w:ascii="Arial" w:cs="Arial" w:eastAsia="Arial" w:hAnsi="Arial"/>
          <w:sz w:val="17"/>
          <w:szCs w:val="17"/>
          <w:b w:val="1"/>
          <w:bCs w:val="1"/>
          <w:color w:val="auto"/>
        </w:rPr>
        <w:t xml:space="preserve"> </w:t>
      </w:r>
      <w:r>
        <w:rPr>
          <w:rFonts w:ascii="Arial" w:cs="Arial" w:eastAsia="Arial" w:hAnsi="Arial"/>
          <w:sz w:val="17"/>
          <w:szCs w:val="17"/>
          <w:color w:val="auto"/>
        </w:rPr>
        <w:t>by following the instructions provided in the Notice, or if you received paper proxy materials by mail, by following the instructions provided with your proxy materials and on your proxy card or voting instruction card.</w:t>
      </w:r>
    </w:p>
    <w:p>
      <w:pPr>
        <w:spacing w:after="0" w:line="158" w:lineRule="exact"/>
        <w:rPr>
          <w:rFonts w:ascii="Arial" w:cs="Arial" w:eastAsia="Arial" w:hAnsi="Arial"/>
          <w:sz w:val="17"/>
          <w:szCs w:val="17"/>
          <w:color w:val="auto"/>
        </w:rPr>
      </w:pPr>
    </w:p>
    <w:p>
      <w:pPr>
        <w:ind w:left="780" w:right="100" w:hanging="318"/>
        <w:spacing w:after="0" w:line="26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To vote by proxy by mail. </w:t>
      </w:r>
      <w:r>
        <w:rPr>
          <w:rFonts w:ascii="Arial" w:cs="Arial" w:eastAsia="Arial" w:hAnsi="Arial"/>
          <w:sz w:val="18"/>
          <w:szCs w:val="18"/>
          <w:color w:val="auto"/>
        </w:rPr>
        <w:t>If you received paper proxy materials, you may submit your proxy by mail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and signing your proxy card and mailing it in the enclosed envelope. Your shares will be voted as you have instructed.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or Bank</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in person at the 2019 Annual Meeting, you must obtain a valid proxy from your broker or other agent. Follow the instructions from your broker or other agent included with these proxy materials, or contact your broker or bank to request a proxy form.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by completing and returning the Notice?</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No. The Notice will, however, provide instructions on how to vote by internet, by telephone, by requesting and returning a paper proxy card or voting instruction card, or by submitting a ballot in person at the 2019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each matter to be voted upon, you have one vote for each share of the Company’s common stock you owned as of April 18,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If you return a signed and dated proxy card without marking any voting selections,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nominee for director (Proposal No. 1) and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selection of Ernst &amp; Young LLP as the independent registered public accounting firm of the Company for the fiscal year ending December 31, 2019 (Proposal No. 2). If any other matter is properly presented at the 2019 Annual Meeting, your proxyholder (one of the individuals named on your proxy card) will vote your shares using his or her best judgment.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or proxy card?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receive more than one Notice or proxy card, your shares are registered in more than one name or are registered in different accounts. In order to vote all the shares you own, you must vote pursuant to the instructions on each Notice or return each proxy card.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Yes. You can revoke your proxy at any time before the final vote at the 2019 Annual Meeting. If you are the stockholder of record of your shares, you may revoke your proxy in any one of three ways:</w:t>
      </w:r>
    </w:p>
    <w:p>
      <w:pPr>
        <w:spacing w:after="0" w:line="170" w:lineRule="exact"/>
        <w:rPr>
          <w:sz w:val="20"/>
          <w:szCs w:val="20"/>
          <w:color w:val="auto"/>
        </w:rPr>
      </w:pPr>
    </w:p>
    <w:p>
      <w:pPr>
        <w:ind w:left="780" w:hanging="31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You may submit another properly completed proxy, bearing a date later than the date of the original proxy.</w:t>
      </w:r>
    </w:p>
    <w:p>
      <w:pPr>
        <w:spacing w:after="0" w:line="236" w:lineRule="exact"/>
        <w:rPr>
          <w:rFonts w:ascii="Arial" w:cs="Arial" w:eastAsia="Arial" w:hAnsi="Arial"/>
          <w:sz w:val="17"/>
          <w:szCs w:val="17"/>
          <w:color w:val="auto"/>
        </w:rPr>
      </w:pPr>
    </w:p>
    <w:p>
      <w:pPr>
        <w:jc w:val="both"/>
        <w:ind w:left="780" w:right="20" w:hanging="318"/>
        <w:spacing w:after="0" w:line="264"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send a timely written notice, bearing a date later than the date of the original proxy, that you are revoking your proxy to the Company’s General Counsel at Ardelyx, Inc., 34175 Ardenwood Blvd., Suite 200, Fremont, CA 94555.</w:t>
      </w:r>
    </w:p>
    <w:p>
      <w:pPr>
        <w:spacing w:after="0" w:line="181" w:lineRule="exact"/>
        <w:rPr>
          <w:rFonts w:ascii="Arial" w:cs="Arial" w:eastAsia="Arial" w:hAnsi="Arial"/>
          <w:sz w:val="18"/>
          <w:szCs w:val="18"/>
          <w:color w:val="auto"/>
        </w:rPr>
      </w:pPr>
    </w:p>
    <w:p>
      <w:pPr>
        <w:ind w:left="780" w:right="20" w:hanging="318"/>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attend the 2019 Annual Meeting and vote in person. Simply attending the 2019 Annual Meeting will not, by itself, revoke your proxy.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your shares are held in “street name” by your broker or other agent, you should follow the instructions provided by your broker or agent to change your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quorum of stockholders is necessary to hold a valid meeting. A quorum will be present if stockholders holding at least a majority of the outstanding shares entitled to vote are present at the 2019 Annual Meeting. On the record date, there were 62,600,443 shares outstanding and entitled to vote. Accordingly, the holders of 31,300,222 shares must be present at the 2019 Annual Meeting to have a quorum. Your shares will be counted toward the quorum at the 2019 Annual Meeting only if you vote in person at the meeting, or you submit a valid proxy vote.</w:t>
      </w:r>
    </w:p>
    <w:p>
      <w:pPr>
        <w:spacing w:after="0" w:line="17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Abstentions and broker non-votes (as described below) will be counted towards the quorum requirement. If there is no quorum, the chairperson of the meeting or the holders of a majority of shares present and entitled to vote at the meeting in person or represented by proxy may adjourn the 2019 Annual Meeting to another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With respect to the election of directors (Proposal 1),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for each of the nominees for the Board. If you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18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With respect to the ratification of Ernst &amp; Young LLP as of our independent registered public accounting firm for the year ending December 31, 2019 (Proposal 2),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If you “</w:t>
      </w:r>
      <w:r>
        <w:rPr>
          <w:rFonts w:ascii="Arial" w:cs="Arial" w:eastAsia="Arial" w:hAnsi="Arial"/>
          <w:sz w:val="18"/>
          <w:szCs w:val="18"/>
          <w:b w:val="1"/>
          <w:bCs w:val="1"/>
          <w:color w:val="auto"/>
        </w:rPr>
        <w:t>ABSTAIN</w:t>
      </w:r>
      <w:r>
        <w:rPr>
          <w:rFonts w:ascii="Arial" w:cs="Arial" w:eastAsia="Arial" w:hAnsi="Arial"/>
          <w:sz w:val="18"/>
          <w:szCs w:val="18"/>
          <w:color w:val="auto"/>
        </w:rPr>
        <w:t>” from voting with respect to this proposal, your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have no effect on the vote for this proposal.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Votes will be counted by the Inspector of Elections appointed for the 2019 Annual Meeting. The Inspector of Elections will separately count “</w:t>
      </w:r>
      <w:r>
        <w:rPr>
          <w:rFonts w:ascii="Arial" w:cs="Arial" w:eastAsia="Arial" w:hAnsi="Arial"/>
          <w:sz w:val="17"/>
          <w:szCs w:val="17"/>
          <w:b w:val="1"/>
          <w:bCs w:val="1"/>
          <w:color w:val="auto"/>
        </w:rPr>
        <w:t>FOR</w:t>
      </w:r>
      <w:r>
        <w:rPr>
          <w:rFonts w:ascii="Arial" w:cs="Arial" w:eastAsia="Arial" w:hAnsi="Arial"/>
          <w:sz w:val="17"/>
          <w:szCs w:val="17"/>
          <w:color w:val="auto"/>
        </w:rPr>
        <w:t>” votes for the election of directors (Proposal 1) and “</w:t>
      </w:r>
      <w:r>
        <w:rPr>
          <w:rFonts w:ascii="Arial" w:cs="Arial" w:eastAsia="Arial" w:hAnsi="Arial"/>
          <w:sz w:val="17"/>
          <w:szCs w:val="17"/>
          <w:b w:val="1"/>
          <w:bCs w:val="1"/>
          <w:color w:val="auto"/>
        </w:rPr>
        <w:t>FOR</w:t>
      </w:r>
      <w:r>
        <w:rPr>
          <w:rFonts w:ascii="Arial" w:cs="Arial" w:eastAsia="Arial" w:hAnsi="Arial"/>
          <w:sz w:val="17"/>
          <w:szCs w:val="17"/>
          <w:color w:val="auto"/>
        </w:rPr>
        <w:t>” and “</w:t>
      </w:r>
      <w:r>
        <w:rPr>
          <w:rFonts w:ascii="Arial" w:cs="Arial" w:eastAsia="Arial" w:hAnsi="Arial"/>
          <w:sz w:val="17"/>
          <w:szCs w:val="17"/>
          <w:b w:val="1"/>
          <w:bCs w:val="1"/>
          <w:color w:val="auto"/>
        </w:rPr>
        <w:t>AGAINST</w:t>
      </w:r>
      <w:r>
        <w:rPr>
          <w:rFonts w:ascii="Arial" w:cs="Arial" w:eastAsia="Arial" w:hAnsi="Arial"/>
          <w:sz w:val="17"/>
          <w:szCs w:val="17"/>
          <w:color w:val="auto"/>
        </w:rPr>
        <w:t>” votes, abstentions and, if any, broker non-votes for the ratification of the selection of Ernst &amp; Young LLP as the independent registered accounting firm of the Company for the fiscal year ending December 31, 2019 (Proposal 2).</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is a non-routine matter, but Proposal No. 2 to ratify the selection of Ernst &amp; Young LLP as the independent registered public accounting firm for the Company for the fiscal year ending December 31, 2019 is a “routine”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left="780" w:right="120" w:hanging="318"/>
        <w:spacing w:after="0" w:line="297"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Proposal No. 1 — To elect three Class II directors to hold office until the 2022 Annual Meeting of Stockholders and until their successors are elected and qualified. Directors shall be elected by a plurality of the votes cast, which means that the three nominees receiving the most “</w:t>
      </w:r>
      <w:r>
        <w:rPr>
          <w:rFonts w:ascii="Arial" w:cs="Arial" w:eastAsia="Arial" w:hAnsi="Arial"/>
          <w:sz w:val="16"/>
          <w:szCs w:val="16"/>
          <w:b w:val="1"/>
          <w:bCs w:val="1"/>
          <w:color w:val="auto"/>
        </w:rPr>
        <w:t>FOR</w:t>
      </w:r>
      <w:r>
        <w:rPr>
          <w:rFonts w:ascii="Arial" w:cs="Arial" w:eastAsia="Arial" w:hAnsi="Arial"/>
          <w:sz w:val="16"/>
          <w:szCs w:val="16"/>
          <w:color w:val="auto"/>
        </w:rPr>
        <w:t>” votes (from the votes of shares present in person or represented by proxy and entitled to vote on the election of directors) will be elected. “</w:t>
      </w:r>
      <w:r>
        <w:rPr>
          <w:rFonts w:ascii="Arial" w:cs="Arial" w:eastAsia="Arial" w:hAnsi="Arial"/>
          <w:sz w:val="16"/>
          <w:szCs w:val="16"/>
          <w:b w:val="1"/>
          <w:bCs w:val="1"/>
          <w:color w:val="auto"/>
        </w:rPr>
        <w:t>WITHHOLD</w:t>
      </w:r>
      <w:r>
        <w:rPr>
          <w:rFonts w:ascii="Arial" w:cs="Arial" w:eastAsia="Arial" w:hAnsi="Arial"/>
          <w:sz w:val="16"/>
          <w:szCs w:val="16"/>
          <w:color w:val="auto"/>
        </w:rPr>
        <w:t>” votes and broker non-votes will not be counted towards the vote total for this proposal.</w:t>
      </w:r>
    </w:p>
    <w:p>
      <w:pPr>
        <w:spacing w:after="0" w:line="158" w:lineRule="exact"/>
        <w:rPr>
          <w:rFonts w:ascii="Arial" w:cs="Arial" w:eastAsia="Arial" w:hAnsi="Arial"/>
          <w:sz w:val="16"/>
          <w:szCs w:val="16"/>
          <w:color w:val="auto"/>
        </w:rPr>
      </w:pPr>
    </w:p>
    <w:p>
      <w:pPr>
        <w:ind w:left="780" w:hanging="318"/>
        <w:spacing w:after="0" w:line="291"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Proposal No. 2 — To ratify the selection of Ernst &amp; Young LLP as the independent registered public accounting firm of the Company for the fiscal year ending December 31, 2019. The ratification of our Ernst &amp; Young LLP as independent registered public accounting firm for the year ending December 31, 2019 requires the affirmative vote of the majority of the votes cast, which means the number of shares voted “</w:t>
      </w:r>
      <w:r>
        <w:rPr>
          <w:rFonts w:ascii="Arial" w:cs="Arial" w:eastAsia="Arial" w:hAnsi="Arial"/>
          <w:sz w:val="16"/>
          <w:szCs w:val="16"/>
          <w:b w:val="1"/>
          <w:bCs w:val="1"/>
          <w:color w:val="auto"/>
        </w:rPr>
        <w:t>FOR</w:t>
      </w:r>
      <w:r>
        <w:rPr>
          <w:rFonts w:ascii="Arial" w:cs="Arial" w:eastAsia="Arial" w:hAnsi="Arial"/>
          <w:sz w:val="16"/>
          <w:szCs w:val="16"/>
          <w:color w:val="auto"/>
        </w:rPr>
        <w:t>” the proposal must exceed the number of shares voted “</w:t>
      </w:r>
      <w:r>
        <w:rPr>
          <w:rFonts w:ascii="Arial" w:cs="Arial" w:eastAsia="Arial" w:hAnsi="Arial"/>
          <w:sz w:val="16"/>
          <w:szCs w:val="16"/>
          <w:b w:val="1"/>
          <w:bCs w:val="1"/>
          <w:color w:val="auto"/>
        </w:rPr>
        <w:t>AGAINST</w:t>
      </w:r>
      <w:r>
        <w:rPr>
          <w:rFonts w:ascii="Arial" w:cs="Arial" w:eastAsia="Arial" w:hAnsi="Arial"/>
          <w:sz w:val="16"/>
          <w:szCs w:val="16"/>
          <w:color w:val="auto"/>
        </w:rPr>
        <w:t>” such proposal). Abstentions and broker non-votes are not considered votes cast for the foregoing purpose, and will have no effect on the vote for this proposal. Because Proposal No. 2 is considered a “routine” matter, no broker non-votes are expected in connection with this proposal.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2019 Annual Meeting?</w:t>
      </w:r>
    </w:p>
    <w:p>
      <w:pPr>
        <w:spacing w:after="0" w:line="229"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We will disclose final voting results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within four business days after the 2019 Annual Meeting. If final voting results are unavailable at that time, then we intend to file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to disclose preliminary voting results and file an amended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within four business days after the date the final voting results are available.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 These reduced reporting requirements include reduced disclosure about the company’s executive compensation arrangements and no non-binding advisory votes on executive compensation. We will remain an emerging growth company until December 31,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To be considered for inclusion in the proxy materials for the 2020 Annual Meeting of Stockholders, your proposal must be submitted in writing by December 28, 2019, to the Company’s Corporate Secretary at Ardelyx, Inc., 34175 Ardenwood Blvd., Suite 200, Fremont, CA 94555. However, if the meeting is more than 30 days from June 13, 2020, then the deadline will be a reasonable time before we begin to print and mail our proxy materials for that meeting.</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you wish to submit a proposal before the stockholders or nominate a director at the 2020 Annual Meeting of Stockholders, but you are not requesting that your proposal or nomination be included in the proxy materials for that meeting, then you must follow the procedures set forth in our bylaws and, among other things, notify the Company’s Corporate Secretary in writing between February 14, 2020 and March 15, 2020. However, if the date of the 2020 Annual Meeting of Stockholders is more than 30 days before June 13, 2020, then you must give notice not later than the 90th day prior to that meeting, and if the date of the 2020 Annual Meeting of Stockholders is more than 60 days after June 13, 2020, you must give notice not later than the 10th day following the day on which public disclosure of that annual meeting date is first made. You are also advised to review our bylaws, which contain additional requirements regarding advance notice of stockholder proposals and director nominations.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currently consists of nine directors and no vacancies, divided into the following three classes:</w:t>
      </w:r>
    </w:p>
    <w:p>
      <w:pPr>
        <w:spacing w:after="0" w:line="237" w:lineRule="exact"/>
        <w:rPr>
          <w:sz w:val="20"/>
          <w:szCs w:val="20"/>
          <w:color w:val="auto"/>
        </w:rPr>
      </w:pPr>
    </w:p>
    <w:p>
      <w:pPr>
        <w:ind w:left="780" w:right="240" w:hanging="318"/>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 directors are William Bertrand, Jr., Esq., Annalisa Jenkins, MBBS, FRCP and Jan Lundberg, Ph.D., and their terms will expire at the 2021 Annual Meeting of Stockholders;</w:t>
      </w:r>
    </w:p>
    <w:p>
      <w:pPr>
        <w:spacing w:after="0" w:line="170" w:lineRule="exact"/>
        <w:rPr>
          <w:rFonts w:ascii="Arial" w:cs="Arial" w:eastAsia="Arial" w:hAnsi="Arial"/>
          <w:sz w:val="18"/>
          <w:szCs w:val="18"/>
          <w:color w:val="auto"/>
        </w:rPr>
      </w:pPr>
    </w:p>
    <w:p>
      <w:pPr>
        <w:ind w:left="780" w:right="160" w:hanging="318"/>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II directors are Geoffrey A. Block, M.D., David Mott and Michael Raab, and their terms will expire at the 2019 Annual Meeting; and</w:t>
      </w:r>
    </w:p>
    <w:p>
      <w:pPr>
        <w:spacing w:after="0" w:line="170" w:lineRule="exact"/>
        <w:rPr>
          <w:rFonts w:ascii="Arial" w:cs="Arial" w:eastAsia="Arial" w:hAnsi="Arial"/>
          <w:sz w:val="18"/>
          <w:szCs w:val="18"/>
          <w:color w:val="auto"/>
        </w:rPr>
      </w:pPr>
    </w:p>
    <w:p>
      <w:pPr>
        <w:ind w:left="780" w:right="220" w:hanging="318"/>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III directors are Robert Bazemore, Gordon Ringold, Ph.D., and Richard Rodgers, and their terms will expire at the 2020 Annual Meeting of Stockholders.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current Class II directors, Geoffrey A. Block, M.D., David Mott and Michael Raab, have been nominated to serve as Class II directors and have agreed to stand for election. If the nominees for Class II are elected at the 2019 Annual Meeting, then each nominee will serve for a three-year term expiring at the 2022 Annual Meeting of Stockholders, and until his successor is elected and qualified, or until his earlier death, resignation or removal.</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the election of the three nominees for Class 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16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following is a brief biography and discussion of the specific attributes, qualifications, experience and skills of each nominee for director and each director whose term will continue after the 2019 Annual Meeting. Our board of directors and management encourage each nominee for director and each continuing director to attend the 2019 Annual Meeting.</w:t>
      </w:r>
    </w:p>
    <w:p>
      <w:pPr>
        <w:spacing w:after="0" w:line="14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THREE CLASS II NOMINEES FOR DIRECTOR.</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CLASS II NOMINEES FOR DIRECTOR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be elected for a three-year term expiring at the 2022 Annual Meeting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Stockholders</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Geoffrey A. Block, M.D.</w:t>
      </w:r>
      <w:r>
        <w:rPr>
          <w:rFonts w:ascii="Arial" w:cs="Arial" w:eastAsia="Arial" w:hAnsi="Arial"/>
          <w:sz w:val="17"/>
          <w:szCs w:val="17"/>
          <w:color w:val="auto"/>
        </w:rPr>
        <w:t>, age 53, was appointed to our board of directors in March 2019. Dr. Block has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Nephrology of Reata Pharmaceuticals, Inc. (Nasdaq: RETA) since January 2019. Prior to that, Dr. Block held a variety of positions with the Denver Nephrology Division at Colorado Kidney Care/Denver Nephrologists, most recently serving as the Director of Clinical Research from 1998 to 2018. Additionally, Dr. Block served as an associate professor in medicine at the University of Colorado Health Sciences Center from 2008 to 2018. Prior to that, Dr. Block served as an attending physician at St. Joseph’s Hospital and as the medical director of the DaVita-Lowry Hemodialysis Unit. Dr. Block was previously a member of the Executive Steering Committee for KDIGO and served on two workgroups responsible for formulating KDIGO Guidelines. Dr. Block received his M.D. from the University of Cincinnati College of Medicine, and completed his fellowship in nephrology at that the University of Michigan at Ann Arbor. We believe that Dr. Block is qualified to serve on our board of directors due to his extensive experience in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field of nephrology, and his unique ability to understand the treatment options, needs and challenges for the patients we expect to serve.</w:t>
      </w:r>
    </w:p>
    <w:p>
      <w:pPr>
        <w:spacing w:after="0" w:line="16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David Mott</w:t>
      </w:r>
      <w:r>
        <w:rPr>
          <w:rFonts w:ascii="Arial" w:cs="Arial" w:eastAsia="Arial" w:hAnsi="Arial"/>
          <w:sz w:val="16"/>
          <w:szCs w:val="16"/>
          <w:color w:val="auto"/>
        </w:rPr>
        <w:t>, age 53, has served on our board of directors since March 2009 and as chairman of the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2014. Mr. Mott has served as a general partner of New Enterprise Associates, or NEA, an investment firm focused on venture capital and growth equity investments, since September 2008, where he leads the healthcare investing practice. From 1992 until 2008, Mr. Mott worked at MedImmune Limited, a biotechnology company and subsidiary of AstraZeneca Plc (NYSE:AZN),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serves as the chairman of the board of directors for Adaptimmune Therapeutics Plc, (Nasdaq: ADAP), Mersana Therapeutics, Inc. (Nasdaq:MRSN), and Epizyme (Nasdaq: EPZM). Mr. Mott also served as the chairman of the board of directors of TESARO (Nasdaq: TSRO) until its acquisition by GlaxoSmithKline Plc (LSE/NYSE: GSK) in January 2019. Additionally, Mr. Mott serves as a member of the board of directors of Nightstar Therapeutics Plc (Nasdaq:NITE), and from 2012 until 2015, he served on the board of Prosensa Holding, BV, a publicly-traded company. He also serves on the boards of directors of several privately held life sciences companies. Mr. Mott received a B.A. in Economics and Government from Dartmouth College.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Michael Raab</w:t>
      </w:r>
      <w:r>
        <w:rPr>
          <w:rFonts w:ascii="Arial" w:cs="Arial" w:eastAsia="Arial" w:hAnsi="Arial"/>
          <w:sz w:val="17"/>
          <w:szCs w:val="17"/>
          <w:color w:val="auto"/>
        </w:rPr>
        <w:t>, age 54, has served as our President and Chief Executive Officer and a director since March 2009. From 2002</w:t>
      </w:r>
      <w:r>
        <w:rPr>
          <w:rFonts w:ascii="Arial" w:cs="Arial" w:eastAsia="Arial" w:hAnsi="Arial"/>
          <w:sz w:val="17"/>
          <w:szCs w:val="17"/>
          <w:b w:val="1"/>
          <w:bCs w:val="1"/>
          <w:color w:val="auto"/>
        </w:rPr>
        <w:t xml:space="preserve"> </w:t>
      </w:r>
      <w:r>
        <w:rPr>
          <w:rFonts w:ascii="Arial" w:cs="Arial" w:eastAsia="Arial" w:hAnsi="Arial"/>
          <w:sz w:val="17"/>
          <w:szCs w:val="17"/>
          <w:color w:val="auto"/>
        </w:rPr>
        <w:t>to 2009, Mr. Raab was a partner at NEA, where he focused on investments in the biotechnology and pharmaceutical sectors. Prior to joining NEA, Mr. Raab spent 15 years in commercial and operating leadership roles in the biotech and pharmaceutical industries. He was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a director of Tempest Therapeutics, a biotechnology company. Mr. Raab currently serves as a member of the board of directors of the California Life Sciences Association, a non-profit trade association serving the life science industry in California, and as a member of the Emerging Companies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2021 Annual Meeting of Stockholders</w:t>
      </w:r>
    </w:p>
    <w:p>
      <w:pPr>
        <w:spacing w:after="0" w:line="225" w:lineRule="exact"/>
        <w:rPr>
          <w:sz w:val="20"/>
          <w:szCs w:val="20"/>
          <w:color w:val="auto"/>
        </w:rPr>
      </w:pPr>
    </w:p>
    <w:p>
      <w:pPr>
        <w:jc w:val="both"/>
        <w:ind w:right="220"/>
        <w:spacing w:after="0" w:line="289" w:lineRule="auto"/>
        <w:rPr>
          <w:sz w:val="20"/>
          <w:szCs w:val="20"/>
          <w:color w:val="auto"/>
        </w:rPr>
      </w:pPr>
      <w:r>
        <w:rPr>
          <w:rFonts w:ascii="Arial" w:cs="Arial" w:eastAsia="Arial" w:hAnsi="Arial"/>
          <w:sz w:val="16"/>
          <w:szCs w:val="16"/>
          <w:b w:val="1"/>
          <w:bCs w:val="1"/>
          <w:color w:val="auto"/>
        </w:rPr>
        <w:t>William Bertrand, Jr., Esq.</w:t>
      </w:r>
      <w:r>
        <w:rPr>
          <w:rFonts w:ascii="Arial" w:cs="Arial" w:eastAsia="Arial" w:hAnsi="Arial"/>
          <w:sz w:val="16"/>
          <w:szCs w:val="16"/>
          <w:color w:val="auto"/>
        </w:rPr>
        <w:t>, age 54, was appointed to our board of directors in October 2015. Mr. Bertrand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Operating Officer at Adaptimmune Therapeutics Plc (Nasdaq: ADAP) since March 2017. From October 2015 to September 2016, Mr. Bertrand served as the Executive Vice President, General Counsel of Infinity Pharmaceuticals, Inc.</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pursued a 12 year career at Medimmune Limited, a biotechnology company and subsidiary of AstraZeneca Plc (NYSE:AZN) ,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b w:val="1"/>
          <w:bCs w:val="1"/>
          <w:color w:val="auto"/>
        </w:rPr>
        <w:t>Annalisa Jenkins, MBBS, FRCP</w:t>
      </w:r>
      <w:r>
        <w:rPr>
          <w:rFonts w:ascii="Arial" w:cs="Arial" w:eastAsia="Arial" w:hAnsi="Arial"/>
          <w:sz w:val="16"/>
          <w:szCs w:val="16"/>
          <w:color w:val="auto"/>
        </w:rPr>
        <w:t>, age 53, has served on our board of directors since April 2015. Dr. Jenkins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of PlaqueTec Ltd. from November 2017 to April 2019. Prior to that, Dr. Jenkins served as the Chief Executive Officer and a member of the board of directors at Dimension Therapeutics, Inc. (Nasdaq: DMTX) from September 2014 through its acquisition by Ultragenyx (Nasdaq: RARE) in late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w:t>
      </w:r>
      <w:r>
        <w:rPr>
          <w:rFonts w:ascii="MS PGothic" w:cs="MS PGothic" w:eastAsia="MS PGothic" w:hAnsi="MS PGothic"/>
          <w:sz w:val="16"/>
          <w:szCs w:val="16"/>
          <w:color w:val="auto"/>
        </w:rPr>
        <w:t>‑</w:t>
      </w:r>
      <w:r>
        <w:rPr>
          <w:rFonts w:ascii="Arial" w:cs="Arial" w:eastAsia="Arial" w:hAnsi="Arial"/>
          <w:sz w:val="16"/>
          <w:szCs w:val="16"/>
          <w:color w:val="auto"/>
        </w:rPr>
        <w:t>year career at Bristol-Myers Squibb Company, a biopharmaceutical company, where, from July 2009 to June 2011, she was a Senior Vice President and head of Global Medical Affairs at Bristol-Myers Squibb. Dr. Jenkins serves on the board of Avrobio, Inc. (Nasdaq: AVRO) and AgeX Therapeutics, Inc. (NYSE American: AGE), and she also serves on the boards of directors of several privately held life sciences companies, as well as several life sciences companies that trade on the AIM. Dr. Jenkins is currently a committee member of the Science Board to the U.S. Food &amp; Drug Administration, or FDA, which advises FDA leadership on complex scientific and technical issues.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of directors based on her extensive scientific background and deep life science industry experience.</w:t>
      </w:r>
    </w:p>
    <w:p>
      <w:pPr>
        <w:spacing w:after="0" w:line="20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Jan Lundberg, Ph.D.</w:t>
      </w:r>
      <w:r>
        <w:rPr>
          <w:rFonts w:ascii="Arial" w:cs="Arial" w:eastAsia="Arial" w:hAnsi="Arial"/>
          <w:sz w:val="17"/>
          <w:szCs w:val="17"/>
          <w:color w:val="auto"/>
        </w:rPr>
        <w:t>, age 65, was appointed to our board of directors in March 2018. Dr. Lundberg served as the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of Lilly Research Laboratories and Executive Vice President of Science and Technology for Eli Lilly and Company (NYSE: LLY) from January 2010 to March 2018. Prior to joining Lilly he served for ten years as global head of discovery research at AstraZeneca Plc (NYSE: AZN), where he was a member of the senior executive team. Dr. Lundberg also served as a professor at the Karolinska Institute’s department of pharmacology in Sweden, and was a cofounder of biotechnology company, Aerocrine. Dr. Lundberg currently serves on the board of directors of several privately held life sciences companies and non-profit organizations. Dr. Lundberg was instrumental in the establishment of the Innovative Medicines Initiative in Europe and the Accelerating Medicines Partnership with National Institutes of Health. Dr. Lundberg received a B.S.M. in medicine from the University of Gothenberg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III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2020 Annual Meeting of Stockholders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Robert Bazemore</w:t>
      </w:r>
      <w:r>
        <w:rPr>
          <w:rFonts w:ascii="Arial" w:cs="Arial" w:eastAsia="Arial" w:hAnsi="Arial"/>
          <w:sz w:val="17"/>
          <w:szCs w:val="17"/>
          <w:color w:val="auto"/>
        </w:rPr>
        <w:t>, age 51, was appointed to our board of directors in June 2016. Mr. Bazemore has served as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and a director of Epizyme, Inc. (Nasdaq: EPZM) since September 2015. Prior to joining Epizyme, Mr. Bazemore served as Chief Operating Officer of Synageva BioPharma Corp., a publicly-traded biotechnology company, which was acquired by Alexion Pharmaceuticals (Nasdaq: ALXN) in July 2015. Prior to that, Mr. Bazemore served in increasing levels of responsibility at Johnson &amp; Johnson (NYSE: JNJ), including most recently as President of Janssen Biotech from March 2010 to October 2013 and Vice President of Global Surgery at Ethicon from October 2013 to September 2014. Mr. Bazemore currently serves on the board of directors of Neon Therapeutics, Inc. (Nasdaq: NTGN). Mr. Bazemore received his B.S. in Biochemistry from the University of Georgia. We believe that Mr. Bazemore is qualified to serve on our board of directors due to his significant life science industry experience, including as a chief executive officer, and service on another board of directors of a publicly-traded life sciences company.</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Gordon Ringold, Ph.D.</w:t>
      </w:r>
      <w:r>
        <w:rPr>
          <w:rFonts w:ascii="Arial" w:cs="Arial" w:eastAsia="Arial" w:hAnsi="Arial"/>
          <w:sz w:val="17"/>
          <w:szCs w:val="17"/>
          <w:color w:val="auto"/>
        </w:rPr>
        <w:t>, age 68, was appointed to our board of directors in June 2014. Dr. Ringold has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CEO of Quadriga BioSciences, Inc., a biotechnology company, since January 2015. From March 2000 to December 2013, Dr. Ringold served as Chairman and Chief Executive Officer of Alavita, Inc., a biotechnology company. From June 2001 until September 2016, Dr. Ringold served as a director of Alexza Pharmaceuticals, Inc. (Nasdaq: ALXA). Dr. Ringold received a Ph.D. in microbiology from University of California, San Francisco, in the laboratory of Dr. Harold Varmus before joining the Stanford University School of Medicine, Department of Pharmacology. Dr. Ringold also received a B.S. in biology from the University of California, Santa Cruz. We believe that Dr. Ringold is qualified to serve on our board of directors due to his significant life science industry experience, including as a chief executive officer, and service on other boards of directors of publicly-traded life sciences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9"/>
        <w:spacing w:after="0" w:line="284" w:lineRule="auto"/>
        <w:rPr>
          <w:sz w:val="20"/>
          <w:szCs w:val="20"/>
          <w:color w:val="auto"/>
        </w:rPr>
      </w:pPr>
      <w:r>
        <w:rPr>
          <w:rFonts w:ascii="Arial" w:cs="Arial" w:eastAsia="Arial" w:hAnsi="Arial"/>
          <w:sz w:val="16"/>
          <w:szCs w:val="16"/>
          <w:b w:val="1"/>
          <w:bCs w:val="1"/>
          <w:color w:val="auto"/>
        </w:rPr>
        <w:t>Richard Rodgers</w:t>
      </w:r>
      <w:r>
        <w:rPr>
          <w:rFonts w:ascii="Arial" w:cs="Arial" w:eastAsia="Arial" w:hAnsi="Arial"/>
          <w:sz w:val="16"/>
          <w:szCs w:val="16"/>
          <w:color w:val="auto"/>
        </w:rPr>
        <w:t>, age 52, has served on our board of directors since March 2014. Mr. Rodgers co-founded Tesaro, Inc., a</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acquired by GlaxoSmithKline plc (LSE/NYSE: GSK) in January 2019, and served as its Executive Vice President, Chief Financial Officer, Secretary and Treasurer from March 2010 until August 2013.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a pharmaceutical company, in January 2008. Mr. Rodgers has held finance and accounting positions at several private and public companies, including Arthur Anderson &amp; Co. Mr. Rodgers currently serves as a director of Rexahn Pharmaceuticals, Inc. (NYSE: RNN).</w:t>
      </w:r>
    </w:p>
    <w:p>
      <w:pPr>
        <w:spacing w:after="0" w:line="5" w:lineRule="exact"/>
        <w:rPr>
          <w:sz w:val="20"/>
          <w:szCs w:val="20"/>
          <w:color w:val="auto"/>
        </w:rPr>
      </w:pPr>
    </w:p>
    <w:p>
      <w:pPr>
        <w:ind w:right="279"/>
        <w:spacing w:after="0" w:line="254" w:lineRule="auto"/>
        <w:rPr>
          <w:sz w:val="20"/>
          <w:szCs w:val="20"/>
          <w:color w:val="auto"/>
        </w:rPr>
      </w:pPr>
      <w:r>
        <w:rPr>
          <w:rFonts w:ascii="Arial" w:cs="Arial" w:eastAsia="Arial" w:hAnsi="Arial"/>
          <w:sz w:val="18"/>
          <w:szCs w:val="18"/>
          <w:color w:val="auto"/>
        </w:rPr>
        <w:t>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43"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The audit committee of our board of directors has selected Ernst &amp; Young LLP, or EY, as our independent registered public accounting firm for the year ending December 31, 2019, and is seeking ratification of such selection by our stockholders at the 2019 Annual Meeting. EY has audited our financial statements since the fiscal year ended December 31, 2014.</w:t>
      </w:r>
    </w:p>
    <w:p>
      <w:pPr>
        <w:ind w:right="440"/>
        <w:spacing w:after="0" w:line="261" w:lineRule="auto"/>
        <w:rPr>
          <w:sz w:val="20"/>
          <w:szCs w:val="20"/>
          <w:color w:val="auto"/>
        </w:rPr>
      </w:pPr>
      <w:r>
        <w:rPr>
          <w:rFonts w:ascii="Arial" w:cs="Arial" w:eastAsia="Arial" w:hAnsi="Arial"/>
          <w:sz w:val="18"/>
          <w:szCs w:val="18"/>
          <w:color w:val="auto"/>
        </w:rPr>
        <w:t>Representatives of EY are expected to be present at the 2019 Annual Meeting. They will have an opportunity to make a statement if they so desire and will be available to respond to appropriate questions.</w:t>
      </w:r>
    </w:p>
    <w:p>
      <w:pPr>
        <w:spacing w:after="0" w:line="10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shares cast at the 2019 Annual Meeting will be required to ratify the selection of EY.</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PROPOSAL NO. 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Related Fees</w:t>
      </w:r>
    </w:p>
    <w:p>
      <w:pPr>
        <w:spacing w:after="0" w:line="1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fiscal years ended December 31, 2018 and 2017, EY billed the approximate fees set forth below. All fees included below were approved by the audit committee.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20" w:type="dxa"/>
            <w:vAlign w:val="bottom"/>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909,200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875,268</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Other Fees</w:t>
            </w:r>
            <w:r>
              <w:rPr>
                <w:rFonts w:ascii="Arial" w:cs="Arial" w:eastAsia="Arial" w:hAnsi="Arial"/>
                <w:sz w:val="8"/>
                <w:szCs w:val="8"/>
                <w:color w:val="auto"/>
              </w:rPr>
              <w:t>(2)</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920" w:type="dxa"/>
            <w:vAlign w:val="bottom"/>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All Fees</w:t>
            </w:r>
          </w:p>
        </w:tc>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913,065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875,268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6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consists of fees for professional services rendered for the audit of our annual financial statements, review of interim financial statements, accounting and financial reporting consultations, and the issuance of consent and comfort letters in connection with statutory and regulatory filings or engagements.</w:t>
      </w:r>
    </w:p>
    <w:p>
      <w:pPr>
        <w:spacing w:after="0" w:line="113" w:lineRule="exact"/>
        <w:rPr>
          <w:rFonts w:ascii="Arial" w:cs="Arial" w:eastAsia="Arial" w:hAnsi="Arial"/>
          <w:sz w:val="18"/>
          <w:szCs w:val="18"/>
          <w:color w:val="auto"/>
        </w:rPr>
      </w:pPr>
    </w:p>
    <w:p>
      <w:pPr>
        <w:ind w:left="320" w:hanging="317"/>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consists of fees related to accessing EY’s online research database.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http://ir.ardelyx.com/corporate-governance. The policy provides that before an independent registered public accounting firm is engaged by Ardelyx or its subsidiaries to render audit or non-audit services, the audit committee must review the terms of the proposed engagement and pre-approve the engagement. Audit committee pre-approval of audit and non-audit services is not required if the engagement for the services is entered into pursuant to the pre-approval policies and procedures established by the audit committee regarding Ardelyx’s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management. The audit committee may delegate to one or more designated members of the audit committee the authority to grant pre-approvals, provided such approvals are presented to the audit committee at a subsequent meeting. Audit committee pre-approval of non-audit services (other than review and attest services) also will not be required if such services fall within available exceptions established by the SEC. The audit committee has considered the role of EY in providing audit and audit-related services to the Company and has concluded that such services are compatible with EY’s role as the Company’s independent registered public accounting firm.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181" w:lineRule="exact"/>
        <w:rPr>
          <w:sz w:val="20"/>
          <w:szCs w:val="20"/>
          <w:color w:val="auto"/>
        </w:rPr>
      </w:pPr>
    </w:p>
    <w:p>
      <w:pPr>
        <w:jc w:val="both"/>
        <w:ind w:right="579"/>
        <w:spacing w:after="0" w:line="264" w:lineRule="auto"/>
        <w:rPr>
          <w:sz w:val="20"/>
          <w:szCs w:val="20"/>
          <w:color w:val="auto"/>
        </w:rPr>
      </w:pPr>
      <w:r>
        <w:rPr>
          <w:rFonts w:ascii="Arial" w:cs="Arial" w:eastAsia="Arial" w:hAnsi="Arial"/>
          <w:sz w:val="18"/>
          <w:szCs w:val="18"/>
          <w:color w:val="auto"/>
        </w:rPr>
        <w:t>The primary purpose of the audit committee is to oversee our financial reporting processes on behalf of our board of directors. The audit committee’s functions are more fully described in its charter, which is available on our website at http://ir.ardelyx.com/corporate-governance.</w:t>
      </w:r>
    </w:p>
    <w:p>
      <w:pPr>
        <w:spacing w:after="0" w:line="181" w:lineRule="exact"/>
        <w:rPr>
          <w:sz w:val="20"/>
          <w:szCs w:val="20"/>
          <w:color w:val="auto"/>
        </w:rPr>
      </w:pPr>
    </w:p>
    <w:p>
      <w:pPr>
        <w:ind w:right="179"/>
        <w:spacing w:after="0" w:line="270" w:lineRule="auto"/>
        <w:rPr>
          <w:sz w:val="20"/>
          <w:szCs w:val="20"/>
          <w:color w:val="auto"/>
        </w:rPr>
      </w:pPr>
      <w:r>
        <w:rPr>
          <w:rFonts w:ascii="Arial" w:cs="Arial" w:eastAsia="Arial" w:hAnsi="Arial"/>
          <w:sz w:val="17"/>
          <w:szCs w:val="17"/>
          <w:color w:val="auto"/>
        </w:rPr>
        <w:t>In fulfilling its oversight responsibilities, the audit committee reviewed and discussed with management the Company’s audited consolidated financial statements for the fiscal year ended December 31, 2018. The audit committee has discussed with Ernst &amp; Young LLP, or EY, the Company’s independent registered public accounting firm, the matters required to be discussed by Auditing Standard No. 1301, “Communications with Audit Committees,” issued by the Public Company Accounting Oversight Board, or PCAOB. In addition, the audit committee has discussed with EY their independence, and received from EY the written disclosures and the letter required by PCAOB Ethics and Independence Rule 3526, “Communication with Audit Committees Concerning Independence.” Finally, the audit committee discussed with EY, with and without management present, the scope and results of EY’s audit of the consolidated financial statements for the fiscal year ended December 31, 2018.</w:t>
      </w:r>
    </w:p>
    <w:p>
      <w:pPr>
        <w:spacing w:after="0" w:line="182" w:lineRule="exact"/>
        <w:rPr>
          <w:sz w:val="20"/>
          <w:szCs w:val="20"/>
          <w:color w:val="auto"/>
        </w:rPr>
      </w:pPr>
    </w:p>
    <w:p>
      <w:pPr>
        <w:ind w:right="39"/>
        <w:spacing w:after="0" w:line="221" w:lineRule="exact"/>
        <w:rPr>
          <w:sz w:val="20"/>
          <w:szCs w:val="20"/>
          <w:color w:val="auto"/>
        </w:rPr>
      </w:pPr>
      <w:r>
        <w:rPr>
          <w:rFonts w:ascii="Arial" w:cs="Arial" w:eastAsia="Arial" w:hAnsi="Arial"/>
          <w:sz w:val="18"/>
          <w:szCs w:val="18"/>
          <w:color w:val="auto"/>
        </w:rPr>
        <w:t>Based on these reviews and discussions, the audit committee has recommended to our board of directors that such audited consolidated financial statements be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 for filing with the SEC.</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Richard Rodgers, Chair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Annalisa Jenkins, MBBS, FRCP</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William Bertrand, Jr., Esq.</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board of directors currently consists of nine members. Our board of directors has determined that all of our directors, as well as each individual nominated by our board of directors for election to our board of directors at the 2019 Annual Meeting, other than Mr. Raab, qualify as “independent” directors in accordance with the Nasdaq listing requirements. Mr. Raab is not considered independent because he is an employee of our company.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18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described more fully below, the board of directors has also determined that each current member of the compensation committee, the audit committee and the nominating and corporate governance committee meets the independence standards applicable to those committees prescribed by Nasdaq, the SEC, and the Internal Revenue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Mott currently serves as the Chairman of the Board. In that role, Mr. Mott presides over the executive sessions of the board of directors in which Mr. Raab does not participate and serves as a liaison to Mr. Raab and management on behalf of the board of directors.</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0" w:lineRule="auto"/>
        <w:rPr>
          <w:sz w:val="20"/>
          <w:szCs w:val="20"/>
          <w:color w:val="auto"/>
        </w:rPr>
      </w:pPr>
      <w:r>
        <w:rPr>
          <w:rFonts w:ascii="Arial" w:cs="Arial" w:eastAsia="Arial" w:hAnsi="Arial"/>
          <w:sz w:val="17"/>
          <w:szCs w:val="17"/>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29" w:lineRule="exact"/>
        <w:rPr>
          <w:sz w:val="20"/>
          <w:szCs w:val="20"/>
          <w:color w:val="auto"/>
        </w:rPr>
      </w:pPr>
    </w:p>
    <w:p>
      <w:pPr>
        <w:ind w:right="199"/>
        <w:spacing w:after="0" w:line="257" w:lineRule="auto"/>
        <w:rPr>
          <w:sz w:val="20"/>
          <w:szCs w:val="20"/>
          <w:color w:val="auto"/>
        </w:rPr>
      </w:pPr>
      <w:r>
        <w:rPr>
          <w:rFonts w:ascii="Arial" w:cs="Arial" w:eastAsia="Arial" w:hAnsi="Arial"/>
          <w:sz w:val="18"/>
          <w:szCs w:val="18"/>
          <w:color w:val="auto"/>
        </w:rPr>
        <w:t>During 2018, the board of directors met seven times, the audit committee met four times, the compensation committee met four times and the nominating and corporate governance committee met once. In that year, each director attended at least 75% of the aggregate number of meetings of the board of directors and the committees on which he or she served. As required under Nasdaq rules and regulations, our independent directors meet in regularly scheduled executive sessions at which only independent directors are present.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39"/>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70" w:lineRule="exact"/>
        <w:rPr>
          <w:sz w:val="20"/>
          <w:szCs w:val="20"/>
          <w:color w:val="auto"/>
        </w:rPr>
      </w:pPr>
    </w:p>
    <w:p>
      <w:pPr>
        <w:ind w:left="780" w:hanging="31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evaluates the independent registered public accounting firm’s qualifications, independence and performance;</w:t>
      </w:r>
    </w:p>
    <w:p>
      <w:pPr>
        <w:spacing w:after="0" w:line="236" w:lineRule="exact"/>
        <w:rPr>
          <w:rFonts w:ascii="Arial" w:cs="Arial" w:eastAsia="Arial" w:hAnsi="Arial"/>
          <w:sz w:val="17"/>
          <w:szCs w:val="17"/>
          <w:color w:val="auto"/>
        </w:rPr>
      </w:pPr>
    </w:p>
    <w:p>
      <w:pPr>
        <w:ind w:left="780" w:hanging="31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225" w:lineRule="exact"/>
        <w:rPr>
          <w:rFonts w:ascii="Arial" w:cs="Arial" w:eastAsia="Arial" w:hAnsi="Arial"/>
          <w:sz w:val="18"/>
          <w:szCs w:val="18"/>
          <w:color w:val="auto"/>
        </w:rPr>
      </w:pPr>
    </w:p>
    <w:p>
      <w:pPr>
        <w:ind w:left="780" w:right="159" w:hanging="318"/>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consolidated financial statements;</w:t>
      </w:r>
    </w:p>
    <w:p>
      <w:pPr>
        <w:spacing w:after="0" w:line="170" w:lineRule="exact"/>
        <w:rPr>
          <w:rFonts w:ascii="Arial" w:cs="Arial" w:eastAsia="Arial" w:hAnsi="Arial"/>
          <w:sz w:val="18"/>
          <w:szCs w:val="18"/>
          <w:color w:val="auto"/>
        </w:rPr>
      </w:pPr>
    </w:p>
    <w:p>
      <w:pPr>
        <w:ind w:left="780" w:right="139" w:hanging="318"/>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audit and non-audit services;</w:t>
      </w:r>
    </w:p>
    <w:p>
      <w:pPr>
        <w:spacing w:after="0" w:line="170" w:lineRule="exact"/>
        <w:rPr>
          <w:rFonts w:ascii="Arial" w:cs="Arial" w:eastAsia="Arial" w:hAnsi="Arial"/>
          <w:sz w:val="18"/>
          <w:szCs w:val="18"/>
          <w:color w:val="auto"/>
        </w:rPr>
      </w:pPr>
    </w:p>
    <w:p>
      <w:pPr>
        <w:ind w:left="780" w:right="79" w:hanging="318"/>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as required by law;</w:t>
      </w:r>
    </w:p>
    <w:p>
      <w:pPr>
        <w:spacing w:after="0" w:line="170" w:lineRule="exact"/>
        <w:rPr>
          <w:rFonts w:ascii="Arial" w:cs="Arial" w:eastAsia="Arial" w:hAnsi="Arial"/>
          <w:sz w:val="18"/>
          <w:szCs w:val="18"/>
          <w:color w:val="auto"/>
        </w:rPr>
      </w:pPr>
    </w:p>
    <w:p>
      <w:pPr>
        <w:jc w:val="both"/>
        <w:ind w:left="780" w:right="139" w:hanging="318"/>
        <w:spacing w:after="0" w:line="26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responsible for reviewing our consolidated financial statements and our management’s discussion and analysis of financial condition and results of operations to be included in our annual and quarterly reports to be filed with the SEC;</w:t>
      </w:r>
    </w:p>
    <w:p>
      <w:pPr>
        <w:spacing w:after="0" w:line="181" w:lineRule="exact"/>
        <w:rPr>
          <w:rFonts w:ascii="Arial" w:cs="Arial" w:eastAsia="Arial" w:hAnsi="Arial"/>
          <w:sz w:val="18"/>
          <w:szCs w:val="18"/>
          <w:color w:val="auto"/>
        </w:rPr>
      </w:pPr>
    </w:p>
    <w:p>
      <w:pPr>
        <w:ind w:left="780" w:hanging="31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 and</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w:t>
      </w:r>
    </w:p>
    <w:p>
      <w:pPr>
        <w:spacing w:after="0" w:line="225" w:lineRule="exact"/>
        <w:rPr>
          <w:sz w:val="20"/>
          <w:szCs w:val="20"/>
          <w:color w:val="auto"/>
        </w:rPr>
      </w:pPr>
    </w:p>
    <w:p>
      <w:pPr>
        <w:ind w:right="219"/>
        <w:spacing w:after="0" w:line="312" w:lineRule="auto"/>
        <w:rPr>
          <w:sz w:val="20"/>
          <w:szCs w:val="20"/>
          <w:color w:val="auto"/>
        </w:rPr>
      </w:pPr>
      <w:r>
        <w:rPr>
          <w:rFonts w:ascii="Arial" w:cs="Arial" w:eastAsia="Arial" w:hAnsi="Arial"/>
          <w:sz w:val="16"/>
          <w:szCs w:val="16"/>
          <w:color w:val="auto"/>
        </w:rPr>
        <w:t>The current members of our audit committee are Messrs. Rodgers and Bertrand and Dr. Jenkins. Mr. Rodgers serves as the chairperson of the committee. Each of the members of our audit committee during 2018 met, and each of the current members of our audit committee, meets or will meet, the requirements for financial literacy under the applicable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 our audit committee during 2018 was, and each of the current members of our audit committee is or will be an “independent director”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http://ir.ardelyx.com/corporate-governance.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 also approves grants of stock options and other awards under our stock plans. The compensation committee has delegated authority to the Chief Executive Officer to grant stock options to purchase shares of common stock to existing and new non-senior management team employees, with such individual grants to be consistent with equity grant guidelines provided by our compensation consultant and approved by the compensation committee. The compensation committee will review and evaluate, at least annually, the performance of the compensation committee and its members, including compliance of the compensation committee with its charter.</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2018, Messrs. Mott, Bazemore and Rodgers and Drs. Ringold and Lundberg served as members of the compensation committee. In March 2018, Dr. Ringold stepped down from the compensation committee and we appointed Dr. Lundberg as his successor. The current members of our compensation committee are Messrs. Mott, Bazemore and Rodgers and</w:t>
      </w:r>
    </w:p>
    <w:p>
      <w:pPr>
        <w:spacing w:after="0" w:line="216" w:lineRule="exact"/>
        <w:rPr>
          <w:sz w:val="20"/>
          <w:szCs w:val="20"/>
          <w:color w:val="auto"/>
        </w:rPr>
      </w:pPr>
      <w:r>
        <w:rPr>
          <w:rFonts w:ascii="Arial" w:cs="Arial" w:eastAsia="Arial" w:hAnsi="Arial"/>
          <w:sz w:val="17"/>
          <w:szCs w:val="17"/>
          <w:color w:val="auto"/>
        </w:rPr>
        <w:t>Dr. Lundberg. Mr. Mott serves as the chairman of the committee. Each of the members of our compensation committee during 2018 was, and each of the current members of our compensation committee, is or will be, an “independent director” under the applicable rules and regulations of The Nasdaq Global Market, a “non</w:t>
      </w:r>
      <w:r>
        <w:rPr>
          <w:rFonts w:ascii="MS PGothic" w:cs="MS PGothic" w:eastAsia="MS PGothic" w:hAnsi="MS PGothic"/>
          <w:sz w:val="17"/>
          <w:szCs w:val="17"/>
          <w:color w:val="auto"/>
        </w:rPr>
        <w:t>‑</w:t>
      </w:r>
      <w:r>
        <w:rPr>
          <w:rFonts w:ascii="Arial" w:cs="Arial" w:eastAsia="Arial" w:hAnsi="Arial"/>
          <w:sz w:val="17"/>
          <w:szCs w:val="17"/>
          <w:color w:val="auto"/>
        </w:rPr>
        <w:t>employee director” as defined in Rule 16b</w:t>
      </w:r>
      <w:r>
        <w:rPr>
          <w:rFonts w:ascii="MS PGothic" w:cs="MS PGothic" w:eastAsia="MS PGothic" w:hAnsi="MS PGothic"/>
          <w:sz w:val="17"/>
          <w:szCs w:val="17"/>
          <w:color w:val="auto"/>
        </w:rPr>
        <w:t>‑</w:t>
      </w:r>
      <w:r>
        <w:rPr>
          <w:rFonts w:ascii="Arial" w:cs="Arial" w:eastAsia="Arial" w:hAnsi="Arial"/>
          <w:sz w:val="17"/>
          <w:szCs w:val="17"/>
          <w:color w:val="auto"/>
        </w:rPr>
        <w:t>3 promulgated under the Exchange Act and an “outside director” as that term is defined in Section 162(m) of the U.S. Internal Revenue Code of 1986, as amended, or Section 162(m).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2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fiscal year 2018,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Drs. Ringold and Jenkins and Mr. Mott. Dr. Ringold serves as the chairman of the committee. After the 2019 Annual Meeting of Stockholders, we expect that our nominating and corporate governance committee will be composed of Dr. Ringold, as Chairman, Drs. Jenkins and Block, and Mr. Mott.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of the members of our nominating and corporate governance committee during 2018 was, and each of the current members of our nominating and corporate governance committee is, an “independent director” under the applicable rules and regulations of Nasdaq relating to nominating and corporate governance committee independence. Following the 2019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Dr. Block was recommended to our board of directors and our nominating and corporate governance committee by our chief executive officer and by certain of our other existing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158" w:lineRule="exact"/>
        <w:rPr>
          <w:sz w:val="20"/>
          <w:szCs w:val="20"/>
          <w:color w:val="auto"/>
        </w:rPr>
      </w:pPr>
    </w:p>
    <w:p>
      <w:pPr>
        <w:ind w:left="780" w:hanging="31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experience in corporate management, such as serving as an officer or former officer of a publicly held company;</w:t>
      </w:r>
    </w:p>
    <w:p>
      <w:pPr>
        <w:spacing w:after="0" w:line="248" w:lineRule="exact"/>
        <w:rPr>
          <w:rFonts w:ascii="Arial" w:cs="Arial" w:eastAsia="Arial" w:hAnsi="Arial"/>
          <w:sz w:val="16"/>
          <w:szCs w:val="16"/>
          <w:color w:val="auto"/>
        </w:rPr>
      </w:pPr>
    </w:p>
    <w:p>
      <w:pPr>
        <w:ind w:left="780" w:hanging="31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225" w:lineRule="exact"/>
        <w:rPr>
          <w:rFonts w:ascii="Arial" w:cs="Arial" w:eastAsia="Arial" w:hAnsi="Arial"/>
          <w:sz w:val="18"/>
          <w:szCs w:val="18"/>
          <w:color w:val="auto"/>
        </w:rPr>
      </w:pPr>
    </w:p>
    <w:p>
      <w:pPr>
        <w:ind w:left="780" w:right="460" w:hanging="318"/>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70" w:lineRule="exact"/>
        <w:rPr>
          <w:rFonts w:ascii="Arial" w:cs="Arial" w:eastAsia="Arial" w:hAnsi="Arial"/>
          <w:sz w:val="18"/>
          <w:szCs w:val="18"/>
          <w:color w:val="auto"/>
        </w:rPr>
      </w:pPr>
    </w:p>
    <w:p>
      <w:pPr>
        <w:ind w:left="780" w:hanging="31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At this time, our nominating and corporate governance committee does not have a policy with regard to the consideration of director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55" w:lineRule="auto"/>
        <w:rPr>
          <w:sz w:val="20"/>
          <w:szCs w:val="20"/>
          <w:color w:val="auto"/>
        </w:rPr>
      </w:pPr>
      <w:r>
        <w:rPr>
          <w:rFonts w:ascii="Arial" w:cs="Arial" w:eastAsia="Arial" w:hAnsi="Arial"/>
          <w:sz w:val="18"/>
          <w:szCs w:val="18"/>
          <w:color w:val="auto"/>
        </w:rPr>
        <w:t>candidates recommended by our stockholders, but expects to adopt such a policy in the future. Until such a policy is adopted, our board of directors and nominating and corporate governance committee will consider candidates recommended by our stockholders on a case-by-case basis.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99"/>
        <w:spacing w:after="0" w:line="276"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The reference to our web address does not constitute incorporation by reference of the information contained at or available through our website.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29"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color w:val="auto"/>
        </w:rPr>
        <w:t>Our board of directors has a policy of encouraging director attendance at our annual meetings of stockholders, but attendance is not mandatory. Our board of directors and management team encourage all of our directors to attend the 2019 Annual Meeting. All of our directors attended our 2018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jc w:val="both"/>
        <w:ind w:right="79"/>
        <w:spacing w:after="0" w:line="312" w:lineRule="auto"/>
        <w:rPr>
          <w:sz w:val="20"/>
          <w:szCs w:val="20"/>
          <w:color w:val="auto"/>
        </w:rPr>
      </w:pPr>
      <w:r>
        <w:rPr>
          <w:rFonts w:ascii="Arial" w:cs="Arial" w:eastAsia="Arial" w:hAnsi="Arial"/>
          <w:sz w:val="16"/>
          <w:szCs w:val="16"/>
          <w:color w:val="auto"/>
        </w:rPr>
        <w:t>A stockholder may communicate with the board of directors, or an individual director, by sending written correspondence to the Company’s General Counsel at Ardelyx, Inc., 34175 Ardenwood Blvd., Fremont, CA 94555. The General Counsel will review such correspondence and forward it to the board of directors, or an individual director, as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During 2018, Messrs. Mott, Bazemore and Rodgers and Drs. Lundberg and Ringold served as members of our compensation committee. None of Messrs. Mott, Bazemore or Rodgers or Drs. Lundberg or Ringold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is a description of transactions either entered into since January 1, 2018 or entered into prior to January 1, 2018 which have continuing obligations and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2011, we entered into an amended and restated investor rights agreement with the purchasers of our convertible preferred stock and certain holders of common stock and warrants to purchase our convertible preferred stock, including entities with which one of our directors is affiliated. All of our convertible preferred stock converted into common stock in connection with our initial public offering in 2014, and the warrants to purchase convertible preferred stock were net exercised at such time. As of March 31, 2019, the holders of approximately 5.6 million shares of our common stock continue to be entitled to rights pursuant to the amended and restated investor rights agreement to the registration of their shares under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has approved a compensation policy for our non-employee directors, or the Director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Program, which is periodically reviewed with consultation and recommendations provided by Pearl Meyer.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Program, we do not pay director fees to directors who are employees and for 2018 our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received an annual retainer of $40,000. Our non-employee Chairman received an additional annual cash retainer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$25,000 per year. Non-employee directors received additional annual retainers of $10,000 for serving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(or $20,000 for serving as the chair of the audit committee), $7,500 for serving on the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(or $15,000 for serving as the chair of the compensation committee) and $4,000 for serving on the nominating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committee (or $8,000 for serving as the chair of the nominating and corporate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a periodic assessment of our Director Compensation Program, with analysis and recommendations by Pearl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Meyer, in March 2019, our compensation committee recommended, and our board of directors approved, an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retainer for serving on the nominating and corporate governance committee to $5,000 (or $10,000 for serving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chair of the nominating and corporate governance committee and an increase in the annual retainer for our Chairman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 Retainers are paid to our non-employee directors on the date of our annual stockholders meeting or,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appointed to our board of directors after the annual stockholders meeting, on the date of appointment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pro-rated to reflect the number of whole or partial months remaining until the next annual stockholders meeting.</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lieu of a cash retainer, each non-employee director will also have the ability to elect to receive a stock award consisting of that number of fully vested shares of common stock calculated by dividing the amount of the cash retainer by the fair market value of the common stock on the date of our annual meeting of stockholders, rounded to the nearest whole share. For 2018, each of Drs. Lundberg and Jenkins and Messrs. Bertrand, Mott and Rodgers elected to receive a stock award in lieu of their respective 2018 annual cash retainers as calculated pursuant to the preceding sentence. Members of our board of directors are also reimbursed for reasonable travel and other out-of-pocket expenses.</w:t>
      </w:r>
    </w:p>
    <w:p>
      <w:pPr>
        <w:spacing w:after="0" w:line="16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During 2018, upon initial appointment or election to our board of directors, under the Director Compensation Program each non-employee director was automatically granted an option to purchase 30,000 shares of our common stock. In addition, each continuing non-employee director who had been serving on our board of directors for at least six months as of the date of any annual meeting of our stockholders who would continue to serve as a non-employee director immediately following such meeting was automatically granted an option to purchase 15,000 shares of our common stock on the date of each annual stockholders meeting. Following the periodic assessment of our Director Compensation Program, with analayis and recommendations by Pearl Meyer, in March 2019, our compensation committee recommended, and our board of directors approved a change in the manner in which the number of shares of our common stock subject to the initial appointment stock option grant and the ongoing stock option grant will be determined. Beginning in March 2019, upon initial appointment or election to our board of directors, under the Director Compensation Program each non-employee director will be automatically granted an option to purchase shares of our common stock with a grant date fair value of $240,000, but with a maximum number of 75,000 shares. In addition, each continuing non-employee director who has been serving on our board of directors for at least six months as of the date of any annual meeting of our stockholders and who will continue to serve as a non-employee director immediately following such meeting is automatically granted an option to purchase shares of our common stock with a grant date fair value of $120,000, but with a maximum number of 50,000 shares. Each initial non-employee director stock option vests with respect to 1/36th of the shares on each monthly anniversary of the grant date, subject to the non-employee director’s continued service on our board of directors through such date. Each annual stock option granted to our non-employee directors, vests with respect to 1/12th of the shares on each monthly anniversary of the grant date, subject to acceleration in full immediately prior to the next annual stockholders meeting, subject to the non-employee director’s continued service on our board of directors through such date. The Director Compensation Program also provides that upon a “Change in Control” of Ardelyx (as defined in our equity incentive plan), all outstanding equity awards granted under an equity incentive plan maintained by Ardelyx that are held by a non-employee director will become fully vested and/or exercisable.</w:t>
      </w:r>
    </w:p>
    <w:p>
      <w:pPr>
        <w:spacing w:after="0" w:line="38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2018, each of our non-employee directors, other than Dr. Lundberg, was granted an annual option to purchase 15,000 shares of our common stock in June 2018 pursuant to the Director Compensation Program. Dr. Lundberg was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appointed to our board of directors in March 2018, at which time he was granted an option to purchase 30,000 shares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Director Compensation Table</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sets forth information for the year ended December 31, 2018 regarding the compensation awarded to, earned by or paid to our non-employee directors. Geoffrey A. Block, M.D. was not appointed to our board of directors until March 2019, so Dr. Block is not included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8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or Paid in</w:t>
            </w:r>
          </w:p>
        </w:tc>
        <w:tc>
          <w:tcPr>
            <w:tcW w:w="36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80" w:type="dxa"/>
            <w:vAlign w:val="bottom"/>
            <w:gridSpan w:val="4"/>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3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color w:val="auto"/>
                <w:w w:val="92"/>
                <w:vertAlign w:val="superscript"/>
              </w:rPr>
              <w:t>(1)</w:t>
            </w:r>
            <w:r>
              <w:rPr>
                <w:rFonts w:ascii="Arial" w:cs="Arial" w:eastAsia="Arial" w:hAnsi="Arial"/>
                <w:sz w:val="14"/>
                <w:szCs w:val="14"/>
                <w:b w:val="1"/>
                <w:bCs w:val="1"/>
                <w:color w:val="auto"/>
                <w:w w:val="92"/>
              </w:rPr>
              <w:t xml:space="preserve"> ($)</w:t>
            </w: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Total ($)</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Bertrand, Jr.</w:t>
            </w:r>
          </w:p>
        </w:tc>
        <w:tc>
          <w:tcPr>
            <w:tcW w:w="16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spacing w:after="0"/>
              <w:rPr>
                <w:sz w:val="20"/>
                <w:szCs w:val="20"/>
                <w:color w:val="auto"/>
              </w:rPr>
            </w:pPr>
            <w:r>
              <w:rPr>
                <w:rFonts w:ascii="Arial" w:cs="Arial" w:eastAsia="Arial" w:hAnsi="Arial"/>
                <w:sz w:val="9"/>
                <w:szCs w:val="9"/>
                <w:color w:val="auto"/>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4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60" w:type="dxa"/>
            <w:vAlign w:val="bottom"/>
            <w:vMerge w:val="continue"/>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Annalisa Jenkins, MBBS, FRCP</w:t>
            </w:r>
          </w:p>
        </w:tc>
        <w:tc>
          <w:tcPr>
            <w:tcW w:w="780" w:type="dxa"/>
            <w:vAlign w:val="bottom"/>
          </w:tcPr>
          <w:p>
            <w:pPr>
              <w:jc w:val="right"/>
              <w:spacing w:after="0"/>
              <w:rPr>
                <w:sz w:val="20"/>
                <w:szCs w:val="20"/>
                <w:color w:val="auto"/>
              </w:rPr>
            </w:pPr>
            <w:r>
              <w:rPr>
                <w:rFonts w:ascii="Arial" w:cs="Arial" w:eastAsia="Arial" w:hAnsi="Arial"/>
                <w:sz w:val="18"/>
                <w:szCs w:val="18"/>
                <w:color w:val="auto"/>
              </w:rPr>
              <w:t>54,000</w:t>
            </w:r>
          </w:p>
        </w:tc>
        <w:tc>
          <w:tcPr>
            <w:tcW w:w="360" w:type="dxa"/>
            <w:vAlign w:val="bottom"/>
          </w:tcPr>
          <w:p>
            <w:pPr>
              <w:spacing w:after="0"/>
              <w:rPr>
                <w:sz w:val="20"/>
                <w:szCs w:val="20"/>
                <w:color w:val="auto"/>
              </w:rPr>
            </w:pPr>
            <w:r>
              <w:rPr>
                <w:rFonts w:ascii="Arial" w:cs="Arial" w:eastAsia="Arial" w:hAnsi="Arial"/>
                <w:sz w:val="9"/>
                <w:szCs w:val="9"/>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43,209</w:t>
            </w: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97,209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Lundberg, Ph.D.</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59,375</w:t>
            </w:r>
          </w:p>
        </w:tc>
        <w:tc>
          <w:tcPr>
            <w:tcW w:w="360" w:type="dxa"/>
            <w:vAlign w:val="bottom"/>
            <w:shd w:val="clear" w:color="auto" w:fill="CCEEFF"/>
          </w:tcPr>
          <w:p>
            <w:pPr>
              <w:spacing w:after="0"/>
              <w:rPr>
                <w:sz w:val="20"/>
                <w:szCs w:val="20"/>
                <w:color w:val="auto"/>
              </w:rPr>
            </w:pPr>
            <w:r>
              <w:rPr>
                <w:rFonts w:ascii="Arial" w:cs="Arial" w:eastAsia="Arial" w:hAnsi="Arial"/>
                <w:sz w:val="9"/>
                <w:szCs w:val="9"/>
                <w:color w:val="auto"/>
              </w:rPr>
              <w:t>(2)(3)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177,503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David Mott</w:t>
            </w:r>
          </w:p>
        </w:tc>
        <w:tc>
          <w:tcPr>
            <w:tcW w:w="780" w:type="dxa"/>
            <w:vAlign w:val="bottom"/>
          </w:tcPr>
          <w:p>
            <w:pPr>
              <w:jc w:val="right"/>
              <w:spacing w:after="0"/>
              <w:rPr>
                <w:sz w:val="20"/>
                <w:szCs w:val="20"/>
                <w:color w:val="auto"/>
              </w:rPr>
            </w:pPr>
            <w:r>
              <w:rPr>
                <w:rFonts w:ascii="Arial" w:cs="Arial" w:eastAsia="Arial" w:hAnsi="Arial"/>
                <w:sz w:val="18"/>
                <w:szCs w:val="18"/>
                <w:color w:val="auto"/>
              </w:rPr>
              <w:t>84,000</w:t>
            </w:r>
          </w:p>
        </w:tc>
        <w:tc>
          <w:tcPr>
            <w:tcW w:w="360" w:type="dxa"/>
            <w:vAlign w:val="bottom"/>
          </w:tcPr>
          <w:p>
            <w:pPr>
              <w:spacing w:after="0"/>
              <w:rPr>
                <w:sz w:val="20"/>
                <w:szCs w:val="20"/>
                <w:color w:val="auto"/>
              </w:rPr>
            </w:pPr>
            <w:r>
              <w:rPr>
                <w:rFonts w:ascii="Arial" w:cs="Arial" w:eastAsia="Arial" w:hAnsi="Arial"/>
                <w:sz w:val="9"/>
                <w:szCs w:val="9"/>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43,209</w:t>
            </w: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127,209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Gordon Ringold, Ph.D.</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Richard Rodgers</w:t>
            </w:r>
          </w:p>
        </w:tc>
        <w:tc>
          <w:tcPr>
            <w:tcW w:w="780" w:type="dxa"/>
            <w:vAlign w:val="bottom"/>
          </w:tcPr>
          <w:p>
            <w:pPr>
              <w:jc w:val="right"/>
              <w:spacing w:after="0"/>
              <w:rPr>
                <w:sz w:val="20"/>
                <w:szCs w:val="20"/>
                <w:color w:val="auto"/>
              </w:rPr>
            </w:pPr>
            <w:r>
              <w:rPr>
                <w:rFonts w:ascii="Arial" w:cs="Arial" w:eastAsia="Arial" w:hAnsi="Arial"/>
                <w:sz w:val="18"/>
                <w:szCs w:val="18"/>
                <w:color w:val="auto"/>
              </w:rPr>
              <w:t>67,500</w:t>
            </w:r>
          </w:p>
        </w:tc>
        <w:tc>
          <w:tcPr>
            <w:tcW w:w="360" w:type="dxa"/>
            <w:vAlign w:val="bottom"/>
          </w:tcPr>
          <w:p>
            <w:pPr>
              <w:spacing w:after="0"/>
              <w:rPr>
                <w:sz w:val="20"/>
                <w:szCs w:val="20"/>
                <w:color w:val="auto"/>
              </w:rPr>
            </w:pPr>
            <w:r>
              <w:rPr>
                <w:rFonts w:ascii="Arial" w:cs="Arial" w:eastAsia="Arial" w:hAnsi="Arial"/>
                <w:sz w:val="9"/>
                <w:szCs w:val="9"/>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43,209</w:t>
            </w: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110,709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Bazemore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90,709</w:t>
            </w: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40" w:hanging="317"/>
        <w:spacing w:after="0" w:line="29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represent the grant date fair value of the stock options granted to the non-employee members of our board of directors during 2018 as computed in accordance with ASC 718. The assumptions used in calculating the grant date fair value of the stock option reported in the Option Awards column are set forth in Note 11 to the audited consolidated financial statements included in our Annual Report on Form 10-K filed on March 6, 2019.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w:t>
      </w:r>
    </w:p>
    <w:p>
      <w:pPr>
        <w:spacing w:after="0" w:line="126" w:lineRule="exact"/>
        <w:rPr>
          <w:rFonts w:ascii="Arial" w:cs="Arial" w:eastAsia="Arial" w:hAnsi="Arial"/>
          <w:sz w:val="16"/>
          <w:szCs w:val="16"/>
          <w:color w:val="auto"/>
        </w:rPr>
      </w:pPr>
    </w:p>
    <w:p>
      <w:pPr>
        <w:ind w:left="320" w:right="180" w:hanging="317"/>
        <w:spacing w:after="0" w:line="272"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Pursuant to the Director Compensation Program, each of Drs. Lundberg and Jenkins and Messrs. Bertrand, Mott and Rodgers elected to receive a stock award in lieu of their respective 2018 annual cash retainers. The fully vested stock awards consisted of 11,786, 13,399, 12,406, 20,843 and 16,749 shares of our common stock for Drs. Lundberg and Jenkins and Messrs. Bertrand, Mott, and Rodgers, respectively. The number of shares of our common stock issued was calculated by dividing the annual retainer otherwise payable in cash at the 2018 Annual Meeting of Stockholders as reported in this column by $4.03, which was the closing trading price of our common stock on the date of the 2018 Annual Meeting of Stockholders, rounded to the nearest whole share.</w:t>
      </w:r>
    </w:p>
    <w:p>
      <w:pPr>
        <w:spacing w:after="0" w:line="137" w:lineRule="exact"/>
        <w:rPr>
          <w:rFonts w:ascii="Arial" w:cs="Arial" w:eastAsia="Arial" w:hAnsi="Arial"/>
          <w:sz w:val="17"/>
          <w:szCs w:val="17"/>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 includes the 2018 cash retainer paid to Dr. Lundberg as a stock award as described above, and also includes</w:t>
      </w:r>
    </w:p>
    <w:p>
      <w:pPr>
        <w:spacing w:after="0" w:line="46" w:lineRule="exact"/>
        <w:rPr>
          <w:rFonts w:ascii="Arial" w:cs="Arial" w:eastAsia="Arial" w:hAnsi="Arial"/>
          <w:sz w:val="16"/>
          <w:szCs w:val="16"/>
          <w:color w:val="auto"/>
        </w:rPr>
      </w:pPr>
    </w:p>
    <w:p>
      <w:pPr>
        <w:ind w:left="320" w:right="40"/>
        <w:spacing w:after="0" w:line="255" w:lineRule="auto"/>
        <w:rPr>
          <w:rFonts w:ascii="Arial" w:cs="Arial" w:eastAsia="Arial" w:hAnsi="Arial"/>
          <w:sz w:val="16"/>
          <w:szCs w:val="16"/>
          <w:color w:val="auto"/>
        </w:rPr>
      </w:pPr>
      <w:r>
        <w:rPr>
          <w:rFonts w:ascii="Arial" w:cs="Arial" w:eastAsia="Arial" w:hAnsi="Arial"/>
          <w:sz w:val="18"/>
          <w:szCs w:val="18"/>
          <w:color w:val="auto"/>
        </w:rPr>
        <w:t>$11,875 paid to Dr. Lundberg in cash upon his appointment to the Board of Directors in March 2018, reflecting the pro-rata fees earned by Dr. Lundberg under the Director Compensation Program for the period from March 2018 through the 2018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each of our non-employee directors held the following outstanding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Subject to</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4"/>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Bertrand, Jr.</w:t>
            </w:r>
          </w:p>
        </w:tc>
        <w:tc>
          <w:tcPr>
            <w:tcW w:w="3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Robert Bazemore</w:t>
            </w:r>
          </w:p>
        </w:tc>
        <w:tc>
          <w:tcPr>
            <w:tcW w:w="4300" w:type="dxa"/>
            <w:vAlign w:val="bottom"/>
            <w:gridSpan w:val="3"/>
          </w:tcPr>
          <w:p>
            <w:pPr>
              <w:jc w:val="right"/>
              <w:ind w:right="24"/>
              <w:spacing w:after="0"/>
              <w:rPr>
                <w:sz w:val="20"/>
                <w:szCs w:val="20"/>
                <w:color w:val="auto"/>
              </w:rPr>
            </w:pPr>
            <w:r>
              <w:rPr>
                <w:rFonts w:ascii="Arial" w:cs="Arial" w:eastAsia="Arial" w:hAnsi="Arial"/>
                <w:sz w:val="18"/>
                <w:szCs w:val="18"/>
                <w:color w:val="auto"/>
              </w:rPr>
              <w:t>55,000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Annalisa Jenkins, MBBS, FRCP</w:t>
            </w:r>
          </w:p>
        </w:tc>
        <w:tc>
          <w:tcPr>
            <w:tcW w:w="4300" w:type="dxa"/>
            <w:vAlign w:val="bottom"/>
            <w:tcBorders>
              <w:right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70,000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Jan Lundberg, Ph.D.</w:t>
            </w:r>
          </w:p>
        </w:tc>
        <w:tc>
          <w:tcPr>
            <w:tcW w:w="4300" w:type="dxa"/>
            <w:vAlign w:val="bottom"/>
            <w:gridSpan w:val="3"/>
          </w:tcPr>
          <w:p>
            <w:pPr>
              <w:jc w:val="right"/>
              <w:ind w:right="24"/>
              <w:spacing w:after="0"/>
              <w:rPr>
                <w:sz w:val="20"/>
                <w:szCs w:val="20"/>
                <w:color w:val="auto"/>
              </w:rPr>
            </w:pPr>
            <w:r>
              <w:rPr>
                <w:rFonts w:ascii="Arial" w:cs="Arial" w:eastAsia="Arial" w:hAnsi="Arial"/>
                <w:sz w:val="18"/>
                <w:szCs w:val="18"/>
                <w:color w:val="auto"/>
              </w:rPr>
              <w:t>30,000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David Mott</w:t>
            </w:r>
          </w:p>
        </w:tc>
        <w:tc>
          <w:tcPr>
            <w:tcW w:w="4300" w:type="dxa"/>
            <w:vAlign w:val="bottom"/>
            <w:tcBorders>
              <w:right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60,000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Gordon Ringold, Ph.D.</w:t>
            </w:r>
          </w:p>
        </w:tc>
        <w:tc>
          <w:tcPr>
            <w:tcW w:w="4300" w:type="dxa"/>
            <w:vAlign w:val="bottom"/>
            <w:gridSpan w:val="3"/>
          </w:tcPr>
          <w:p>
            <w:pPr>
              <w:jc w:val="right"/>
              <w:ind w:right="24"/>
              <w:spacing w:after="0"/>
              <w:rPr>
                <w:sz w:val="20"/>
                <w:szCs w:val="20"/>
                <w:color w:val="auto"/>
              </w:rPr>
            </w:pPr>
            <w:r>
              <w:rPr>
                <w:rFonts w:ascii="Arial" w:cs="Arial" w:eastAsia="Arial" w:hAnsi="Arial"/>
                <w:sz w:val="18"/>
                <w:szCs w:val="18"/>
                <w:color w:val="auto"/>
              </w:rPr>
              <w:t>90,000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Richard Rodgers</w:t>
            </w:r>
          </w:p>
        </w:tc>
        <w:tc>
          <w:tcPr>
            <w:tcW w:w="4300" w:type="dxa"/>
            <w:vAlign w:val="bottom"/>
            <w:tcBorders>
              <w:right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90,000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0" w:type="dxa"/>
            <w:vAlign w:val="bottom"/>
          </w:tcPr>
          <w:p>
            <w:pPr>
              <w:jc w:val="right"/>
              <w:ind w:right="21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 as of March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4"/>
                <w:szCs w:val="14"/>
                <w:color w:val="auto"/>
              </w:rPr>
            </w:pPr>
          </w:p>
        </w:tc>
        <w:tc>
          <w:tcPr>
            <w:tcW w:w="5000" w:type="dxa"/>
            <w:vAlign w:val="bottom"/>
          </w:tcPr>
          <w:p>
            <w:pPr>
              <w:ind w:left="218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Raab</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Mark Kaufmann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Grammer, Esq.</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David Rosenbaum, Ph.D.</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Chief Development Officer</w:t>
            </w:r>
          </w:p>
        </w:tc>
      </w:tr>
    </w:tbl>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following biographical information is furnished with regard to our executive officers (except for Mr. Raab, whose biographical information appears above under “Class II Nominees for Director”) as of March 31, 2019:</w:t>
      </w:r>
    </w:p>
    <w:p>
      <w:pPr>
        <w:spacing w:after="0" w:line="143" w:lineRule="exact"/>
        <w:rPr>
          <w:sz w:val="20"/>
          <w:szCs w:val="20"/>
          <w:color w:val="auto"/>
        </w:rPr>
      </w:pPr>
    </w:p>
    <w:p>
      <w:pPr>
        <w:jc w:val="both"/>
        <w:ind w:right="160"/>
        <w:spacing w:after="0" w:line="289" w:lineRule="auto"/>
        <w:rPr>
          <w:sz w:val="20"/>
          <w:szCs w:val="20"/>
          <w:color w:val="auto"/>
        </w:rPr>
      </w:pPr>
      <w:r>
        <w:rPr>
          <w:rFonts w:ascii="Arial" w:cs="Arial" w:eastAsia="Arial" w:hAnsi="Arial"/>
          <w:sz w:val="16"/>
          <w:szCs w:val="16"/>
          <w:b w:val="1"/>
          <w:bCs w:val="1"/>
          <w:color w:val="auto"/>
        </w:rPr>
        <w:t xml:space="preserve">Mark Kaufmann </w:t>
      </w:r>
      <w:r>
        <w:rPr>
          <w:rFonts w:ascii="Arial" w:cs="Arial" w:eastAsia="Arial" w:hAnsi="Arial"/>
          <w:sz w:val="16"/>
          <w:szCs w:val="16"/>
          <w:color w:val="auto"/>
        </w:rPr>
        <w:t>has served as our Chief Financial Officer since May 2014. Formerly Mr. Kaufmann served as our Chief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Officer from August 2011 until May 2014. From 2008 to 2010, Mr. Kaufmann was President and Chief Executive Officer of Allostera Pharma Inc., a preclinical company focused on autoimmune diseases. Prior to joining Allostera,</w:t>
      </w:r>
    </w:p>
    <w:p>
      <w:pPr>
        <w:spacing w:after="0" w:line="2" w:lineRule="exact"/>
        <w:rPr>
          <w:sz w:val="20"/>
          <w:szCs w:val="20"/>
          <w:color w:val="auto"/>
        </w:rPr>
      </w:pPr>
    </w:p>
    <w:p>
      <w:pPr>
        <w:ind w:firstLine="45"/>
        <w:spacing w:after="0" w:line="302" w:lineRule="auto"/>
        <w:rPr>
          <w:sz w:val="20"/>
          <w:szCs w:val="20"/>
          <w:color w:val="auto"/>
        </w:rPr>
      </w:pPr>
      <w:r>
        <w:rPr>
          <w:rFonts w:ascii="Arial" w:cs="Arial" w:eastAsia="Arial" w:hAnsi="Arial"/>
          <w:sz w:val="16"/>
          <w:szCs w:val="16"/>
          <w:color w:val="auto"/>
        </w:rPr>
        <w:t>Mr. Kaufmann was President and Chief Executive Officer of Celmed BioSciences, Inc., a biopharmaceutical company, and he started his career as Director of Strategic Planning and Investor Relations at MedImmune in 1994. Mr. Kaufmann received a B.A. in Biochemical Sciences from Harvard University and a M.B.A. from the University of Michigan School of Business.</w:t>
      </w:r>
    </w:p>
    <w:p>
      <w:pPr>
        <w:spacing w:after="0" w:line="151"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b w:val="1"/>
          <w:bCs w:val="1"/>
          <w:color w:val="auto"/>
        </w:rPr>
        <w:t xml:space="preserve">Elizabeth Grammer, Esq., </w:t>
      </w:r>
      <w:r>
        <w:rPr>
          <w:rFonts w:ascii="Arial" w:cs="Arial" w:eastAsia="Arial" w:hAnsi="Arial"/>
          <w:sz w:val="16"/>
          <w:szCs w:val="16"/>
          <w:color w:val="auto"/>
        </w:rPr>
        <w:t>has served as our General Counsel since May 2014 and as our Executive Vice President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2018. Ms. Grammer formerly served as our vice president responsible for legal affairs from December 2012 until May 2014. Prior to joining Ardelyx full time, Ms. Grammer served as an independent outside corporate counsel for public and private biotechnology companies, including Ardelyx from January 2010 until December 2012. Prior to that,</w:t>
      </w:r>
    </w:p>
    <w:p>
      <w:pPr>
        <w:spacing w:after="0" w:line="3" w:lineRule="exact"/>
        <w:rPr>
          <w:sz w:val="20"/>
          <w:szCs w:val="20"/>
          <w:color w:val="auto"/>
        </w:rPr>
      </w:pPr>
    </w:p>
    <w:p>
      <w:pPr>
        <w:ind w:right="160" w:firstLine="45"/>
        <w:spacing w:after="0" w:line="277" w:lineRule="auto"/>
        <w:rPr>
          <w:sz w:val="20"/>
          <w:szCs w:val="20"/>
          <w:color w:val="auto"/>
        </w:rPr>
      </w:pPr>
      <w:r>
        <w:rPr>
          <w:rFonts w:ascii="Arial" w:cs="Arial" w:eastAsia="Arial" w:hAnsi="Arial"/>
          <w:sz w:val="17"/>
          <w:szCs w:val="17"/>
          <w:color w:val="auto"/>
        </w:rPr>
        <w:t>Ms. Grammer served as Vice President and General Counsel of Trine Pharmaceuticals, Inc., a biopharmaceutical company, and as independent outside general counsel to GelTex Pharmaceuticals, a biopharmaceutical company. Ms. Grammer received a B.A. from Boston University and a J.D. from Stanford Law School.</w:t>
      </w:r>
    </w:p>
    <w:p>
      <w:pPr>
        <w:spacing w:after="0" w:line="16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David Rosenbaum, Ph.D., </w:t>
      </w:r>
      <w:r>
        <w:rPr>
          <w:rFonts w:ascii="Arial" w:cs="Arial" w:eastAsia="Arial" w:hAnsi="Arial"/>
          <w:sz w:val="16"/>
          <w:szCs w:val="16"/>
          <w:color w:val="auto"/>
        </w:rPr>
        <w:t>has served as our Chief Development Officer since January 2017 and formerly served as our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responsible for drug development from January 2010 to January 2017. From 2003 to 2008, 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or NEOs. As an “emerging growth company” as defined in the Jumpstart our Business Startups Act of 2012, we are not required to include a Compensation Discussion and Analysis section and have elected to comply with the scaled disclosure requirements applicable to emerging growth companies.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2018 were as follows:</w:t>
      </w:r>
    </w:p>
    <w:p>
      <w:pPr>
        <w:spacing w:after="0" w:line="225" w:lineRule="exact"/>
        <w:rPr>
          <w:sz w:val="20"/>
          <w:szCs w:val="20"/>
          <w:color w:val="auto"/>
        </w:rPr>
      </w:pPr>
    </w:p>
    <w:p>
      <w:pPr>
        <w:ind w:left="780" w:hanging="31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Raab, President and Chief Executive Officer;</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David Rosenbaum, Ph.D., Chief Development Officer; and</w:t>
      </w:r>
    </w:p>
    <w:p>
      <w:pPr>
        <w:spacing w:after="0" w:line="225" w:lineRule="exact"/>
        <w:rPr>
          <w:rFonts w:ascii="Arial" w:cs="Arial" w:eastAsia="Arial" w:hAnsi="Arial"/>
          <w:sz w:val="18"/>
          <w:szCs w:val="18"/>
          <w:color w:val="auto"/>
        </w:rPr>
      </w:pPr>
    </w:p>
    <w:p>
      <w:pPr>
        <w:ind w:left="780" w:hanging="31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Elizabeth Grammer, Esq., Executive Vice President and General Counsel.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NEOs for services performed in the year ended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w:t>
            </w: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 xml:space="preserve">($) </w:t>
            </w:r>
            <w:r>
              <w:rPr>
                <w:rFonts w:ascii="Arial" w:cs="Arial" w:eastAsia="Arial" w:hAnsi="Arial"/>
                <w:sz w:val="14"/>
                <w:szCs w:val="14"/>
                <w:b w:val="1"/>
                <w:bCs w:val="1"/>
                <w:color w:val="auto"/>
                <w:w w:val="86"/>
                <w:vertAlign w:val="superscript"/>
              </w:rPr>
              <w:t>(1)</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 </w:t>
            </w:r>
            <w:r>
              <w:rPr>
                <w:rFonts w:ascii="Arial" w:cs="Arial" w:eastAsia="Arial" w:hAnsi="Arial"/>
                <w:sz w:val="14"/>
                <w:szCs w:val="14"/>
                <w:b w:val="1"/>
                <w:bCs w:val="1"/>
                <w:color w:val="auto"/>
                <w:w w:val="92"/>
                <w:vertAlign w:val="superscript"/>
              </w:rPr>
              <w:t>(1)</w:t>
            </w:r>
          </w:p>
        </w:tc>
        <w:tc>
          <w:tcPr>
            <w:tcW w:w="16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b w:val="1"/>
                <w:bCs w:val="1"/>
                <w:color w:val="auto"/>
                <w:vertAlign w:val="superscript"/>
              </w:rPr>
              <w:t>(2)</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575,000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860,000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2,541,683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205,563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4,182,246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President &amp; Chief Executive Officer</w:t>
            </w:r>
          </w:p>
        </w:tc>
        <w:tc>
          <w:tcPr>
            <w:tcW w:w="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555,000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623,806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3,358,733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228,938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4,766,477</w:t>
            </w: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David Rosenbaum, Ph.D.</w:t>
            </w:r>
          </w:p>
        </w:tc>
        <w:tc>
          <w:tcPr>
            <w:tcW w:w="56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9"/>
              </w:rPr>
              <w:t>414,000</w:t>
            </w:r>
          </w:p>
        </w:tc>
        <w:tc>
          <w:tcPr>
            <w:tcW w:w="160" w:type="dxa"/>
            <w:vAlign w:val="bottom"/>
          </w:tcPr>
          <w:p>
            <w:pPr>
              <w:spacing w:after="0"/>
              <w:rPr>
                <w:sz w:val="17"/>
                <w:szCs w:val="17"/>
                <w:color w:val="auto"/>
              </w:rPr>
            </w:pP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89"/>
              </w:rPr>
              <w:t>430,000</w:t>
            </w:r>
          </w:p>
        </w:tc>
        <w:tc>
          <w:tcPr>
            <w:tcW w:w="1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760,156</w:t>
            </w:r>
          </w:p>
        </w:tc>
        <w:tc>
          <w:tcPr>
            <w:tcW w:w="160" w:type="dxa"/>
            <w:vAlign w:val="bottom"/>
          </w:tcPr>
          <w:p>
            <w:pPr>
              <w:spacing w:after="0"/>
              <w:rPr>
                <w:sz w:val="17"/>
                <w:szCs w:val="17"/>
                <w:color w:val="auto"/>
              </w:rPr>
            </w:pPr>
          </w:p>
        </w:tc>
        <w:tc>
          <w:tcPr>
            <w:tcW w:w="920" w:type="dxa"/>
            <w:vAlign w:val="bottom"/>
          </w:tcPr>
          <w:p>
            <w:pPr>
              <w:ind w:left="300"/>
              <w:spacing w:after="0" w:line="201" w:lineRule="exact"/>
              <w:rPr>
                <w:sz w:val="20"/>
                <w:szCs w:val="20"/>
                <w:color w:val="auto"/>
              </w:rPr>
            </w:pPr>
            <w:r>
              <w:rPr>
                <w:rFonts w:ascii="Arial" w:cs="Arial" w:eastAsia="Arial" w:hAnsi="Arial"/>
                <w:sz w:val="18"/>
                <w:szCs w:val="18"/>
                <w:color w:val="auto"/>
                <w:w w:val="92"/>
              </w:rPr>
              <w:t>107,640</w:t>
            </w:r>
          </w:p>
        </w:tc>
        <w:tc>
          <w:tcPr>
            <w:tcW w:w="16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9"/>
              </w:rPr>
              <w:t>1,711,796</w:t>
            </w:r>
          </w:p>
        </w:tc>
        <w:tc>
          <w:tcPr>
            <w:tcW w:w="0" w:type="dxa"/>
            <w:vAlign w:val="bottom"/>
          </w:tcPr>
          <w:p>
            <w:pPr>
              <w:spacing w:after="0"/>
              <w:rPr>
                <w:sz w:val="1"/>
                <w:szCs w:val="1"/>
                <w:color w:val="auto"/>
              </w:rPr>
            </w:pPr>
          </w:p>
        </w:tc>
      </w:tr>
      <w:tr>
        <w:trPr>
          <w:trHeight w:val="230"/>
        </w:trPr>
        <w:tc>
          <w:tcPr>
            <w:tcW w:w="3920" w:type="dxa"/>
            <w:vAlign w:val="bottom"/>
            <w:gridSpan w:val="2"/>
          </w:tcPr>
          <w:p>
            <w:pPr>
              <w:ind w:left="320"/>
              <w:spacing w:after="0"/>
              <w:rPr>
                <w:sz w:val="20"/>
                <w:szCs w:val="20"/>
                <w:color w:val="auto"/>
              </w:rPr>
            </w:pPr>
            <w:r>
              <w:rPr>
                <w:rFonts w:ascii="Arial" w:cs="Arial" w:eastAsia="Arial" w:hAnsi="Arial"/>
                <w:sz w:val="18"/>
                <w:szCs w:val="18"/>
                <w:i w:val="1"/>
                <w:iCs w:val="1"/>
                <w:color w:val="auto"/>
              </w:rPr>
              <w:t>Chief Development Officer</w:t>
            </w:r>
          </w:p>
        </w:tc>
        <w:tc>
          <w:tcPr>
            <w:tcW w:w="5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400,000</w:t>
            </w:r>
          </w:p>
        </w:tc>
        <w:tc>
          <w:tcPr>
            <w:tcW w:w="1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374,598</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1,119,579</w:t>
            </w:r>
          </w:p>
        </w:tc>
        <w:tc>
          <w:tcPr>
            <w:tcW w:w="160" w:type="dxa"/>
            <w:vAlign w:val="bottom"/>
          </w:tcPr>
          <w:p>
            <w:pPr>
              <w:spacing w:after="0"/>
              <w:rPr>
                <w:sz w:val="20"/>
                <w:szCs w:val="20"/>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w w:val="92"/>
              </w:rPr>
              <w:t>120,000</w:t>
            </w:r>
          </w:p>
        </w:tc>
        <w:tc>
          <w:tcPr>
            <w:tcW w:w="1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2,014,177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Grammer, Esq.</w:t>
            </w:r>
          </w:p>
        </w:tc>
        <w:tc>
          <w:tcPr>
            <w:tcW w:w="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430,000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104,000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1,694,156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w w:val="95"/>
              </w:rPr>
              <w:t>Executive Vice President and General Counsel</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17" w:lineRule="exact"/>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reported in the Stock Awards and Option Awards columns represent the grant date fair value of the restricted stock units and stock options granted to our NEOs as computed in accordance with ASC 718. The assumptions used in calculating the grant date fair value of the restricted stock units and stock options reported in the Stock Awards and Option Awards columns are set forth in Note 11 to the audited consolidated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6, 2019. The amounts reported in this column exclude the impact of forfeitures related to service-based vesting conditions. For the restricted stock units that are subject to performance conditions described below, the value is based on the probable outcome of such performance conditions and also equals the value of the award at the grant date assuming the highest level of achievement of performance conditions. Note that the amounts reported in these columns reflect the accounting cost for these equity awards and do not correspond to the actual economic value that may be received by the NEOs from the equity awards.</w:t>
      </w:r>
    </w:p>
    <w:p>
      <w:pPr>
        <w:spacing w:after="0" w:line="207" w:lineRule="exact"/>
        <w:rPr>
          <w:rFonts w:ascii="Arial" w:cs="Arial" w:eastAsia="Arial" w:hAnsi="Arial"/>
          <w:sz w:val="16"/>
          <w:szCs w:val="16"/>
          <w:color w:val="auto"/>
        </w:rPr>
      </w:pPr>
    </w:p>
    <w:p>
      <w:pPr>
        <w:ind w:left="320" w:right="180" w:hanging="317"/>
        <w:spacing w:after="0" w:line="25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reported in the Non-Equity Incentive Plan Compensation column represent the annual cash performance-based bonuses earned by our NEOs pursuant to the achievement of certain company and individual performance objectives. Please see the description of the annual performance bonuses paid to our NEOs in “— Narrative to 2018 Summary Compensation Table and Outstanding Equity Awards at 2018 Fiscal Year-End — Terms and Conditions of Annual Bonuses”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specified information concerning unexercised stock options and unvested restricted stock units for each of the NEOs outstanding as of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b w:val="1"/>
                <w:bCs w:val="1"/>
                <w:color w:val="auto"/>
                <w:w w:val="98"/>
              </w:rPr>
              <w:t>Option Awards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15"/>
              <w:spacing w:after="0"/>
              <w:rPr>
                <w:sz w:val="20"/>
                <w:szCs w:val="20"/>
                <w:color w:val="auto"/>
              </w:rPr>
            </w:pPr>
            <w:r>
              <w:rPr>
                <w:rFonts w:ascii="Arial" w:cs="Arial" w:eastAsia="Arial" w:hAnsi="Arial"/>
                <w:sz w:val="14"/>
                <w:szCs w:val="14"/>
                <w:b w:val="1"/>
                <w:bCs w:val="1"/>
                <w:color w:val="auto"/>
                <w:w w:val="90"/>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That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300" w:type="dxa"/>
            <w:vAlign w:val="bottom"/>
            <w:gridSpan w:val="3"/>
          </w:tcPr>
          <w:p>
            <w:pPr>
              <w:jc w:val="center"/>
              <w:ind w:right="175"/>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center"/>
              <w:ind w:left="73"/>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Vested as</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15"/>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68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Vested (#)</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 </w:t>
            </w:r>
            <w:r>
              <w:rPr>
                <w:rFonts w:ascii="Arial" w:cs="Arial" w:eastAsia="Arial" w:hAnsi="Arial"/>
                <w:sz w:val="14"/>
                <w:szCs w:val="14"/>
                <w:b w:val="1"/>
                <w:bCs w:val="1"/>
                <w:color w:val="auto"/>
                <w:w w:val="92"/>
                <w:vertAlign w:val="superscript"/>
              </w:rPr>
              <w:t>(4)</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Raab</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9/15/2010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9/15/2020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8/1/2011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267,892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8/1/2021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1/6/2015</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1/6/2025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1/15/2016</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219,667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1/15/2026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1/19/2017</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165,699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1/19/2027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8/9/2017</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8/9/2027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8/9/2017</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47,457</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1/16/2018</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1/16/2028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7/26/2018</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7/26/2028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7/26/2018</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358,000</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w w:val="97"/>
              </w:rPr>
              <w:t>David Rosenbaum, Ph.D.</w:t>
            </w:r>
          </w:p>
        </w:tc>
        <w:tc>
          <w:tcPr>
            <w:tcW w:w="160" w:type="dxa"/>
            <w:vAlign w:val="bottom"/>
          </w:tcPr>
          <w:p>
            <w:pPr>
              <w:spacing w:after="0"/>
              <w:rPr>
                <w:sz w:val="17"/>
                <w:szCs w:val="17"/>
                <w:color w:val="auto"/>
              </w:rPr>
            </w:pP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1/6/2015</w:t>
            </w:r>
          </w:p>
        </w:tc>
        <w:tc>
          <w:tcPr>
            <w:tcW w:w="240" w:type="dxa"/>
            <w:vAlign w:val="bottom"/>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12,357</w:t>
            </w:r>
          </w:p>
        </w:tc>
        <w:tc>
          <w:tcPr>
            <w:tcW w:w="16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263</w:t>
            </w:r>
          </w:p>
        </w:tc>
        <w:tc>
          <w:tcPr>
            <w:tcW w:w="14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23.02</w:t>
            </w:r>
          </w:p>
        </w:tc>
        <w:tc>
          <w:tcPr>
            <w:tcW w:w="116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1/6/2025</w:t>
            </w:r>
          </w:p>
        </w:tc>
        <w:tc>
          <w:tcPr>
            <w:tcW w:w="7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1/15/2016 </w:t>
            </w:r>
            <w:r>
              <w:rPr>
                <w:rFonts w:ascii="Arial" w:cs="Arial" w:eastAsia="Arial" w:hAnsi="Arial"/>
                <w:sz w:val="8"/>
                <w:szCs w:val="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65,899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24,478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1/15/2026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1/19/2017 </w:t>
            </w:r>
            <w:r>
              <w:rPr>
                <w:rFonts w:ascii="Arial" w:cs="Arial" w:eastAsia="Arial" w:hAnsi="Arial"/>
                <w:sz w:val="8"/>
                <w:szCs w:val="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50,814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55,233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1/19/2027</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8/9/2017 </w:t>
            </w:r>
            <w:r>
              <w:rPr>
                <w:rFonts w:ascii="Arial" w:cs="Arial" w:eastAsia="Arial" w:hAnsi="Arial"/>
                <w:sz w:val="8"/>
                <w:szCs w:val="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17,674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8,838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8/9/2027</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8/9/2017 </w:t>
            </w:r>
            <w:r>
              <w:rPr>
                <w:rFonts w:ascii="Arial" w:cs="Arial" w:eastAsia="Arial" w:hAnsi="Arial"/>
                <w:sz w:val="8"/>
                <w:szCs w:val="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8,838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1/16/2018 </w:t>
            </w:r>
            <w:r>
              <w:rPr>
                <w:rFonts w:ascii="Arial" w:cs="Arial" w:eastAsia="Arial" w:hAnsi="Arial"/>
                <w:sz w:val="8"/>
                <w:szCs w:val="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26,836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90,268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1/16/2028</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7/26/2018 </w:t>
            </w:r>
            <w:r>
              <w:rPr>
                <w:rFonts w:ascii="Arial" w:cs="Arial" w:eastAsia="Arial" w:hAnsi="Arial"/>
                <w:sz w:val="8"/>
                <w:szCs w:val="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5,701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49,029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7/26/2028</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460" w:type="dxa"/>
            <w:vAlign w:val="bottom"/>
            <w:gridSpan w:val="4"/>
          </w:tcPr>
          <w:p>
            <w:pPr>
              <w:jc w:val="right"/>
              <w:ind w:right="95"/>
              <w:spacing w:after="0"/>
              <w:rPr>
                <w:sz w:val="20"/>
                <w:szCs w:val="20"/>
                <w:color w:val="auto"/>
              </w:rPr>
            </w:pPr>
            <w:r>
              <w:rPr>
                <w:rFonts w:ascii="Arial" w:cs="Arial" w:eastAsia="Arial" w:hAnsi="Arial"/>
                <w:sz w:val="18"/>
                <w:szCs w:val="18"/>
                <w:color w:val="auto"/>
              </w:rPr>
              <w:t xml:space="preserve">7/26/2018 </w:t>
            </w:r>
            <w:r>
              <w:rPr>
                <w:rFonts w:ascii="Arial" w:cs="Arial" w:eastAsia="Arial" w:hAnsi="Arial"/>
                <w:sz w:val="8"/>
                <w:szCs w:val="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100,000</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179,000</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8"/>
              </w:rPr>
              <w:t>Elizabeth Grammer, Esq.</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11/11/2012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11/11/2022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12/6/2022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1/6/2015</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1/6/2025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1/15/2016</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1/15/2026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1/19/2017</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1/19/2027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8/9/2017</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8/9/2027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8/9/2017</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1/16/2018</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1/16/2028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7/26/2018</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7/26/2028</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7/26/2018</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w w:val="72"/>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0" w:type="dxa"/>
            <w:vAlign w:val="bottom"/>
          </w:tcPr>
          <w:p>
            <w:pPr>
              <w:spacing w:after="0"/>
              <w:rPr>
                <w:sz w:val="1"/>
                <w:szCs w:val="1"/>
                <w:color w:val="auto"/>
              </w:rPr>
            </w:pPr>
          </w:p>
        </w:tc>
      </w:tr>
      <w:tr>
        <w:trPr>
          <w:trHeight w:val="108"/>
        </w:trPr>
        <w:tc>
          <w:tcPr>
            <w:tcW w:w="2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20" w:hanging="317"/>
        <w:spacing w:after="0" w:line="308"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option vests and becomes exercisable in substantially equal monthly installments over four years from the vesting commencement date, subject to the holder continuing to provide services to us through each such date.</w:t>
      </w:r>
    </w:p>
    <w:p>
      <w:pPr>
        <w:spacing w:after="0" w:line="146" w:lineRule="exact"/>
        <w:rPr>
          <w:rFonts w:ascii="Arial" w:cs="Arial" w:eastAsia="Arial" w:hAnsi="Arial"/>
          <w:sz w:val="17"/>
          <w:szCs w:val="17"/>
          <w:color w:val="auto"/>
        </w:rPr>
      </w:pPr>
    </w:p>
    <w:p>
      <w:pPr>
        <w:ind w:left="320" w:right="320" w:hanging="317"/>
        <w:spacing w:after="0" w:line="28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option or restricted stock units, as applicable, vested as to two-thirds of the shares subject to the equity award on December 31, 2018 and the remaining one-third of the shares subject to the equity award will vest on June 1, 2019, subject to the holder continuing to provide services to us through each such date.</w:t>
      </w:r>
    </w:p>
    <w:p>
      <w:pPr>
        <w:spacing w:after="0" w:line="165" w:lineRule="exact"/>
        <w:rPr>
          <w:rFonts w:ascii="Arial" w:cs="Arial" w:eastAsia="Arial" w:hAnsi="Arial"/>
          <w:sz w:val="17"/>
          <w:szCs w:val="17"/>
          <w:color w:val="auto"/>
        </w:rPr>
      </w:pPr>
    </w:p>
    <w:p>
      <w:pPr>
        <w:ind w:left="320" w:right="100" w:hanging="317"/>
        <w:spacing w:after="0" w:line="286"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restricted stock units vest in full upon the acceptance for filing by the U.S. Food and Drug Administration (“FDA”) of our new drug application for tenapanor for the treatment of hyperphosphatemia, which must occur on or before December 31, 2020, subject to the holder continuing to provide services to us through the vesting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14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value of shares or units of shares that have not vested is calculated based on the closing trading price of our common stock as of December 31, 2018, which was $1.79.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2018 Summary Compensation Table and Outstanding Equity Awards at 2018 Fiscal Year 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 of Employment Arrangements with our NEOs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entered into agreements with each of the NEOs in connection with his or her employment with us. These agreements set forth the terms and conditions of employment of each named executive officer, including base salary, initial equity award grants, and standard employee benefit plan participation.</w:t>
      </w:r>
    </w:p>
    <w:p>
      <w:pPr>
        <w:spacing w:after="0" w:line="181" w:lineRule="exact"/>
        <w:rPr>
          <w:sz w:val="20"/>
          <w:szCs w:val="20"/>
          <w:color w:val="auto"/>
        </w:rPr>
      </w:pPr>
    </w:p>
    <w:p>
      <w:pPr>
        <w:ind w:right="580"/>
        <w:spacing w:after="0" w:line="291" w:lineRule="auto"/>
        <w:rPr>
          <w:sz w:val="20"/>
          <w:szCs w:val="20"/>
          <w:color w:val="auto"/>
        </w:rPr>
      </w:pPr>
      <w:r>
        <w:rPr>
          <w:rFonts w:ascii="Arial" w:cs="Arial" w:eastAsia="Arial" w:hAnsi="Arial"/>
          <w:sz w:val="16"/>
          <w:szCs w:val="16"/>
          <w:color w:val="auto"/>
        </w:rPr>
        <w:t>Our board of directors or the compensation committee reviews each NEO’s base salary from time to time to ensure compensation adequately reflects the NEO’s qualifications, experience, role and responsibilities. For fiscal year 2018,</w:t>
      </w:r>
    </w:p>
    <w:p>
      <w:pPr>
        <w:ind w:right="100"/>
        <w:spacing w:after="0" w:line="254" w:lineRule="auto"/>
        <w:rPr>
          <w:sz w:val="20"/>
          <w:szCs w:val="20"/>
          <w:color w:val="auto"/>
        </w:rPr>
      </w:pPr>
      <w:r>
        <w:rPr>
          <w:rFonts w:ascii="Arial" w:cs="Arial" w:eastAsia="Arial" w:hAnsi="Arial"/>
          <w:sz w:val="18"/>
          <w:szCs w:val="18"/>
          <w:color w:val="auto"/>
        </w:rPr>
        <w:t>Mr. Raab’s annual base salary was $575,000, Dr. Rosenbaum’s annual base salary was $414,000 and Ms. Grammer’s annual base salary was $400,000. In addition, for 2018, Mr. Raab, Dr. Rosenbaum and Ms. Grammer each had an annual bonus target of 55%, 40% and 40%, respectively, of base salary awarded based on the achievement of certain corporate performance goals set by the board of directors.</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June 2014, we entered into an amended and restated employment agreement with Mr. Raab. We also entered into an amended and restated change in control severance agreement with Dr. Rosenbaum and Ms. Grammer effective January 2017 and January 2018, respectively.</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Under each of Dr. Rosenbaum’s and Ms. Grammer’s amended and restated change in control severance agreement, in the event Dr. Rosenbaum’s or Ms. Grammer’s, as applicable, employment with us is involuntarily terminated for reason other than cause or he/she resigns for good reason, in each case more than three months prior to or more than 12 months after a change in control, then Dr. Rosenbaum or Ms. Grammer, as applicable, will receive: (i) continued payment of his/her annual base salary as in effect immediately prior to such termination for a period of nine months; and (ii) payment of healthcare continuation costs for him/her and his/her eligible dependents for up to 12 months following the date of such termination. In the event Dr. Rosenbaum’s or Ms. Grammer’s employment, as applicable, with us is involuntarily terminated for reason other than cause or he/she resigns for good reason, in each case within three months prior to and 12 months after a change in control, then Dr. Rosenbaum or Ms. Grammer, as applicable, will receive: (i) a lump sum amount equal to the sum of his/her base salary as in effect immediately prior to such termination and his target annual bonus for the year of termination;</w:t>
      </w:r>
    </w:p>
    <w:p>
      <w:pPr>
        <w:spacing w:after="0" w:line="6" w:lineRule="exact"/>
        <w:rPr>
          <w:sz w:val="20"/>
          <w:szCs w:val="20"/>
          <w:color w:val="auto"/>
        </w:rPr>
      </w:pPr>
    </w:p>
    <w:p>
      <w:pPr>
        <w:ind w:right="220" w:firstLine="3"/>
        <w:spacing w:after="0" w:line="253"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healthcare continuation costs for him/her and his/her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Dr. Rosenbaum’s or Ms. Grammer’s timely execution and non-revocation of a general release of claims against the Company and its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affiliates, continued compliance with his confidential information agreement and a two-year post-termination nonsolicitation restrictive covenant.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Mr. Raab’s amended and restated employment agreement and each of Dr. Rosenbaum’s and</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Ms. Grammer’s amended and restated change in control severance agreement, “cause” means (i) the NEO’s theft, dishonesty or falsification of any employment or company records that is non-trivial in nature; (ii) malicious or reckless disclosure of our confidential or proprietary information or any material breach by the NEO of his/her obligations under his/her proprietary information and inventions assignment agreement with us; (iii) the conviction of the NEO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him with important matters or otherwise work effectively with him/her, (B) substantially contributed to our loss of significant revenues or business opportunities, or (C) significantly and detrimentally affected the business or reputation of our company or any of our subsidiaries; and/or (iv) the willful failure or refusal by the NEO to follow the reasonable and lawful directives of the board of directors, provided such willful failure or refusal continues after his receipt of reasonable notice in writing of such failure or refusal and a reasonable opportunity of not less than 30 days to correct the problem.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Mr. Raab’s amended and restated employment agreement and each of Dr. Rosenbaum’s and</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Ms. Grammer’s amended and restated change in control severance agreement, “good reason” means the occurrence of: (i) a material diminution in the NEO’s authority, duties, or responsibilities, which substantially reduces the nature or character of his/her position; (ii) a reduction by us of his/her base salary as in effect immediately prior to such reduction; (iii) a relocation of his/her principal office to a location more than 50 miles from the location of our principal office as of immediately prior to such relocation, except for required travel by him/her on company business; or (iv) any material breach by us of any provision of the NEO’s employment agreement or offer letter which we do not cure within 30 days following written notice from the NEO, provided that in order for “good reason” to exist, each of the following conditions must be met: (i) the foregoing good reason conditions must have occurred without the NEO’s express written consent; (ii) the NEO must provide written notice to us of such condition within 30 days of the initial existence of the condition; (iii) the condition specified in such notice must remain uncorrected for 30 days after receipt of such notice; and (iv) the date of the NEO’s resignation of employment must occur within 60 days after the initial existence of the condition specified in such notice.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 of Annual Bonuses</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For 2018, our NEOs were eligible for performance-based cash incentives pursuant to the achievement of certain corporate performance objectives. The performance goals for these annual performance cash bonuses were evaluated by our compensation committee and approved by our board of directors. The determination of the amount of bonuses paid to our NEOs generally reflects a number of considerations, including the performance of the company against corporate goals.</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determining performance bonus amounts for our NEOs for 2018, our board of directors set certain corporate performance goals. In setting these goals, our board of directors considered the status of our research and discovery programs and our financial status. Each NEO’s target bonus opportunity is expressed as a percentage of base salary which can be achieved by meeting corporate performance goals. Our board of directors or our compensation committee has historically reviewed these target percentages to ensure they are adequate, but does not follow a formula. Instead, our board of directors or our compensation committee has set these rates based on each participating executive’s experience in her or his role with our company and the level of responsibility held by each executive, which the board of directors or our compensation committee believe directly correlates to her or his ability to influence corporate results. For fiscal year 2018, our board of directors used a guideline target bonus opportunity of 55% of base salary for Mr. Raab and 40% of base salary for Dr. Rosenbaum and Ms. Grammer.</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compensation committee determined that the company’s performance against its 2018 corporate goals be set at 65% to reflect the company’s overall performance during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9" w:lineRule="auto"/>
        <w:rPr>
          <w:sz w:val="20"/>
          <w:szCs w:val="20"/>
          <w:color w:val="auto"/>
        </w:rPr>
      </w:pPr>
      <w:r>
        <w:rPr>
          <w:rFonts w:ascii="Arial" w:cs="Arial" w:eastAsia="Arial" w:hAnsi="Arial"/>
          <w:sz w:val="17"/>
          <w:szCs w:val="17"/>
          <w:color w:val="auto"/>
        </w:rPr>
        <w:t>Following its review and determinations of corporate and individual achievements for 2018, the compensation committee awarded cash bonuses to Dr. Rosenbaum and Ms. Grammer in amounts equal to 65% of each of their target bonuses for 2018, and the board of directors awarded cash bonuses to Mr. Raab in the amount equal to 65% of his target bonus for 2018. The NEOs’ 2018 bonuses are set forth in the “2018 Summary Compensation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 of Equity Award Grants</w:t>
      </w:r>
    </w:p>
    <w:p>
      <w:pPr>
        <w:spacing w:after="0" w:line="225" w:lineRule="exact"/>
        <w:rPr>
          <w:sz w:val="20"/>
          <w:szCs w:val="20"/>
          <w:color w:val="auto"/>
        </w:rPr>
      </w:pPr>
    </w:p>
    <w:p>
      <w:pPr>
        <w:jc w:val="both"/>
        <w:ind w:right="379"/>
        <w:spacing w:after="0" w:line="288" w:lineRule="auto"/>
        <w:rPr>
          <w:sz w:val="20"/>
          <w:szCs w:val="20"/>
          <w:color w:val="auto"/>
        </w:rPr>
      </w:pPr>
      <w:r>
        <w:rPr>
          <w:rFonts w:ascii="Arial" w:cs="Arial" w:eastAsia="Arial" w:hAnsi="Arial"/>
          <w:sz w:val="16"/>
          <w:szCs w:val="16"/>
          <w:color w:val="auto"/>
        </w:rPr>
        <w:t>Each of our NEOs received equity award grants in 2018. The table above entitled “Outstanding Equity Awards at 2018 Fiscal Year End” describes the material terms of the awards granted in 2018 and of the other equity awards made in past fiscal years to each NEO. In January 2018, in connection with our annual compensation review, each of Mr. Raab,</w:t>
      </w:r>
    </w:p>
    <w:p>
      <w:pPr>
        <w:jc w:val="both"/>
        <w:ind w:right="39" w:firstLine="45"/>
        <w:spacing w:after="0" w:line="273" w:lineRule="auto"/>
        <w:rPr>
          <w:sz w:val="20"/>
          <w:szCs w:val="20"/>
          <w:color w:val="auto"/>
        </w:rPr>
      </w:pPr>
      <w:r>
        <w:rPr>
          <w:rFonts w:ascii="Arial" w:cs="Arial" w:eastAsia="Arial" w:hAnsi="Arial"/>
          <w:sz w:val="17"/>
          <w:szCs w:val="17"/>
          <w:color w:val="auto"/>
        </w:rPr>
        <w:t>Dr. Rosenbaum and Ms. Grammer were granted an option to purchase 390,348, 117,104 and 117,104 shares of our common stock, respectively, under our 2014 Plan at an exercise price equal to $7.10, which was our fair market value of our common stock on the grant date. The options vest and become exercisable in substantially equal monthly installments over four years, subject to the NEO continuing to provide services to us through such dates.</w:t>
      </w:r>
    </w:p>
    <w:p>
      <w:pPr>
        <w:spacing w:after="0" w:line="177" w:lineRule="exact"/>
        <w:rPr>
          <w:sz w:val="20"/>
          <w:szCs w:val="20"/>
          <w:color w:val="auto"/>
        </w:rPr>
      </w:pPr>
    </w:p>
    <w:p>
      <w:pPr>
        <w:jc w:val="both"/>
        <w:ind w:right="439"/>
        <w:spacing w:after="0" w:line="288" w:lineRule="auto"/>
        <w:rPr>
          <w:sz w:val="20"/>
          <w:szCs w:val="20"/>
          <w:color w:val="auto"/>
        </w:rPr>
      </w:pPr>
      <w:r>
        <w:rPr>
          <w:rFonts w:ascii="Arial" w:cs="Arial" w:eastAsia="Arial" w:hAnsi="Arial"/>
          <w:sz w:val="16"/>
          <w:szCs w:val="16"/>
          <w:color w:val="auto"/>
        </w:rPr>
        <w:t>In July 2018, each NEO was granted an option to purchase 185,000 (for Mr. Raab) and 54,730 (for Dr. Rosenbaum and Ms. Grammer) shares of our common stock under our 2014 Plan at an exercise price equal to $4.30, which was our fair market value of our common stock on the grant date. The options vest and become exercisable in substantially</w:t>
      </w:r>
    </w:p>
    <w:p>
      <w:pPr>
        <w:ind w:right="159"/>
        <w:spacing w:after="0" w:line="253" w:lineRule="auto"/>
        <w:rPr>
          <w:sz w:val="20"/>
          <w:szCs w:val="20"/>
          <w:color w:val="auto"/>
        </w:rPr>
      </w:pPr>
      <w:r>
        <w:rPr>
          <w:rFonts w:ascii="Arial" w:cs="Arial" w:eastAsia="Arial" w:hAnsi="Arial"/>
          <w:sz w:val="18"/>
          <w:szCs w:val="18"/>
          <w:color w:val="auto"/>
        </w:rPr>
        <w:t>equal monthly installments over four years, subject to the NEO continuing to provide services to us through such dates. In addition, in July 2018, each of our NEOs received a grant of 200,000 (for Mr. Raab) and 100,000 (for Dr. Rosenbaum and Ms. Grammer) restricted stock units that vest in full upon the acceptance for filing by the FDA of our new drug application for tenapanor for the treatment of hyperphosphatemia, which must occur on or before December 31, 2020, subject to the NEO continuing to provide services to us through such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color w:val="auto"/>
        </w:rPr>
        <w:t>The following table provides certain information as of December 31, 2018, with respect to all of our equity compensation plans in effect on that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Issued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 of</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Warrants</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18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Plan Category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Rights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Rights</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71"/>
        </w:trPr>
        <w:tc>
          <w:tcPr>
            <w:tcW w:w="5180" w:type="dxa"/>
            <w:vAlign w:val="bottom"/>
            <w:gridSpan w:val="4"/>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 xml:space="preserve">(c)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410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(1)(2)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6,487,133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260" w:type="dxa"/>
            <w:vAlign w:val="bottom"/>
            <w:gridSpan w:val="3"/>
          </w:tcPr>
          <w:p>
            <w:pPr>
              <w:ind w:left="16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(4)</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6,487,133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1,666,306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79" w:hanging="317"/>
        <w:spacing w:after="0" w:line="297"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outstanding awards of 980,373 for restricted stock units and (B) 5,506,760 stock options. The weighted average exercise price shown is for stock options; other outstanding awards had no exercise price. No new awards may be made under the 2008 Stock Incentive Plan.</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20" w:hanging="317"/>
        <w:spacing w:after="0" w:line="269"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Ardelyx, Inc. 2014 Equity Incentive Plan and the Ardelyx, Inc. 2014 Employee Stock Purchase Plan contain “evergreen” provisions, pursuant to which (i) the number of shares of common stock reserved for issuance pursuant to awards under the 2014 Equity Inventive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and (B) such smaller number of shares of stock as determined by our board of directors.</w:t>
      </w:r>
    </w:p>
    <w:p>
      <w:pPr>
        <w:spacing w:after="0" w:line="182" w:lineRule="exact"/>
        <w:rPr>
          <w:rFonts w:ascii="Arial" w:cs="Arial" w:eastAsia="Arial" w:hAnsi="Arial"/>
          <w:sz w:val="17"/>
          <w:szCs w:val="17"/>
          <w:color w:val="auto"/>
        </w:rPr>
      </w:pPr>
    </w:p>
    <w:p>
      <w:pPr>
        <w:ind w:left="320" w:hanging="317"/>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57,718 shares that were available for future issuances as of December 31, 2018 under the 2014 Employee Stock Purchase Plan, which allows eligible employees to purchase shares of common stock with accumulated payroll deductions.</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Ardelyx, Inc. 2016 Employment Commencement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Features of the 2016 Employment Commencement Incentive Plan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2014 Plan is intended to be exempt from the Nasdaq Listing Rules regarding shareholder approval of stock option and stock purchase plans. A total of 1,000,000 shares of our common stock were reserved for issuance under the 2016 Plan. The 2016 Plan provides for the grant of incentive stock options, or ISOs, non-qualified stock options, restricted stock units, restricted stock awards, stock appreciation rights, or SARs and other stock-based and cash-based awards.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 As of December 31, 2018, we had not granted any awards under the 2016 Plan, and 1,000,000 shares remained available for future grants.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188" w:lineRule="exact"/>
        <w:rPr>
          <w:sz w:val="20"/>
          <w:szCs w:val="20"/>
          <w:color w:val="auto"/>
        </w:rPr>
      </w:pPr>
    </w:p>
    <w:p>
      <w:pPr>
        <w:ind w:right="180"/>
        <w:spacing w:after="0" w:line="223" w:lineRule="exact"/>
        <w:rPr>
          <w:sz w:val="20"/>
          <w:szCs w:val="20"/>
          <w:color w:val="auto"/>
        </w:rPr>
      </w:pPr>
      <w:r>
        <w:rPr>
          <w:rFonts w:ascii="Arial" w:cs="Arial" w:eastAsia="Arial" w:hAnsi="Arial"/>
          <w:sz w:val="18"/>
          <w:szCs w:val="18"/>
          <w:color w:val="auto"/>
        </w:rPr>
        <w:t>We filed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with the SEC covering the shares of common stock that may be issued under the 2016 Plan.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relating to the beneficial ownership of our common stock as of April 18, 2019, by:</w:t>
      </w:r>
    </w:p>
    <w:p>
      <w:pPr>
        <w:spacing w:after="0" w:line="154" w:lineRule="exact"/>
        <w:rPr>
          <w:sz w:val="20"/>
          <w:szCs w:val="20"/>
          <w:color w:val="auto"/>
        </w:rPr>
      </w:pPr>
    </w:p>
    <w:p>
      <w:pPr>
        <w:ind w:left="780" w:right="360" w:hanging="318"/>
        <w:spacing w:after="0" w:line="277"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75" w:lineRule="exact"/>
        <w:rPr>
          <w:rFonts w:ascii="Arial" w:cs="Arial" w:eastAsia="Arial" w:hAnsi="Arial"/>
          <w:sz w:val="18"/>
          <w:szCs w:val="18"/>
          <w:color w:val="auto"/>
        </w:rPr>
      </w:pPr>
    </w:p>
    <w:p>
      <w:pPr>
        <w:ind w:left="780" w:hanging="318"/>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130" w:lineRule="exact"/>
        <w:rPr>
          <w:rFonts w:ascii="Arial" w:cs="Arial" w:eastAsia="Arial" w:hAnsi="Arial"/>
          <w:sz w:val="18"/>
          <w:szCs w:val="18"/>
          <w:color w:val="auto"/>
        </w:rPr>
      </w:pPr>
    </w:p>
    <w:p>
      <w:pPr>
        <w:ind w:left="780" w:hanging="318"/>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780" w:hanging="318"/>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18, 2019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percentage of shares beneficially owned is computed on the basis of 62,600,443 shares of our common stock outstanding as of April 18, 2019. Shares of our common stock that a person has the right to acquire within 60 days of April 18, 2019 pursuant to the exercise of outstanding stock options, warrants or other rights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34175 Ardenwood Blvd., Suite 200, Fremont, CA 94555.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Beneficial Ownership</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of Beneficial</w:t>
            </w:r>
          </w:p>
        </w:tc>
        <w:tc>
          <w:tcPr>
            <w:tcW w:w="0" w:type="dxa"/>
            <w:vAlign w:val="bottom"/>
          </w:tcPr>
          <w:p>
            <w:pPr>
              <w:spacing w:after="0"/>
              <w:rPr>
                <w:sz w:val="1"/>
                <w:szCs w:val="1"/>
                <w:color w:val="auto"/>
              </w:rPr>
            </w:pPr>
          </w:p>
        </w:tc>
      </w:tr>
      <w:tr>
        <w:trPr>
          <w:trHeight w:val="171"/>
        </w:trPr>
        <w:tc>
          <w:tcPr>
            <w:tcW w:w="4860" w:type="dxa"/>
            <w:vAlign w:val="bottom"/>
            <w:gridSpan w:val="3"/>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Within 60 Days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Associated with New Enterprise Associates </w:t>
            </w:r>
            <w:r>
              <w:rPr>
                <w:rFonts w:ascii="Arial" w:cs="Arial" w:eastAsia="Arial" w:hAnsi="Arial"/>
                <w:sz w:val="18"/>
                <w:szCs w:val="18"/>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15,335,047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1,401,870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16,736,917</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26.15 %</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Adage Capital Partners, L.P. </w:t>
            </w:r>
            <w:r>
              <w:rPr>
                <w:rFonts w:ascii="Arial" w:cs="Arial" w:eastAsia="Arial" w:hAnsi="Arial"/>
                <w:sz w:val="18"/>
                <w:szCs w:val="18"/>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6.39 %</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Future Fund Investment Company No. 4 Pty Ltd </w:t>
            </w:r>
            <w:r>
              <w:rPr>
                <w:rFonts w:ascii="Arial" w:cs="Arial" w:eastAsia="Arial" w:hAnsi="Arial"/>
                <w:sz w:val="18"/>
                <w:szCs w:val="18"/>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3,436,426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3,436,426</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5.49 %</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8"/>
                <w:szCs w:val="18"/>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3,305,095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3,305,095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Associated with Deerfield </w:t>
            </w:r>
            <w:r>
              <w:rPr>
                <w:rFonts w:ascii="Arial" w:cs="Arial" w:eastAsia="Arial" w:hAnsi="Arial"/>
                <w:sz w:val="18"/>
                <w:szCs w:val="1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3,230,216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3,230,216</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Michael Raab</w:t>
            </w:r>
          </w:p>
        </w:tc>
        <w:tc>
          <w:tcPr>
            <w:tcW w:w="840" w:type="dxa"/>
            <w:vAlign w:val="bottom"/>
          </w:tcPr>
          <w:p>
            <w:pPr>
              <w:jc w:val="right"/>
              <w:spacing w:after="0"/>
              <w:rPr>
                <w:sz w:val="20"/>
                <w:szCs w:val="20"/>
                <w:color w:val="auto"/>
              </w:rPr>
            </w:pPr>
            <w:r>
              <w:rPr>
                <w:rFonts w:ascii="Arial" w:cs="Arial" w:eastAsia="Arial" w:hAnsi="Arial"/>
                <w:sz w:val="18"/>
                <w:szCs w:val="18"/>
                <w:color w:val="auto"/>
              </w:rPr>
              <w:t>119,728</w:t>
            </w:r>
          </w:p>
        </w:tc>
        <w:tc>
          <w:tcPr>
            <w:tcW w:w="280" w:type="dxa"/>
            <w:vAlign w:val="bottom"/>
            <w:gridSpan w:val="2"/>
          </w:tcPr>
          <w:p>
            <w:pPr>
              <w:ind w:left="20"/>
              <w:spacing w:after="0"/>
              <w:rPr>
                <w:sz w:val="20"/>
                <w:szCs w:val="20"/>
                <w:color w:val="auto"/>
              </w:rPr>
            </w:pPr>
            <w:r>
              <w:rPr>
                <w:rFonts w:ascii="Arial" w:cs="Arial" w:eastAsia="Arial" w:hAnsi="Arial"/>
                <w:sz w:val="9"/>
                <w:szCs w:val="9"/>
                <w:color w:val="auto"/>
              </w:rPr>
              <w:t>(6)</w:t>
            </w:r>
          </w:p>
        </w:tc>
        <w:tc>
          <w:tcPr>
            <w:tcW w:w="980" w:type="dxa"/>
            <w:vAlign w:val="bottom"/>
          </w:tcPr>
          <w:p>
            <w:pPr>
              <w:jc w:val="right"/>
              <w:spacing w:after="0"/>
              <w:rPr>
                <w:sz w:val="20"/>
                <w:szCs w:val="20"/>
                <w:color w:val="auto"/>
              </w:rPr>
            </w:pPr>
            <w:r>
              <w:rPr>
                <w:rFonts w:ascii="Arial" w:cs="Arial" w:eastAsia="Arial" w:hAnsi="Arial"/>
                <w:sz w:val="18"/>
                <w:szCs w:val="18"/>
                <w:color w:val="auto"/>
              </w:rPr>
              <w:t>1,152,152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1,271,880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David Rosenbaum, Ph.D. </w:t>
            </w:r>
            <w:r>
              <w:rPr>
                <w:rFonts w:ascii="Arial" w:cs="Arial" w:eastAsia="Arial" w:hAnsi="Arial"/>
                <w:sz w:val="18"/>
                <w:szCs w:val="18"/>
                <w:color w:val="auto"/>
                <w:vertAlign w:val="superscript"/>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434,275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Elizabeth Grammer</w:t>
            </w:r>
          </w:p>
        </w:tc>
        <w:tc>
          <w:tcPr>
            <w:tcW w:w="840" w:type="dxa"/>
            <w:vAlign w:val="bottom"/>
          </w:tcPr>
          <w:p>
            <w:pPr>
              <w:jc w:val="right"/>
              <w:spacing w:after="0"/>
              <w:rPr>
                <w:sz w:val="20"/>
                <w:szCs w:val="20"/>
                <w:color w:val="auto"/>
              </w:rPr>
            </w:pPr>
            <w:r>
              <w:rPr>
                <w:rFonts w:ascii="Arial" w:cs="Arial" w:eastAsia="Arial" w:hAnsi="Arial"/>
                <w:sz w:val="18"/>
                <w:szCs w:val="18"/>
                <w:color w:val="auto"/>
              </w:rPr>
              <w:t>26,656</w:t>
            </w:r>
          </w:p>
        </w:tc>
        <w:tc>
          <w:tcPr>
            <w:tcW w:w="280" w:type="dxa"/>
            <w:vAlign w:val="bottom"/>
            <w:gridSpan w:val="2"/>
          </w:tcPr>
          <w:p>
            <w:pPr>
              <w:ind w:left="20"/>
              <w:spacing w:after="0"/>
              <w:rPr>
                <w:sz w:val="20"/>
                <w:szCs w:val="20"/>
                <w:color w:val="auto"/>
              </w:rPr>
            </w:pPr>
            <w:r>
              <w:rPr>
                <w:rFonts w:ascii="Arial" w:cs="Arial" w:eastAsia="Arial" w:hAnsi="Arial"/>
                <w:sz w:val="9"/>
                <w:szCs w:val="9"/>
                <w:color w:val="auto"/>
              </w:rPr>
              <w:t>(8)</w:t>
            </w:r>
          </w:p>
        </w:tc>
        <w:tc>
          <w:tcPr>
            <w:tcW w:w="980" w:type="dxa"/>
            <w:vAlign w:val="bottom"/>
          </w:tcPr>
          <w:p>
            <w:pPr>
              <w:jc w:val="right"/>
              <w:spacing w:after="0"/>
              <w:rPr>
                <w:sz w:val="20"/>
                <w:szCs w:val="20"/>
                <w:color w:val="auto"/>
              </w:rPr>
            </w:pPr>
            <w:r>
              <w:rPr>
                <w:rFonts w:ascii="Arial" w:cs="Arial" w:eastAsia="Arial" w:hAnsi="Arial"/>
                <w:sz w:val="18"/>
                <w:szCs w:val="18"/>
                <w:color w:val="auto"/>
              </w:rPr>
              <w:t>312,178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338,834</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David Mott </w:t>
            </w:r>
            <w:r>
              <w:rPr>
                <w:rFonts w:ascii="Arial" w:cs="Arial" w:eastAsia="Arial" w:hAnsi="Arial"/>
                <w:sz w:val="18"/>
                <w:szCs w:val="18"/>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6,219,092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7,120,214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11.21 %</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Robert Bazemore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Bertrand, Jr.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Geoffrey A. Block, M.D.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Annalisa Jenkins, MBBS, FRCP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Jan M. Lundberg, Ph.D.</w:t>
            </w:r>
          </w:p>
        </w:tc>
        <w:tc>
          <w:tcPr>
            <w:tcW w:w="840" w:type="dxa"/>
            <w:vAlign w:val="bottom"/>
          </w:tcPr>
          <w:p>
            <w:pPr>
              <w:jc w:val="right"/>
              <w:spacing w:after="0"/>
              <w:rPr>
                <w:sz w:val="20"/>
                <w:szCs w:val="20"/>
                <w:color w:val="auto"/>
              </w:rPr>
            </w:pPr>
            <w:r>
              <w:rPr>
                <w:rFonts w:ascii="Arial" w:cs="Arial" w:eastAsia="Arial" w:hAnsi="Arial"/>
                <w:sz w:val="18"/>
                <w:szCs w:val="18"/>
                <w:color w:val="auto"/>
              </w:rPr>
              <w:t>11,786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23,452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Gordon Ringold, Ph.D.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Richard Rodgers</w:t>
            </w:r>
          </w:p>
        </w:tc>
        <w:tc>
          <w:tcPr>
            <w:tcW w:w="840" w:type="dxa"/>
            <w:vAlign w:val="bottom"/>
          </w:tcPr>
          <w:p>
            <w:pPr>
              <w:jc w:val="right"/>
              <w:spacing w:after="0"/>
              <w:rPr>
                <w:sz w:val="20"/>
                <w:szCs w:val="20"/>
                <w:color w:val="auto"/>
              </w:rPr>
            </w:pPr>
            <w:r>
              <w:rPr>
                <w:rFonts w:ascii="Arial" w:cs="Arial" w:eastAsia="Arial" w:hAnsi="Arial"/>
                <w:sz w:val="18"/>
                <w:szCs w:val="18"/>
                <w:color w:val="auto"/>
              </w:rPr>
              <w:t>43,742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133,742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6,679,707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3,428,678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10,108,385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40" w:right="1860" w:hanging="4437"/>
        <w:spacing w:after="0" w:line="778"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shares of common stock.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hanging="317"/>
        <w:spacing w:after="0" w:line="216" w:lineRule="exact"/>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(i) 9,169,210 shares held by New Enterprise Associates 12, Limited Partnership (“NEA 12”), and 560,748 shares that may be acquired by NEA 12 upon the exercise of warrants within 60 days of April 18, 2019; (ii) 3,082,186 shares held by New Enterprise Associates 15, L.P. (“NEA 15”), and 420,561 shares that may be acquired by NEA 15 upon the exercise of warrants within 60 days of April 18, 2019; (iii) 3,082,186 shares held by NEA 15 Opportunity Fund, L.P. (“NEA 15</w:t>
      </w:r>
      <w:r>
        <w:rPr>
          <w:rFonts w:ascii="MS PGothic" w:cs="MS PGothic" w:eastAsia="MS PGothic" w:hAnsi="MS PGothic"/>
          <w:sz w:val="17"/>
          <w:szCs w:val="17"/>
          <w:color w:val="auto"/>
        </w:rPr>
        <w:t>‑</w:t>
      </w:r>
      <w:r>
        <w:rPr>
          <w:rFonts w:ascii="Arial" w:cs="Arial" w:eastAsia="Arial" w:hAnsi="Arial"/>
          <w:sz w:val="17"/>
          <w:szCs w:val="17"/>
          <w:color w:val="auto"/>
        </w:rPr>
        <w:t>OF” and collectively with NEA 12 and NEA 15, the “Funds”), and 420,561 shares that may be acquired by NEA 15</w:t>
      </w:r>
      <w:r>
        <w:rPr>
          <w:rFonts w:ascii="MS PGothic" w:cs="MS PGothic" w:eastAsia="MS PGothic" w:hAnsi="MS PGothic"/>
          <w:sz w:val="17"/>
          <w:szCs w:val="17"/>
          <w:color w:val="auto"/>
        </w:rPr>
        <w:t>‑</w:t>
      </w:r>
      <w:r>
        <w:rPr>
          <w:rFonts w:ascii="Arial" w:cs="Arial" w:eastAsia="Arial" w:hAnsi="Arial"/>
          <w:sz w:val="17"/>
          <w:szCs w:val="17"/>
          <w:color w:val="auto"/>
        </w:rPr>
        <w:t>OF upon the exercise of warrants within 60 days of April 18, 2019, and (iv) 1,465 shares held by NEA Ventures 2008, L.P (“Ven 2008” and collectively with NEA 15</w:t>
      </w:r>
      <w:r>
        <w:rPr>
          <w:rFonts w:ascii="MS PGothic" w:cs="MS PGothic" w:eastAsia="MS PGothic" w:hAnsi="MS PGothic"/>
          <w:sz w:val="17"/>
          <w:szCs w:val="17"/>
          <w:color w:val="auto"/>
        </w:rPr>
        <w:t>‑</w:t>
      </w:r>
      <w:r>
        <w:rPr>
          <w:rFonts w:ascii="Arial" w:cs="Arial" w:eastAsia="Arial" w:hAnsi="Arial"/>
          <w:sz w:val="17"/>
          <w:szCs w:val="17"/>
          <w:color w:val="auto"/>
        </w:rPr>
        <w:t>OF, NEA 12 and NEA 15, the “Funds”). The shares directly held by NEA 12 are indirectly held by NEA Partners 12, L.P. (“NEA Partners 12”), the sole general partner of NEA 12, NEA 12 GP, LLC (“NEA 12 LLC”), the sole general partner of NEA Partners 12 and each of the individual Managers of NEA 12 LLC. The individual managers of NEA 12 LLC (collectively the “NEA 12 Managers”) are Peter J. Barris, Forest Baskett Patrick J. Kerins and Scott D. Sandell. The shares directly held by Ven 2008 are indirectly held by Karen P. Welsh, the general partner of Ven 2008. The shares directly held by NEA 15 are indirectly held by NEA Partners 15, L.P. (“NEA Partners 15”), the sole general partner of NEA 15, NEA 15 GP, LLC (“NEA 15 LLC”), the sole general partner of NEA Partners 15 and each of the individual Managers of NEA 15 LLC. The individual managers of NEA 15 LLC (collectively the “NEA 15 Managers”) are Peter J. Barris, Forest Baskett, Anthony A Florence, Jr., Joshua Makower, Mohamad Makhzoumi, David M. Mott, Peter W. Sonsini and Scott D. Sandell. The shares directly held by NEA 15 OF are indirectly held by NEA Partners 15</w:t>
      </w:r>
      <w:r>
        <w:rPr>
          <w:rFonts w:ascii="MS PGothic" w:cs="MS PGothic" w:eastAsia="MS PGothic" w:hAnsi="MS PGothic"/>
          <w:sz w:val="17"/>
          <w:szCs w:val="17"/>
          <w:color w:val="auto"/>
        </w:rPr>
        <w:t>‑</w:t>
      </w:r>
      <w:r>
        <w:rPr>
          <w:rFonts w:ascii="Arial" w:cs="Arial" w:eastAsia="Arial" w:hAnsi="Arial"/>
          <w:sz w:val="17"/>
          <w:szCs w:val="17"/>
          <w:color w:val="auto"/>
        </w:rPr>
        <w:t>OF, L.P. (“NEA Partners 15</w:t>
      </w:r>
      <w:r>
        <w:rPr>
          <w:rFonts w:ascii="MS PGothic" w:cs="MS PGothic" w:eastAsia="MS PGothic" w:hAnsi="MS PGothic"/>
          <w:sz w:val="17"/>
          <w:szCs w:val="17"/>
          <w:color w:val="auto"/>
        </w:rPr>
        <w:t>‑</w:t>
      </w:r>
      <w:r>
        <w:rPr>
          <w:rFonts w:ascii="Arial" w:cs="Arial" w:eastAsia="Arial" w:hAnsi="Arial"/>
          <w:sz w:val="17"/>
          <w:szCs w:val="17"/>
          <w:color w:val="auto"/>
        </w:rPr>
        <w:t>OF”), the sole general partner of NEA 15 OF, NEA 15 LLC, the sole general partner of NEA Partners 15</w:t>
      </w:r>
      <w:r>
        <w:rPr>
          <w:rFonts w:ascii="MS PGothic" w:cs="MS PGothic" w:eastAsia="MS PGothic" w:hAnsi="MS PGothic"/>
          <w:sz w:val="17"/>
          <w:szCs w:val="17"/>
          <w:color w:val="auto"/>
        </w:rPr>
        <w:t>‑</w:t>
      </w:r>
      <w:r>
        <w:rPr>
          <w:rFonts w:ascii="Arial" w:cs="Arial" w:eastAsia="Arial" w:hAnsi="Arial"/>
          <w:sz w:val="17"/>
          <w:szCs w:val="17"/>
          <w:color w:val="auto"/>
        </w:rPr>
        <w:t>OF and each of the NEA 15 Managers. NEA 12, NEA Partners 12 NEA 12 LLC and the NEA 12 Managers share voting and dispositive power with regard to the Company’s securities directly held by NEA 12. NEA 15, NEA Partners 15, NEA 15 LLC and the NEA 15 Managers share voting and dispositive power with regard to the Company’s securities directly held by NEA 15. NEA 15</w:t>
      </w:r>
      <w:r>
        <w:rPr>
          <w:rFonts w:ascii="MS PGothic" w:cs="MS PGothic" w:eastAsia="MS PGothic" w:hAnsi="MS PGothic"/>
          <w:sz w:val="17"/>
          <w:szCs w:val="17"/>
          <w:color w:val="auto"/>
        </w:rPr>
        <w:t>‑</w:t>
      </w:r>
      <w:r>
        <w:rPr>
          <w:rFonts w:ascii="Arial" w:cs="Arial" w:eastAsia="Arial" w:hAnsi="Arial"/>
          <w:sz w:val="17"/>
          <w:szCs w:val="17"/>
          <w:color w:val="auto"/>
        </w:rPr>
        <w:t>OF, NEA Partners 15</w:t>
      </w:r>
      <w:r>
        <w:rPr>
          <w:rFonts w:ascii="MS PGothic" w:cs="MS PGothic" w:eastAsia="MS PGothic" w:hAnsi="MS PGothic"/>
          <w:sz w:val="17"/>
          <w:szCs w:val="17"/>
          <w:color w:val="auto"/>
        </w:rPr>
        <w:t>‑</w:t>
      </w:r>
      <w:r>
        <w:rPr>
          <w:rFonts w:ascii="Arial" w:cs="Arial" w:eastAsia="Arial" w:hAnsi="Arial"/>
          <w:sz w:val="17"/>
          <w:szCs w:val="17"/>
          <w:color w:val="auto"/>
        </w:rPr>
        <w:t>OF, NEA 15 LLC and the NEA 15 Managers share voting and dispositive power with regard to the Company’s securities directly held by NEA 15</w:t>
      </w:r>
      <w:r>
        <w:rPr>
          <w:rFonts w:ascii="MS PGothic" w:cs="MS PGothic" w:eastAsia="MS PGothic" w:hAnsi="MS PGothic"/>
          <w:sz w:val="17"/>
          <w:szCs w:val="17"/>
          <w:color w:val="auto"/>
        </w:rPr>
        <w:t>‑</w:t>
      </w:r>
      <w:r>
        <w:rPr>
          <w:rFonts w:ascii="Arial" w:cs="Arial" w:eastAsia="Arial" w:hAnsi="Arial"/>
          <w:sz w:val="17"/>
          <w:szCs w:val="17"/>
          <w:color w:val="auto"/>
        </w:rPr>
        <w:t>OF. Karen P. Welsh, the general partner of Ven 2008, has voting and dispositive power with regard to the Company’s securities directly held by Ven 2008. All indirect holders of the above referenced shares disclaim beneficial ownership of all applicable shares except to the extent of their actual pecuniary interest therein. The address of NEA 12, NEA 15, NEA 15</w:t>
      </w:r>
      <w:r>
        <w:rPr>
          <w:rFonts w:ascii="MS PGothic" w:cs="MS PGothic" w:eastAsia="MS PGothic" w:hAnsi="MS PGothic"/>
          <w:sz w:val="17"/>
          <w:szCs w:val="17"/>
          <w:color w:val="auto"/>
        </w:rPr>
        <w:t>‑</w:t>
      </w:r>
      <w:r>
        <w:rPr>
          <w:rFonts w:ascii="Arial" w:cs="Arial" w:eastAsia="Arial" w:hAnsi="Arial"/>
          <w:sz w:val="17"/>
          <w:szCs w:val="17"/>
          <w:color w:val="auto"/>
        </w:rPr>
        <w:t>OF and Ven 2008 is 1954 Greenspring Drive, Suite 600, Timonium, MD 21093.</w:t>
      </w:r>
    </w:p>
    <w:p>
      <w:pPr>
        <w:spacing w:after="0" w:line="222" w:lineRule="exact"/>
        <w:rPr>
          <w:rFonts w:ascii="Arial" w:cs="Arial" w:eastAsia="Arial" w:hAnsi="Arial"/>
          <w:sz w:val="17"/>
          <w:szCs w:val="17"/>
          <w:color w:val="auto"/>
        </w:rPr>
      </w:pPr>
    </w:p>
    <w:p>
      <w:pPr>
        <w:ind w:left="320" w:right="40" w:hanging="317"/>
        <w:spacing w:after="0" w:line="271"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4,000,000 shares as reported on Schedule 13G/A filed with the SEC on February 13, 2019 by Adage Capital Partners, L.P. (“ACP”), Adage Capital Partners GP, L.L.C. (“ACPGP”), Adage Capital Advisors, L.L.C. (“ACA”), Robert Atchinson and Phillip Gross (collectively, the “Adage Reporting Persons”). ACPGP is the general partner of ACP, and may be deemed to own beneficially the shares held by ACP. ACA is the managing member of ACPGP and general partner of ACP, and may be deemed to own beneficially the shares held by ACP. Messrs. Atchinson and Gross are each a managing member of ACA, managing member of ACPGP and general partner of ACP, and may be deemed to own beneficially the shares held by ACP. The principal business of the Adage Reporting Persons is 200 Clarendon Street, 52nd floor, Boston, Massachusetts 02116.</w:t>
      </w:r>
    </w:p>
    <w:p>
      <w:pPr>
        <w:spacing w:after="0" w:line="178" w:lineRule="exact"/>
        <w:rPr>
          <w:rFonts w:ascii="Arial" w:cs="Arial" w:eastAsia="Arial" w:hAnsi="Arial"/>
          <w:sz w:val="17"/>
          <w:szCs w:val="17"/>
          <w:color w:val="auto"/>
        </w:rPr>
      </w:pPr>
    </w:p>
    <w:p>
      <w:pPr>
        <w:ind w:left="320" w:right="80" w:hanging="317"/>
        <w:spacing w:after="0" w:line="293"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3,436,426 shares as reported on Schedule 13G filed with the SEC on January 18, 2017 by Future Fund Investment Company No. 4 Pty Ltd (“FF Investment”) and Future Fund Board of Guardians (“FF Guardians”) pursuant to a joint filing agreement. FF Investment holds 3,436,426 shares indirectly through The Northern Trust Company in its capacity as custodian for FF Investment. FF Guardians is the parent of FF Investment, and shares voting and investment power over and may deemed to own beneficially the shares held by FF Investment. FF Investment and FF Guardians have their principal business offices at Level 42, 120 Collins Street, Melbourne, VIC 300, Australia.</w:t>
      </w:r>
    </w:p>
    <w:p>
      <w:pPr>
        <w:spacing w:after="0" w:line="164" w:lineRule="exact"/>
        <w:rPr>
          <w:rFonts w:ascii="Arial" w:cs="Arial" w:eastAsia="Arial" w:hAnsi="Arial"/>
          <w:sz w:val="16"/>
          <w:szCs w:val="16"/>
          <w:color w:val="auto"/>
        </w:rPr>
      </w:pPr>
    </w:p>
    <w:p>
      <w:pPr>
        <w:ind w:left="320" w:right="420" w:hanging="317"/>
        <w:spacing w:after="0" w:line="308"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3,305,095 shares as reported on Schedule 13G filed with the SEC on February 8, 2019 by BlackRock, Inc. BlackRock, Inc. has its principal business office at 55 East 52nd Street, New York, NY 10055.</w:t>
      </w:r>
    </w:p>
    <w:p>
      <w:pPr>
        <w:spacing w:after="0" w:line="146" w:lineRule="exact"/>
        <w:rPr>
          <w:rFonts w:ascii="Arial" w:cs="Arial" w:eastAsia="Arial" w:hAnsi="Arial"/>
          <w:sz w:val="17"/>
          <w:szCs w:val="17"/>
          <w:color w:val="auto"/>
        </w:rPr>
      </w:pPr>
    </w:p>
    <w:p>
      <w:pPr>
        <w:ind w:left="320" w:right="240" w:hanging="317"/>
        <w:spacing w:after="0" w:line="279"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3,230,216 shares as reported on Schedule 13G filed with the SEC on February 19, 2019 by Deerfield Mgmt, L.P. (“Deerfield Mgmt”), Deerfield Management Company, L.P. (“Deerfield Management”), Deerfield Special Situations Fund, L.P. (“Special Situations”), Deerfield Partners, L.P. (“Deerfield Partners”) and James E. Flynn (collectively, the “Deerfield Reporting Persons”) pursuant to a joint filing agreement. Deerfield Mgmt is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59"/>
        <w:spacing w:after="0" w:line="257" w:lineRule="auto"/>
        <w:rPr>
          <w:sz w:val="20"/>
          <w:szCs w:val="20"/>
          <w:color w:val="auto"/>
        </w:rPr>
      </w:pPr>
      <w:r>
        <w:rPr>
          <w:rFonts w:ascii="Arial" w:cs="Arial" w:eastAsia="Arial" w:hAnsi="Arial"/>
          <w:sz w:val="18"/>
          <w:szCs w:val="18"/>
          <w:color w:val="auto"/>
        </w:rPr>
        <w:t>general partner of Special Situations and Deerfield Partners, and may be deemed to own beneficially the shares held by Special Situations and Deerfield Partners. Deerfield Management is the investment advisor of Special Situations and Deerfield Partners, and may be deemed to own beneficially the shares held by Special Situations and Deerfield Partners. The principal business address of the Deerfield Reporting Persons is 780 Third Avenue, 37th Floor, New York, NY 10017.</w:t>
      </w:r>
    </w:p>
    <w:p>
      <w:pPr>
        <w:spacing w:after="0" w:line="188" w:lineRule="exact"/>
        <w:rPr>
          <w:sz w:val="20"/>
          <w:szCs w:val="20"/>
          <w:color w:val="auto"/>
        </w:rPr>
      </w:pPr>
    </w:p>
    <w:p>
      <w:pPr>
        <w:ind w:left="320" w:right="19" w:hanging="317"/>
        <w:spacing w:after="0" w:line="26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37,897 shares directly owned by Mr. Raab, (ii) 80,831 shares owned directly by Michael G. Raab, trustee of the Michael G. Raab Living Trust dated July 25, 2012, (iii) an aggregate of 1,000 shares owned directly by trusts for the benefit of Mr. Raab’s children.</w:t>
      </w:r>
    </w:p>
    <w:p>
      <w:pPr>
        <w:spacing w:after="0" w:line="181" w:lineRule="exact"/>
        <w:rPr>
          <w:rFonts w:ascii="Arial" w:cs="Arial" w:eastAsia="Arial" w:hAnsi="Arial"/>
          <w:sz w:val="18"/>
          <w:szCs w:val="18"/>
          <w:color w:val="auto"/>
        </w:rPr>
      </w:pPr>
    </w:p>
    <w:p>
      <w:pPr>
        <w:ind w:left="320" w:right="39" w:hanging="317"/>
        <w:spacing w:after="0" w:line="286"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(i) 54,189 shares directly owned by Dr. Rosenbaum, (ii) 252,403 shares that may be acquired directly by Dr. Rosenbaum pursuant to the exercise of stock options or the vesting of restricted stock units within 60 days of April 18, 2019, (iii) 77,592 shares owned indirectly owned by David Paul Rosenbaum and Susan Edelstein Rosenbaum, Trustees of the David Paul Rosenbaum Family Trust, (iv) 11,029 shares owned directly by Dr. Rosenbaum’s spouse, and</w:t>
      </w:r>
    </w:p>
    <w:p>
      <w:pPr>
        <w:spacing w:after="0" w:line="1" w:lineRule="exact"/>
        <w:rPr>
          <w:rFonts w:ascii="Arial" w:cs="Arial" w:eastAsia="Arial" w:hAnsi="Arial"/>
          <w:sz w:val="16"/>
          <w:szCs w:val="16"/>
          <w:color w:val="auto"/>
        </w:rPr>
      </w:pPr>
    </w:p>
    <w:p>
      <w:pPr>
        <w:ind w:left="320" w:right="339" w:firstLine="7"/>
        <w:spacing w:after="0" w:line="261" w:lineRule="auto"/>
        <w:tabs>
          <w:tab w:leader="none" w:pos="5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39,062 shares that may be acquired directly by Dr. Rosenbaum’s spouse pursuant to the exercise of stock options with 60 days of April 18, 2019.</w:t>
      </w:r>
    </w:p>
    <w:p>
      <w:pPr>
        <w:spacing w:after="0" w:line="183" w:lineRule="exact"/>
        <w:rPr>
          <w:rFonts w:ascii="Arial" w:cs="Arial" w:eastAsia="Arial" w:hAnsi="Arial"/>
          <w:sz w:val="18"/>
          <w:szCs w:val="18"/>
          <w:color w:val="auto"/>
        </w:rPr>
      </w:pPr>
    </w:p>
    <w:p>
      <w:pPr>
        <w:ind w:left="320" w:right="219" w:hanging="317"/>
        <w:spacing w:after="0" w:line="277"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25,656 shares directly owned by Ms. Grammer and (ii) 1,000 shares owned directly by Ms. Grammer’s son.</w:t>
      </w:r>
    </w:p>
    <w:p>
      <w:pPr>
        <w:spacing w:after="0" w:line="170" w:lineRule="exact"/>
        <w:rPr>
          <w:rFonts w:ascii="Arial" w:cs="Arial" w:eastAsia="Arial" w:hAnsi="Arial"/>
          <w:sz w:val="18"/>
          <w:szCs w:val="18"/>
          <w:color w:val="auto"/>
        </w:rPr>
      </w:pPr>
    </w:p>
    <w:p>
      <w:pPr>
        <w:ind w:left="320" w:right="79" w:hanging="317"/>
        <w:spacing w:after="0" w:line="218" w:lineRule="exact"/>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(i) 54,720 shares directly owned by Mr. Mott, (ii) 60,000 shares that may be acquired directly by Mr. Mott pursuant to the exercise of stock options within 60 days of April 18, 2019 (iii) 3,082,186 shares owned by NEA 15, and 420,561 shares that may be acquired by NEA 15 pursuant to the exercise of warrants within 60 days of April 18, 2019, and (iv) 3,082,186 shares owned by NEA 15</w:t>
      </w:r>
      <w:r>
        <w:rPr>
          <w:rFonts w:ascii="MS PGothic" w:cs="MS PGothic" w:eastAsia="MS PGothic" w:hAnsi="MS PGothic"/>
          <w:sz w:val="17"/>
          <w:szCs w:val="17"/>
          <w:color w:val="auto"/>
        </w:rPr>
        <w:t>‑</w:t>
      </w:r>
      <w:r>
        <w:rPr>
          <w:rFonts w:ascii="Arial" w:cs="Arial" w:eastAsia="Arial" w:hAnsi="Arial"/>
          <w:sz w:val="17"/>
          <w:szCs w:val="17"/>
          <w:color w:val="auto"/>
        </w:rPr>
        <w:t>OF, and 420,561 shares that may be acquired by NEA 15</w:t>
      </w:r>
      <w:r>
        <w:rPr>
          <w:rFonts w:ascii="MS PGothic" w:cs="MS PGothic" w:eastAsia="MS PGothic" w:hAnsi="MS PGothic"/>
          <w:sz w:val="17"/>
          <w:szCs w:val="17"/>
          <w:color w:val="auto"/>
        </w:rPr>
        <w:t>‑</w:t>
      </w:r>
      <w:r>
        <w:rPr>
          <w:rFonts w:ascii="Arial" w:cs="Arial" w:eastAsia="Arial" w:hAnsi="Arial"/>
          <w:sz w:val="17"/>
          <w:szCs w:val="17"/>
          <w:color w:val="auto"/>
        </w:rPr>
        <w:t>OF pursuant to the exercise of warrants within 60 days of April 18, 2019. Mr. Mott is a manager of NEA 15, LLC, which is the sole general partner of NEA Partners 15, L.P., which is the sole general partner of NEA 15. NEA15, LLC is also the sole general partner of NEA Partners 15</w:t>
      </w:r>
      <w:r>
        <w:rPr>
          <w:rFonts w:ascii="MS PGothic" w:cs="MS PGothic" w:eastAsia="MS PGothic" w:hAnsi="MS PGothic"/>
          <w:sz w:val="17"/>
          <w:szCs w:val="17"/>
          <w:color w:val="auto"/>
        </w:rPr>
        <w:t>‑</w:t>
      </w:r>
      <w:r>
        <w:rPr>
          <w:rFonts w:ascii="Arial" w:cs="Arial" w:eastAsia="Arial" w:hAnsi="Arial"/>
          <w:sz w:val="17"/>
          <w:szCs w:val="17"/>
          <w:color w:val="auto"/>
        </w:rPr>
        <w:t>OF, L.P., which is the sole general partner of NEA 15</w:t>
      </w:r>
      <w:r>
        <w:rPr>
          <w:rFonts w:ascii="MS PGothic" w:cs="MS PGothic" w:eastAsia="MS PGothic" w:hAnsi="MS PGothic"/>
          <w:sz w:val="17"/>
          <w:szCs w:val="17"/>
          <w:color w:val="auto"/>
        </w:rPr>
        <w:t>‑</w:t>
      </w:r>
      <w:r>
        <w:rPr>
          <w:rFonts w:ascii="Arial" w:cs="Arial" w:eastAsia="Arial" w:hAnsi="Arial"/>
          <w:sz w:val="17"/>
          <w:szCs w:val="17"/>
          <w:color w:val="auto"/>
        </w:rPr>
        <w:t>OF. Mr. Mott disclaims beneficial ownership of the shares held by NEA 15 and NEA 15</w:t>
      </w:r>
      <w:r>
        <w:rPr>
          <w:rFonts w:ascii="MS PGothic" w:cs="MS PGothic" w:eastAsia="MS PGothic" w:hAnsi="MS PGothic"/>
          <w:sz w:val="17"/>
          <w:szCs w:val="17"/>
          <w:color w:val="auto"/>
        </w:rPr>
        <w:t>‑</w:t>
      </w:r>
      <w:r>
        <w:rPr>
          <w:rFonts w:ascii="Arial" w:cs="Arial" w:eastAsia="Arial" w:hAnsi="Arial"/>
          <w:sz w:val="17"/>
          <w:szCs w:val="17"/>
          <w:color w:val="auto"/>
        </w:rPr>
        <w:t>OF, as well as the shares that may be acquired by NEA 15 and NEA 15</w:t>
      </w:r>
      <w:r>
        <w:rPr>
          <w:rFonts w:ascii="MS PGothic" w:cs="MS PGothic" w:eastAsia="MS PGothic" w:hAnsi="MS PGothic"/>
          <w:sz w:val="17"/>
          <w:szCs w:val="17"/>
          <w:color w:val="auto"/>
        </w:rPr>
        <w:t>‑</w:t>
      </w:r>
      <w:r>
        <w:rPr>
          <w:rFonts w:ascii="Arial" w:cs="Arial" w:eastAsia="Arial" w:hAnsi="Arial"/>
          <w:sz w:val="17"/>
          <w:szCs w:val="17"/>
          <w:color w:val="auto"/>
        </w:rPr>
        <w:t>OF within 60 days of April 18, 2019, in each case, except to the extent of his pecuniary interest in such shares.</w:t>
      </w:r>
    </w:p>
    <w:p>
      <w:pPr>
        <w:spacing w:after="0" w:line="202" w:lineRule="exact"/>
        <w:rPr>
          <w:rFonts w:ascii="Arial" w:cs="Arial" w:eastAsia="Arial" w:hAnsi="Arial"/>
          <w:sz w:val="17"/>
          <w:szCs w:val="17"/>
          <w:color w:val="auto"/>
        </w:rPr>
      </w:pPr>
    </w:p>
    <w:p>
      <w:pPr>
        <w:ind w:left="320" w:hanging="317"/>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(i) 25,000 shares held by the Barthold Family Foundation, for which Dr. Ringold serves as a trustee, and</w:t>
      </w:r>
    </w:p>
    <w:p>
      <w:pPr>
        <w:spacing w:after="0" w:line="46" w:lineRule="exact"/>
        <w:rPr>
          <w:rFonts w:ascii="Arial" w:cs="Arial" w:eastAsia="Arial" w:hAnsi="Arial"/>
          <w:sz w:val="16"/>
          <w:szCs w:val="16"/>
          <w:color w:val="auto"/>
        </w:rPr>
      </w:pPr>
    </w:p>
    <w:p>
      <w:pPr>
        <w:ind w:left="600" w:hanging="273"/>
        <w:spacing w:after="0"/>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10,000 shares held in an IRA for the benefit of Dr. Ringold.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15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To the Company’s knowledge, based solely on a review of the copies of such reports furnished to the Company and written representations that no other reports were required, during the year ended December 31, 2018, all Section 16(a) filing requirements applicable to our officers, directors and greater than 10% beneficial owners were met, except with respect to:</w:t>
      </w:r>
    </w:p>
    <w:p>
      <w:pPr>
        <w:ind w:right="180" w:firstLine="3"/>
        <w:spacing w:after="0" w:line="254"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late Form 5 filing for David Rosenbaum on April 13, 2018 reporting the acquisition of restricted stock units and the disposition of shares of common stock by the reporting person’s spouse, which shares are deemed to be beneficially owned by Dr. Rosenbaum and (ii) a late Form 3 filing for Mohamad Makhzoumi, an individual manager of NEA 15 LLC, on July 17,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225" w:lineRule="exact"/>
        <w:rPr>
          <w:sz w:val="20"/>
          <w:szCs w:val="20"/>
          <w:color w:val="auto"/>
        </w:rPr>
      </w:pPr>
    </w:p>
    <w:p>
      <w:pPr>
        <w:ind w:right="220"/>
        <w:spacing w:after="0" w:line="220" w:lineRule="exact"/>
        <w:rPr>
          <w:sz w:val="20"/>
          <w:szCs w:val="20"/>
          <w:color w:val="auto"/>
        </w:rPr>
      </w:pPr>
      <w:r>
        <w:rPr>
          <w:rFonts w:ascii="Arial" w:cs="Arial" w:eastAsia="Arial" w:hAnsi="Arial"/>
          <w:sz w:val="16"/>
          <w:szCs w:val="16"/>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w:t>
      </w:r>
      <w:r>
        <w:rPr>
          <w:rFonts w:ascii="MS PGothic" w:cs="MS PGothic" w:eastAsia="MS PGothic" w:hAnsi="MS PGothic"/>
          <w:sz w:val="16"/>
          <w:szCs w:val="16"/>
          <w:color w:val="auto"/>
        </w:rPr>
        <w:t>‑</w:t>
      </w:r>
      <w:r>
        <w:rPr>
          <w:rFonts w:ascii="Arial" w:cs="Arial" w:eastAsia="Arial" w:hAnsi="Arial"/>
          <w:sz w:val="16"/>
          <w:szCs w:val="16"/>
          <w:color w:val="auto"/>
        </w:rPr>
        <w:t>1700 or by mail at Ardelyx, Inc., 34175 Ardenwood Blvd., Suite 200, Fremont, CA 94555.</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25" w:lineRule="exact"/>
        <w:rPr>
          <w:sz w:val="20"/>
          <w:szCs w:val="20"/>
          <w:color w:val="auto"/>
        </w:rPr>
      </w:pPr>
    </w:p>
    <w:p>
      <w:pPr>
        <w:ind w:right="60"/>
        <w:spacing w:after="0" w:line="219" w:lineRule="exact"/>
        <w:rPr>
          <w:sz w:val="20"/>
          <w:szCs w:val="20"/>
          <w:color w:val="auto"/>
        </w:rPr>
      </w:pPr>
      <w:r>
        <w:rPr>
          <w:rFonts w:ascii="Arial" w:cs="Arial" w:eastAsia="Arial" w:hAnsi="Arial"/>
          <w:sz w:val="16"/>
          <w:szCs w:val="16"/>
          <w:b w:val="1"/>
          <w:bCs w:val="1"/>
          <w:color w:val="auto"/>
        </w:rPr>
        <w:t>This proxy statement is accompanied by our 2018 Annual Report to Stockholders, which includes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for the fiscal year ended December 31, 2018, or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includes our audited consolidated financial statements. We have filed the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with the SEC, and it is available free of charge at the SEC’s website at www.sec.gov and on our website at ir.ardelyx.com. In addition, upon written request to the Company’s Corporate Secretary at Ardelyx, Inc., Suite 200, 34175 Ardenwood Blvd., Fremont, CA 94555, we will mail a paper copy of our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including the consolidated financial statements and the financial statement schedules, to you free of charge.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79"/>
        <w:spacing w:after="0" w:line="302" w:lineRule="auto"/>
        <w:rPr>
          <w:sz w:val="20"/>
          <w:szCs w:val="20"/>
          <w:color w:val="auto"/>
        </w:rPr>
      </w:pPr>
      <w:r>
        <w:rPr>
          <w:rFonts w:ascii="Arial" w:cs="Arial" w:eastAsia="Arial" w:hAnsi="Arial"/>
          <w:sz w:val="16"/>
          <w:szCs w:val="16"/>
          <w:color w:val="auto"/>
        </w:rPr>
        <w:t>As of the date of this proxy statement, our board of directors knows of no other matters that will be presented for consideration at the 2019 Annual Meeting other than the matters described in this proxy statement. If other matters are properly brought before the 2019 Annual Meeting, then proxies will be voted in accordance with the recommendation of the board of directors or, in the absence of such a recommendation, in accordance with the best judgment of the proxy holder.</w:t>
      </w:r>
    </w:p>
    <w:p>
      <w:pPr>
        <w:spacing w:after="0" w:line="1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Elizabeth Grammer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General Counsel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5"/>
          <w:szCs w:val="15"/>
          <w:u w:val="single" w:color="auto"/>
          <w:color w:val="0563C1"/>
        </w:rPr>
      </w:pPr>
      <w:hyperlink w:anchor="page3">
        <w:r>
          <w:rPr>
            <w:rFonts w:ascii="Arial" w:cs="Arial" w:eastAsia="Arial" w:hAnsi="Arial"/>
            <w:sz w:val="15"/>
            <w:szCs w:val="15"/>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6612255" cy="8078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078470"/>
                    </a:xfrm>
                    <a:prstGeom prst="rect">
                      <a:avLst/>
                    </a:prstGeom>
                    <a:noFill/>
                  </pic:spPr>
                </pic:pic>
              </a:graphicData>
            </a:graphic>
          </wp:anchor>
        </w:drawing>
      </w:r>
    </w:p>
    <w:p>
      <w:pPr>
        <w:sectPr>
          <w:pgSz w:w="11900" w:h="16838" w:orient="portrait"/>
          <w:cols w:equalWidth="0" w:num="1">
            <w:col w:w="9699"/>
          </w:cols>
          <w:pgMar w:left="760" w:top="125" w:right="1440" w:bottom="1440" w:gutter="0" w:footer="0" w:header="0"/>
        </w:sectPr>
      </w:pPr>
    </w:p>
    <w:bookmarkStart w:id="36" w:name="page37"/>
    <w:bookmarkEnd w:id="36"/>
    <w:p>
      <w:pPr>
        <w:spacing w:after="0"/>
        <w:rPr>
          <w:rFonts w:ascii="Arial" w:cs="Arial" w:eastAsia="Arial" w:hAnsi="Arial"/>
          <w:sz w:val="15"/>
          <w:szCs w:val="15"/>
          <w:u w:val="single" w:color="auto"/>
          <w:color w:val="0563C1"/>
        </w:rPr>
      </w:pPr>
      <w:hyperlink w:anchor="page3">
        <w:r>
          <w:rPr>
            <w:rFonts w:ascii="Arial" w:cs="Arial" w:eastAsia="Arial" w:hAnsi="Arial"/>
            <w:sz w:val="15"/>
            <w:szCs w:val="15"/>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6612255" cy="8189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189595"/>
                    </a:xfrm>
                    <a:prstGeom prst="rect">
                      <a:avLst/>
                    </a:prstGeom>
                    <a:noFill/>
                  </pic:spPr>
                </pic:pic>
              </a:graphicData>
            </a:graphic>
          </wp:anchor>
        </w:drawing>
      </w:r>
    </w:p>
    <w:p>
      <w:pPr>
        <w:sectPr>
          <w:pgSz w:w="11900" w:h="16838" w:orient="portrait"/>
          <w:cols w:equalWidth="0" w:num="1">
            <w:col w:w="9699"/>
          </w:cols>
          <w:pgMar w:left="760" w:top="125" w:right="1440" w:bottom="1440" w:gutter="0" w:footer="0" w:header="0"/>
        </w:sectPr>
      </w:pPr>
    </w:p>
    <w:bookmarkStart w:id="37" w:name="page38"/>
    <w:bookmarkEnd w:id="37"/>
    <w:p>
      <w:pPr>
        <w:spacing w:after="0"/>
        <w:rPr>
          <w:rFonts w:ascii="Arial" w:cs="Arial" w:eastAsia="Arial" w:hAnsi="Arial"/>
          <w:sz w:val="15"/>
          <w:szCs w:val="15"/>
          <w:u w:val="single" w:color="auto"/>
          <w:color w:val="0563C1"/>
        </w:rPr>
      </w:pPr>
      <w:hyperlink w:anchor="page3">
        <w:r>
          <w:rPr>
            <w:rFonts w:ascii="Arial" w:cs="Arial" w:eastAsia="Arial" w:hAnsi="Arial"/>
            <w:sz w:val="15"/>
            <w:szCs w:val="15"/>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6612255" cy="8061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061325"/>
                    </a:xfrm>
                    <a:prstGeom prst="rect">
                      <a:avLst/>
                    </a:prstGeom>
                    <a:noFill/>
                  </pic:spPr>
                </pic:pic>
              </a:graphicData>
            </a:graphic>
          </wp:anchor>
        </w:drawing>
      </w:r>
    </w:p>
    <w:sectPr>
      <w:pgSz w:w="11900" w:h="16838" w:orient="portrait"/>
      <w:cols w:equalWidth="0" w:num="1">
        <w:col w:w="9699"/>
      </w:cols>
      <w:pgMar w:left="76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4"/>
    </w:lvl>
  </w:abstractNum>
  <w:abstractNum w:abstractNumId="18">
    <w:nsid w:val="2D1D5AE9"/>
    <w:multiLevelType w:val="hybridMultilevel"/>
    <w:lvl w:ilvl="0">
      <w:lvlJc w:val="left"/>
      <w:lvlText w:val="(%1)"/>
      <w:numFmt w:val="lowerRoman"/>
      <w:start w:val="2"/>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6"/>
    </w:lvl>
    <w:lvl w:ilvl="1">
      <w:lvlJc w:val="left"/>
      <w:lvlText w:val="(%2)"/>
      <w:numFmt w:val="lowerRoman"/>
      <w:start w:val="5"/>
    </w:lvl>
  </w:abstractNum>
  <w:abstractNum w:abstractNumId="25">
    <w:nsid w:val="189A769B"/>
    <w:multiLevelType w:val="hybridMultilevel"/>
    <w:lvl w:ilvl="0">
      <w:lvlJc w:val="left"/>
      <w:lvlText w:val="%1"/>
      <w:numFmt w:val="decimal"/>
      <w:start w:val="1"/>
    </w:lvl>
    <w:lvl w:ilvl="1">
      <w:lvlJc w:val="left"/>
      <w:lvlText w:val="(%2)"/>
      <w:numFmt w:val="lowerRoman"/>
      <w:start w:val="2"/>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2019-12-03T04:05:36Z</dcterms:created>
  <dcterms:modified xsi:type="dcterms:W3CDTF">2019-12-03T04:05:36Z</dcterms:modified>
</cp:coreProperties>
</file>