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DRANT RYAN 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12/23/2014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5,619,734</w:t>
            </w:r>
          </w:p>
        </w:tc>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60" w:type="dxa"/>
            <w:vAlign w:val="bottom"/>
            <w:gridSpan w:val="5"/>
            <w:vMerge w:val="restart"/>
          </w:tcPr>
          <w:p>
            <w:pPr>
              <w:ind w:left="880"/>
              <w:spacing w:after="0"/>
              <w:rPr>
                <w:sz w:val="20"/>
                <w:szCs w:val="20"/>
                <w:color w:val="auto"/>
              </w:rPr>
            </w:pPr>
            <w:r>
              <w:rPr>
                <w:rFonts w:ascii="Arial" w:cs="Arial" w:eastAsia="Arial" w:hAnsi="Arial"/>
                <w:sz w:val="18"/>
                <w:szCs w:val="18"/>
                <w:color w:val="0000FF"/>
              </w:rPr>
              <w:t>12/23/2014</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(2)</w:t>
            </w:r>
          </w:p>
        </w:tc>
        <w:tc>
          <w:tcPr>
            <w:tcW w:w="740" w:type="dxa"/>
            <w:vAlign w:val="bottom"/>
            <w:vMerge w:val="restart"/>
          </w:tcPr>
          <w:p>
            <w:pPr>
              <w:jc w:val="center"/>
              <w:ind w:left="189"/>
              <w:spacing w:after="0"/>
              <w:rPr>
                <w:sz w:val="20"/>
                <w:szCs w:val="20"/>
                <w:color w:val="auto"/>
              </w:rPr>
            </w:pPr>
            <w:r>
              <w:rPr>
                <w:rFonts w:ascii="Arial" w:cs="Arial" w:eastAsia="Arial" w:hAnsi="Arial"/>
                <w:sz w:val="18"/>
                <w:szCs w:val="18"/>
                <w:color w:val="0000FF"/>
                <w:w w:val="87"/>
              </w:rPr>
              <w:t>10,000</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60" w:type="dxa"/>
            <w:vAlign w:val="bottom"/>
          </w:tcPr>
          <w:p>
            <w:pPr>
              <w:spacing w:after="0"/>
              <w:rPr>
                <w:sz w:val="22"/>
                <w:szCs w:val="22"/>
                <w:color w:val="auto"/>
              </w:rPr>
            </w:pPr>
          </w:p>
        </w:tc>
        <w:tc>
          <w:tcPr>
            <w:tcW w:w="800" w:type="dxa"/>
            <w:vAlign w:val="bottom"/>
            <w:vMerge w:val="restart"/>
          </w:tcPr>
          <w:p>
            <w:pPr>
              <w:jc w:val="center"/>
              <w:ind w:right="452"/>
              <w:spacing w:after="0"/>
              <w:rPr>
                <w:sz w:val="20"/>
                <w:szCs w:val="20"/>
                <w:color w:val="auto"/>
              </w:rPr>
            </w:pPr>
            <w:r>
              <w:rPr>
                <w:rFonts w:ascii="Arial" w:cs="Arial" w:eastAsia="Arial" w:hAnsi="Arial"/>
                <w:sz w:val="18"/>
                <w:szCs w:val="18"/>
                <w:color w:val="0000FF"/>
                <w:w w:val="79"/>
              </w:rPr>
              <w:t>0</w:t>
            </w:r>
          </w:p>
        </w:tc>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12/23/2014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(4)</w:t>
            </w:r>
          </w:p>
        </w:tc>
        <w:tc>
          <w:tcPr>
            <w:tcW w:w="740" w:type="dxa"/>
            <w:vAlign w:val="bottom"/>
            <w:tcBorders>
              <w:bottom w:val="single" w:sz="8" w:color="2C2C2C"/>
            </w:tcBorders>
          </w:tcPr>
          <w:p>
            <w:pPr>
              <w:jc w:val="center"/>
              <w:ind w:left="169"/>
              <w:spacing w:after="0"/>
              <w:rPr>
                <w:sz w:val="20"/>
                <w:szCs w:val="20"/>
                <w:color w:val="auto"/>
              </w:rPr>
            </w:pPr>
            <w:r>
              <w:rPr>
                <w:rFonts w:ascii="Arial" w:cs="Arial" w:eastAsia="Arial" w:hAnsi="Arial"/>
                <w:sz w:val="18"/>
                <w:szCs w:val="18"/>
                <w:color w:val="0000FF"/>
                <w:w w:val="86"/>
              </w:rPr>
              <w:t>533</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32"/>
              <w:spacing w:after="0"/>
              <w:rPr>
                <w:sz w:val="20"/>
                <w:szCs w:val="20"/>
                <w:color w:val="auto"/>
              </w:rPr>
            </w:pPr>
            <w:r>
              <w:rPr>
                <w:rFonts w:ascii="Arial" w:cs="Arial" w:eastAsia="Arial" w:hAnsi="Arial"/>
                <w:sz w:val="18"/>
                <w:szCs w:val="18"/>
                <w:color w:val="0000FF"/>
                <w:w w:val="86"/>
              </w:rPr>
              <w:t>533</w:t>
            </w:r>
          </w:p>
        </w:tc>
        <w:tc>
          <w:tcPr>
            <w:tcW w:w="960" w:type="dxa"/>
            <w:vAlign w:val="bottom"/>
            <w:tcBorders>
              <w:bottom w:val="single" w:sz="8" w:color="2C2C2C"/>
            </w:tcBorders>
          </w:tcPr>
          <w:p>
            <w:pPr>
              <w:jc w:val="center"/>
              <w:ind w:right="50"/>
              <w:spacing w:after="0"/>
              <w:rPr>
                <w:sz w:val="20"/>
                <w:szCs w:val="20"/>
                <w:color w:val="auto"/>
              </w:rPr>
            </w:pPr>
            <w:r>
              <w:rPr>
                <w:rFonts w:ascii="Arial" w:cs="Arial" w:eastAsia="Arial" w:hAnsi="Arial"/>
                <w:sz w:val="18"/>
                <w:szCs w:val="18"/>
                <w:color w:val="0000FF"/>
                <w:w w:val="91"/>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60" w:type="dxa"/>
            <w:vAlign w:val="bottom"/>
            <w:gridSpan w:val="5"/>
            <w:vMerge w:val="restart"/>
          </w:tcPr>
          <w:p>
            <w:pPr>
              <w:ind w:left="880"/>
              <w:spacing w:after="0"/>
              <w:rPr>
                <w:sz w:val="20"/>
                <w:szCs w:val="20"/>
                <w:color w:val="auto"/>
              </w:rPr>
            </w:pPr>
            <w:r>
              <w:rPr>
                <w:rFonts w:ascii="Arial" w:cs="Arial" w:eastAsia="Arial" w:hAnsi="Arial"/>
                <w:sz w:val="18"/>
                <w:szCs w:val="18"/>
                <w:color w:val="0000FF"/>
              </w:rPr>
              <w:t>12/23/2014</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(5)</w:t>
            </w:r>
          </w:p>
        </w:tc>
        <w:tc>
          <w:tcPr>
            <w:tcW w:w="740" w:type="dxa"/>
            <w:vAlign w:val="bottom"/>
            <w:vMerge w:val="restart"/>
          </w:tcPr>
          <w:p>
            <w:pPr>
              <w:jc w:val="center"/>
              <w:ind w:left="169"/>
              <w:spacing w:after="0"/>
              <w:rPr>
                <w:sz w:val="20"/>
                <w:szCs w:val="20"/>
                <w:color w:val="auto"/>
              </w:rPr>
            </w:pPr>
            <w:r>
              <w:rPr>
                <w:rFonts w:ascii="Arial" w:cs="Arial" w:eastAsia="Arial" w:hAnsi="Arial"/>
                <w:sz w:val="18"/>
                <w:szCs w:val="18"/>
                <w:color w:val="0000FF"/>
                <w:w w:val="89"/>
              </w:rPr>
              <w:t>59</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60" w:type="dxa"/>
            <w:vAlign w:val="bottom"/>
          </w:tcPr>
          <w:p>
            <w:pPr>
              <w:spacing w:after="0"/>
              <w:rPr>
                <w:sz w:val="22"/>
                <w:szCs w:val="22"/>
                <w:color w:val="auto"/>
              </w:rPr>
            </w:pPr>
          </w:p>
        </w:tc>
        <w:tc>
          <w:tcPr>
            <w:tcW w:w="800" w:type="dxa"/>
            <w:vAlign w:val="bottom"/>
            <w:vMerge w:val="restart"/>
          </w:tcPr>
          <w:p>
            <w:pPr>
              <w:jc w:val="center"/>
              <w:ind w:right="432"/>
              <w:spacing w:after="0"/>
              <w:rPr>
                <w:sz w:val="20"/>
                <w:szCs w:val="20"/>
                <w:color w:val="auto"/>
              </w:rPr>
            </w:pPr>
            <w:r>
              <w:rPr>
                <w:rFonts w:ascii="Arial" w:cs="Arial" w:eastAsia="Arial" w:hAnsi="Arial"/>
                <w:sz w:val="18"/>
                <w:szCs w:val="18"/>
                <w:color w:val="0000FF"/>
                <w:w w:val="89"/>
              </w:rPr>
              <w:t>59</w:t>
            </w:r>
          </w:p>
        </w:tc>
        <w:tc>
          <w:tcPr>
            <w:tcW w:w="960" w:type="dxa"/>
            <w:vAlign w:val="bottom"/>
            <w:vMerge w:val="restart"/>
          </w:tcPr>
          <w:p>
            <w:pPr>
              <w:jc w:val="center"/>
              <w:ind w:right="3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6</w:t>
            </w:r>
            <w:r>
              <w:rPr>
                <w:rFonts w:ascii="Arial" w:cs="Arial" w:eastAsia="Arial" w:hAnsi="Arial"/>
                <w:sz w:val="11"/>
                <w:szCs w:val="11"/>
                <w:color w:val="008000"/>
              </w:rPr>
              <w:t>(6)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7"/>
          </w:tcPr>
          <w:p>
            <w:pPr>
              <w:jc w:val="center"/>
              <w:ind w:left="7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80" w:type="dxa"/>
            <w:vAlign w:val="bottom"/>
            <w:gridSpan w:val="15"/>
          </w:tcPr>
          <w:p>
            <w:pPr>
              <w:jc w:val="center"/>
              <w:ind w:left="26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NEA Partners 12 made a pro rata distribution for no consideration of an aggregate of 10,000 shares of Common Stock of the Issuer to its limited partners on December 23, 2014.</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the sole general partner of NEA Partners 12. The Reporting Person disclaims beneficial ownership within the meaning of Section 16 of the Securities Exchange Act of 1934, as amended, or otherwise of such portion of the securities of the Issuer held by NEA Partners 12 in which the Reporting Person has no pecuniary interest.</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received 533 shares of Common Stock of the Issuer in the distribution by NEA Partners 12 on December 23,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Ryan Drant 2006 Family Trust received 59 shares of Common Stock of the Issuer in the distribution by NEA Partners 12 on December 23, 2014.</w:t>
      </w:r>
    </w:p>
    <w:p>
      <w:pPr>
        <w:spacing w:after="0" w:line="41" w:lineRule="exact"/>
        <w:rPr>
          <w:rFonts w:ascii="Arial" w:cs="Arial" w:eastAsia="Arial" w:hAnsi="Arial"/>
          <w:sz w:val="14"/>
          <w:szCs w:val="14"/>
          <w:color w:val="008000"/>
        </w:rPr>
      </w:pPr>
    </w:p>
    <w:p>
      <w:pPr>
        <w:ind w:left="40" w:right="38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directly held by the Ryan Drant 2006 Family Trust. The Reporting Person disclaims beneficial ownership within the meaning of Section 16 of the Securities Exchange Act of 1934, as amended, or otherwise of such portion of the securities of the Issuer held by the Ryan Drant 2006 Family Trust in which the Reporting Person has no pecuniary interest.</w:t>
      </w:r>
    </w:p>
    <w:tbl>
      <w:tblPr>
        <w:tblLayout w:type="fixed"/>
        <w:tblInd w:w="6860" w:type="dxa"/>
        <w:tblCellMar>
          <w:top w:w="0" w:type="dxa"/>
          <w:left w:w="0" w:type="dxa"/>
          <w:bottom w:w="0" w:type="dxa"/>
          <w:right w:w="0" w:type="dxa"/>
        </w:tblCellMar>
      </w:tblPr>
      <w:tr>
        <w:trPr>
          <w:trHeight w:val="199"/>
        </w:trPr>
        <w:tc>
          <w:tcPr>
            <w:tcW w:w="2140" w:type="dxa"/>
            <w:vAlign w:val="bottom"/>
            <w:tcBorders>
              <w:bottom w:val="single" w:sz="8" w:color="auto"/>
            </w:tcBorders>
            <w:gridSpan w:val="2"/>
          </w:tcPr>
          <w:p>
            <w:pPr>
              <w:spacing w:after="0" w:line="179" w:lineRule="exact"/>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12/29/2014</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2106"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2019-12-17T17:28:18Z</dcterms:created>
  <dcterms:modified xsi:type="dcterms:W3CDTF">2019-12-17T17:28:18Z</dcterms:modified>
</cp:coreProperties>
</file>