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466090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2742565</wp:posOffset>
            </wp:positionH>
            <wp:positionV relativeFrom="paragraph">
              <wp:posOffset>80010</wp:posOffset>
            </wp:positionV>
            <wp:extent cx="1665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2742565</wp:posOffset>
            </wp:positionH>
            <wp:positionV relativeFrom="paragraph">
              <wp:posOffset>85725</wp:posOffset>
            </wp:positionV>
            <wp:extent cx="1665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0"/>
          <w:szCs w:val="10"/>
          <w:color w:val="auto"/>
        </w:rPr>
        <w:t>(Mark One)</w:t>
      </w:r>
    </w:p>
    <w:p>
      <w:pPr>
        <w:spacing w:after="0" w:line="31" w:lineRule="exact"/>
        <w:rPr>
          <w:sz w:val="24"/>
          <w:szCs w:val="24"/>
          <w:color w:val="auto"/>
        </w:rPr>
      </w:pPr>
    </w:p>
    <w:p>
      <w:pPr>
        <w:ind w:left="560" w:hanging="539"/>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2021</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31" w:lineRule="exact"/>
        <w:rPr>
          <w:sz w:val="24"/>
          <w:szCs w:val="24"/>
          <w:color w:val="auto"/>
        </w:rPr>
      </w:pPr>
    </w:p>
    <w:p>
      <w:pPr>
        <w:ind w:left="560" w:hanging="539"/>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89" w:lineRule="exact"/>
        <w:rPr>
          <w:sz w:val="24"/>
          <w:szCs w:val="24"/>
          <w:color w:val="auto"/>
        </w:rPr>
      </w:pPr>
    </w:p>
    <w:tbl>
      <w:tblPr>
        <w:tblLayout w:type="fixed"/>
        <w:tblInd w:w="412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7"/>
                <w:szCs w:val="17"/>
                <w:b w:val="1"/>
                <w:bCs w:val="1"/>
                <w:color w:val="auto"/>
              </w:rPr>
              <w:t>For the transition period from</w:t>
            </w:r>
          </w:p>
        </w:tc>
        <w:tc>
          <w:tcPr>
            <w:tcW w:w="180" w:type="dxa"/>
            <w:vAlign w:val="bottom"/>
          </w:tcPr>
          <w:p>
            <w:pPr>
              <w:ind w:left="20"/>
              <w:spacing w:after="0"/>
              <w:rPr>
                <w:sz w:val="20"/>
                <w:szCs w:val="20"/>
                <w:color w:val="auto"/>
              </w:rPr>
            </w:pPr>
            <w:r>
              <w:rPr>
                <w:rFonts w:ascii="Arial" w:cs="Arial" w:eastAsia="Arial" w:hAnsi="Arial"/>
                <w:sz w:val="17"/>
                <w:szCs w:val="17"/>
                <w:b w:val="1"/>
                <w:bCs w:val="1"/>
                <w:color w:val="auto"/>
                <w:w w:val="86"/>
              </w:rPr>
              <w:t>to</w:t>
            </w:r>
          </w:p>
        </w:tc>
      </w:tr>
      <w:tr>
        <w:trPr>
          <w:trHeight w:val="225"/>
        </w:trPr>
        <w:tc>
          <w:tcPr>
            <w:tcW w:w="2840" w:type="dxa"/>
            <w:vAlign w:val="bottom"/>
            <w:gridSpan w:val="2"/>
          </w:tcPr>
          <w:p>
            <w:pPr>
              <w:ind w:left="180"/>
              <w:spacing w:after="0"/>
              <w:rPr>
                <w:sz w:val="20"/>
                <w:szCs w:val="20"/>
                <w:color w:val="auto"/>
              </w:rPr>
            </w:pPr>
            <w:r>
              <w:rPr>
                <w:rFonts w:ascii="Arial" w:cs="Arial" w:eastAsia="Arial" w:hAnsi="Arial"/>
                <w:sz w:val="17"/>
                <w:szCs w:val="17"/>
                <w:b w:val="1"/>
                <w:bCs w:val="1"/>
                <w:color w:val="auto"/>
                <w:w w:val="91"/>
              </w:rPr>
              <w:t>Commission file number: 001-36485</w:t>
            </w:r>
          </w:p>
        </w:tc>
        <w:tc>
          <w:tcPr>
            <w:tcW w:w="180" w:type="dxa"/>
            <w:vAlign w:val="bottom"/>
          </w:tcPr>
          <w:p>
            <w:pPr>
              <w:spacing w:after="0"/>
              <w:rPr>
                <w:sz w:val="19"/>
                <w:szCs w:val="19"/>
                <w:color w:val="auto"/>
              </w:rPr>
            </w:pPr>
          </w:p>
        </w:tc>
      </w:tr>
      <w:tr>
        <w:trPr>
          <w:trHeight w:val="116"/>
        </w:trPr>
        <w:tc>
          <w:tcPr>
            <w:tcW w:w="200" w:type="dxa"/>
            <w:vAlign w:val="bottom"/>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ARDELYX,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2742565</wp:posOffset>
            </wp:positionH>
            <wp:positionV relativeFrom="paragraph">
              <wp:posOffset>74295</wp:posOffset>
            </wp:positionV>
            <wp:extent cx="1665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00" w:type="dxa"/>
            <w:vAlign w:val="bottom"/>
          </w:tcPr>
          <w:p>
            <w:pPr>
              <w:jc w:val="center"/>
              <w:ind w:left="2244"/>
              <w:spacing w:after="0"/>
              <w:rPr>
                <w:sz w:val="20"/>
                <w:szCs w:val="20"/>
                <w:color w:val="auto"/>
              </w:rPr>
            </w:pPr>
            <w:r>
              <w:rPr>
                <w:rFonts w:ascii="Arial" w:cs="Arial" w:eastAsia="Arial" w:hAnsi="Arial"/>
                <w:sz w:val="17"/>
                <w:szCs w:val="17"/>
                <w:b w:val="1"/>
                <w:bCs w:val="1"/>
                <w:color w:val="auto"/>
                <w:w w:val="93"/>
              </w:rPr>
              <w:t>Delaware</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80" w:type="dxa"/>
            <w:vAlign w:val="bottom"/>
            <w:gridSpan w:val="2"/>
          </w:tcPr>
          <w:p>
            <w:pPr>
              <w:ind w:left="840"/>
              <w:spacing w:after="0"/>
              <w:rPr>
                <w:sz w:val="20"/>
                <w:szCs w:val="20"/>
                <w:color w:val="auto"/>
              </w:rPr>
            </w:pPr>
            <w:r>
              <w:rPr>
                <w:rFonts w:ascii="Arial" w:cs="Arial" w:eastAsia="Arial" w:hAnsi="Arial"/>
                <w:sz w:val="17"/>
                <w:szCs w:val="17"/>
                <w:b w:val="1"/>
                <w:bCs w:val="1"/>
                <w:color w:val="auto"/>
              </w:rPr>
              <w:t>26-1303944</w:t>
            </w:r>
          </w:p>
        </w:tc>
        <w:tc>
          <w:tcPr>
            <w:tcW w:w="0" w:type="dxa"/>
            <w:vAlign w:val="bottom"/>
          </w:tcPr>
          <w:p>
            <w:pPr>
              <w:spacing w:after="0"/>
              <w:rPr>
                <w:sz w:val="1"/>
                <w:szCs w:val="1"/>
                <w:color w:val="auto"/>
              </w:rPr>
            </w:pPr>
          </w:p>
        </w:tc>
      </w:tr>
      <w:tr>
        <w:trPr>
          <w:trHeight w:val="220"/>
        </w:trPr>
        <w:tc>
          <w:tcPr>
            <w:tcW w:w="7160" w:type="dxa"/>
            <w:vAlign w:val="bottom"/>
            <w:gridSpan w:val="7"/>
          </w:tcPr>
          <w:p>
            <w:pPr>
              <w:jc w:val="center"/>
              <w:ind w:right="1540"/>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4080" w:type="dxa"/>
            <w:vAlign w:val="bottom"/>
            <w:gridSpan w:val="2"/>
          </w:tcPr>
          <w:p>
            <w:pPr>
              <w:ind w:left="20"/>
              <w:spacing w:after="0"/>
              <w:rPr>
                <w:sz w:val="20"/>
                <w:szCs w:val="20"/>
                <w:color w:val="auto"/>
              </w:rPr>
            </w:pPr>
            <w:r>
              <w:rPr>
                <w:rFonts w:ascii="Arial" w:cs="Arial" w:eastAsia="Arial" w:hAnsi="Arial"/>
                <w:sz w:val="17"/>
                <w:szCs w:val="17"/>
                <w:color w:val="auto"/>
              </w:rPr>
              <w:t>(I.R.S. Employer Identification No)</w:t>
            </w:r>
          </w:p>
        </w:tc>
        <w:tc>
          <w:tcPr>
            <w:tcW w:w="0" w:type="dxa"/>
            <w:vAlign w:val="bottom"/>
          </w:tcPr>
          <w:p>
            <w:pPr>
              <w:spacing w:after="0"/>
              <w:rPr>
                <w:sz w:val="1"/>
                <w:szCs w:val="1"/>
                <w:color w:val="auto"/>
              </w:rPr>
            </w:pPr>
          </w:p>
        </w:tc>
      </w:tr>
      <w:tr>
        <w:trPr>
          <w:trHeight w:val="266"/>
        </w:trPr>
        <w:tc>
          <w:tcPr>
            <w:tcW w:w="3300" w:type="dxa"/>
            <w:vAlign w:val="bottom"/>
          </w:tcPr>
          <w:p>
            <w:pPr>
              <w:spacing w:after="0"/>
              <w:rPr>
                <w:sz w:val="23"/>
                <w:szCs w:val="23"/>
                <w:color w:val="auto"/>
              </w:rPr>
            </w:pPr>
          </w:p>
        </w:tc>
        <w:tc>
          <w:tcPr>
            <w:tcW w:w="7940" w:type="dxa"/>
            <w:vAlign w:val="bottom"/>
            <w:gridSpan w:val="8"/>
          </w:tcPr>
          <w:p>
            <w:pPr>
              <w:jc w:val="center"/>
              <w:ind w:right="3211"/>
              <w:spacing w:after="0"/>
              <w:rPr>
                <w:sz w:val="20"/>
                <w:szCs w:val="20"/>
                <w:color w:val="auto"/>
              </w:rPr>
            </w:pPr>
            <w:r>
              <w:rPr>
                <w:rFonts w:ascii="Arial" w:cs="Arial" w:eastAsia="Arial" w:hAnsi="Arial"/>
                <w:sz w:val="17"/>
                <w:szCs w:val="17"/>
                <w:b w:val="1"/>
                <w:bCs w:val="1"/>
                <w:color w:val="auto"/>
                <w:w w:val="92"/>
              </w:rPr>
              <w:t>34175 Ardenwood Boulevard, Fremont, California 94555</w:t>
            </w:r>
          </w:p>
        </w:tc>
        <w:tc>
          <w:tcPr>
            <w:tcW w:w="0" w:type="dxa"/>
            <w:vAlign w:val="bottom"/>
          </w:tcPr>
          <w:p>
            <w:pPr>
              <w:spacing w:after="0"/>
              <w:rPr>
                <w:sz w:val="1"/>
                <w:szCs w:val="1"/>
                <w:color w:val="auto"/>
              </w:rPr>
            </w:pPr>
          </w:p>
        </w:tc>
      </w:tr>
      <w:tr>
        <w:trPr>
          <w:trHeight w:val="207"/>
        </w:trPr>
        <w:tc>
          <w:tcPr>
            <w:tcW w:w="3300" w:type="dxa"/>
            <w:vAlign w:val="bottom"/>
          </w:tcPr>
          <w:p>
            <w:pPr>
              <w:spacing w:after="0"/>
              <w:rPr>
                <w:sz w:val="17"/>
                <w:szCs w:val="17"/>
                <w:color w:val="auto"/>
              </w:rPr>
            </w:pPr>
          </w:p>
        </w:tc>
        <w:tc>
          <w:tcPr>
            <w:tcW w:w="7940" w:type="dxa"/>
            <w:vAlign w:val="bottom"/>
            <w:gridSpan w:val="8"/>
          </w:tcPr>
          <w:p>
            <w:pPr>
              <w:jc w:val="center"/>
              <w:ind w:right="3231"/>
              <w:spacing w:after="0"/>
              <w:rPr>
                <w:sz w:val="20"/>
                <w:szCs w:val="20"/>
                <w:color w:val="auto"/>
              </w:rPr>
            </w:pPr>
            <w:r>
              <w:rPr>
                <w:rFonts w:ascii="Arial" w:cs="Arial" w:eastAsia="Arial" w:hAnsi="Arial"/>
                <w:sz w:val="17"/>
                <w:szCs w:val="17"/>
                <w:b w:val="1"/>
                <w:bCs w:val="1"/>
                <w:color w:val="auto"/>
                <w:w w:val="90"/>
              </w:rPr>
              <w:t>400 Fifth Avenue, Suite 210, Waltham, Massachusetts 02451</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20" w:type="dxa"/>
            <w:vAlign w:val="bottom"/>
            <w:gridSpan w:val="5"/>
          </w:tcPr>
          <w:p>
            <w:pPr>
              <w:jc w:val="center"/>
              <w:ind w:left="71"/>
              <w:spacing w:after="0"/>
              <w:rPr>
                <w:sz w:val="20"/>
                <w:szCs w:val="20"/>
                <w:color w:val="auto"/>
              </w:rPr>
            </w:pPr>
            <w:r>
              <w:rPr>
                <w:rFonts w:ascii="Arial" w:cs="Arial" w:eastAsia="Arial" w:hAnsi="Arial"/>
                <w:sz w:val="14"/>
                <w:szCs w:val="14"/>
                <w:color w:val="auto"/>
                <w:w w:val="91"/>
              </w:rPr>
              <w:t>(Address of Principal Executive Offices) (Zip Code)</w:t>
            </w:r>
          </w:p>
        </w:tc>
        <w:tc>
          <w:tcPr>
            <w:tcW w:w="1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3300" w:type="dxa"/>
            <w:vAlign w:val="bottom"/>
          </w:tcPr>
          <w:p>
            <w:pPr>
              <w:spacing w:after="0"/>
              <w:rPr>
                <w:sz w:val="24"/>
                <w:szCs w:val="24"/>
                <w:color w:val="auto"/>
              </w:rPr>
            </w:pPr>
          </w:p>
        </w:tc>
        <w:tc>
          <w:tcPr>
            <w:tcW w:w="3520" w:type="dxa"/>
            <w:vAlign w:val="bottom"/>
            <w:gridSpan w:val="4"/>
          </w:tcPr>
          <w:p>
            <w:pPr>
              <w:jc w:val="center"/>
              <w:ind w:left="1034"/>
              <w:spacing w:after="0"/>
              <w:rPr>
                <w:sz w:val="20"/>
                <w:szCs w:val="20"/>
                <w:color w:val="auto"/>
              </w:rPr>
            </w:pPr>
            <w:r>
              <w:rPr>
                <w:rFonts w:ascii="Arial" w:cs="Arial" w:eastAsia="Arial" w:hAnsi="Arial"/>
                <w:sz w:val="17"/>
                <w:szCs w:val="17"/>
                <w:b w:val="1"/>
                <w:bCs w:val="1"/>
                <w:color w:val="auto"/>
                <w:w w:val="92"/>
              </w:rPr>
              <w:t>(510) 745-1700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20" w:type="dxa"/>
            <w:vAlign w:val="bottom"/>
            <w:gridSpan w:val="5"/>
          </w:tcPr>
          <w:p>
            <w:pPr>
              <w:jc w:val="center"/>
              <w:ind w:left="91"/>
              <w:spacing w:after="0"/>
              <w:rPr>
                <w:sz w:val="20"/>
                <w:szCs w:val="20"/>
                <w:color w:val="auto"/>
              </w:rPr>
            </w:pPr>
            <w:r>
              <w:rPr>
                <w:rFonts w:ascii="Arial" w:cs="Arial" w:eastAsia="Arial" w:hAnsi="Arial"/>
                <w:sz w:val="14"/>
                <w:szCs w:val="14"/>
                <w:color w:val="auto"/>
                <w:w w:val="89"/>
              </w:rPr>
              <w:t>(Registrant’s Telephone Number, Including Area Code)</w:t>
            </w:r>
          </w:p>
        </w:tc>
        <w:tc>
          <w:tcPr>
            <w:tcW w:w="1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300" w:type="dxa"/>
            <w:vAlign w:val="bottom"/>
            <w:vMerge w:val="restart"/>
          </w:tcPr>
          <w:p>
            <w:pPr>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33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300" w:type="dxa"/>
            <w:vAlign w:val="bottom"/>
          </w:tcPr>
          <w:p>
            <w:pPr>
              <w:jc w:val="center"/>
              <w:ind w:left="584"/>
              <w:spacing w:after="0"/>
              <w:rPr>
                <w:sz w:val="20"/>
                <w:szCs w:val="20"/>
                <w:color w:val="auto"/>
              </w:rPr>
            </w:pPr>
            <w:r>
              <w:rPr>
                <w:rFonts w:ascii="Arial" w:cs="Arial" w:eastAsia="Arial" w:hAnsi="Arial"/>
                <w:sz w:val="14"/>
                <w:szCs w:val="14"/>
                <w:b w:val="1"/>
                <w:bCs w:val="1"/>
                <w:color w:val="auto"/>
                <w:w w:val="86"/>
              </w:rPr>
              <w:t>Title of each class</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Trading Symbol(s)</w:t>
            </w:r>
          </w:p>
        </w:tc>
        <w:tc>
          <w:tcPr>
            <w:tcW w:w="140" w:type="dxa"/>
            <w:vAlign w:val="bottom"/>
          </w:tcPr>
          <w:p>
            <w:pPr>
              <w:spacing w:after="0"/>
              <w:rPr>
                <w:sz w:val="17"/>
                <w:szCs w:val="17"/>
                <w:color w:val="auto"/>
              </w:rPr>
            </w:pPr>
          </w:p>
        </w:tc>
        <w:tc>
          <w:tcPr>
            <w:tcW w:w="3940" w:type="dxa"/>
            <w:vAlign w:val="bottom"/>
          </w:tcPr>
          <w:p>
            <w:pPr>
              <w:ind w:left="7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00" w:type="dxa"/>
            <w:vAlign w:val="bottom"/>
            <w:tcBorders>
              <w:top w:val="single" w:sz="8" w:color="auto"/>
            </w:tcBorders>
          </w:tcPr>
          <w:p>
            <w:pPr>
              <w:jc w:val="center"/>
              <w:ind w:left="584"/>
              <w:spacing w:after="0"/>
              <w:rPr>
                <w:sz w:val="20"/>
                <w:szCs w:val="20"/>
                <w:color w:val="auto"/>
              </w:rPr>
            </w:pPr>
            <w:r>
              <w:rPr>
                <w:rFonts w:ascii="Arial" w:cs="Arial" w:eastAsia="Arial" w:hAnsi="Arial"/>
                <w:sz w:val="14"/>
                <w:szCs w:val="14"/>
                <w:color w:val="auto"/>
                <w:w w:val="89"/>
              </w:rPr>
              <w:t>Common Stock, par value $0.0001</w:t>
            </w:r>
          </w:p>
        </w:tc>
        <w:tc>
          <w:tcPr>
            <w:tcW w:w="6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ARDX</w:t>
            </w:r>
          </w:p>
        </w:tc>
        <w:tc>
          <w:tcPr>
            <w:tcW w:w="3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3940" w:type="dxa"/>
            <w:vAlign w:val="bottom"/>
            <w:tcBorders>
              <w:top w:val="single" w:sz="8" w:color="auto"/>
            </w:tcBorders>
          </w:tcPr>
          <w:p>
            <w:pPr>
              <w:ind w:left="1220"/>
              <w:spacing w:after="0"/>
              <w:rPr>
                <w:sz w:val="20"/>
                <w:szCs w:val="20"/>
                <w:color w:val="auto"/>
              </w:rPr>
            </w:pPr>
            <w:r>
              <w:rPr>
                <w:rFonts w:ascii="Arial" w:cs="Arial" w:eastAsia="Arial" w:hAnsi="Arial"/>
                <w:sz w:val="14"/>
                <w:szCs w:val="14"/>
                <w:color w:val="auto"/>
              </w:rPr>
              <w:t>The Nasdaq Global Market</w:t>
            </w:r>
          </w:p>
        </w:tc>
        <w:tc>
          <w:tcPr>
            <w:tcW w:w="0" w:type="dxa"/>
            <w:vAlign w:val="bottom"/>
          </w:tcPr>
          <w:p>
            <w:pPr>
              <w:spacing w:after="0"/>
              <w:rPr>
                <w:sz w:val="1"/>
                <w:szCs w:val="1"/>
                <w:color w:val="auto"/>
              </w:rPr>
            </w:pPr>
          </w:p>
        </w:tc>
      </w:tr>
    </w:tbl>
    <w:p>
      <w:pPr>
        <w:spacing w:after="0" w:line="246" w:lineRule="exact"/>
        <w:rPr>
          <w:sz w:val="24"/>
          <w:szCs w:val="24"/>
          <w:color w:val="auto"/>
        </w:rPr>
      </w:pPr>
    </w:p>
    <w:p>
      <w:pPr>
        <w:ind w:right="400"/>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2" w:lineRule="exact"/>
        <w:rPr>
          <w:sz w:val="24"/>
          <w:szCs w:val="24"/>
          <w:color w:val="auto"/>
        </w:rPr>
      </w:pPr>
    </w:p>
    <w:p>
      <w:pPr>
        <w:ind w:right="140"/>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2" w:lineRule="exact"/>
        <w:rPr>
          <w:sz w:val="24"/>
          <w:szCs w:val="24"/>
          <w:color w:val="auto"/>
        </w:rPr>
      </w:pPr>
    </w:p>
    <w:p>
      <w:pPr>
        <w:ind w:right="140"/>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270"/>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8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3"/>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248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1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8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4" w:lineRule="exact"/>
        <w:rPr>
          <w:sz w:val="24"/>
          <w:szCs w:val="24"/>
          <w:color w:val="auto"/>
        </w:rPr>
      </w:pPr>
    </w:p>
    <w:p>
      <w:pPr>
        <w:ind w:right="48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5" w:lineRule="exact"/>
        <w:rPr>
          <w:sz w:val="24"/>
          <w:szCs w:val="24"/>
          <w:color w:val="auto"/>
        </w:rPr>
      </w:pPr>
    </w:p>
    <w:p>
      <w:pPr>
        <w:spacing w:after="0" w:line="196" w:lineRule="exact"/>
        <w:tabs>
          <w:tab w:leader="none" w:pos="6380" w:val="left"/>
          <w:tab w:leader="none" w:pos="69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6"/>
          <w:szCs w:val="16"/>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May 3, 2021, was 98,709,188.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635000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712152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ARDELYX, INC.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w:t>
            </w:r>
          </w:p>
        </w:tc>
      </w:tr>
      <w:tr>
        <w:trPr>
          <w:trHeight w:val="168"/>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580" w:type="dxa"/>
            <w:vAlign w:val="bottom"/>
            <w:gridSpan w:val="10"/>
          </w:tcPr>
          <w:p>
            <w:pPr>
              <w:jc w:val="center"/>
              <w:ind w:right="3660"/>
              <w:spacing w:after="0" w:line="168" w:lineRule="exact"/>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PART I. FINANCIAL INFORMATION</w:t>
              </w:r>
            </w:hyperlink>
          </w:p>
        </w:tc>
        <w:tc>
          <w:tcPr>
            <w:tcW w:w="9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445"/>
        </w:trPr>
        <w:tc>
          <w:tcPr>
            <w:tcW w:w="20" w:type="dxa"/>
            <w:vAlign w:val="bottom"/>
          </w:tcPr>
          <w:p>
            <w:pPr>
              <w:spacing w:after="0"/>
              <w:rPr>
                <w:sz w:val="24"/>
                <w:szCs w:val="24"/>
                <w:color w:val="auto"/>
              </w:rPr>
            </w:pPr>
          </w:p>
        </w:tc>
        <w:tc>
          <w:tcPr>
            <w:tcW w:w="2020" w:type="dxa"/>
            <w:vAlign w:val="bottom"/>
            <w:tcBorders>
              <w:bottom w:val="single" w:sz="8" w:color="0000FF"/>
            </w:tcBorders>
            <w:gridSpan w:val="7"/>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Item 1. Financial Statements:</w:t>
              </w:r>
            </w:hyperlink>
          </w:p>
        </w:tc>
        <w:tc>
          <w:tcPr>
            <w:tcW w:w="1620" w:type="dxa"/>
            <w:vAlign w:val="bottom"/>
            <w:gridSpan w:val="4"/>
          </w:tcPr>
          <w:p>
            <w:pPr>
              <w:spacing w:after="0"/>
              <w:rPr>
                <w:sz w:val="24"/>
                <w:szCs w:val="24"/>
                <w:color w:val="auto"/>
              </w:rPr>
            </w:pPr>
          </w:p>
        </w:tc>
        <w:tc>
          <w:tcPr>
            <w:tcW w:w="2920" w:type="dxa"/>
            <w:vAlign w:val="bottom"/>
            <w:tcBorders>
              <w:top w:val="single" w:sz="8" w:color="0000FF"/>
            </w:tcBorders>
            <w:gridSpan w:val="8"/>
          </w:tcPr>
          <w:p>
            <w:pPr>
              <w:spacing w:after="0"/>
              <w:rPr>
                <w:sz w:val="24"/>
                <w:szCs w:val="24"/>
                <w:color w:val="auto"/>
              </w:rPr>
            </w:pPr>
          </w:p>
        </w:tc>
        <w:tc>
          <w:tcPr>
            <w:tcW w:w="366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80" w:type="dxa"/>
            <w:vAlign w:val="bottom"/>
            <w:tcBorders>
              <w:bottom w:val="single" w:sz="8" w:color="0000FF"/>
            </w:tcBorders>
            <w:gridSpan w:val="9"/>
          </w:tcPr>
          <w:p>
            <w:pPr>
              <w:spacing w:after="0"/>
              <w:rPr>
                <w:rFonts w:ascii="Arial" w:cs="Arial" w:eastAsia="Arial" w:hAnsi="Arial"/>
                <w:sz w:val="17"/>
                <w:szCs w:val="17"/>
                <w:color w:val="0000FF"/>
                <w:w w:val="88"/>
              </w:rPr>
            </w:pPr>
            <w:hyperlink w:anchor="page3">
              <w:r>
                <w:rPr>
                  <w:rFonts w:ascii="Arial" w:cs="Arial" w:eastAsia="Arial" w:hAnsi="Arial"/>
                  <w:sz w:val="17"/>
                  <w:szCs w:val="17"/>
                  <w:color w:val="0000FF"/>
                  <w:w w:val="88"/>
                </w:rPr>
                <w:t>Condensed Balance Sheets (unaudited)</w:t>
              </w:r>
            </w:hyperlink>
          </w:p>
        </w:tc>
        <w:tc>
          <w:tcPr>
            <w:tcW w:w="7020" w:type="dxa"/>
            <w:vAlign w:val="bottom"/>
            <w:gridSpan w:val="11"/>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160" w:type="dxa"/>
            <w:vAlign w:val="bottom"/>
            <w:tcBorders>
              <w:bottom w:val="single" w:sz="8" w:color="0000FF"/>
            </w:tcBorders>
            <w:gridSpan w:val="16"/>
          </w:tcPr>
          <w:p>
            <w:pPr>
              <w:spacing w:after="0"/>
              <w:rPr>
                <w:rFonts w:ascii="Arial" w:cs="Arial" w:eastAsia="Arial" w:hAnsi="Arial"/>
                <w:sz w:val="17"/>
                <w:szCs w:val="17"/>
                <w:color w:val="0000FF"/>
                <w:w w:val="89"/>
              </w:rPr>
            </w:pPr>
            <w:hyperlink w:anchor="page3">
              <w:r>
                <w:rPr>
                  <w:rFonts w:ascii="Arial" w:cs="Arial" w:eastAsia="Arial" w:hAnsi="Arial"/>
                  <w:sz w:val="17"/>
                  <w:szCs w:val="17"/>
                  <w:color w:val="0000FF"/>
                  <w:w w:val="89"/>
                </w:rPr>
                <w:t>Condensed Statements of Operations and Comprehensive Loss (unaudited)</w:t>
              </w:r>
            </w:hyperlink>
          </w:p>
        </w:tc>
        <w:tc>
          <w:tcPr>
            <w:tcW w:w="4540" w:type="dxa"/>
            <w:vAlign w:val="bottom"/>
            <w:gridSpan w:val="4"/>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00" w:type="dxa"/>
            <w:vAlign w:val="bottom"/>
            <w:gridSpan w:val="20"/>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Statements of Changes in Stockholders' Equity (unaudited)</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60" w:type="dxa"/>
            <w:vAlign w:val="bottom"/>
            <w:tcBorders>
              <w:top w:val="single" w:sz="8" w:color="0000FF"/>
            </w:tcBorders>
            <w:gridSpan w:val="15"/>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Statements of Cash Flows (unaudited)</w:t>
              </w:r>
            </w:hyperlink>
          </w:p>
        </w:tc>
        <w:tc>
          <w:tcPr>
            <w:tcW w:w="4840" w:type="dxa"/>
            <w:vAlign w:val="bottom"/>
            <w:gridSpan w:val="5"/>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00" w:type="dxa"/>
            <w:vAlign w:val="bottom"/>
            <w:gridSpan w:val="20"/>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Notes to Condensed Financial Statements (unaudited)</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720" w:type="dxa"/>
            <w:vAlign w:val="bottom"/>
            <w:tcBorders>
              <w:bottom w:val="single" w:sz="8" w:color="0000FF"/>
            </w:tcBorders>
            <w:gridSpan w:val="20"/>
          </w:tcPr>
          <w:p>
            <w:pPr>
              <w:spacing w:after="0"/>
              <w:rPr>
                <w:rFonts w:ascii="Arial" w:cs="Arial" w:eastAsia="Arial" w:hAnsi="Arial"/>
                <w:sz w:val="17"/>
                <w:szCs w:val="17"/>
                <w:color w:val="0000FF"/>
                <w:w w:val="92"/>
              </w:rPr>
            </w:pPr>
            <w:hyperlink w:anchor="page17">
              <w:r>
                <w:rPr>
                  <w:rFonts w:ascii="Arial" w:cs="Arial" w:eastAsia="Arial" w:hAnsi="Arial"/>
                  <w:sz w:val="17"/>
                  <w:szCs w:val="17"/>
                  <w:color w:val="0000FF"/>
                  <w:w w:val="92"/>
                </w:rPr>
                <w:t>Item 2. Management’s Discussion and Analysis of Financial Condition and Results of Operations</w:t>
              </w:r>
            </w:hyperlink>
          </w:p>
        </w:tc>
        <w:tc>
          <w:tcPr>
            <w:tcW w:w="3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10220" w:type="dxa"/>
            <w:vAlign w:val="bottom"/>
            <w:gridSpan w:val="21"/>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Item 3. Quantitative and Qualitative Disclosures About Market Risk</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10220" w:type="dxa"/>
            <w:vAlign w:val="bottom"/>
            <w:gridSpan w:val="21"/>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Item 4. Controls and Procedures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80" w:type="dxa"/>
            <w:vAlign w:val="bottom"/>
            <w:gridSpan w:val="10"/>
          </w:tcPr>
          <w:p>
            <w:pPr>
              <w:jc w:val="center"/>
              <w:ind w:right="3660"/>
              <w:spacing w:after="0"/>
              <w:rPr>
                <w:rFonts w:ascii="Arial" w:cs="Arial" w:eastAsia="Arial" w:hAnsi="Arial"/>
                <w:sz w:val="17"/>
                <w:szCs w:val="17"/>
                <w:b w:val="1"/>
                <w:bCs w:val="1"/>
                <w:color w:val="0000FF"/>
              </w:rPr>
            </w:pPr>
            <w:hyperlink w:anchor="page27">
              <w:r>
                <w:rPr>
                  <w:rFonts w:ascii="Arial" w:cs="Arial" w:eastAsia="Arial" w:hAnsi="Arial"/>
                  <w:sz w:val="17"/>
                  <w:szCs w:val="17"/>
                  <w:b w:val="1"/>
                  <w:bCs w:val="1"/>
                  <w:color w:val="0000FF"/>
                </w:rPr>
                <w:t>PART II. OTHER INFORMATION</w:t>
              </w:r>
            </w:hyperlink>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3780" w:type="dxa"/>
            <w:vAlign w:val="bottom"/>
            <w:gridSpan w:val="12"/>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Item 1. Legal Proceedings</w:t>
              </w:r>
            </w:hyperlink>
          </w:p>
        </w:tc>
        <w:tc>
          <w:tcPr>
            <w:tcW w:w="2640" w:type="dxa"/>
            <w:vAlign w:val="bottom"/>
            <w:tcBorders>
              <w:top w:val="single" w:sz="8" w:color="0000FF"/>
            </w:tcBorders>
            <w:gridSpan w:val="6"/>
          </w:tcPr>
          <w:p>
            <w:pPr>
              <w:spacing w:after="0"/>
              <w:rPr>
                <w:sz w:val="24"/>
                <w:szCs w:val="24"/>
                <w:color w:val="auto"/>
              </w:rPr>
            </w:pPr>
          </w:p>
        </w:tc>
        <w:tc>
          <w:tcPr>
            <w:tcW w:w="380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1800" w:type="dxa"/>
            <w:vAlign w:val="bottom"/>
            <w:tcBorders>
              <w:top w:val="single" w:sz="8" w:color="0000FF"/>
            </w:tcBorders>
            <w:gridSpan w:val="6"/>
          </w:tcPr>
          <w:p>
            <w:pPr>
              <w:spacing w:after="0"/>
              <w:rPr>
                <w:rFonts w:ascii="Arial" w:cs="Arial" w:eastAsia="Arial" w:hAnsi="Arial"/>
                <w:sz w:val="17"/>
                <w:szCs w:val="17"/>
                <w:color w:val="0000FF"/>
              </w:rPr>
            </w:pPr>
            <w:hyperlink w:anchor="page27">
              <w:r>
                <w:rPr>
                  <w:rFonts w:ascii="Arial" w:cs="Arial" w:eastAsia="Arial" w:hAnsi="Arial"/>
                  <w:sz w:val="17"/>
                  <w:szCs w:val="17"/>
                  <w:color w:val="0000FF"/>
                </w:rPr>
                <w:t>Item 1A. Risk Factors</w:t>
              </w:r>
            </w:hyperlink>
          </w:p>
        </w:tc>
        <w:tc>
          <w:tcPr>
            <w:tcW w:w="8420" w:type="dxa"/>
            <w:vAlign w:val="bottom"/>
            <w:gridSpan w:val="15"/>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700" w:type="dxa"/>
            <w:vAlign w:val="bottom"/>
            <w:tcBorders>
              <w:bottom w:val="single" w:sz="8" w:color="0000FF"/>
            </w:tcBorders>
            <w:gridSpan w:val="15"/>
          </w:tcPr>
          <w:p>
            <w:pPr>
              <w:spacing w:after="0"/>
              <w:rPr>
                <w:rFonts w:ascii="Arial" w:cs="Arial" w:eastAsia="Arial" w:hAnsi="Arial"/>
                <w:sz w:val="17"/>
                <w:szCs w:val="17"/>
                <w:color w:val="0000FF"/>
                <w:w w:val="90"/>
              </w:rPr>
            </w:pPr>
            <w:hyperlink w:anchor="page63">
              <w:r>
                <w:rPr>
                  <w:rFonts w:ascii="Arial" w:cs="Arial" w:eastAsia="Arial" w:hAnsi="Arial"/>
                  <w:sz w:val="17"/>
                  <w:szCs w:val="17"/>
                  <w:color w:val="0000FF"/>
                  <w:w w:val="90"/>
                </w:rPr>
                <w:t>Item 2. Unregistered Sales of Equity Securities and Use of Proceeds</w:t>
              </w:r>
            </w:hyperlink>
          </w:p>
        </w:tc>
        <w:tc>
          <w:tcPr>
            <w:tcW w:w="5520" w:type="dxa"/>
            <w:vAlign w:val="bottom"/>
            <w:gridSpan w:val="6"/>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760" w:type="dxa"/>
            <w:vAlign w:val="bottom"/>
            <w:tcBorders>
              <w:bottom w:val="single" w:sz="8" w:color="0000FF"/>
            </w:tcBorders>
            <w:gridSpan w:val="9"/>
          </w:tcPr>
          <w:p>
            <w:pPr>
              <w:spacing w:after="0"/>
              <w:rPr>
                <w:rFonts w:ascii="Arial" w:cs="Arial" w:eastAsia="Arial" w:hAnsi="Arial"/>
                <w:sz w:val="17"/>
                <w:szCs w:val="17"/>
                <w:color w:val="0000FF"/>
                <w:w w:val="92"/>
              </w:rPr>
            </w:pPr>
            <w:hyperlink w:anchor="page63">
              <w:r>
                <w:rPr>
                  <w:rFonts w:ascii="Arial" w:cs="Arial" w:eastAsia="Arial" w:hAnsi="Arial"/>
                  <w:sz w:val="17"/>
                  <w:szCs w:val="17"/>
                  <w:color w:val="0000FF"/>
                  <w:w w:val="92"/>
                </w:rPr>
                <w:t>Item 3. Defaults Upon Senior Securities</w:t>
              </w:r>
            </w:hyperlink>
          </w:p>
        </w:tc>
        <w:tc>
          <w:tcPr>
            <w:tcW w:w="7460" w:type="dxa"/>
            <w:vAlign w:val="bottom"/>
            <w:gridSpan w:val="12"/>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10220" w:type="dxa"/>
            <w:vAlign w:val="bottom"/>
            <w:gridSpan w:val="21"/>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Item 4. Mine Safety Disclosures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220" w:type="dxa"/>
            <w:vAlign w:val="bottom"/>
            <w:tcBorders>
              <w:top w:val="single" w:sz="8" w:color="0000FF"/>
            </w:tcBorders>
            <w:gridSpan w:val="8"/>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Item 5. Other Information</w:t>
              </w:r>
            </w:hyperlink>
          </w:p>
        </w:tc>
        <w:tc>
          <w:tcPr>
            <w:tcW w:w="8000" w:type="dxa"/>
            <w:vAlign w:val="bottom"/>
            <w:gridSpan w:val="13"/>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1780" w:type="dxa"/>
            <w:vAlign w:val="bottom"/>
            <w:tcBorders>
              <w:top w:val="single" w:sz="8" w:color="0000FF"/>
            </w:tcBorders>
            <w:gridSpan w:val="5"/>
          </w:tcPr>
          <w:p>
            <w:pPr>
              <w:spacing w:after="0"/>
              <w:rPr>
                <w:rFonts w:ascii="Arial" w:cs="Arial" w:eastAsia="Arial" w:hAnsi="Arial"/>
                <w:sz w:val="17"/>
                <w:szCs w:val="17"/>
                <w:color w:val="0000FF"/>
              </w:rPr>
            </w:pPr>
            <w:hyperlink w:anchor="page64">
              <w:r>
                <w:rPr>
                  <w:rFonts w:ascii="Arial" w:cs="Arial" w:eastAsia="Arial" w:hAnsi="Arial"/>
                  <w:sz w:val="17"/>
                  <w:szCs w:val="17"/>
                  <w:color w:val="0000FF"/>
                </w:rPr>
                <w:t>Item 6. Exhibits</w:t>
              </w:r>
            </w:hyperlink>
          </w:p>
        </w:tc>
        <w:tc>
          <w:tcPr>
            <w:tcW w:w="8440" w:type="dxa"/>
            <w:vAlign w:val="bottom"/>
            <w:gridSpan w:val="16"/>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1100" w:type="dxa"/>
            <w:vAlign w:val="bottom"/>
            <w:tcBorders>
              <w:top w:val="single" w:sz="8" w:color="0000FF"/>
            </w:tcBorders>
            <w:gridSpan w:val="3"/>
          </w:tcPr>
          <w:p>
            <w:pPr>
              <w:spacing w:after="0"/>
              <w:rPr>
                <w:rFonts w:ascii="Arial" w:cs="Arial" w:eastAsia="Arial" w:hAnsi="Arial"/>
                <w:sz w:val="17"/>
                <w:szCs w:val="17"/>
                <w:color w:val="0000FF"/>
              </w:rPr>
            </w:pPr>
            <w:hyperlink w:anchor="page64">
              <w:r>
                <w:rPr>
                  <w:rFonts w:ascii="Arial" w:cs="Arial" w:eastAsia="Arial" w:hAnsi="Arial"/>
                  <w:sz w:val="17"/>
                  <w:szCs w:val="17"/>
                  <w:color w:val="0000FF"/>
                </w:rPr>
                <w:t>Signatures</w:t>
              </w:r>
            </w:hyperlink>
          </w:p>
        </w:tc>
        <w:tc>
          <w:tcPr>
            <w:tcW w:w="9120" w:type="dxa"/>
            <w:vAlign w:val="bottom"/>
            <w:gridSpan w:val="18"/>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7"/>
                <w:szCs w:val="17"/>
                <w:color w:val="auto"/>
              </w:rPr>
            </w:pPr>
          </w:p>
        </w:tc>
      </w:tr>
      <w:tr>
        <w:trPr>
          <w:trHeight w:val="846"/>
        </w:trPr>
        <w:tc>
          <w:tcPr>
            <w:tcW w:w="20" w:type="dxa"/>
            <w:vAlign w:val="bottom"/>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4960" w:type="dxa"/>
            <w:vAlign w:val="bottom"/>
            <w:gridSpan w:val="15"/>
          </w:tcPr>
          <w:p>
            <w:pPr>
              <w:jc w:val="right"/>
              <w:ind w:right="40"/>
              <w:spacing w:after="0"/>
              <w:rPr>
                <w:sz w:val="20"/>
                <w:szCs w:val="20"/>
                <w:color w:val="auto"/>
              </w:rPr>
            </w:pPr>
            <w:r>
              <w:rPr>
                <w:rFonts w:ascii="Arial" w:cs="Arial" w:eastAsia="Arial" w:hAnsi="Arial"/>
                <w:sz w:val="17"/>
                <w:szCs w:val="17"/>
                <w:color w:val="auto"/>
              </w:rPr>
              <w:t>1</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8240" w:type="dxa"/>
            <w:vAlign w:val="bottom"/>
            <w:gridSpan w:val="3"/>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2"/>
        </w:trPr>
        <w:tc>
          <w:tcPr>
            <w:tcW w:w="1080" w:type="dxa"/>
            <w:vAlign w:val="bottom"/>
          </w:tcPr>
          <w:p>
            <w:pPr>
              <w:spacing w:after="0"/>
              <w:rPr>
                <w:sz w:val="20"/>
                <w:szCs w:val="20"/>
                <w:color w:val="auto"/>
              </w:rPr>
            </w:pPr>
            <w:r>
              <w:rPr>
                <w:rFonts w:ascii="Arial" w:cs="Arial" w:eastAsia="Arial" w:hAnsi="Arial"/>
                <w:sz w:val="17"/>
                <w:szCs w:val="17"/>
                <w:b w:val="1"/>
                <w:bCs w:val="1"/>
                <w:color w:val="auto"/>
              </w:rPr>
              <w:t>PART I.</w:t>
            </w:r>
          </w:p>
        </w:tc>
        <w:tc>
          <w:tcPr>
            <w:tcW w:w="7160" w:type="dxa"/>
            <w:vAlign w:val="bottom"/>
            <w:gridSpan w:val="2"/>
          </w:tcPr>
          <w:p>
            <w:pPr>
              <w:ind w:left="40"/>
              <w:spacing w:after="0"/>
              <w:rPr>
                <w:sz w:val="20"/>
                <w:szCs w:val="20"/>
                <w:color w:val="auto"/>
              </w:rPr>
            </w:pPr>
            <w:r>
              <w:rPr>
                <w:rFonts w:ascii="Arial" w:cs="Arial" w:eastAsia="Arial" w:hAnsi="Arial"/>
                <w:sz w:val="17"/>
                <w:szCs w:val="17"/>
                <w:b w:val="1"/>
                <w:bCs w:val="1"/>
                <w:color w:val="auto"/>
              </w:rPr>
              <w:t>FINANCIAL INFORMATION</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108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7160" w:type="dxa"/>
            <w:vAlign w:val="bottom"/>
            <w:gridSpan w:val="2"/>
          </w:tcPr>
          <w:p>
            <w:pPr>
              <w:ind w:left="80"/>
              <w:spacing w:after="0"/>
              <w:rPr>
                <w:sz w:val="20"/>
                <w:szCs w:val="20"/>
                <w:color w:val="auto"/>
              </w:rPr>
            </w:pPr>
            <w:r>
              <w:rPr>
                <w:rFonts w:ascii="Arial" w:cs="Arial" w:eastAsia="Arial" w:hAnsi="Arial"/>
                <w:sz w:val="17"/>
                <w:szCs w:val="17"/>
                <w:b w:val="1"/>
                <w:bCs w:val="1"/>
                <w:color w:val="auto"/>
              </w:rPr>
              <w:t>FINANCIAL STATEMENTS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20" w:type="dxa"/>
            <w:vAlign w:val="bottom"/>
          </w:tcPr>
          <w:p>
            <w:pPr>
              <w:jc w:val="center"/>
              <w:ind w:left="1694"/>
              <w:spacing w:after="0"/>
              <w:rPr>
                <w:sz w:val="20"/>
                <w:szCs w:val="20"/>
                <w:color w:val="auto"/>
              </w:rPr>
            </w:pPr>
            <w:r>
              <w:rPr>
                <w:rFonts w:ascii="Arial" w:cs="Arial" w:eastAsia="Arial" w:hAnsi="Arial"/>
                <w:sz w:val="17"/>
                <w:szCs w:val="17"/>
                <w:b w:val="1"/>
                <w:bCs w:val="1"/>
                <w:color w:val="auto"/>
              </w:rPr>
              <w:t>ARDELYX, INC.</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20" w:type="dxa"/>
            <w:vAlign w:val="bottom"/>
          </w:tcPr>
          <w:p>
            <w:pPr>
              <w:jc w:val="center"/>
              <w:ind w:left="1694"/>
              <w:spacing w:after="0"/>
              <w:rPr>
                <w:sz w:val="20"/>
                <w:szCs w:val="20"/>
                <w:color w:val="auto"/>
              </w:rPr>
            </w:pPr>
            <w:r>
              <w:rPr>
                <w:rFonts w:ascii="Arial" w:cs="Arial" w:eastAsia="Arial" w:hAnsi="Arial"/>
                <w:sz w:val="17"/>
                <w:szCs w:val="17"/>
                <w:b w:val="1"/>
                <w:bCs w:val="1"/>
                <w:color w:val="auto"/>
                <w:w w:val="99"/>
              </w:rPr>
              <w:t>CONDENSED BALANCE SHEETS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20" w:type="dxa"/>
            <w:vAlign w:val="bottom"/>
          </w:tcPr>
          <w:p>
            <w:pPr>
              <w:jc w:val="center"/>
              <w:ind w:left="1694"/>
              <w:spacing w:after="0"/>
              <w:rPr>
                <w:sz w:val="20"/>
                <w:szCs w:val="20"/>
                <w:color w:val="auto"/>
              </w:rPr>
            </w:pPr>
            <w:r>
              <w:rPr>
                <w:rFonts w:ascii="Arial" w:cs="Arial" w:eastAsia="Arial" w:hAnsi="Arial"/>
                <w:sz w:val="17"/>
                <w:szCs w:val="17"/>
                <w:b w:val="1"/>
                <w:bCs w:val="1"/>
                <w:color w:val="auto"/>
                <w:w w:val="93"/>
              </w:rPr>
              <w:t>(Unaudited)</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20" w:type="dxa"/>
            <w:vAlign w:val="bottom"/>
          </w:tcPr>
          <w:p>
            <w:pPr>
              <w:jc w:val="center"/>
              <w:ind w:left="1714"/>
              <w:spacing w:after="0"/>
              <w:rPr>
                <w:sz w:val="20"/>
                <w:szCs w:val="20"/>
                <w:color w:val="auto"/>
              </w:rPr>
            </w:pPr>
            <w:r>
              <w:rPr>
                <w:rFonts w:ascii="Arial" w:cs="Arial" w:eastAsia="Arial" w:hAnsi="Arial"/>
                <w:sz w:val="17"/>
                <w:szCs w:val="17"/>
                <w:b w:val="1"/>
                <w:bCs w:val="1"/>
                <w:color w:val="auto"/>
                <w:w w:val="89"/>
              </w:rPr>
              <w:t>(in thousands, except share and per share amounts)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35"/>
              <w:spacing w:after="0" w:line="155"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4"/>
        </w:trPr>
        <w:tc>
          <w:tcPr>
            <w:tcW w:w="1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4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80" w:type="dxa"/>
            <w:vAlign w:val="bottom"/>
          </w:tcPr>
          <w:p>
            <w:pPr>
              <w:ind w:left="20"/>
              <w:spacing w:after="0"/>
              <w:rPr>
                <w:sz w:val="20"/>
                <w:szCs w:val="20"/>
                <w:color w:val="auto"/>
              </w:rPr>
            </w:pPr>
            <w:r>
              <w:rPr>
                <w:rFonts w:ascii="Arial" w:cs="Arial" w:eastAsia="Arial" w:hAnsi="Arial"/>
                <w:sz w:val="17"/>
                <w:szCs w:val="17"/>
                <w:color w:val="auto"/>
                <w:w w:val="90"/>
              </w:rPr>
              <w:t>Current assets:</w:t>
            </w:r>
          </w:p>
        </w:tc>
        <w:tc>
          <w:tcPr>
            <w:tcW w:w="14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91,032</w:t>
            </w:r>
          </w:p>
        </w:tc>
        <w:tc>
          <w:tcPr>
            <w:tcW w:w="0" w:type="dxa"/>
            <w:vAlign w:val="bottom"/>
          </w:tcPr>
          <w:p>
            <w:pPr>
              <w:spacing w:after="0"/>
              <w:rPr>
                <w:sz w:val="1"/>
                <w:szCs w:val="1"/>
                <w:color w:val="auto"/>
              </w:rPr>
            </w:pPr>
          </w:p>
        </w:tc>
      </w:tr>
      <w:tr>
        <w:trPr>
          <w:trHeight w:val="220"/>
        </w:trPr>
        <w:tc>
          <w:tcPr>
            <w:tcW w:w="8240" w:type="dxa"/>
            <w:vAlign w:val="bottom"/>
            <w:gridSpan w:val="3"/>
          </w:tcPr>
          <w:p>
            <w:pPr>
              <w:ind w:left="140"/>
              <w:spacing w:after="0"/>
              <w:rPr>
                <w:sz w:val="20"/>
                <w:szCs w:val="20"/>
                <w:color w:val="auto"/>
              </w:rPr>
            </w:pPr>
            <w:r>
              <w:rPr>
                <w:rFonts w:ascii="Arial" w:cs="Arial" w:eastAsia="Arial" w:hAnsi="Arial"/>
                <w:sz w:val="17"/>
                <w:szCs w:val="17"/>
                <w:color w:val="auto"/>
              </w:rPr>
              <w:t>Short-term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94,142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95,452</w:t>
            </w:r>
          </w:p>
        </w:tc>
        <w:tc>
          <w:tcPr>
            <w:tcW w:w="0" w:type="dxa"/>
            <w:vAlign w:val="bottom"/>
          </w:tcPr>
          <w:p>
            <w:pPr>
              <w:spacing w:after="0"/>
              <w:rPr>
                <w:sz w:val="1"/>
                <w:szCs w:val="1"/>
                <w:color w:val="auto"/>
              </w:rPr>
            </w:pPr>
          </w:p>
        </w:tc>
      </w:tr>
      <w:tr>
        <w:trPr>
          <w:trHeight w:val="220"/>
        </w:trPr>
        <w:tc>
          <w:tcPr>
            <w:tcW w:w="82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Accounts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8,202</w:t>
            </w:r>
          </w:p>
        </w:tc>
        <w:tc>
          <w:tcPr>
            <w:tcW w:w="0" w:type="dxa"/>
            <w:vAlign w:val="bottom"/>
          </w:tcPr>
          <w:p>
            <w:pPr>
              <w:spacing w:after="0"/>
              <w:rPr>
                <w:sz w:val="1"/>
                <w:szCs w:val="1"/>
                <w:color w:val="auto"/>
              </w:rPr>
            </w:pPr>
          </w:p>
        </w:tc>
      </w:tr>
      <w:tr>
        <w:trPr>
          <w:trHeight w:val="213"/>
        </w:trPr>
        <w:tc>
          <w:tcPr>
            <w:tcW w:w="82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205,376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194,686</w:t>
            </w:r>
          </w:p>
        </w:tc>
        <w:tc>
          <w:tcPr>
            <w:tcW w:w="0" w:type="dxa"/>
            <w:vAlign w:val="bottom"/>
          </w:tcPr>
          <w:p>
            <w:pPr>
              <w:spacing w:after="0"/>
              <w:rPr>
                <w:sz w:val="1"/>
                <w:szCs w:val="1"/>
                <w:color w:val="auto"/>
              </w:rPr>
            </w:pPr>
          </w:p>
        </w:tc>
      </w:tr>
      <w:tr>
        <w:trPr>
          <w:trHeight w:val="220"/>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1,936</w:t>
            </w:r>
          </w:p>
        </w:tc>
        <w:tc>
          <w:tcPr>
            <w:tcW w:w="0" w:type="dxa"/>
            <w:vAlign w:val="bottom"/>
          </w:tcPr>
          <w:p>
            <w:pPr>
              <w:spacing w:after="0"/>
              <w:rPr>
                <w:sz w:val="1"/>
                <w:szCs w:val="1"/>
                <w:color w:val="auto"/>
              </w:rPr>
            </w:pPr>
          </w:p>
        </w:tc>
      </w:tr>
      <w:tr>
        <w:trPr>
          <w:trHeight w:val="220"/>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w:t>
            </w:r>
          </w:p>
        </w:tc>
        <w:tc>
          <w:tcPr>
            <w:tcW w:w="0" w:type="dxa"/>
            <w:vAlign w:val="bottom"/>
          </w:tcPr>
          <w:p>
            <w:pPr>
              <w:spacing w:after="0"/>
              <w:rPr>
                <w:sz w:val="1"/>
                <w:szCs w:val="1"/>
                <w:color w:val="auto"/>
              </w:rPr>
            </w:pPr>
          </w:p>
        </w:tc>
      </w:tr>
      <w:tr>
        <w:trPr>
          <w:trHeight w:val="220"/>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Right-of-use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2,274</w:t>
            </w:r>
          </w:p>
        </w:tc>
        <w:tc>
          <w:tcPr>
            <w:tcW w:w="0" w:type="dxa"/>
            <w:vAlign w:val="bottom"/>
          </w:tcPr>
          <w:p>
            <w:pPr>
              <w:spacing w:after="0"/>
              <w:rPr>
                <w:sz w:val="1"/>
                <w:szCs w:val="1"/>
                <w:color w:val="auto"/>
              </w:rPr>
            </w:pPr>
          </w:p>
        </w:tc>
      </w:tr>
      <w:tr>
        <w:trPr>
          <w:trHeight w:val="220"/>
        </w:trPr>
        <w:tc>
          <w:tcPr>
            <w:tcW w:w="1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13"/>
        </w:trPr>
        <w:tc>
          <w:tcPr>
            <w:tcW w:w="8240" w:type="dxa"/>
            <w:vAlign w:val="bottom"/>
            <w:gridSpan w:val="3"/>
          </w:tcPr>
          <w:p>
            <w:pPr>
              <w:ind w:left="34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210,293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201,562</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40" w:type="dxa"/>
            <w:vAlign w:val="bottom"/>
            <w:gridSpan w:val="3"/>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5,626</w:t>
            </w:r>
          </w:p>
        </w:tc>
        <w:tc>
          <w:tcPr>
            <w:tcW w:w="0" w:type="dxa"/>
            <w:vAlign w:val="bottom"/>
          </w:tcPr>
          <w:p>
            <w:pPr>
              <w:spacing w:after="0"/>
              <w:rPr>
                <w:sz w:val="1"/>
                <w:szCs w:val="1"/>
                <w:color w:val="auto"/>
              </w:rPr>
            </w:pPr>
          </w:p>
        </w:tc>
      </w:tr>
      <w:tr>
        <w:trPr>
          <w:trHeight w:val="220"/>
        </w:trPr>
        <w:tc>
          <w:tcPr>
            <w:tcW w:w="8240" w:type="dxa"/>
            <w:vAlign w:val="bottom"/>
            <w:gridSpan w:val="3"/>
          </w:tcPr>
          <w:p>
            <w:pPr>
              <w:ind w:left="140"/>
              <w:spacing w:after="0"/>
              <w:rPr>
                <w:sz w:val="20"/>
                <w:szCs w:val="20"/>
                <w:color w:val="auto"/>
              </w:rPr>
            </w:pPr>
            <w:r>
              <w:rPr>
                <w:rFonts w:ascii="Arial" w:cs="Arial" w:eastAsia="Arial" w:hAnsi="Arial"/>
                <w:sz w:val="17"/>
                <w:szCs w:val="17"/>
                <w:color w:val="auto"/>
              </w:rPr>
              <w:t>Accrued compensation and benefits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5,672</w:t>
            </w:r>
          </w:p>
        </w:tc>
        <w:tc>
          <w:tcPr>
            <w:tcW w:w="0" w:type="dxa"/>
            <w:vAlign w:val="bottom"/>
          </w:tcPr>
          <w:p>
            <w:pPr>
              <w:spacing w:after="0"/>
              <w:rPr>
                <w:sz w:val="1"/>
                <w:szCs w:val="1"/>
                <w:color w:val="auto"/>
              </w:rPr>
            </w:pPr>
          </w:p>
        </w:tc>
      </w:tr>
      <w:tr>
        <w:trPr>
          <w:trHeight w:val="220"/>
        </w:trPr>
        <w:tc>
          <w:tcPr>
            <w:tcW w:w="82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Current portion of operating lease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w:t>
            </w:r>
          </w:p>
        </w:tc>
        <w:tc>
          <w:tcPr>
            <w:tcW w:w="0" w:type="dxa"/>
            <w:vAlign w:val="bottom"/>
          </w:tcPr>
          <w:p>
            <w:pPr>
              <w:spacing w:after="0"/>
              <w:rPr>
                <w:sz w:val="1"/>
                <w:szCs w:val="1"/>
                <w:color w:val="auto"/>
              </w:rPr>
            </w:pPr>
          </w:p>
        </w:tc>
      </w:tr>
      <w:tr>
        <w:trPr>
          <w:trHeight w:val="220"/>
        </w:trPr>
        <w:tc>
          <w:tcPr>
            <w:tcW w:w="8240" w:type="dxa"/>
            <w:vAlign w:val="bottom"/>
            <w:gridSpan w:val="3"/>
          </w:tcPr>
          <w:p>
            <w:pPr>
              <w:ind w:left="140"/>
              <w:spacing w:after="0"/>
              <w:rPr>
                <w:sz w:val="20"/>
                <w:szCs w:val="20"/>
                <w:color w:val="auto"/>
              </w:rPr>
            </w:pPr>
            <w:r>
              <w:rPr>
                <w:rFonts w:ascii="Arial" w:cs="Arial" w:eastAsia="Arial" w:hAnsi="Arial"/>
                <w:sz w:val="17"/>
                <w:szCs w:val="17"/>
                <w:color w:val="auto"/>
              </w:rPr>
              <w:t>Loan payable, current portion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4,167</w:t>
            </w:r>
          </w:p>
        </w:tc>
        <w:tc>
          <w:tcPr>
            <w:tcW w:w="0" w:type="dxa"/>
            <w:vAlign w:val="bottom"/>
          </w:tcPr>
          <w:p>
            <w:pPr>
              <w:spacing w:after="0"/>
              <w:rPr>
                <w:sz w:val="1"/>
                <w:szCs w:val="1"/>
                <w:color w:val="auto"/>
              </w:rPr>
            </w:pPr>
          </w:p>
        </w:tc>
      </w:tr>
      <w:tr>
        <w:trPr>
          <w:trHeight w:val="220"/>
        </w:trPr>
        <w:tc>
          <w:tcPr>
            <w:tcW w:w="82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4,177</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Accrued expenses and other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6,657</w:t>
            </w:r>
          </w:p>
        </w:tc>
        <w:tc>
          <w:tcPr>
            <w:tcW w:w="0" w:type="dxa"/>
            <w:vAlign w:val="bottom"/>
          </w:tcPr>
          <w:p>
            <w:pPr>
              <w:spacing w:after="0"/>
              <w:rPr>
                <w:sz w:val="1"/>
                <w:szCs w:val="1"/>
                <w:color w:val="auto"/>
              </w:rPr>
            </w:pPr>
          </w:p>
        </w:tc>
      </w:tr>
      <w:tr>
        <w:trPr>
          <w:trHeight w:val="213"/>
        </w:trPr>
        <w:tc>
          <w:tcPr>
            <w:tcW w:w="82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28,416</w:t>
            </w:r>
          </w:p>
        </w:tc>
        <w:tc>
          <w:tcPr>
            <w:tcW w:w="0" w:type="dxa"/>
            <w:vAlign w:val="bottom"/>
          </w:tcPr>
          <w:p>
            <w:pPr>
              <w:spacing w:after="0"/>
              <w:rPr>
                <w:sz w:val="1"/>
                <w:szCs w:val="1"/>
                <w:color w:val="auto"/>
              </w:rPr>
            </w:pPr>
          </w:p>
        </w:tc>
      </w:tr>
      <w:tr>
        <w:trPr>
          <w:trHeight w:val="220"/>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Operating lease liability, net of current portion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20"/>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Loan payable, net of current portion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46,621</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Deferred revenue, non-current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82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75,450</w:t>
            </w:r>
          </w:p>
        </w:tc>
        <w:tc>
          <w:tcPr>
            <w:tcW w:w="0" w:type="dxa"/>
            <w:vAlign w:val="bottom"/>
          </w:tcPr>
          <w:p>
            <w:pPr>
              <w:spacing w:after="0"/>
              <w:rPr>
                <w:sz w:val="1"/>
                <w:szCs w:val="1"/>
                <w:color w:val="auto"/>
              </w:rPr>
            </w:pPr>
          </w:p>
        </w:tc>
      </w:tr>
      <w:tr>
        <w:trPr>
          <w:trHeight w:val="220"/>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Commitments and contingencies (Note 11)</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240" w:type="dxa"/>
            <w:vAlign w:val="bottom"/>
            <w:gridSpan w:val="3"/>
          </w:tcPr>
          <w:p>
            <w:pPr>
              <w:ind w:left="40"/>
              <w:spacing w:after="0" w:line="168" w:lineRule="exact"/>
              <w:rPr>
                <w:sz w:val="20"/>
                <w:szCs w:val="20"/>
                <w:color w:val="auto"/>
              </w:rPr>
            </w:pPr>
            <w:r>
              <w:rPr>
                <w:rFonts w:ascii="Arial" w:cs="Arial" w:eastAsia="Arial" w:hAnsi="Arial"/>
                <w:sz w:val="17"/>
                <w:szCs w:val="17"/>
                <w:color w:val="auto"/>
                <w:w w:val="93"/>
              </w:rPr>
              <w:t>Preferred stock, $0.0001 par value; 5,000,000 shares authorized; no shares issued and outstanding as of March 31,</w:t>
            </w:r>
          </w:p>
        </w:tc>
        <w:tc>
          <w:tcPr>
            <w:tcW w:w="26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240" w:type="dxa"/>
            <w:vAlign w:val="bottom"/>
            <w:gridSpan w:val="3"/>
          </w:tcPr>
          <w:p>
            <w:pPr>
              <w:ind w:left="40"/>
              <w:spacing w:after="0"/>
              <w:rPr>
                <w:sz w:val="20"/>
                <w:szCs w:val="20"/>
                <w:color w:val="auto"/>
              </w:rPr>
            </w:pPr>
            <w:r>
              <w:rPr>
                <w:rFonts w:ascii="Arial" w:cs="Arial" w:eastAsia="Arial" w:hAnsi="Arial"/>
                <w:sz w:val="17"/>
                <w:szCs w:val="17"/>
                <w:color w:val="auto"/>
              </w:rPr>
              <w:t>2021 and December 31, 2020, respectively.</w:t>
            </w:r>
          </w:p>
        </w:tc>
        <w:tc>
          <w:tcPr>
            <w:tcW w:w="2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240" w:type="dxa"/>
            <w:vAlign w:val="bottom"/>
            <w:gridSpan w:val="3"/>
            <w:shd w:val="clear" w:color="auto" w:fill="CCEEFF"/>
          </w:tcPr>
          <w:p>
            <w:pPr>
              <w:ind w:left="40"/>
              <w:spacing w:after="0" w:line="168" w:lineRule="exact"/>
              <w:rPr>
                <w:sz w:val="20"/>
                <w:szCs w:val="20"/>
                <w:color w:val="auto"/>
              </w:rPr>
            </w:pPr>
            <w:r>
              <w:rPr>
                <w:rFonts w:ascii="Arial" w:cs="Arial" w:eastAsia="Arial" w:hAnsi="Arial"/>
                <w:sz w:val="17"/>
                <w:szCs w:val="17"/>
                <w:color w:val="auto"/>
                <w:w w:val="94"/>
              </w:rPr>
              <w:t>Common stock, $0.0001 par value; 300,000,000 shares authorized; 98,688,577 and 93,599,975 shares issued and</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9"/>
        </w:trPr>
        <w:tc>
          <w:tcPr>
            <w:tcW w:w="8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outstanding as of March 31, 2021 and December 31, 2020, respectively.</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40" w:type="dxa"/>
            <w:vAlign w:val="bottom"/>
            <w:gridSpan w:val="3"/>
          </w:tcPr>
          <w:p>
            <w:pPr>
              <w:ind w:left="40"/>
              <w:spacing w:after="0"/>
              <w:rPr>
                <w:sz w:val="20"/>
                <w:szCs w:val="20"/>
                <w:color w:val="auto"/>
              </w:rPr>
            </w:pPr>
            <w:r>
              <w:rPr>
                <w:rFonts w:ascii="Arial" w:cs="Arial" w:eastAsia="Arial" w:hAnsi="Arial"/>
                <w:sz w:val="17"/>
                <w:szCs w:val="17"/>
                <w:color w:val="auto"/>
              </w:rPr>
              <w:t>Additional paid-in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718,728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680,872</w:t>
            </w:r>
          </w:p>
        </w:tc>
        <w:tc>
          <w:tcPr>
            <w:tcW w:w="0" w:type="dxa"/>
            <w:vAlign w:val="bottom"/>
          </w:tcPr>
          <w:p>
            <w:pPr>
              <w:spacing w:after="0"/>
              <w:rPr>
                <w:sz w:val="1"/>
                <w:szCs w:val="1"/>
                <w:color w:val="auto"/>
              </w:rPr>
            </w:pPr>
          </w:p>
        </w:tc>
      </w:tr>
      <w:tr>
        <w:trPr>
          <w:trHeight w:val="220"/>
        </w:trPr>
        <w:tc>
          <w:tcPr>
            <w:tcW w:w="8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Accumulated deficit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(554,765)</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82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126,112</w:t>
            </w:r>
          </w:p>
        </w:tc>
        <w:tc>
          <w:tcPr>
            <w:tcW w:w="0" w:type="dxa"/>
            <w:vAlign w:val="bottom"/>
          </w:tcPr>
          <w:p>
            <w:pPr>
              <w:spacing w:after="0"/>
              <w:rPr>
                <w:sz w:val="1"/>
                <w:szCs w:val="1"/>
                <w:color w:val="auto"/>
              </w:rPr>
            </w:pPr>
          </w:p>
        </w:tc>
      </w:tr>
      <w:tr>
        <w:trPr>
          <w:trHeight w:val="213"/>
        </w:trPr>
        <w:tc>
          <w:tcPr>
            <w:tcW w:w="8240" w:type="dxa"/>
            <w:vAlign w:val="bottom"/>
            <w:gridSpan w:val="3"/>
          </w:tcPr>
          <w:p>
            <w:pPr>
              <w:ind w:left="120"/>
              <w:spacing w:after="0"/>
              <w:rPr>
                <w:sz w:val="20"/>
                <w:szCs w:val="20"/>
                <w:color w:val="auto"/>
              </w:rPr>
            </w:pPr>
            <w:r>
              <w:rPr>
                <w:rFonts w:ascii="Arial" w:cs="Arial" w:eastAsia="Arial" w:hAnsi="Arial"/>
                <w:sz w:val="17"/>
                <w:szCs w:val="17"/>
                <w:color w:val="auto"/>
              </w:rPr>
              <w:t>Total liabilities and stockholders’ equity</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210,293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201,562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ARDELYX,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179"/>
        </w:trPr>
        <w:tc>
          <w:tcPr>
            <w:tcW w:w="8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0"/>
        </w:trPr>
        <w:tc>
          <w:tcPr>
            <w:tcW w:w="8280" w:type="dxa"/>
            <w:vAlign w:val="bottom"/>
          </w:tcPr>
          <w:p>
            <w:pPr>
              <w:ind w:left="120"/>
              <w:spacing w:after="0"/>
              <w:rPr>
                <w:sz w:val="20"/>
                <w:szCs w:val="20"/>
                <w:color w:val="auto"/>
              </w:rPr>
            </w:pPr>
            <w:r>
              <w:rPr>
                <w:rFonts w:ascii="Arial" w:cs="Arial" w:eastAsia="Arial" w:hAnsi="Arial"/>
                <w:sz w:val="17"/>
                <w:szCs w:val="17"/>
                <w:color w:val="auto"/>
              </w:rPr>
              <w:t>Collaborative development revenue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1,454</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1,175</w:t>
            </w:r>
          </w:p>
        </w:tc>
      </w:tr>
      <w:tr>
        <w:trPr>
          <w:trHeight w:val="220"/>
        </w:trPr>
        <w:tc>
          <w:tcPr>
            <w:tcW w:w="8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Product supply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0"/>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Licensing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1,213</w:t>
            </w:r>
          </w:p>
        </w:tc>
      </w:tr>
      <w:tr>
        <w:trPr>
          <w:trHeight w:val="200"/>
        </w:trPr>
        <w:tc>
          <w:tcPr>
            <w:tcW w:w="82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8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Cost of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80" w:type="dxa"/>
            <w:vAlign w:val="bottom"/>
          </w:tcPr>
          <w:p>
            <w:pPr>
              <w:ind w:left="12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20,456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15,844</w:t>
            </w:r>
          </w:p>
        </w:tc>
      </w:tr>
      <w:tr>
        <w:trPr>
          <w:trHeight w:val="220"/>
        </w:trPr>
        <w:tc>
          <w:tcPr>
            <w:tcW w:w="8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7,138</w:t>
            </w:r>
          </w:p>
        </w:tc>
      </w:tr>
      <w:tr>
        <w:trPr>
          <w:trHeight w:val="213"/>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38,587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22,982</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(21,769)</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(1,357)</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w:t>
            </w: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Loss before provision for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(33,154)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(22,373)</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(33,155)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(22,373)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280" w:type="dxa"/>
            <w:vAlign w:val="bottom"/>
          </w:tcPr>
          <w:p>
            <w:pPr>
              <w:ind w:left="20"/>
              <w:spacing w:after="0" w:line="191" w:lineRule="exact"/>
              <w:rPr>
                <w:sz w:val="20"/>
                <w:szCs w:val="20"/>
                <w:color w:val="auto"/>
              </w:rPr>
            </w:pPr>
            <w:r>
              <w:rPr>
                <w:rFonts w:ascii="Arial" w:cs="Arial" w:eastAsia="Arial" w:hAnsi="Arial"/>
                <w:sz w:val="17"/>
                <w:szCs w:val="17"/>
                <w:color w:val="auto"/>
              </w:rPr>
              <w:t>Shares used in computing net loss per share - basic and diluted</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97,179,241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88,880,658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Comprehensive loss: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(33,155)</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(22,373)</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(losses) gains on available-for-sale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(33,158)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(22,437)</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ARDELYX, INC.</w:t>
      </w:r>
    </w:p>
    <w:p>
      <w:pPr>
        <w:spacing w:after="0" w:line="30" w:lineRule="exact"/>
        <w:rPr>
          <w:sz w:val="20"/>
          <w:szCs w:val="20"/>
          <w:color w:val="auto"/>
        </w:rPr>
      </w:pPr>
    </w:p>
    <w:p>
      <w:pPr>
        <w:ind w:left="3780" w:right="2560" w:hanging="1129"/>
        <w:spacing w:after="0" w:line="253" w:lineRule="auto"/>
        <w:rPr>
          <w:sz w:val="20"/>
          <w:szCs w:val="20"/>
          <w:color w:val="auto"/>
        </w:rPr>
      </w:pPr>
      <w:r>
        <w:rPr>
          <w:rFonts w:ascii="Arial" w:cs="Arial" w:eastAsia="Arial" w:hAnsi="Arial"/>
          <w:sz w:val="17"/>
          <w:szCs w:val="17"/>
          <w:b w:val="1"/>
          <w:bCs w:val="1"/>
          <w:color w:val="auto"/>
        </w:rPr>
        <w:t>CONDENSED STATEMENTS OF CHANGES IN STOCKHOLDERS’ EQUITY For the Three Months ended March 31, 2021 and 2020</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 thousands, except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4"/>
              </w:rPr>
              <w:t>Three Months Ended March 31, 2021</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2200" w:type="dxa"/>
            <w:vAlign w:val="bottom"/>
            <w:gridSpan w:val="3"/>
          </w:tcPr>
          <w:p>
            <w:pPr>
              <w:jc w:val="right"/>
              <w:ind w:right="420"/>
              <w:spacing w:after="0" w:line="141"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1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4"/>
                <w:szCs w:val="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line="116"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4"/>
                <w:szCs w:val="4"/>
                <w:color w:val="auto"/>
              </w:rPr>
            </w:pPr>
          </w:p>
        </w:tc>
        <w:tc>
          <w:tcPr>
            <w:tcW w:w="1060" w:type="dxa"/>
            <w:vAlign w:val="bottom"/>
            <w:vMerge w:val="restart"/>
          </w:tcPr>
          <w:p>
            <w:pPr>
              <w:jc w:val="center"/>
              <w:ind w:right="79"/>
              <w:spacing w:after="0" w:line="116"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5"/>
        </w:trPr>
        <w:tc>
          <w:tcPr>
            <w:tcW w:w="3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316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140" w:type="dxa"/>
            <w:vAlign w:val="bottom"/>
          </w:tcPr>
          <w:p>
            <w:pPr>
              <w:spacing w:after="0"/>
              <w:rPr>
                <w:sz w:val="11"/>
                <w:szCs w:val="11"/>
                <w:color w:val="auto"/>
              </w:rPr>
            </w:pPr>
          </w:p>
        </w:tc>
        <w:tc>
          <w:tcPr>
            <w:tcW w:w="1060" w:type="dxa"/>
            <w:vAlign w:val="bottom"/>
          </w:tcPr>
          <w:p>
            <w:pPr>
              <w:jc w:val="center"/>
              <w:ind w:right="59"/>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4"/>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93,599,975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680,872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(554,765)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126,112</w:t>
            </w: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line="168" w:lineRule="exact"/>
              <w:rPr>
                <w:sz w:val="20"/>
                <w:szCs w:val="20"/>
                <w:color w:val="auto"/>
              </w:rPr>
            </w:pPr>
            <w:r>
              <w:rPr>
                <w:rFonts w:ascii="Arial" w:cs="Arial" w:eastAsia="Arial" w:hAnsi="Arial"/>
                <w:sz w:val="17"/>
                <w:szCs w:val="17"/>
                <w:color w:val="auto"/>
                <w:w w:val="91"/>
              </w:rPr>
              <w:t>Issuance of common stock under employee</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102,208</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19"/>
        </w:trPr>
        <w:tc>
          <w:tcPr>
            <w:tcW w:w="3160" w:type="dxa"/>
            <w:vAlign w:val="bottom"/>
          </w:tcPr>
          <w:p>
            <w:pPr>
              <w:ind w:left="140"/>
              <w:spacing w:after="0"/>
              <w:rPr>
                <w:sz w:val="20"/>
                <w:szCs w:val="20"/>
                <w:color w:val="auto"/>
              </w:rPr>
            </w:pPr>
            <w:r>
              <w:rPr>
                <w:rFonts w:ascii="Arial" w:cs="Arial" w:eastAsia="Arial" w:hAnsi="Arial"/>
                <w:sz w:val="17"/>
                <w:szCs w:val="17"/>
                <w:color w:val="auto"/>
              </w:rPr>
              <w:t>stock purchase plan</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w w:val="96"/>
              </w:rPr>
              <w:t>Issuance of common stock upon exercise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10,507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of options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line="168" w:lineRule="exact"/>
              <w:rPr>
                <w:sz w:val="20"/>
                <w:szCs w:val="20"/>
                <w:color w:val="auto"/>
              </w:rPr>
            </w:pPr>
            <w:r>
              <w:rPr>
                <w:rFonts w:ascii="Arial" w:cs="Arial" w:eastAsia="Arial" w:hAnsi="Arial"/>
                <w:sz w:val="17"/>
                <w:szCs w:val="17"/>
                <w:color w:val="auto"/>
                <w:w w:val="93"/>
              </w:rPr>
              <w:t>Issuance of common stock upon vesting of</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35,100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160" w:type="dxa"/>
            <w:vAlign w:val="bottom"/>
          </w:tcPr>
          <w:p>
            <w:pPr>
              <w:ind w:left="140"/>
              <w:spacing w:after="0"/>
              <w:rPr>
                <w:sz w:val="20"/>
                <w:szCs w:val="20"/>
                <w:color w:val="auto"/>
              </w:rPr>
            </w:pPr>
            <w:r>
              <w:rPr>
                <w:rFonts w:ascii="Arial" w:cs="Arial" w:eastAsia="Arial" w:hAnsi="Arial"/>
                <w:sz w:val="17"/>
                <w:szCs w:val="17"/>
                <w:color w:val="auto"/>
              </w:rPr>
              <w:t>restricted stock units</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w w:val="92"/>
              </w:rPr>
              <w:t>Issuance of common stock in at-the-market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4,940,787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34,271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34,272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offering</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140"/>
              <w:spacing w:after="0"/>
              <w:rPr>
                <w:sz w:val="20"/>
                <w:szCs w:val="20"/>
                <w:color w:val="auto"/>
              </w:rPr>
            </w:pPr>
            <w:r>
              <w:rPr>
                <w:rFonts w:ascii="Arial" w:cs="Arial" w:eastAsia="Arial" w:hAnsi="Arial"/>
                <w:sz w:val="17"/>
                <w:szCs w:val="17"/>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3,087</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rPr>
              <w:t>Unrealized losses on available-for-sale</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130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(33,155)</w:t>
            </w:r>
          </w:p>
        </w:tc>
        <w:tc>
          <w:tcPr>
            <w:tcW w:w="0" w:type="dxa"/>
            <w:vAlign w:val="bottom"/>
          </w:tcPr>
          <w:p>
            <w:pPr>
              <w:spacing w:after="0"/>
              <w:rPr>
                <w:sz w:val="1"/>
                <w:szCs w:val="1"/>
                <w:color w:val="auto"/>
              </w:rPr>
            </w:pPr>
          </w:p>
        </w:tc>
      </w:tr>
      <w:tr>
        <w:trPr>
          <w:trHeight w:val="23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March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98,688,577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718,728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(587,920)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130,811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316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4"/>
              </w:rPr>
              <w:t>Three Months Ended March 31, 2020</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2200" w:type="dxa"/>
            <w:vAlign w:val="bottom"/>
            <w:gridSpan w:val="3"/>
          </w:tcPr>
          <w:p>
            <w:pPr>
              <w:jc w:val="right"/>
              <w:ind w:right="420"/>
              <w:spacing w:after="0" w:line="141"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16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4"/>
                <w:szCs w:val="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line="116"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4"/>
                <w:szCs w:val="4"/>
                <w:color w:val="auto"/>
              </w:rPr>
            </w:pPr>
          </w:p>
        </w:tc>
        <w:tc>
          <w:tcPr>
            <w:tcW w:w="1060" w:type="dxa"/>
            <w:vAlign w:val="bottom"/>
            <w:vMerge w:val="restart"/>
          </w:tcPr>
          <w:p>
            <w:pPr>
              <w:jc w:val="center"/>
              <w:ind w:right="79"/>
              <w:spacing w:after="0" w:line="116"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5"/>
        </w:trPr>
        <w:tc>
          <w:tcPr>
            <w:tcW w:w="3160" w:type="dxa"/>
            <w:vAlign w:val="bottom"/>
          </w:tcPr>
          <w:p>
            <w:pPr>
              <w:spacing w:after="0"/>
              <w:rPr>
                <w:sz w:val="3"/>
                <w:szCs w:val="3"/>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3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87"/>
              </w:rPr>
              <w:t>Comprehensive</w:t>
            </w:r>
          </w:p>
        </w:tc>
        <w:tc>
          <w:tcPr>
            <w:tcW w:w="140" w:type="dxa"/>
            <w:vAlign w:val="bottom"/>
          </w:tcPr>
          <w:p>
            <w:pPr>
              <w:spacing w:after="0"/>
              <w:rPr>
                <w:sz w:val="11"/>
                <w:szCs w:val="11"/>
                <w:color w:val="auto"/>
              </w:rPr>
            </w:pPr>
          </w:p>
        </w:tc>
        <w:tc>
          <w:tcPr>
            <w:tcW w:w="1060" w:type="dxa"/>
            <w:vAlign w:val="bottom"/>
          </w:tcPr>
          <w:p>
            <w:pPr>
              <w:jc w:val="center"/>
              <w:ind w:right="59"/>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2019</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88,817,741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647,078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(460,452)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186,655</w:t>
            </w: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line="168" w:lineRule="exact"/>
              <w:rPr>
                <w:sz w:val="20"/>
                <w:szCs w:val="20"/>
                <w:color w:val="auto"/>
              </w:rPr>
            </w:pPr>
            <w:r>
              <w:rPr>
                <w:rFonts w:ascii="Arial" w:cs="Arial" w:eastAsia="Arial" w:hAnsi="Arial"/>
                <w:sz w:val="17"/>
                <w:szCs w:val="17"/>
                <w:color w:val="auto"/>
                <w:w w:val="91"/>
              </w:rPr>
              <w:t>Issuance of common stock under employee</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75,804</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19"/>
        </w:trPr>
        <w:tc>
          <w:tcPr>
            <w:tcW w:w="3160" w:type="dxa"/>
            <w:vAlign w:val="bottom"/>
          </w:tcPr>
          <w:p>
            <w:pPr>
              <w:ind w:left="140"/>
              <w:spacing w:after="0"/>
              <w:rPr>
                <w:sz w:val="20"/>
                <w:szCs w:val="20"/>
                <w:color w:val="auto"/>
              </w:rPr>
            </w:pPr>
            <w:r>
              <w:rPr>
                <w:rFonts w:ascii="Arial" w:cs="Arial" w:eastAsia="Arial" w:hAnsi="Arial"/>
                <w:sz w:val="17"/>
                <w:szCs w:val="17"/>
                <w:color w:val="auto"/>
              </w:rPr>
              <w:t>stock purchase plan</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w w:val="96"/>
              </w:rPr>
              <w:t>Issuance of common stock upon exercise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141,551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of options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140"/>
              <w:spacing w:after="0"/>
              <w:rPr>
                <w:sz w:val="20"/>
                <w:szCs w:val="20"/>
                <w:color w:val="auto"/>
              </w:rPr>
            </w:pPr>
            <w:r>
              <w:rPr>
                <w:rFonts w:ascii="Arial" w:cs="Arial" w:eastAsia="Arial" w:hAnsi="Arial"/>
                <w:sz w:val="17"/>
                <w:szCs w:val="17"/>
                <w:color w:val="auto"/>
              </w:rPr>
              <w:t>Stock-based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2,948</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rPr>
              <w:t>Unrealized gains on available-for-sale</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130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(22,373)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(22,373)</w:t>
            </w:r>
          </w:p>
        </w:tc>
        <w:tc>
          <w:tcPr>
            <w:tcW w:w="0" w:type="dxa"/>
            <w:vAlign w:val="bottom"/>
          </w:tcPr>
          <w:p>
            <w:pPr>
              <w:spacing w:after="0"/>
              <w:rPr>
                <w:sz w:val="1"/>
                <w:szCs w:val="1"/>
                <w:color w:val="auto"/>
              </w:rPr>
            </w:pPr>
          </w:p>
        </w:tc>
      </w:tr>
      <w:tr>
        <w:trPr>
          <w:trHeight w:val="23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March 31, 2020</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89,035,096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650,617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(482,825)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167,757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ARDELYX,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STATEMENTS OF CASH FLOWS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40" w:type="dxa"/>
            <w:vAlign w:val="bottom"/>
          </w:tcPr>
          <w:p>
            <w:pPr>
              <w:ind w:left="120"/>
              <w:spacing w:after="0"/>
              <w:rPr>
                <w:sz w:val="20"/>
                <w:szCs w:val="20"/>
                <w:color w:val="auto"/>
              </w:rPr>
            </w:pPr>
            <w:r>
              <w:rPr>
                <w:rFonts w:ascii="Arial" w:cs="Arial" w:eastAsia="Arial" w:hAnsi="Arial"/>
                <w:sz w:val="17"/>
                <w:szCs w:val="17"/>
                <w:color w:val="auto"/>
              </w:rPr>
              <w:t>Net loss</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(33,155)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(22,373)</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Depreciation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deferred financing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Amortization of deferred compensation for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(discount) premium on investment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Non-cash lease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w:t>
            </w:r>
          </w:p>
        </w:tc>
        <w:tc>
          <w:tcPr>
            <w:tcW w:w="0" w:type="dxa"/>
            <w:vAlign w:val="bottom"/>
          </w:tcPr>
          <w:p>
            <w:pPr>
              <w:spacing w:after="0"/>
              <w:rPr>
                <w:sz w:val="1"/>
                <w:szCs w:val="1"/>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Change in derivative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interest associated with debt discount accretion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240" w:type="dxa"/>
            <w:vAlign w:val="bottom"/>
          </w:tcPr>
          <w:p>
            <w:pPr>
              <w:ind w:left="340"/>
              <w:spacing w:after="0"/>
              <w:rPr>
                <w:sz w:val="20"/>
                <w:szCs w:val="20"/>
                <w:color w:val="auto"/>
              </w:rPr>
            </w:pPr>
            <w:r>
              <w:rPr>
                <w:rFonts w:ascii="Arial" w:cs="Arial" w:eastAsia="Arial" w:hAnsi="Arial"/>
                <w:sz w:val="17"/>
                <w:szCs w:val="17"/>
                <w:color w:val="auto"/>
              </w:rPr>
              <w:t>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(13,662)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220"/>
        </w:trPr>
        <w:tc>
          <w:tcPr>
            <w:tcW w:w="8240" w:type="dxa"/>
            <w:vAlign w:val="bottom"/>
          </w:tcPr>
          <w:p>
            <w:pPr>
              <w:ind w:left="340"/>
              <w:spacing w:after="0"/>
              <w:rPr>
                <w:sz w:val="20"/>
                <w:szCs w:val="20"/>
                <w:color w:val="auto"/>
              </w:rPr>
            </w:pPr>
            <w:r>
              <w:rPr>
                <w:rFonts w:ascii="Arial" w:cs="Arial" w:eastAsia="Arial" w:hAnsi="Arial"/>
                <w:sz w:val="17"/>
                <w:szCs w:val="17"/>
                <w:color w:val="auto"/>
              </w:rPr>
              <w:t>Accrued compensation and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(2,502)</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220"/>
        </w:trPr>
        <w:tc>
          <w:tcPr>
            <w:tcW w:w="8240" w:type="dxa"/>
            <w:vAlign w:val="bottom"/>
          </w:tcPr>
          <w:p>
            <w:pPr>
              <w:ind w:left="340"/>
              <w:spacing w:after="0"/>
              <w:rPr>
                <w:sz w:val="20"/>
                <w:szCs w:val="20"/>
                <w:color w:val="auto"/>
              </w:rPr>
            </w:pPr>
            <w:r>
              <w:rPr>
                <w:rFonts w:ascii="Arial" w:cs="Arial" w:eastAsia="Arial" w:hAnsi="Arial"/>
                <w:sz w:val="17"/>
                <w:szCs w:val="17"/>
                <w:color w:val="auto"/>
              </w:rPr>
              <w:t>Accrued and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(24,946)</w:t>
            </w:r>
          </w:p>
        </w:tc>
        <w:tc>
          <w:tcPr>
            <w:tcW w:w="0" w:type="dxa"/>
            <w:vAlign w:val="bottom"/>
          </w:tcPr>
          <w:p>
            <w:pPr>
              <w:spacing w:after="0"/>
              <w:rPr>
                <w:sz w:val="1"/>
                <w:szCs w:val="1"/>
                <w:color w:val="auto"/>
              </w:rPr>
            </w:pPr>
          </w:p>
        </w:tc>
      </w:tr>
      <w:tr>
        <w:trPr>
          <w:trHeight w:val="20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40" w:type="dxa"/>
            <w:vAlign w:val="bottom"/>
          </w:tcPr>
          <w:p>
            <w:pPr>
              <w:ind w:left="120"/>
              <w:spacing w:after="0"/>
              <w:rPr>
                <w:sz w:val="20"/>
                <w:szCs w:val="20"/>
                <w:color w:val="auto"/>
              </w:rPr>
            </w:pPr>
            <w:r>
              <w:rPr>
                <w:rFonts w:ascii="Arial" w:cs="Arial" w:eastAsia="Arial" w:hAnsi="Arial"/>
                <w:sz w:val="17"/>
                <w:szCs w:val="17"/>
                <w:color w:val="auto"/>
              </w:rPr>
              <w:t>Proceeds from maturities and redemptions of investments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 of investments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(54,858)</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(50,883)</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issuance of common stock in at-the-market offering, net of issuance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Proceeds from issuance of common stock under equity incentive and stock purchase plans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Net decrease in cash and cash equivalents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(75,238)</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181,133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105,895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Supplementary disclosure of cash flow information:</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40" w:type="dxa"/>
            <w:vAlign w:val="bottom"/>
          </w:tcPr>
          <w:p>
            <w:pPr>
              <w:ind w:left="120"/>
              <w:spacing w:after="0"/>
              <w:rPr>
                <w:sz w:val="20"/>
                <w:szCs w:val="20"/>
                <w:color w:val="auto"/>
              </w:rPr>
            </w:pPr>
            <w:r>
              <w:rPr>
                <w:rFonts w:ascii="Arial" w:cs="Arial" w:eastAsia="Arial" w:hAnsi="Arial"/>
                <w:sz w:val="17"/>
                <w:szCs w:val="17"/>
                <w:color w:val="auto"/>
              </w:rPr>
              <w:t>Cash paid for interest</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paid for income taxes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Supplementary disclosure of non-cash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Right-of-use assets obtained in exchange for lease obligations</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ARDELYX, INC</w:t>
      </w:r>
      <w:r>
        <w:rPr>
          <w:rFonts w:ascii="Arial" w:cs="Arial" w:eastAsia="Arial" w:hAnsi="Arial"/>
          <w:sz w:val="17"/>
          <w:szCs w:val="17"/>
          <w:color w:val="auto"/>
        </w:rPr>
        <w: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per share amounts and where otherwise noted)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BASIS OF PRESENTATION</w:t>
      </w:r>
    </w:p>
    <w:p>
      <w:pPr>
        <w:spacing w:after="0" w:line="22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Ardelyx, Inc. (the “Company,” “we,” “us” or “our”) is a specialized biopharmaceutical company focused on discovering, developing and commercializing innovative first-in-class medicines to enhance the lives of patients with kidney and cardiorenal diseases.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operate in one business segment, which is the research, development and commercialization of biopharmaceutical products.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1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at March 31, 2021 and results of operations, changes in stockholders’ equity, and cash flows for the interim periods ended March 31, 2021 and 2020.</w:t>
      </w:r>
    </w:p>
    <w:p>
      <w:pPr>
        <w:spacing w:after="0" w:line="181" w:lineRule="exact"/>
        <w:rPr>
          <w:sz w:val="20"/>
          <w:szCs w:val="20"/>
          <w:color w:val="auto"/>
        </w:rPr>
      </w:pPr>
    </w:p>
    <w:p>
      <w:pPr>
        <w:jc w:val="both"/>
        <w:ind w:firstLine="310"/>
        <w:spacing w:after="0" w:line="320" w:lineRule="auto"/>
        <w:rPr>
          <w:sz w:val="20"/>
          <w:szCs w:val="20"/>
          <w:color w:val="auto"/>
        </w:rPr>
      </w:pPr>
      <w:r>
        <w:rPr>
          <w:rFonts w:ascii="Arial" w:cs="Arial" w:eastAsia="Arial" w:hAnsi="Arial"/>
          <w:sz w:val="15"/>
          <w:szCs w:val="15"/>
          <w:color w:val="auto"/>
        </w:rPr>
        <w:t>The accompanying condensed financial statements and related financial information should be read in conjunction with the audited financial statements and the related notes thereto included in our Annual Report on Form 10-K for the year ended December 31, 2020. The results for the three months ended March 31, 2021 are not necessarily indicative of results to be expected for the entire year ending December 31, 2021, or for any other interim period or future year.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8"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the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1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As of March 31, 2021, we had cash, cash equivalents and marketable securities of approximately $178.2 million. We believe our current available cash, cash equivalents marketable securities will be sufficient to fund our planned expenditures and meet our obligations for at least 12 months following the filing of this Report on Form 10-Q. Failure to generate product revenue in a timely manner, or raise sufficient capital when needed, could have a negative impact on our financial condition and our ability to pursue our business strategies and could require us to significantly delay, scale back or discontinue one or more of our product development programs, commercialization efforts, or other aspects of our business plans, and our operating results and financial condition would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Significant Accounting Policies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have been no changes to the significant accounting policies disclosed in our most recent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Accounting Pronouncements - Recently Adopted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adopted no new accounting pronouncements other than those disclosed in our most recent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Pronouncements Not Yet Adopted</w:t>
      </w:r>
    </w:p>
    <w:p>
      <w:pPr>
        <w:spacing w:after="0" w:line="218"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an amendment which modifies the measurement and recognition of credit losses for most financial assets and certain other instruments.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updates the guidance for measuring and recording credit losses on financial assets measured at amortized cost by replacing the “incurred loss” model with an “expected loss” model. Accordingly, these financial assets will be presented at the net amount expected to be collected. The amendment also requires that credit losses related to available-for-sale debt securities be recorded as an allowance through net income rather than reducing the carrying amount under the current, other-than-temporary-impairment model. For smaller reporting companies the guidance is effective for fiscal years beginning after December 15, 2022, including interim periods within those fiscal years. Early adoption is permitted. Management is currently assessing the impact of this standard on our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Securities classified as cash, cash equivalents and short-term investments as of March 31, 2021 and December 31, 2020 are summarized below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March 31, 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7"/>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Gross Unrealized</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1000" w:type="dxa"/>
            <w:vAlign w:val="bottom"/>
          </w:tcPr>
          <w:p>
            <w:pPr>
              <w:jc w:val="right"/>
              <w:ind w:right="18"/>
              <w:spacing w:after="0"/>
              <w:rPr>
                <w:sz w:val="20"/>
                <w:szCs w:val="20"/>
                <w:color w:val="auto"/>
              </w:rPr>
            </w:pPr>
            <w:r>
              <w:rPr>
                <w:rFonts w:ascii="Arial" w:cs="Arial" w:eastAsia="Arial" w:hAnsi="Arial"/>
                <w:sz w:val="14"/>
                <w:szCs w:val="14"/>
                <w:b w:val="1"/>
                <w:bCs w:val="1"/>
                <w:color w:val="auto"/>
              </w:rPr>
              <w:t>Losses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r>
      <w:tr>
        <w:trPr>
          <w:trHeight w:val="20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Cash</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2,751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818"/>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2,751</w:t>
            </w:r>
          </w:p>
        </w:tc>
        <w:tc>
          <w:tcPr>
            <w:tcW w:w="20" w:type="dxa"/>
            <w:vAlign w:val="bottom"/>
          </w:tcPr>
          <w:p>
            <w:pPr>
              <w:spacing w:after="0"/>
              <w:rPr>
                <w:sz w:val="19"/>
                <w:szCs w:val="19"/>
                <w:color w:val="auto"/>
              </w:rPr>
            </w:pP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76,676</w:t>
            </w:r>
          </w:p>
        </w:tc>
        <w:tc>
          <w:tcPr>
            <w:tcW w:w="20" w:type="dxa"/>
            <w:vAlign w:val="bottom"/>
          </w:tcPr>
          <w:p>
            <w:pPr>
              <w:spacing w:after="0"/>
              <w:rPr>
                <w:sz w:val="19"/>
                <w:szCs w:val="19"/>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Commercial paper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3,500</w:t>
            </w:r>
          </w:p>
        </w:tc>
        <w:tc>
          <w:tcPr>
            <w:tcW w:w="20" w:type="dxa"/>
            <w:vAlign w:val="bottom"/>
          </w:tcPr>
          <w:p>
            <w:pPr>
              <w:spacing w:after="0"/>
              <w:rPr>
                <w:sz w:val="19"/>
                <w:szCs w:val="19"/>
                <w:color w:val="auto"/>
              </w:rPr>
            </w:pP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bonds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w:t>
            </w:r>
          </w:p>
        </w:tc>
        <w:tc>
          <w:tcPr>
            <w:tcW w:w="20" w:type="dxa"/>
            <w:vAlign w:val="bottom"/>
          </w:tcPr>
          <w:p>
            <w:pPr>
              <w:spacing w:after="0"/>
              <w:rPr>
                <w:sz w:val="19"/>
                <w:szCs w:val="19"/>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Total cash and cash equivalents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84,070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84,070</w:t>
            </w:r>
          </w:p>
        </w:tc>
        <w:tc>
          <w:tcPr>
            <w:tcW w:w="20" w:type="dxa"/>
            <w:vAlign w:val="bottom"/>
          </w:tcPr>
          <w:p>
            <w:pPr>
              <w:spacing w:after="0"/>
              <w:rPr>
                <w:sz w:val="18"/>
                <w:szCs w:val="18"/>
                <w:color w:val="auto"/>
              </w:rPr>
            </w:pPr>
          </w:p>
        </w:tc>
      </w:tr>
      <w:tr>
        <w:trPr>
          <w:trHeight w:val="20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Commercial paper</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73,542</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000" w:type="dxa"/>
            <w:vAlign w:val="bottom"/>
          </w:tcPr>
          <w:p>
            <w:pPr>
              <w:jc w:val="right"/>
              <w:ind w:right="818"/>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73,541</w:t>
            </w:r>
          </w:p>
        </w:tc>
        <w:tc>
          <w:tcPr>
            <w:tcW w:w="20" w:type="dxa"/>
            <w:vAlign w:val="bottom"/>
          </w:tcPr>
          <w:p>
            <w:pPr>
              <w:spacing w:after="0"/>
              <w:rPr>
                <w:sz w:val="19"/>
                <w:szCs w:val="19"/>
                <w:color w:val="auto"/>
              </w:rPr>
            </w:pP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bonds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15,302</w:t>
            </w:r>
          </w:p>
        </w:tc>
        <w:tc>
          <w:tcPr>
            <w:tcW w:w="20" w:type="dxa"/>
            <w:vAlign w:val="bottom"/>
          </w:tcPr>
          <w:p>
            <w:pPr>
              <w:spacing w:after="0"/>
              <w:rPr>
                <w:sz w:val="19"/>
                <w:szCs w:val="19"/>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U.S. government-sponsored agency bonds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3,264</w:t>
            </w:r>
          </w:p>
        </w:tc>
        <w:tc>
          <w:tcPr>
            <w:tcW w:w="20" w:type="dxa"/>
            <w:vAlign w:val="bottom"/>
          </w:tcPr>
          <w:p>
            <w:pPr>
              <w:spacing w:after="0"/>
              <w:rPr>
                <w:sz w:val="19"/>
                <w:szCs w:val="19"/>
                <w:color w:val="auto"/>
              </w:rPr>
            </w:pP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Asset-backed securities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w:t>
            </w:r>
          </w:p>
        </w:tc>
        <w:tc>
          <w:tcPr>
            <w:tcW w:w="20" w:type="dxa"/>
            <w:vAlign w:val="bottom"/>
          </w:tcPr>
          <w:p>
            <w:pPr>
              <w:spacing w:after="0"/>
              <w:rPr>
                <w:sz w:val="19"/>
                <w:szCs w:val="19"/>
                <w:color w:val="auto"/>
              </w:rPr>
            </w:pPr>
          </w:p>
        </w:tc>
      </w:tr>
      <w:tr>
        <w:trPr>
          <w:trHeight w:val="21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94,149</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94,142</w:t>
            </w:r>
          </w:p>
        </w:tc>
        <w:tc>
          <w:tcPr>
            <w:tcW w:w="20" w:type="dxa"/>
            <w:vAlign w:val="bottom"/>
          </w:tcPr>
          <w:p>
            <w:pPr>
              <w:spacing w:after="0"/>
              <w:rPr>
                <w:sz w:val="18"/>
                <w:szCs w:val="18"/>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equivalents and 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178,219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178,212</w:t>
            </w:r>
          </w:p>
        </w:tc>
        <w:tc>
          <w:tcPr>
            <w:tcW w:w="20" w:type="dxa"/>
            <w:vAlign w:val="bottom"/>
          </w:tcPr>
          <w:p>
            <w:pPr>
              <w:spacing w:after="0"/>
              <w:rPr>
                <w:sz w:val="20"/>
                <w:szCs w:val="20"/>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9"/>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875"/>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5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7"/>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Gross Unrealized</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1020" w:type="dxa"/>
            <w:vAlign w:val="bottom"/>
          </w:tcPr>
          <w:p>
            <w:pPr>
              <w:jc w:val="right"/>
              <w:ind w:right="17"/>
              <w:spacing w:after="0"/>
              <w:rPr>
                <w:sz w:val="20"/>
                <w:szCs w:val="20"/>
                <w:color w:val="auto"/>
              </w:rPr>
            </w:pPr>
            <w:r>
              <w:rPr>
                <w:rFonts w:ascii="Arial" w:cs="Arial" w:eastAsia="Arial" w:hAnsi="Arial"/>
                <w:sz w:val="14"/>
                <w:szCs w:val="14"/>
                <w:b w:val="1"/>
                <w:bCs w:val="1"/>
                <w:color w:val="auto"/>
              </w:rPr>
              <w:t>Losses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0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Cash</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17"/>
              <w:spacing w:after="0"/>
              <w:rPr>
                <w:sz w:val="20"/>
                <w:szCs w:val="20"/>
                <w:color w:val="auto"/>
              </w:rPr>
            </w:pPr>
            <w:r>
              <w:rPr>
                <w:rFonts w:ascii="Arial" w:cs="Arial" w:eastAsia="Arial" w:hAnsi="Arial"/>
                <w:sz w:val="17"/>
                <w:szCs w:val="17"/>
                <w:color w:val="auto"/>
              </w:rPr>
              <w:t>$</w:t>
            </w: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781</w:t>
            </w: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88,151</w:t>
            </w:r>
          </w:p>
        </w:tc>
      </w:tr>
      <w:tr>
        <w:trPr>
          <w:trHeight w:val="220"/>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Commercial paper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2,100</w:t>
            </w: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91,032</w:t>
            </w:r>
          </w:p>
        </w:tc>
      </w:tr>
      <w:tr>
        <w:trPr>
          <w:trHeight w:val="200"/>
        </w:trPr>
        <w:tc>
          <w:tcPr>
            <w:tcW w:w="518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60,629</w:t>
            </w: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Corporate bonds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24,547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24,544</w:t>
            </w: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government-sponsored agency bonds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9,279</w:t>
            </w: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U.S. treasury notes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95,455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95,452</w:t>
            </w:r>
          </w:p>
        </w:tc>
      </w:tr>
      <w:tr>
        <w:trPr>
          <w:trHeight w:val="200"/>
        </w:trPr>
        <w:tc>
          <w:tcPr>
            <w:tcW w:w="5180" w:type="dxa"/>
            <w:vAlign w:val="bottom"/>
          </w:tcPr>
          <w:p>
            <w:pPr>
              <w:ind w:left="20"/>
              <w:spacing w:after="0"/>
              <w:rPr>
                <w:sz w:val="20"/>
                <w:szCs w:val="20"/>
                <w:color w:val="auto"/>
              </w:rPr>
            </w:pPr>
            <w:r>
              <w:rPr>
                <w:rFonts w:ascii="Arial" w:cs="Arial" w:eastAsia="Arial" w:hAnsi="Arial"/>
                <w:sz w:val="17"/>
                <w:szCs w:val="17"/>
                <w:color w:val="auto"/>
              </w:rPr>
              <w:t>Long-term investments: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bonds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2,114</w:t>
            </w: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Total cash equivalents and short-term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188,602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1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188,598</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We invest excess cash in marketable securities with high credit ratings. These securities consist primarily of money market funds, commercial paper, corporate bonds, asset-backed securities, and U.S. treasury and agency securities and are classified as “available-for-sale.”</w:t>
      </w:r>
    </w:p>
    <w:p>
      <w:pPr>
        <w:spacing w:after="0" w:line="159" w:lineRule="exact"/>
        <w:rPr>
          <w:sz w:val="20"/>
          <w:szCs w:val="20"/>
          <w:color w:val="auto"/>
        </w:rPr>
      </w:pPr>
    </w:p>
    <w:p>
      <w:pPr>
        <w:jc w:val="both"/>
        <w:ind w:firstLine="310"/>
        <w:spacing w:after="0" w:line="275" w:lineRule="auto"/>
        <w:rPr>
          <w:sz w:val="20"/>
          <w:szCs w:val="20"/>
          <w:color w:val="auto"/>
        </w:rPr>
      </w:pPr>
      <w:r>
        <w:rPr>
          <w:rFonts w:ascii="Arial" w:cs="Arial" w:eastAsia="Arial" w:hAnsi="Arial"/>
          <w:sz w:val="16"/>
          <w:szCs w:val="16"/>
          <w:color w:val="auto"/>
        </w:rPr>
        <w:t>All available-for-sale securities held as of March 31, 2021 had contractual maturities of less than one year. Our available-for-sale securities are subject to a periodic impairment review. We consider a debt security to be impaired when the fair value of that security is less than its carrying cost, in which case we would further evaluate the investment to determine whether the security is other-than-temporarily impaired. When we evaluate an investment for other-than-temporary impairment, we review factors such as the length of time and extent to which fair value has been below cost basis, the financial condition or creditworthiness of the issuer and any changes thereto, intent to sell, and whether it is more likely than not we will be required to sell the investment before the recovery of its cost basis. If an investment is other-than-temporarily impaired, we write the investment down through the statement of operations to its fair value and establishes that value as the new cost basis for the investment. Management has determined that none of our available-for-sale securities were other-than-temporarily impaired in any of the periods presented, and as of March 31, 2021, no investment was in a continuous unrealized loss position for more than one year. As such, we believe that it is more likely than not that the investments will be held until maturity or a forecasted recovery of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224"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three-level hierarchy for the inputs to valuation techniques is briefly summarized as follows:</w:t>
      </w:r>
    </w:p>
    <w:p>
      <w:pPr>
        <w:spacing w:after="0" w:line="128" w:lineRule="exact"/>
        <w:rPr>
          <w:sz w:val="20"/>
          <w:szCs w:val="20"/>
          <w:color w:val="auto"/>
        </w:rPr>
      </w:pPr>
    </w:p>
    <w:p>
      <w:pPr>
        <w:jc w:val="both"/>
        <w:ind w:left="1460" w:right="40" w:hanging="1123"/>
        <w:spacing w:after="0" w:line="227" w:lineRule="auto"/>
        <w:tabs>
          <w:tab w:leader="none" w:pos="1440" w:val="left"/>
        </w:tabs>
        <w:rPr>
          <w:sz w:val="20"/>
          <w:szCs w:val="20"/>
          <w:color w:val="auto"/>
        </w:rPr>
      </w:pPr>
      <w:r>
        <w:rPr>
          <w:rFonts w:ascii="Arial" w:cs="Arial" w:eastAsia="Arial" w:hAnsi="Arial"/>
          <w:sz w:val="17"/>
          <w:szCs w:val="17"/>
          <w:color w:val="auto"/>
        </w:rPr>
        <w:t>Level 1 –</w:t>
      </w:r>
      <w:r>
        <w:rPr>
          <w:sz w:val="20"/>
          <w:szCs w:val="20"/>
          <w:color w:val="auto"/>
        </w:rPr>
        <w:tab/>
      </w:r>
      <w:r>
        <w:rPr>
          <w:rFonts w:ascii="Arial" w:cs="Arial" w:eastAsia="Arial" w:hAnsi="Arial"/>
          <w:sz w:val="17"/>
          <w:szCs w:val="17"/>
          <w:color w:val="auto"/>
        </w:rPr>
        <w:t>Valuations are based on quoted prices in active markets for identical assets or liabilities and readily accessible by us at the reporting date. Examples of assets and liabilities utilizing Level 1 inputs are certain money market funds, U.S. treasuries and trading securities with quoted prices on active markets.</w:t>
      </w:r>
    </w:p>
    <w:p>
      <w:pPr>
        <w:spacing w:after="0" w:line="53" w:lineRule="exact"/>
        <w:rPr>
          <w:sz w:val="20"/>
          <w:szCs w:val="20"/>
          <w:color w:val="auto"/>
        </w:rPr>
      </w:pPr>
    </w:p>
    <w:p>
      <w:pPr>
        <w:jc w:val="both"/>
        <w:ind w:left="1460" w:right="40" w:hanging="1123"/>
        <w:spacing w:after="0" w:line="222" w:lineRule="auto"/>
        <w:tabs>
          <w:tab w:leader="none" w:pos="1440" w:val="left"/>
        </w:tabs>
        <w:rPr>
          <w:sz w:val="20"/>
          <w:szCs w:val="20"/>
          <w:color w:val="auto"/>
        </w:rPr>
      </w:pPr>
      <w:r>
        <w:rPr>
          <w:rFonts w:ascii="Arial" w:cs="Arial" w:eastAsia="Arial" w:hAnsi="Arial"/>
          <w:sz w:val="17"/>
          <w:szCs w:val="17"/>
          <w:color w:val="auto"/>
        </w:rPr>
        <w:t>Level 2 –</w:t>
      </w:r>
      <w:r>
        <w:rPr>
          <w:sz w:val="20"/>
          <w:szCs w:val="20"/>
          <w:color w:val="auto"/>
        </w:rPr>
        <w:tab/>
      </w:r>
      <w:r>
        <w:rPr>
          <w:rFonts w:ascii="Arial" w:cs="Arial" w:eastAsia="Arial" w:hAnsi="Arial"/>
          <w:sz w:val="17"/>
          <w:szCs w:val="17"/>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1 inputs are certain money market funds, U.S. treasuries and trading securities with quoted prices on active markets.</w:t>
      </w:r>
    </w:p>
    <w:p>
      <w:pPr>
        <w:spacing w:after="0" w:line="52"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7"/>
          <w:szCs w:val="17"/>
          <w:color w:val="auto"/>
        </w:rPr>
        <w:t>Level 3 –</w:t>
      </w:r>
      <w:r>
        <w:rPr>
          <w:sz w:val="20"/>
          <w:szCs w:val="20"/>
          <w:color w:val="auto"/>
        </w:rPr>
        <w:tab/>
      </w:r>
      <w:r>
        <w:rPr>
          <w:rFonts w:ascii="Arial" w:cs="Arial" w:eastAsia="Arial" w:hAnsi="Arial"/>
          <w:sz w:val="15"/>
          <w:szCs w:val="15"/>
          <w:color w:val="auto"/>
        </w:rPr>
        <w:t>Valuations based on unobservable inputs for which there is little or no market data, which require us to develop our own assumptions.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80" w:firstLine="310"/>
        <w:spacing w:after="0" w:line="271" w:lineRule="auto"/>
        <w:rPr>
          <w:sz w:val="20"/>
          <w:szCs w:val="20"/>
          <w:color w:val="auto"/>
        </w:rPr>
      </w:pPr>
      <w:r>
        <w:rPr>
          <w:rFonts w:ascii="Arial" w:cs="Arial" w:eastAsia="Arial" w:hAnsi="Arial"/>
          <w:sz w:val="17"/>
          <w:szCs w:val="17"/>
          <w:color w:val="auto"/>
        </w:rPr>
        <w:t>The following table sets forth the fair value of our financial assets and liabilities that are measured or disclosed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rPr>
              <w:t>March 31, 2021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40"/>
              <w:spacing w:after="0" w:line="128"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1"/>
                <w:szCs w:val="11"/>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1"/>
                <w:szCs w:val="11"/>
                <w:color w:val="auto"/>
              </w:rPr>
            </w:pPr>
          </w:p>
        </w:tc>
        <w:tc>
          <w:tcPr>
            <w:tcW w:w="11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Fair Value</w:t>
            </w:r>
          </w:p>
        </w:tc>
        <w:tc>
          <w:tcPr>
            <w:tcW w:w="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Money market funds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76,676</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76,676</w:t>
            </w:r>
          </w:p>
        </w:tc>
        <w:tc>
          <w:tcPr>
            <w:tcW w:w="10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Corporate bonds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government-sponsored agency bonds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Asset-backed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98,785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Derivative liability for Exit Fee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w:t>
            </w:r>
          </w:p>
        </w:tc>
        <w:tc>
          <w:tcPr>
            <w:tcW w:w="0" w:type="dxa"/>
            <w:vAlign w:val="bottom"/>
          </w:tcPr>
          <w:p>
            <w:pPr>
              <w:spacing w:after="0"/>
              <w:rPr>
                <w:sz w:val="1"/>
                <w:szCs w:val="1"/>
                <w:color w:val="auto"/>
              </w:rPr>
            </w:pPr>
          </w:p>
        </w:tc>
      </w:tr>
      <w:tr>
        <w:trPr>
          <w:trHeight w:val="23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40"/>
              <w:spacing w:after="0" w:line="128"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1"/>
                <w:szCs w:val="11"/>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1"/>
                <w:szCs w:val="11"/>
                <w:color w:val="auto"/>
              </w:rPr>
            </w:pPr>
          </w:p>
        </w:tc>
        <w:tc>
          <w:tcPr>
            <w:tcW w:w="11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Fair Value</w:t>
            </w:r>
          </w:p>
        </w:tc>
        <w:tc>
          <w:tcPr>
            <w:tcW w:w="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Money market funds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88,151</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88,151</w:t>
            </w:r>
          </w:p>
        </w:tc>
        <w:tc>
          <w:tcPr>
            <w:tcW w:w="10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Corporate bonds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26,658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 government-sponsored agency bonds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80" w:type="dxa"/>
            <w:vAlign w:val="bottom"/>
          </w:tcPr>
          <w:p>
            <w:pPr>
              <w:ind w:left="120"/>
              <w:spacing w:after="0"/>
              <w:rPr>
                <w:sz w:val="20"/>
                <w:szCs w:val="20"/>
                <w:color w:val="auto"/>
              </w:rPr>
            </w:pPr>
            <w:r>
              <w:rPr>
                <w:rFonts w:ascii="Arial" w:cs="Arial" w:eastAsia="Arial" w:hAnsi="Arial"/>
                <w:sz w:val="17"/>
                <w:szCs w:val="17"/>
                <w:color w:val="auto"/>
              </w:rPr>
              <w:t>U.S. treasury notes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187,817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Derivative liability for Exit Fee</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1,376</w:t>
            </w:r>
          </w:p>
        </w:tc>
        <w:tc>
          <w:tcPr>
            <w:tcW w:w="0" w:type="dxa"/>
            <w:vAlign w:val="bottom"/>
          </w:tcPr>
          <w:p>
            <w:pPr>
              <w:spacing w:after="0"/>
              <w:rPr>
                <w:sz w:val="1"/>
                <w:szCs w:val="1"/>
                <w:color w:val="auto"/>
              </w:rPr>
            </w:pPr>
          </w:p>
        </w:tc>
      </w:tr>
      <w:tr>
        <w:trPr>
          <w:trHeight w:val="23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notes, corporate bonds, commercial paper, asset-backed securities and foreign currency derivative contracts as Level 2. In certain cases, where there is limited activity or less transparency around inputs to valuation, securities or derivative liabilities such as the Exit Fee, as defined and discussed in Note 4, are classified as Level 3.</w:t>
      </w:r>
    </w:p>
    <w:p>
      <w:pPr>
        <w:spacing w:after="0" w:line="178" w:lineRule="exact"/>
        <w:rPr>
          <w:sz w:val="20"/>
          <w:szCs w:val="20"/>
          <w:color w:val="auto"/>
        </w:rPr>
      </w:pPr>
    </w:p>
    <w:p>
      <w:pPr>
        <w:jc w:val="both"/>
        <w:ind w:firstLine="310"/>
        <w:spacing w:after="0" w:line="353" w:lineRule="auto"/>
        <w:rPr>
          <w:sz w:val="20"/>
          <w:szCs w:val="20"/>
          <w:color w:val="auto"/>
        </w:rPr>
      </w:pPr>
      <w:r>
        <w:rPr>
          <w:rFonts w:ascii="Arial" w:cs="Arial" w:eastAsia="Arial" w:hAnsi="Arial"/>
          <w:sz w:val="15"/>
          <w:szCs w:val="15"/>
          <w:color w:val="auto"/>
        </w:rPr>
        <w:t>The carrying amounts reflected in the balance sheets for cash equivalents, short-term investments, accounts receivable, prepaid expenses and other current assets, accounts payable and accrued expenses approximate their fair values at both March 31, 2021 and December 31, 2020, due to their short-term nature.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Debt</w:t>
      </w:r>
    </w:p>
    <w:p>
      <w:pPr>
        <w:spacing w:after="0" w:line="21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interest rate of our term loan facility approximates the rate at which we could obtain alternative financing. Therefore, the carrying amount of the term loan facility approximated its fair value at March 31, 2021 and December 31, 2020.</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COLLABORATION AND LICENSING AGREEMENTS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Kyowa Kirin Co., Ltd. (“KKC”)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2019 KKC Agreement</w:t>
      </w:r>
    </w:p>
    <w:p>
      <w:pPr>
        <w:spacing w:after="0" w:line="218"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In November 2019, we entered into a research collaboration and option agreement with KKC (the “2019 KKC Agreement”) for research associated with identifying two preclinical compounds that are ready for designation as development compounds (“DCs”), with one compound inhibiting the first undisclosed target (“Program 1”), and a second inhibiting the second undisclosed target (“Program 2”). Pursuant to the 2019 KKC Agreement, upon completion of the research and designation by the research steering committee of one or more DCs, KKC has the right to execute one or more separate collaborative agreements relating to the development and commercialization of one or both DCs in certain specified territories.</w:t>
      </w:r>
    </w:p>
    <w:p>
      <w:pPr>
        <w:spacing w:after="0" w:line="17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Under the terms of the 2019 KKC Agreement, KKC agreed to pay us a non-refundable, non-creditable upfront fee of $10.0 million, payable as follows: the first installment of $5.0 million within 30 days of November 11, 2019 (the “Effective Date”), and the second installment of $5.0 million on the first anniversary of the Effective Date, unless the 2019 KKC Agreement is earlier terminated by KKC due to material breach by us. The term of the 2019 KKC Agreement commenced on the Effective Date and ends on the earliest of: (i) 2 years following the Effective Date, (ii) the nomination of a program DC for both programs, (iii) the nomination of one program DC and the decision by the parties to cease research for the other program, or (iv) the decision by the parties to cease research for both programs.</w:t>
      </w:r>
    </w:p>
    <w:p>
      <w:pPr>
        <w:spacing w:after="0" w:line="181"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During the three months ended March 31, 2021, we recognized $1.5 million as revenue under the 2019 KKC Agreement in the accompanying condensed statement of operations and comprehensive loss. The aggregate amount of the transaction price allocated to our partially unsatisfied performance obligations as of March 31, 2021 was $2.7 million which is presented in the accompanying condensed balance sheet as deferred revenue. As of March 31, 2021, we expect to recognize the remaining transaction price allocated to our partially unsatisfied performance obligations over the remaining research terms, which is currently expected to extend through the end of 2021. There were no significant changes in estimates associated with the 2019 KKC Agreement during the three months ended March 31, 2021.</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KKC Agreement</w:t>
      </w:r>
    </w:p>
    <w:p>
      <w:pPr>
        <w:spacing w:after="0" w:line="218"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6"/>
          <w:szCs w:val="16"/>
          <w:color w:val="auto"/>
        </w:rPr>
        <w:t>In November 2017, we entered into an exclusive license agreement with KKC (the “2017 KKC Agreement”), for the development, commercialization, and distribution of tenapanor in Japan for cardiorenal indications. We granted KKC an exclusive license to develop and commercialize certain sodium hydrogen exchanger 3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KKC Agreement, KKC is responsible for all costs and expenses incurred in the development and commercialization of tenapanor for all licensed indications in Japan. We are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We assessed these arrangements in accordance with Accounting Standards Update (“ASU”) No. 2014-09, </w:t>
      </w:r>
      <w:r>
        <w:rPr>
          <w:rFonts w:ascii="Arial" w:cs="Arial" w:eastAsia="Arial" w:hAnsi="Arial"/>
          <w:sz w:val="15"/>
          <w:szCs w:val="15"/>
          <w:i w:val="1"/>
          <w:iCs w:val="1"/>
          <w:color w:val="auto"/>
        </w:rPr>
        <w:t>Revenue from Contracts with Customers (Topic</w:t>
      </w:r>
    </w:p>
    <w:p>
      <w:pPr>
        <w:spacing w:after="0" w:line="47" w:lineRule="exact"/>
        <w:rPr>
          <w:sz w:val="20"/>
          <w:szCs w:val="20"/>
          <w:color w:val="auto"/>
        </w:rPr>
      </w:pPr>
    </w:p>
    <w:p>
      <w:pPr>
        <w:jc w:val="both"/>
        <w:ind w:firstLine="3"/>
        <w:spacing w:after="0" w:line="258" w:lineRule="auto"/>
        <w:tabs>
          <w:tab w:leader="none" w:pos="36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and related amendments (“ASC 606”) </w:t>
      </w:r>
      <w:r>
        <w:rPr>
          <w:rFonts w:ascii="Arial" w:cs="Arial" w:eastAsia="Arial" w:hAnsi="Arial"/>
          <w:sz w:val="17"/>
          <w:szCs w:val="17"/>
          <w:color w:val="auto"/>
        </w:rPr>
        <w:t>and concluded that the contract counterparty, KKC, is a customer. Under the terms of the 2017 KKC Agreement, we</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$30.0 million in upfront license fees, which was recognized as revenue when the agreement was executed. Based on our assessment, management determined that the license and the manufacturing supply services were its material performance obligations at the inception of the 2017 KKC Agreement, and as such, each of the performance obligations is distinct.</w:t>
      </w:r>
    </w:p>
    <w:p>
      <w:pPr>
        <w:spacing w:after="0" w:line="180"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In addition to the up-front license fee received of $30.0 million, we may be entitled to receive up to $55.0 million in total development milestones, of which $10.0 million has been recognized as revenue and $5.0 million has been received as of March 31, 2021, and approximately ¥8.5 billion for commercialization milestones, or approximately $76.5 million at the currency exchange rate on March 31, 2021, as well as reimbursement of costs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March 31, 2021.</w:t>
      </w:r>
    </w:p>
    <w:p>
      <w:pPr>
        <w:spacing w:after="0" w:line="163"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During the three months ended March 31, 2021 and 2020, we recognized $5.0 million and zero, respectively, as licensing revenue upon the achievement of development milestones. The $5.0 million development milestone recognized during the three months ended March 31, 2021 related to the initiation by KKC of phase 3 clinical studies in Japan to evaluate tenapanor for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hyperphosphatemia. During the three months ended March 31, 2021, we recognized $0.1 million as product supply revenue related to the manufacturing supply of tenapanor and other materials to KKC pursuant to the 2017 KKC Agreement. Similarly, for the three months ended March 31, 2020, $13.0 thousand was recognized as product supply revenue.</w:t>
      </w:r>
    </w:p>
    <w:p>
      <w:pPr>
        <w:spacing w:after="0" w:line="172"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During the three months ended March 31, 2021 we recorded a $2.9 million prepayment that is due to us from KKC for the manufacturing of tenapanor drug substance. The prepayment is reflected within prepaid and other current assets and deferred revenue, non-current on our condensed balance sheet as of March 31, 2021.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Shanghai Fosun Pharmaceutical Industrial Development Co. Ltd. (“Fosun Pharma”)</w:t>
      </w:r>
    </w:p>
    <w:p>
      <w:pPr>
        <w:spacing w:after="0" w:line="218" w:lineRule="exact"/>
        <w:rPr>
          <w:sz w:val="20"/>
          <w:szCs w:val="20"/>
          <w:color w:val="auto"/>
        </w:rPr>
      </w:pPr>
    </w:p>
    <w:p>
      <w:pPr>
        <w:jc w:val="both"/>
        <w:ind w:firstLine="310"/>
        <w:spacing w:after="0" w:line="304" w:lineRule="auto"/>
        <w:rPr>
          <w:sz w:val="20"/>
          <w:szCs w:val="20"/>
          <w:color w:val="auto"/>
        </w:rPr>
      </w:pPr>
      <w:r>
        <w:rPr>
          <w:rFonts w:ascii="Arial" w:cs="Arial" w:eastAsia="Arial" w:hAnsi="Arial"/>
          <w:sz w:val="15"/>
          <w:szCs w:val="15"/>
          <w:color w:val="auto"/>
        </w:rPr>
        <w:t>In December 2017, we entered into an exclusive license agreement with Fosun Pharma (the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 $12.0 million in upfront license fees which was recognized as revenue when the agreement was executed. Based on management’s assessment, we determined that the license and the manufacturing supply services represented the material performance obligations at the inception of the agreement, and as such, each of the performance obligations is distinct.</w:t>
      </w:r>
    </w:p>
    <w:p>
      <w:pPr>
        <w:spacing w:after="0" w:line="14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March 31, 2021.</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recorded no revenue during the three months ended March 31, 2021 related to the Fosun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Knight Therapeutics, Inc. (“Knight“)</w:t>
      </w:r>
    </w:p>
    <w:p>
      <w:pPr>
        <w:spacing w:after="0" w:line="218"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In March 2018, we entered into an exclusive license agreement with Knight (the “Knight Agreement”), for the development, commercialization and distribution of tenapanor in Canada for hyperphosphatemia and IBS-C. We assessed this arrangement in accordance with ASC 606 and concluded that the contract counterparty, Knight, is a customer. Based on management’s assessment, we determined that the license and the manufacturing supply services represented the material performance obligations at the inception of the agreement, and as such, each of the performance obligations is distinct. Under the terms of the agreement, we received a $2.3 million nonrefundable, one-time upfront payment in March 2018 and are eligible to receive additional development and commercialization milestone payments worth up to $17.6 million. We are also eligible to receive royalties throughout the term of the agreement, and a transfer price for manufacturing services. The variable consideration related to the remaining development milestone payments has not been included in the transaction price as they were fully constrained at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AstraZeneca AB (“AstraZeneca”)</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June 2015, we entered into a termination agreement with AstraZeneca (the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As of March 31, 2021, to date in aggregate, we have recognized $11.6 million of the $75.0 million, which has been recorded as cost of revenue, and have paid AstraZeneca $10.6 million. For the three months ended March 31, 2021 we recognized and recorded as cost of revenue $1.0 million related to the AstraZeneca Termination Agreement. For the three months ended March 31, 2020 we recognized no cost of revenue related to the AstraZeneca Termination Agreement.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218" w:lineRule="exact"/>
        <w:rPr>
          <w:sz w:val="20"/>
          <w:szCs w:val="20"/>
          <w:color w:val="auto"/>
        </w:rPr>
      </w:pPr>
    </w:p>
    <w:p>
      <w:pPr>
        <w:jc w:val="both"/>
        <w:ind w:firstLine="310"/>
        <w:spacing w:after="0" w:line="315" w:lineRule="auto"/>
        <w:rPr>
          <w:sz w:val="20"/>
          <w:szCs w:val="20"/>
          <w:color w:val="auto"/>
        </w:rPr>
      </w:pPr>
      <w:r>
        <w:rPr>
          <w:rFonts w:ascii="Arial" w:cs="Arial" w:eastAsia="Arial" w:hAnsi="Arial"/>
          <w:sz w:val="16"/>
          <w:szCs w:val="16"/>
          <w:color w:val="auto"/>
        </w:rPr>
        <w:t>The following tables present changes in our current and non-current deferred revenue balances during the reporting period. The current deferred revenue balance is attributable entirely to the 2019 KKC Agreement and the non-current deferred revenue balance is attributable entirely to the 2017 KKC Agreement.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Deferred revenue -</w:t>
            </w:r>
          </w:p>
        </w:tc>
      </w:tr>
      <w:tr>
        <w:trPr>
          <w:trHeight w:val="180"/>
        </w:trPr>
        <w:tc>
          <w:tcPr>
            <w:tcW w:w="3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current</w:t>
            </w:r>
          </w:p>
        </w:tc>
      </w:tr>
      <w:tr>
        <w:trPr>
          <w:trHeight w:val="214"/>
        </w:trPr>
        <w:tc>
          <w:tcPr>
            <w:tcW w:w="9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44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center"/>
              <w:ind w:left="380"/>
              <w:spacing w:after="0"/>
              <w:rPr>
                <w:sz w:val="20"/>
                <w:szCs w:val="20"/>
                <w:color w:val="auto"/>
              </w:rPr>
            </w:pPr>
            <w:r>
              <w:rPr>
                <w:rFonts w:ascii="Arial" w:cs="Arial" w:eastAsia="Arial" w:hAnsi="Arial"/>
                <w:sz w:val="17"/>
                <w:szCs w:val="17"/>
                <w:color w:val="auto"/>
                <w:w w:val="93"/>
              </w:rPr>
              <w:t>4,177</w:t>
            </w:r>
          </w:p>
        </w:tc>
        <w:tc>
          <w:tcPr>
            <w:tcW w:w="100" w:type="dxa"/>
            <w:vAlign w:val="bottom"/>
          </w:tcPr>
          <w:p>
            <w:pPr>
              <w:spacing w:after="0"/>
              <w:rPr>
                <w:sz w:val="18"/>
                <w:szCs w:val="18"/>
                <w:color w:val="auto"/>
              </w:rPr>
            </w:pPr>
          </w:p>
        </w:tc>
      </w:tr>
      <w:tr>
        <w:trPr>
          <w:trHeight w:val="220"/>
        </w:trPr>
        <w:tc>
          <w:tcPr>
            <w:tcW w:w="9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Decreases due to revenue recognized in the period for which cash has been received</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60"/>
              <w:spacing w:after="0"/>
              <w:rPr>
                <w:sz w:val="20"/>
                <w:szCs w:val="20"/>
                <w:color w:val="auto"/>
              </w:rPr>
            </w:pPr>
            <w:r>
              <w:rPr>
                <w:rFonts w:ascii="Arial" w:cs="Arial" w:eastAsia="Arial" w:hAnsi="Arial"/>
                <w:sz w:val="17"/>
                <w:szCs w:val="17"/>
                <w:color w:val="auto"/>
                <w:w w:val="92"/>
              </w:rPr>
              <w:t>(1,454)</w:t>
            </w:r>
          </w:p>
        </w:tc>
        <w:tc>
          <w:tcPr>
            <w:tcW w:w="100" w:type="dxa"/>
            <w:vAlign w:val="bottom"/>
          </w:tcPr>
          <w:p>
            <w:pPr>
              <w:spacing w:after="0"/>
              <w:rPr>
                <w:sz w:val="19"/>
                <w:szCs w:val="19"/>
                <w:color w:val="auto"/>
              </w:rPr>
            </w:pPr>
          </w:p>
        </w:tc>
      </w:tr>
      <w:tr>
        <w:trPr>
          <w:trHeight w:val="238"/>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March 31, 2021</w:t>
            </w: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center"/>
              <w:ind w:left="380"/>
              <w:spacing w:after="0"/>
              <w:rPr>
                <w:sz w:val="20"/>
                <w:szCs w:val="20"/>
                <w:color w:val="auto"/>
              </w:rPr>
            </w:pPr>
            <w:r>
              <w:rPr>
                <w:rFonts w:ascii="Arial" w:cs="Arial" w:eastAsia="Arial" w:hAnsi="Arial"/>
                <w:sz w:val="17"/>
                <w:szCs w:val="17"/>
                <w:color w:val="auto"/>
                <w:w w:val="93"/>
              </w:rPr>
              <w:t>2,723</w:t>
            </w:r>
          </w:p>
        </w:tc>
        <w:tc>
          <w:tcPr>
            <w:tcW w:w="100" w:type="dxa"/>
            <w:vAlign w:val="bottom"/>
          </w:tcPr>
          <w:p>
            <w:pPr>
              <w:spacing w:after="0"/>
              <w:rPr>
                <w:sz w:val="20"/>
                <w:szCs w:val="20"/>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9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4"/>
        </w:trPr>
        <w:tc>
          <w:tcPr>
            <w:tcW w:w="32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Deferred revenue</w:t>
            </w:r>
          </w:p>
        </w:tc>
      </w:tr>
      <w:tr>
        <w:trPr>
          <w:trHeight w:val="180"/>
        </w:trPr>
        <w:tc>
          <w:tcPr>
            <w:tcW w:w="320" w:type="dxa"/>
            <w:vAlign w:val="bottom"/>
          </w:tcPr>
          <w:p>
            <w:pPr>
              <w:spacing w:after="0"/>
              <w:rPr>
                <w:sz w:val="15"/>
                <w:szCs w:val="15"/>
                <w:color w:val="auto"/>
              </w:rPr>
            </w:pPr>
          </w:p>
        </w:tc>
        <w:tc>
          <w:tcPr>
            <w:tcW w:w="95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6"/>
              </w:rPr>
              <w:t>non-current</w:t>
            </w:r>
          </w:p>
        </w:tc>
      </w:tr>
      <w:tr>
        <w:trPr>
          <w:trHeight w:val="214"/>
        </w:trPr>
        <w:tc>
          <w:tcPr>
            <w:tcW w:w="320" w:type="dxa"/>
            <w:vAlign w:val="bottom"/>
          </w:tcPr>
          <w:p>
            <w:pPr>
              <w:spacing w:after="0"/>
              <w:rPr>
                <w:sz w:val="18"/>
                <w:szCs w:val="18"/>
                <w:color w:val="auto"/>
              </w:rPr>
            </w:pPr>
          </w:p>
        </w:tc>
        <w:tc>
          <w:tcPr>
            <w:tcW w:w="9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 at December 31, 2020</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0"/>
        </w:trPr>
        <w:tc>
          <w:tcPr>
            <w:tcW w:w="320" w:type="dxa"/>
            <w:vAlign w:val="bottom"/>
          </w:tcPr>
          <w:p>
            <w:pPr>
              <w:spacing w:after="0"/>
              <w:rPr>
                <w:sz w:val="19"/>
                <w:szCs w:val="19"/>
                <w:color w:val="auto"/>
              </w:rPr>
            </w:pPr>
          </w:p>
        </w:tc>
        <w:tc>
          <w:tcPr>
            <w:tcW w:w="950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Increases to amounts invoiced, for which cash has not yet been received</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2,9</w:t>
            </w:r>
          </w:p>
        </w:tc>
      </w:tr>
      <w:tr>
        <w:trPr>
          <w:trHeight w:val="238"/>
        </w:trPr>
        <w:tc>
          <w:tcPr>
            <w:tcW w:w="320" w:type="dxa"/>
            <w:vAlign w:val="bottom"/>
          </w:tcPr>
          <w:p>
            <w:pPr>
              <w:spacing w:after="0"/>
              <w:rPr>
                <w:sz w:val="20"/>
                <w:szCs w:val="20"/>
                <w:color w:val="auto"/>
              </w:rPr>
            </w:pPr>
          </w:p>
        </w:tc>
        <w:tc>
          <w:tcPr>
            <w:tcW w:w="9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at March 31, 2021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r>
      <w:tr>
        <w:trPr>
          <w:trHeight w:val="20"/>
        </w:trPr>
        <w:tc>
          <w:tcPr>
            <w:tcW w:w="320" w:type="dxa"/>
            <w:vAlign w:val="bottom"/>
          </w:tcPr>
          <w:p>
            <w:pPr>
              <w:spacing w:after="0" w:line="20" w:lineRule="exact"/>
              <w:rPr>
                <w:sz w:val="1"/>
                <w:szCs w:val="1"/>
                <w:color w:val="auto"/>
              </w:rPr>
            </w:pPr>
          </w:p>
        </w:tc>
        <w:tc>
          <w:tcPr>
            <w:tcW w:w="9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BORROWING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Solar Capital and Western Alliance Bank Loan Agreement</w:t>
      </w:r>
    </w:p>
    <w:p>
      <w:pPr>
        <w:spacing w:after="0" w:line="218" w:lineRule="exact"/>
        <w:rPr>
          <w:sz w:val="20"/>
          <w:szCs w:val="20"/>
          <w:color w:val="auto"/>
        </w:rPr>
      </w:pPr>
    </w:p>
    <w:p>
      <w:pPr>
        <w:jc w:val="both"/>
        <w:ind w:right="100" w:firstLine="310"/>
        <w:spacing w:after="0" w:line="315" w:lineRule="auto"/>
        <w:rPr>
          <w:sz w:val="20"/>
          <w:szCs w:val="20"/>
          <w:color w:val="auto"/>
        </w:rPr>
      </w:pPr>
      <w:r>
        <w:rPr>
          <w:rFonts w:ascii="Arial" w:cs="Arial" w:eastAsia="Arial" w:hAnsi="Arial"/>
          <w:sz w:val="16"/>
          <w:szCs w:val="16"/>
          <w:color w:val="auto"/>
        </w:rPr>
        <w:t>On May 16, 2018, we entered into a loan and security agreement (the “Loan Agreement”), with Solar Capital Ltd. and Western Alliance Bank (collectively the “Lenders”). The Loan Agreement provides for a $50.0 million term loan facility with a maturity date of November 1, 2022 (the “Term Loan”).</w:t>
      </w:r>
    </w:p>
    <w:p>
      <w:pPr>
        <w:spacing w:after="0" w:line="137" w:lineRule="exact"/>
        <w:rPr>
          <w:sz w:val="20"/>
          <w:szCs w:val="20"/>
          <w:color w:val="auto"/>
        </w:rPr>
      </w:pPr>
    </w:p>
    <w:p>
      <w:pPr>
        <w:jc w:val="both"/>
        <w:ind w:right="100" w:firstLine="310"/>
        <w:spacing w:after="0" w:line="258" w:lineRule="auto"/>
        <w:rPr>
          <w:sz w:val="20"/>
          <w:szCs w:val="20"/>
          <w:color w:val="auto"/>
        </w:rPr>
      </w:pPr>
      <w:r>
        <w:rPr>
          <w:rFonts w:ascii="Arial" w:cs="Arial" w:eastAsia="Arial" w:hAnsi="Arial"/>
          <w:sz w:val="17"/>
          <w:szCs w:val="17"/>
          <w:color w:val="auto"/>
        </w:rPr>
        <w:t>On October 9, 2020, we and the Lenders entered into an amendment to the Loan Agreement (“the 2020 Amendment”) to extend the date through which we are permitted to make interest-only payments on the Term Loan by twelve months to December 1, 2021. The 2020 amendment also requires that if either the FDA does not approve our New Drug Application ("NDA") for tenapanor for the control of serum phosphorus in adult patients with chronic kidney disease ("CKD") on dialysis on or before May 31, 2021 or the U.S. Food and Drug Administration ("FDA") issues a CRL with respect to our NDA Number 213931, then we are to begin principal payments on the earlier of June 1, 2021 or the first day of the month immediately following the date that the FDA issues us a CRL. On April 29, 2021, the FDA extended the Prescription Drug User Fee Act ("PDUFA") date for tenapanor for the control of serum phosphorus in adult patients with CKD on dialysis by three months to July 29, 2021, making it unlikely that the FDA would approve our NDA for tenapanor for the control of serum phosphorus in adult patients with CKD on dialysis on or before May 31, 2021.</w:t>
      </w:r>
    </w:p>
    <w:p>
      <w:pPr>
        <w:spacing w:after="0" w:line="180" w:lineRule="exact"/>
        <w:rPr>
          <w:sz w:val="20"/>
          <w:szCs w:val="20"/>
          <w:color w:val="auto"/>
        </w:rPr>
      </w:pPr>
    </w:p>
    <w:p>
      <w:pPr>
        <w:jc w:val="both"/>
        <w:ind w:right="100" w:firstLine="310"/>
        <w:spacing w:after="0" w:line="258" w:lineRule="auto"/>
        <w:rPr>
          <w:sz w:val="20"/>
          <w:szCs w:val="20"/>
          <w:color w:val="auto"/>
        </w:rPr>
      </w:pPr>
      <w:r>
        <w:rPr>
          <w:rFonts w:ascii="Arial" w:cs="Arial" w:eastAsia="Arial" w:hAnsi="Arial"/>
          <w:sz w:val="17"/>
          <w:szCs w:val="17"/>
          <w:color w:val="auto"/>
        </w:rPr>
        <w:t>In May 2021, we and the Lenders entered into an additional amendment to the Loan Agreement (“the 2021 Amendment”) to extend the date by which FDA approval is required in order to continue interest-only payments through December 1, 2021. The 2021 Amendment requires that if either the FDA does not approve our NDA Number 213931 for tenapanor for the control of serum phosphorus in adult patients with CKD on dialysis on or before July 31, 2021 or the FDA issues a complete response letter (“CRL”) for tenapanor for the control of serum phosphorus in adult patients with CKD on dialysis, then we are to begin principal payments on the earlier of August 1, 2021 or the first day of the month immediately following the date that the FDA issues us a CRL. If principal repayments are required to begin prior to December 1, 2021 under the 2021 Amendment then the first principal repayment would include all payments that would have been due if principal repayment had begun on June 1, 2021.</w:t>
      </w:r>
    </w:p>
    <w:p>
      <w:pPr>
        <w:spacing w:after="0" w:line="183" w:lineRule="exact"/>
        <w:rPr>
          <w:sz w:val="20"/>
          <w:szCs w:val="20"/>
          <w:color w:val="auto"/>
        </w:rPr>
      </w:pPr>
    </w:p>
    <w:p>
      <w:pPr>
        <w:jc w:val="both"/>
        <w:ind w:right="100" w:firstLine="310"/>
        <w:spacing w:after="0" w:line="276" w:lineRule="auto"/>
        <w:rPr>
          <w:sz w:val="20"/>
          <w:szCs w:val="20"/>
          <w:color w:val="auto"/>
        </w:rPr>
      </w:pPr>
      <w:r>
        <w:rPr>
          <w:rFonts w:ascii="Arial" w:cs="Arial" w:eastAsia="Arial" w:hAnsi="Arial"/>
          <w:sz w:val="16"/>
          <w:szCs w:val="16"/>
          <w:color w:val="auto"/>
        </w:rPr>
        <w:t>We paid a closing fee of 1% of the Term Loan, or $0.5 million, upon the closing of the Term Loan, and $0.1 million upon closing of the 2020 Amendment. Under the Term Loan, we are also obligated to pay a final fee equal to 4.95% of the Term Loan upon the earliest to occur of the maturity date, the acceleration of the Term Loan, the prepayment or repayment of the Term Loan or the termination of the Loan Agreement. We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our assets, except for our intellectual property and certain other customary exclusions. Additionally, in connection with the Term Loan, we entered into the Exit Fee Agreement, as discussed in Note 6.</w:t>
      </w:r>
    </w:p>
    <w:p>
      <w:pPr>
        <w:spacing w:after="0" w:line="168" w:lineRule="exact"/>
        <w:rPr>
          <w:sz w:val="20"/>
          <w:szCs w:val="20"/>
          <w:color w:val="auto"/>
        </w:rPr>
      </w:pPr>
    </w:p>
    <w:p>
      <w:pPr>
        <w:jc w:val="both"/>
        <w:ind w:right="100" w:firstLine="310"/>
        <w:spacing w:after="0" w:line="268" w:lineRule="auto"/>
        <w:rPr>
          <w:sz w:val="20"/>
          <w:szCs w:val="20"/>
          <w:color w:val="auto"/>
        </w:rPr>
      </w:pPr>
      <w:r>
        <w:rPr>
          <w:rFonts w:ascii="Arial" w:cs="Arial" w:eastAsia="Arial" w:hAnsi="Arial"/>
          <w:sz w:val="17"/>
          <w:szCs w:val="17"/>
          <w:color w:val="auto"/>
        </w:rPr>
        <w:t>The Loan Agreement also contains customary events of default that entitle the Lender to cause us indebtedness under the Loan Agreement to become immediately due and payable, and to exercise remedies against us and the collateral securing the Term Loan, including our cash. Upon the occurrence and for the duration of an event of default, an additional default interest</w:t>
      </w: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334" w:right="2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rate equal to 4% per annum will apply to all amounts owed under the Loan Agreement. As of March 31, 2021, to our knowledge, there were no facts or circumstances in existence that would give rise to an event of default.</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March 31, 2021, our future payment obligations related to the Term Loan, excluding interest payments and the Exit Fee,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repayment obligations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52,475</w:t>
            </w:r>
          </w:p>
        </w:tc>
      </w:tr>
      <w:tr>
        <w:trPr>
          <w:trHeight w:val="220"/>
        </w:trPr>
        <w:tc>
          <w:tcPr>
            <w:tcW w:w="9780" w:type="dxa"/>
            <w:vAlign w:val="bottom"/>
          </w:tcPr>
          <w:p>
            <w:pPr>
              <w:ind w:left="120"/>
              <w:spacing w:after="0"/>
              <w:rPr>
                <w:sz w:val="20"/>
                <w:szCs w:val="20"/>
                <w:color w:val="auto"/>
              </w:rPr>
            </w:pPr>
            <w:r>
              <w:rPr>
                <w:rFonts w:ascii="Arial" w:cs="Arial" w:eastAsia="Arial" w:hAnsi="Arial"/>
                <w:sz w:val="17"/>
                <w:szCs w:val="17"/>
                <w:color w:val="auto"/>
              </w:rPr>
              <w:t>Less: Unamortized discount and debt issuance costs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20"/>
        </w:trPr>
        <w:tc>
          <w:tcPr>
            <w:tcW w:w="9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Less: Unaccreted value of final fee</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w:t>
            </w:r>
          </w:p>
        </w:tc>
      </w:tr>
      <w:tr>
        <w:trPr>
          <w:trHeight w:val="213"/>
        </w:trPr>
        <w:tc>
          <w:tcPr>
            <w:tcW w:w="9780" w:type="dxa"/>
            <w:vAlign w:val="bottom"/>
          </w:tcPr>
          <w:p>
            <w:pPr>
              <w:ind w:left="20"/>
              <w:spacing w:after="0"/>
              <w:rPr>
                <w:sz w:val="20"/>
                <w:szCs w:val="20"/>
                <w:color w:val="auto"/>
              </w:rPr>
            </w:pPr>
            <w:r>
              <w:rPr>
                <w:rFonts w:ascii="Arial" w:cs="Arial" w:eastAsia="Arial" w:hAnsi="Arial"/>
                <w:sz w:val="17"/>
                <w:szCs w:val="17"/>
                <w:color w:val="auto"/>
              </w:rPr>
              <w:t>Loan payable</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51,015</w:t>
            </w:r>
          </w:p>
        </w:tc>
      </w:tr>
      <w:tr>
        <w:trPr>
          <w:trHeight w:val="220"/>
        </w:trPr>
        <w:tc>
          <w:tcPr>
            <w:tcW w:w="9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Less: Loan payable, current portion</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(16,667)</w:t>
            </w:r>
          </w:p>
        </w:tc>
      </w:tr>
      <w:tr>
        <w:trPr>
          <w:trHeight w:val="213"/>
        </w:trPr>
        <w:tc>
          <w:tcPr>
            <w:tcW w:w="9780" w:type="dxa"/>
            <w:vAlign w:val="bottom"/>
          </w:tcPr>
          <w:p>
            <w:pPr>
              <w:ind w:left="20"/>
              <w:spacing w:after="0"/>
              <w:rPr>
                <w:sz w:val="20"/>
                <w:szCs w:val="20"/>
                <w:color w:val="auto"/>
              </w:rPr>
            </w:pPr>
            <w:r>
              <w:rPr>
                <w:rFonts w:ascii="Arial" w:cs="Arial" w:eastAsia="Arial" w:hAnsi="Arial"/>
                <w:sz w:val="17"/>
                <w:szCs w:val="17"/>
                <w:color w:val="auto"/>
              </w:rPr>
              <w:t>Loan payable, net of current portion</w:t>
            </w: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34,348</w:t>
            </w:r>
          </w:p>
        </w:tc>
      </w:tr>
      <w:tr>
        <w:trPr>
          <w:trHeight w:val="20"/>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DERIVATIVE LIABILITY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Exit Fee</w:t>
      </w:r>
    </w:p>
    <w:p>
      <w:pPr>
        <w:spacing w:after="0" w:line="218"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In May 2018, in connection with entering into the Loan Agreement, as defined and discussed in Note 5, we entered into an agreement pursuant to which we agreed to pay $1.5 million in cash (the “Exit Fee”) upon any change of control transaction in respect of the Company or if we obtain both (i) FDA approval of tenapanor for the control of serum phosphorus in adult patients with CKD on dialysis and (ii) FDA approval of tenapanor for the treatment of patients with irritable bowel syndrome with constipation (“IBS-C”), which was obtained on September 12, 2019 when the FDA approved IBSRELA® (tenapanor), a 50 milligram, twice daily oral pill for the treatment of IBS-C in adults (the “Exit Fee Agreement”). Notwithstanding the prepayment or termination of the Term Loan, as defined and discussed in Note 5, our obligation to pay the Exit Fee will expire on May 16, 2028. We concluded that the Exit Fee is a freestanding derivative which should be accounted for at fair value on a recurring basis. The estimated fair value of the Exit Fee is recorded as a derivative liability and included in accrued expenses and other current liabilities on the accompanying condensed balance sheets.</w:t>
      </w:r>
    </w:p>
    <w:p>
      <w:pPr>
        <w:spacing w:after="0" w:line="168"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derivative liability include: (i) our estimates of both the probability and timing of a potential $1.5 million payment to Solar Capital Ltd. and Western Alliance Bank as a result of the FDA approvals and (ii) a discount rate which was derived from our estimated cost of debt, adjusted with current LIBOR (or a comparable successor rate if LIBOR no longer exists). Generally, increases or decreases in the probability of occurrence would result in a directionally similar impact in the fair value measurement of the derivative liability and it is estimated that a 10% increase (decrease), not to exceed 100%, in the probability of occurrence would result in a fair value fluctuation of no more than $0.1 million.</w:t>
      </w:r>
    </w:p>
    <w:p>
      <w:pPr>
        <w:spacing w:after="0" w:line="183"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Changes in the fair value of recurring measurements included in Level 3 of the fair value hierarchy are presented as other income (expense), net in our statements of operations and were as follows for the three months ended March 31, 2021 and 2020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79"/>
        </w:trPr>
        <w:tc>
          <w:tcPr>
            <w:tcW w:w="8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Exit Fee derivative liability at January 1</w:t>
            </w:r>
          </w:p>
        </w:tc>
        <w:tc>
          <w:tcPr>
            <w:tcW w:w="92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r>
      <w:tr>
        <w:trPr>
          <w:trHeight w:val="22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Change in estimated fair value of derivative liability</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Exit Fee derivative liability at March 31</w:t>
            </w: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1,051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LEASES</w:t>
      </w:r>
    </w:p>
    <w:p>
      <w:pPr>
        <w:spacing w:after="0" w:line="224"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provides additional details of our facility leases presented in the condensed balance sheet as of March 31, 2021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Facilities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Right of use assets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1,667</w:t>
            </w:r>
          </w:p>
        </w:tc>
        <w:tc>
          <w:tcPr>
            <w:tcW w:w="20" w:type="dxa"/>
            <w:vAlign w:val="bottom"/>
          </w:tcPr>
          <w:p>
            <w:pPr>
              <w:spacing w:after="0"/>
              <w:rPr>
                <w:sz w:val="19"/>
                <w:szCs w:val="19"/>
                <w:color w:val="auto"/>
              </w:rPr>
            </w:pPr>
          </w:p>
        </w:tc>
      </w:tr>
      <w:tr>
        <w:trPr>
          <w:trHeight w:val="245"/>
        </w:trPr>
        <w:tc>
          <w:tcPr>
            <w:tcW w:w="8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Current portion of lease liabilities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1,412</w:t>
            </w:r>
          </w:p>
        </w:tc>
        <w:tc>
          <w:tcPr>
            <w:tcW w:w="2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liability, net of current portion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397</w:t>
            </w:r>
          </w:p>
        </w:tc>
        <w:tc>
          <w:tcPr>
            <w:tcW w:w="20" w:type="dxa"/>
            <w:vAlign w:val="bottom"/>
          </w:tcPr>
          <w:p>
            <w:pPr>
              <w:spacing w:after="0"/>
              <w:rPr>
                <w:sz w:val="19"/>
                <w:szCs w:val="19"/>
                <w:color w:val="auto"/>
              </w:rPr>
            </w:pPr>
          </w:p>
        </w:tc>
      </w:tr>
      <w:tr>
        <w:trPr>
          <w:trHeight w:val="213"/>
        </w:trPr>
        <w:tc>
          <w:tcPr>
            <w:tcW w:w="8280" w:type="dxa"/>
            <w:vAlign w:val="bottom"/>
          </w:tcPr>
          <w:p>
            <w:pPr>
              <w:ind w:left="340"/>
              <w:spacing w:after="0"/>
              <w:rPr>
                <w:sz w:val="20"/>
                <w:szCs w:val="20"/>
                <w:color w:val="auto"/>
              </w:rPr>
            </w:pPr>
            <w:r>
              <w:rPr>
                <w:rFonts w:ascii="Arial" w:cs="Arial" w:eastAsia="Arial" w:hAnsi="Arial"/>
                <w:sz w:val="17"/>
                <w:szCs w:val="17"/>
                <w:color w:val="auto"/>
              </w:rPr>
              <w:t>Total</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1,809</w:t>
            </w:r>
          </w:p>
        </w:tc>
        <w:tc>
          <w:tcPr>
            <w:tcW w:w="20" w:type="dxa"/>
            <w:vAlign w:val="bottom"/>
          </w:tcPr>
          <w:p>
            <w:pPr>
              <w:spacing w:after="0"/>
              <w:rPr>
                <w:sz w:val="18"/>
                <w:szCs w:val="18"/>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Weighted-average remaining life (years)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1.60</w:t>
            </w:r>
          </w:p>
        </w:tc>
        <w:tc>
          <w:tcPr>
            <w:tcW w:w="20" w:type="dxa"/>
            <w:vAlign w:val="bottom"/>
          </w:tcPr>
          <w:p>
            <w:pPr>
              <w:spacing w:after="0"/>
              <w:rPr>
                <w:sz w:val="19"/>
                <w:szCs w:val="19"/>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discount rate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11.23 %</w:t>
            </w:r>
          </w:p>
        </w:tc>
        <w:tc>
          <w:tcPr>
            <w:tcW w:w="20" w:type="dxa"/>
            <w:vAlign w:val="bottom"/>
          </w:tcPr>
          <w:p>
            <w:pPr>
              <w:spacing w:after="0"/>
              <w:rPr>
                <w:sz w:val="19"/>
                <w:szCs w:val="19"/>
                <w:color w:val="auto"/>
              </w:rPr>
            </w:pPr>
          </w:p>
        </w:tc>
      </w:tr>
      <w:tr>
        <w:trPr>
          <w:trHeight w:val="504"/>
        </w:trPr>
        <w:tc>
          <w:tcPr>
            <w:tcW w:w="8620" w:type="dxa"/>
            <w:vAlign w:val="bottom"/>
            <w:gridSpan w:val="2"/>
          </w:tcPr>
          <w:p>
            <w:pPr>
              <w:ind w:left="320"/>
              <w:spacing w:after="0"/>
              <w:rPr>
                <w:sz w:val="20"/>
                <w:szCs w:val="20"/>
                <w:color w:val="auto"/>
              </w:rPr>
            </w:pPr>
            <w:r>
              <w:rPr>
                <w:rFonts w:ascii="Arial" w:cs="Arial" w:eastAsia="Arial" w:hAnsi="Arial"/>
                <w:sz w:val="17"/>
                <w:szCs w:val="17"/>
                <w:color w:val="auto"/>
                <w:w w:val="92"/>
              </w:rPr>
              <w:t>Lease costs, which are included in operating expenses in our statements of operations, were as follows (in thousands):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1"/>
        </w:trPr>
        <w:tc>
          <w:tcPr>
            <w:tcW w:w="8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jc w:val="right"/>
              <w:ind w:right="435"/>
              <w:spacing w:after="0"/>
              <w:rPr>
                <w:sz w:val="20"/>
                <w:szCs w:val="20"/>
                <w:color w:val="auto"/>
              </w:rPr>
            </w:pPr>
            <w:r>
              <w:rPr>
                <w:rFonts w:ascii="Arial" w:cs="Arial" w:eastAsia="Arial" w:hAnsi="Arial"/>
                <w:sz w:val="14"/>
                <w:szCs w:val="14"/>
                <w:b w:val="1"/>
                <w:bCs w:val="1"/>
                <w:color w:val="auto"/>
                <w:w w:val="99"/>
              </w:rPr>
              <w:t>Three Months Ended March 31,</w:t>
            </w:r>
          </w:p>
        </w:tc>
        <w:tc>
          <w:tcPr>
            <w:tcW w:w="20" w:type="dxa"/>
            <w:vAlign w:val="bottom"/>
            <w:tcBorders>
              <w:bottom w:val="single" w:sz="8" w:color="auto"/>
            </w:tcBorders>
          </w:tcPr>
          <w:p>
            <w:pPr>
              <w:spacing w:after="0"/>
              <w:rPr>
                <w:sz w:val="17"/>
                <w:szCs w:val="17"/>
                <w:color w:val="auto"/>
              </w:rPr>
            </w:pPr>
          </w:p>
        </w:tc>
      </w:tr>
      <w:tr>
        <w:trPr>
          <w:trHeight w:val="179"/>
        </w:trPr>
        <w:tc>
          <w:tcPr>
            <w:tcW w:w="8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expense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52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2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Cash paid for operating leases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1,565</w:t>
            </w:r>
          </w:p>
        </w:tc>
        <w:tc>
          <w:tcPr>
            <w:tcW w:w="520" w:type="dxa"/>
            <w:vAlign w:val="bottom"/>
            <w:gridSpan w:val="4"/>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760</w:t>
            </w:r>
          </w:p>
        </w:tc>
        <w:tc>
          <w:tcPr>
            <w:tcW w:w="20" w:type="dxa"/>
            <w:vAlign w:val="bottom"/>
          </w:tcPr>
          <w:p>
            <w:pPr>
              <w:spacing w:after="0"/>
              <w:rPr>
                <w:sz w:val="19"/>
                <w:szCs w:val="19"/>
                <w:color w:val="auto"/>
              </w:rPr>
            </w:pPr>
          </w:p>
        </w:tc>
      </w:tr>
      <w:tr>
        <w:trPr>
          <w:trHeight w:val="491"/>
        </w:trPr>
        <w:tc>
          <w:tcPr>
            <w:tcW w:w="9640" w:type="dxa"/>
            <w:vAlign w:val="bottom"/>
            <w:gridSpan w:val="3"/>
          </w:tcPr>
          <w:p>
            <w:pPr>
              <w:ind w:left="320"/>
              <w:spacing w:after="0"/>
              <w:rPr>
                <w:sz w:val="20"/>
                <w:szCs w:val="20"/>
                <w:color w:val="auto"/>
              </w:rPr>
            </w:pPr>
            <w:r>
              <w:rPr>
                <w:rFonts w:ascii="Arial" w:cs="Arial" w:eastAsia="Arial" w:hAnsi="Arial"/>
                <w:sz w:val="17"/>
                <w:szCs w:val="17"/>
                <w:color w:val="auto"/>
                <w:w w:val="94"/>
              </w:rPr>
              <w:t>The following table summarizes our undiscounted cash payment obligations for our operating lease liabilities as of March 31, 2021: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6"/>
        </w:trPr>
        <w:tc>
          <w:tcPr>
            <w:tcW w:w="8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38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w:t>
            </w:r>
          </w:p>
        </w:tc>
        <w:tc>
          <w:tcPr>
            <w:tcW w:w="20" w:type="dxa"/>
            <w:vAlign w:val="bottom"/>
          </w:tcPr>
          <w:p>
            <w:pPr>
              <w:spacing w:after="0"/>
              <w:rPr>
                <w:sz w:val="19"/>
                <w:szCs w:val="19"/>
                <w:color w:val="auto"/>
              </w:rPr>
            </w:pP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w:t>
            </w:r>
          </w:p>
        </w:tc>
        <w:tc>
          <w:tcPr>
            <w:tcW w:w="20" w:type="dxa"/>
            <w:vAlign w:val="bottom"/>
          </w:tcPr>
          <w:p>
            <w:pPr>
              <w:spacing w:after="0"/>
              <w:rPr>
                <w:sz w:val="19"/>
                <w:szCs w:val="19"/>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undiscounted operating lease payments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1,932</w:t>
            </w:r>
          </w:p>
        </w:tc>
        <w:tc>
          <w:tcPr>
            <w:tcW w:w="20" w:type="dxa"/>
            <w:vAlign w:val="bottom"/>
          </w:tcPr>
          <w:p>
            <w:pPr>
              <w:spacing w:after="0"/>
              <w:rPr>
                <w:sz w:val="18"/>
                <w:szCs w:val="18"/>
                <w:color w:val="auto"/>
              </w:rPr>
            </w:pP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Imputed interest expenses</w:t>
            </w:r>
          </w:p>
        </w:tc>
        <w:tc>
          <w:tcPr>
            <w:tcW w:w="3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9"/>
                <w:szCs w:val="19"/>
                <w:color w:val="auto"/>
              </w:rPr>
            </w:pPr>
          </w:p>
        </w:tc>
      </w:tr>
      <w:tr>
        <w:trPr>
          <w:trHeight w:val="213"/>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operating lease liabilities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1,809</w:t>
            </w:r>
          </w:p>
        </w:tc>
        <w:tc>
          <w:tcPr>
            <w:tcW w:w="20" w:type="dxa"/>
            <w:vAlign w:val="bottom"/>
          </w:tcPr>
          <w:p>
            <w:pPr>
              <w:spacing w:after="0"/>
              <w:rPr>
                <w:sz w:val="18"/>
                <w:szCs w:val="18"/>
                <w:color w:val="auto"/>
              </w:rPr>
            </w:pPr>
          </w:p>
        </w:tc>
      </w:tr>
      <w:tr>
        <w:trPr>
          <w:trHeight w:val="220"/>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Less: Current portion of operating lease liability</w:t>
            </w:r>
          </w:p>
        </w:tc>
        <w:tc>
          <w:tcPr>
            <w:tcW w:w="3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(1,412)</w:t>
            </w:r>
          </w:p>
        </w:tc>
        <w:tc>
          <w:tcPr>
            <w:tcW w:w="20" w:type="dxa"/>
            <w:vAlign w:val="bottom"/>
          </w:tcPr>
          <w:p>
            <w:pPr>
              <w:spacing w:after="0"/>
              <w:rPr>
                <w:sz w:val="19"/>
                <w:szCs w:val="19"/>
                <w:color w:val="auto"/>
              </w:rPr>
            </w:pPr>
          </w:p>
        </w:tc>
      </w:tr>
      <w:tr>
        <w:trPr>
          <w:trHeight w:val="233"/>
        </w:trPr>
        <w:tc>
          <w:tcPr>
            <w:tcW w:w="8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liability, net of current portion</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20" w:type="dxa"/>
            <w:vAlign w:val="bottom"/>
          </w:tcPr>
          <w:p>
            <w:pPr>
              <w:spacing w:after="0"/>
              <w:rPr>
                <w:sz w:val="20"/>
                <w:szCs w:val="20"/>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STOCKHOLDERS’ EQUITY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 the Market Offerings Agreement</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July 2020, we filed a Form S-3 registration statement, which became effective in August 2020,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deemed to be “at the market offerings.” During the three months ended March 31, 2021, we sold 4.9 million shares of our common stock for aggregate gross proceeds of $35.0 million at a weighted average price of $7.09 per share under the Open Market Sales Agreement. In aggregate during the life of the Open Market Sales Agreement, and as of March 31, 2021, we have sold 8.2 million shares of our common stock for gross proceeds of $56.7 million at a weighted average sales price of approximately $6.91 per share. Pursuant to the Open Market Sales Agreement, Jefferies, as sales agent, receives a commission of up to 3.0% of the gross sales price for shares of common stock sold under the Open Market Sales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EQUITY INCENTIVE PLANS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Plan</w:t>
      </w:r>
    </w:p>
    <w:p>
      <w:pPr>
        <w:spacing w:after="0" w:line="218" w:lineRule="exact"/>
        <w:rPr>
          <w:sz w:val="20"/>
          <w:szCs w:val="20"/>
          <w:color w:val="auto"/>
        </w:rPr>
      </w:pPr>
    </w:p>
    <w:p>
      <w:pPr>
        <w:jc w:val="both"/>
        <w:ind w:firstLine="310"/>
        <w:spacing w:after="0" w:line="315" w:lineRule="auto"/>
        <w:rPr>
          <w:sz w:val="20"/>
          <w:szCs w:val="20"/>
          <w:color w:val="auto"/>
        </w:rPr>
      </w:pPr>
      <w:r>
        <w:rPr>
          <w:rFonts w:ascii="Arial" w:cs="Arial" w:eastAsia="Arial" w:hAnsi="Arial"/>
          <w:sz w:val="16"/>
          <w:szCs w:val="16"/>
          <w:color w:val="auto"/>
        </w:rPr>
        <w:t>During the three months ended March 31, 2021, options were granted to employees and members of the board of directors to purchase 2.8 million shares of our common stock. The weighted-average grant-date estimated fair value of options granted during the three months ended March 31, 2021 was $6.51.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During the three months ended March 31, 2021, options were exercised to purchase 10.5 thousand shares of our common stock, resulting in net proceeds of approximately $0.5 million. During the three months ended March 31, 2020, options were exercised to purchase 0.1 million shares of or common stock, resulting in net proceeds of approximately $0.6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18" w:lineRule="exact"/>
        <w:rPr>
          <w:sz w:val="20"/>
          <w:szCs w:val="20"/>
          <w:color w:val="auto"/>
        </w:rPr>
      </w:pPr>
    </w:p>
    <w:p>
      <w:pPr>
        <w:jc w:val="both"/>
        <w:ind w:firstLine="310"/>
        <w:spacing w:after="0" w:line="315" w:lineRule="auto"/>
        <w:rPr>
          <w:sz w:val="20"/>
          <w:szCs w:val="20"/>
          <w:color w:val="auto"/>
        </w:rPr>
      </w:pPr>
      <w:r>
        <w:rPr>
          <w:rFonts w:ascii="Arial" w:cs="Arial" w:eastAsia="Arial" w:hAnsi="Arial"/>
          <w:sz w:val="16"/>
          <w:szCs w:val="16"/>
          <w:color w:val="auto"/>
        </w:rPr>
        <w:t>During the three months ended March 31, 2021, we granted 0.9 million restricted stock units (“RSUs”) to our employees that will vest upon employees’ continued service relationship with us. During the three months ended March 31, 2020, we granted 0.9 million restricted stock units to our employees.</w:t>
      </w:r>
    </w:p>
    <w:p>
      <w:pPr>
        <w:spacing w:after="0" w:line="137"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During both the three months ended March 31, 2021 and March 31, 2020, we granted no performance-based restricted stock units ("PRSUs") to our employees.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1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In February 2021, we sold 0.2 million shares of our common stock under our employee stock purchase program (the "ESPP"). The shares were purchased by employees at a purchase price of $5.84 per share resulting in proceeds to us of approximately $1.4 million.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Common Stock for Services</w:t>
      </w:r>
    </w:p>
    <w:p>
      <w:pPr>
        <w:spacing w:after="0" w:line="21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Under Our Amended and Restated Non-Employee Director Compensation Program, members of our board of directors may elect to receive shares of our stock in lieu of their cash fees. For the three months ended March 31, 2021 and 2020, we issued no shares of our common stock to members of the board of directors in accordance with the program.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8" w:lineRule="exact"/>
        <w:rPr>
          <w:sz w:val="20"/>
          <w:szCs w:val="20"/>
          <w:color w:val="auto"/>
        </w:rPr>
      </w:pPr>
    </w:p>
    <w:p>
      <w:pPr>
        <w:jc w:val="both"/>
        <w:ind w:firstLine="310"/>
        <w:spacing w:after="0" w:line="271" w:lineRule="auto"/>
        <w:rPr>
          <w:sz w:val="20"/>
          <w:szCs w:val="20"/>
          <w:color w:val="auto"/>
        </w:rPr>
      </w:pPr>
      <w:r>
        <w:rPr>
          <w:rFonts w:ascii="Arial" w:cs="Arial" w:eastAsia="Arial" w:hAnsi="Arial"/>
          <w:sz w:val="17"/>
          <w:szCs w:val="17"/>
          <w:color w:val="auto"/>
        </w:rPr>
        <w:t>Stock-based compensation expense recognized for stock options, RSUs, PRSUs and the ESPP are recorded as operating expenses in our condensed statements of operations and comprehensive loss,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79"/>
        </w:trPr>
        <w:tc>
          <w:tcPr>
            <w:tcW w:w="82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1,058</w:t>
            </w: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1,890</w:t>
            </w:r>
          </w:p>
        </w:tc>
      </w:tr>
      <w:tr>
        <w:trPr>
          <w:trHeight w:val="238"/>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2,948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right="20" w:firstLine="310"/>
        <w:spacing w:after="0" w:line="283" w:lineRule="auto"/>
        <w:rPr>
          <w:sz w:val="20"/>
          <w:szCs w:val="20"/>
          <w:color w:val="auto"/>
        </w:rPr>
      </w:pPr>
      <w:r>
        <w:rPr>
          <w:rFonts w:ascii="Arial" w:cs="Arial" w:eastAsia="Arial" w:hAnsi="Arial"/>
          <w:sz w:val="17"/>
          <w:szCs w:val="17"/>
          <w:color w:val="auto"/>
        </w:rPr>
        <w:t>As of March 31, 2021, our total unrecognized stock-based compensation expense, net of estimated forfeitures, and average remaining vesting period, included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Unrecognized</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Average Remaining</w:t>
            </w:r>
          </w:p>
        </w:tc>
        <w:tc>
          <w:tcPr>
            <w:tcW w:w="0" w:type="dxa"/>
            <w:vAlign w:val="bottom"/>
          </w:tcPr>
          <w:p>
            <w:pPr>
              <w:spacing w:after="0"/>
              <w:rPr>
                <w:sz w:val="1"/>
                <w:szCs w:val="1"/>
                <w:color w:val="auto"/>
              </w:rPr>
            </w:pPr>
          </w:p>
        </w:tc>
      </w:tr>
      <w:tr>
        <w:trPr>
          <w:trHeight w:val="129"/>
        </w:trPr>
        <w:tc>
          <w:tcPr>
            <w:tcW w:w="8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Compensation</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Expense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Vesting Period (Years)</w:t>
            </w:r>
          </w:p>
        </w:tc>
        <w:tc>
          <w:tcPr>
            <w:tcW w:w="0" w:type="dxa"/>
            <w:vAlign w:val="bottom"/>
          </w:tcPr>
          <w:p>
            <w:pPr>
              <w:spacing w:after="0"/>
              <w:rPr>
                <w:sz w:val="1"/>
                <w:szCs w:val="1"/>
                <w:color w:val="auto"/>
              </w:rPr>
            </w:pPr>
          </w:p>
        </w:tc>
      </w:tr>
      <w:tr>
        <w:trPr>
          <w:trHeight w:val="214"/>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25,723</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3.1</w:t>
            </w:r>
          </w:p>
        </w:tc>
        <w:tc>
          <w:tcPr>
            <w:tcW w:w="0" w:type="dxa"/>
            <w:vAlign w:val="bottom"/>
          </w:tcPr>
          <w:p>
            <w:pPr>
              <w:spacing w:after="0"/>
              <w:rPr>
                <w:sz w:val="1"/>
                <w:szCs w:val="1"/>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RSUs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6,246</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2"/>
              </w:rPr>
              <w:t>3.7</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ESPP</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0.4</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NET LOSS PER SHARE</w:t>
      </w:r>
    </w:p>
    <w:p>
      <w:pPr>
        <w:spacing w:after="0" w:line="224"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three months ended March 31, 2021 and 2020, all potential common shares were determined to be anti-dilutive. The following table sets forth the computation of net loss per common share: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Three Months Ended March 31,</w:t>
            </w:r>
          </w:p>
        </w:tc>
      </w:tr>
      <w:tr>
        <w:trPr>
          <w:trHeight w:val="179"/>
        </w:trPr>
        <w:tc>
          <w:tcPr>
            <w:tcW w:w="8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r>
      <w:tr>
        <w:trPr>
          <w:trHeight w:val="201"/>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0"/>
        </w:trPr>
        <w:tc>
          <w:tcPr>
            <w:tcW w:w="8280" w:type="dxa"/>
            <w:vAlign w:val="bottom"/>
          </w:tcPr>
          <w:p>
            <w:pPr>
              <w:ind w:left="14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(22,373)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40"/>
              <w:spacing w:after="0" w:line="185" w:lineRule="exact"/>
              <w:rPr>
                <w:sz w:val="20"/>
                <w:szCs w:val="20"/>
                <w:color w:val="auto"/>
              </w:rPr>
            </w:pPr>
            <w:r>
              <w:rPr>
                <w:rFonts w:ascii="Arial" w:cs="Arial" w:eastAsia="Arial" w:hAnsi="Arial"/>
                <w:sz w:val="17"/>
                <w:szCs w:val="17"/>
                <w:b w:val="1"/>
                <w:bCs w:val="1"/>
                <w:color w:val="auto"/>
              </w:rPr>
              <w:t>Denominator:</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0"/>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Weighted average common shares outstanding - basic and diluted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97,179,241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88,880,658</w:t>
            </w:r>
          </w:p>
        </w:tc>
      </w:tr>
      <w:tr>
        <w:trPr>
          <w:trHeight w:val="238"/>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loss per share - basic and diluted</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For the three months ended March 31, 2021, the total number of securities that could potentially dilute basic net loss per share in the future that were not included in the computation of diluted net loss per share because the effect would have been antidilutive was 13.0 million.</w:t>
      </w:r>
    </w:p>
    <w:p>
      <w:pPr>
        <w:spacing w:after="0" w:line="15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For the three months ended March 31, 2020, the total number of securities that could potentially dilute basic net loss per share in the future that were not included in the computation of diluted net loss per share because the effect would have been antidilutive was 11.9 million.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CONTINGENCIES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time to time we may be involved in claims arising in connection with our business. Based on information currently available, management believes that the amount, or range, of reasonably possible losses in connection with any pending actions against us would not be material to our financial condition or cash flows, and no contingent liabilities were accrued as of March 31, 2021 or 2020.</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SUBSEQUENT EVENTS</w:t>
      </w:r>
    </w:p>
    <w:p>
      <w:pPr>
        <w:spacing w:after="0" w:line="22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On April 29, 2021, the FDA extended the PDUFA date for our NDA for tenapanor for control of serum phosphorus in adult patients with CKD on dialysis by three months to July 29, 2021.</w:t>
      </w:r>
    </w:p>
    <w:p>
      <w:pPr>
        <w:spacing w:after="0" w:line="159"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In May 2021, we entered into an amendment to our loan and security agreement (the “Loan Agreement”), with Solar Capital Ltd. and Western Alliance Bank (collectively the “Lenders”) to extend the date by which FDA approval is required in order to continue interest-only payments through December 1, 2021. Please see Note 5. Borrowing for additional information.</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4"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2020.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4"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We are a specialized biopharmaceutical company focused on discovering, developing and commercializing innovative first-in-class medicines to enhance the lives of patients with kidney and cardiorenal diseases. This includes patients with chronic kidney disease ("CKD") on dialysis suffering from elevated serum phosphorus, or hyperphosphatemia; and CKD patients and/or heart failure patients with elevated serum potassium, or hyperkalemia.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PIPELINE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Tenapanor: A New Approach for The Control of Serum Phosphorus in CKD Patients on Dialysis</w:t>
      </w:r>
    </w:p>
    <w:p>
      <w:pPr>
        <w:spacing w:after="0" w:line="224"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Our portfolio is led by the development of tenapanor, a first-in-class medicine for the control of serum phosphorus in adult patients with CKD on dialysis. Tenapanor for the control of serum phosphorus has a unique mechanism of action and acts locally in the gut to inhibit the sodium hydrogen exchanger 3 (“NHE3”). This results in the tightening of the epithelial cell junctions, thereby significantly reducing paracellular uptake of phosphate, the primary pathway of phosphate absorption. On April 29, 2021, the U.S. Food and Drug Administration (“FDA”) determined that a submission we made in response to an information request from the FDA constituted a major amendment to our New Drug Application (“NDA”) for tenapanor for the control of serum phosphorus, resulting in a three-month extension of the PDUFA date to July 29, 2021. The FDA’s information request included a request for additional analyses of our clinical data.</w:t>
      </w:r>
    </w:p>
    <w:p>
      <w:pPr>
        <w:spacing w:after="0" w:line="16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have exclusive rights to tenapanor in the U.S. and we have established agreements with Kyowa Kirin Co., Ltd. (“KKC”) in Japan, Shanghai Fosun Pharmaceutical Industrial Development Co. Ltd. (“Fosun Pharma”) in China and Knight Therapeutics, Inc. (“Knight“) in Canada for the development and commercialization of tenapanor for certain indications in their respective territories.</w:t>
      </w:r>
    </w:p>
    <w:p>
      <w:pPr>
        <w:spacing w:after="0" w:line="172"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In December 2019, we reported statistically significant topline efficacy results from our second monotherapy Phase 3 clinical trial, the PHREEDOM trial, which evaluated tenapanor for the control of serum phosphorus in adult patients with CKD on dialysis. The PHREEDOM trial followed a successful monotherapy Phase 3 clinical trial completed in 2017, the BLOCK trial, which achieved statistical significance for the primary endpoint. The only adverse event reported in these Phase 3 trials in less than 5% of patients was diarrhea, with an incidence rate of 52% in the PHREEDOM trial and 39% in the BLOCK trial, with most incidences in each trial being mild to moderate in nature. PHREEDOM is a one-year study with a 26-week open-label treatment period and a 12-week double-blind, placebo-controlled randomized withdrawal period followed by a 14-week open-label safety extension period. An active safety control group, for safety analysis only, received sevelamer, open-label, for the entire 52-week study period. Patients completing the PHREEDOM trial from both the tenapanor arm and the sevelamer active safety control arm had the option to participate in NORMALIZE, an ongoing open-label 18-month extension study.</w:t>
      </w:r>
    </w:p>
    <w:p>
      <w:pPr>
        <w:spacing w:after="0" w:line="168"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6"/>
          <w:szCs w:val="16"/>
          <w:color w:val="auto"/>
        </w:rPr>
        <w:t>In June 2020, we announced positive results from a planned interim data analysis from our ongoing NORMALIZE extension study evaluating tenapanor, as monotherapy or in combination with sevelamer, to achieve serum phosphorus levels in the normal range (2.5 – 4.5 mg/dL) in patients with CKD on dialysis. The NORMALIZE extension study allowed patients from our PHREEDOM study to continue therapy with tenapanor and enabled those patients in the PHREEDOM safety control arm receiving sevelamer carbonate to transition to tenapanor. The data from the planned interim analysis demonstrated that the use of tenapanor as monotherapy or in combination with sevelamer carbonate produces a significant phosphorus-lowering effect with a mean serum phosphorous reduction of 2.33 mg/dL, from a mean baseline phosphorus of 7.27 mg/dL at the beginning of the PHREEDOM trial to a mean of 4.94 mg/dL at the time of this analysis. Of the 171 patients in this interim analysis who completed up to 9 months of treatment in this extension study, up to 47.4% achieved a normal serum phosphorus level, and of those, the majority were on tenapanor alone or tenapanor with low dose sevelamer of three or fewer sevelamer tablets per day. These data represent a 58% improvement in the rate of patients who achieve a normal serum phosphorus level, as compared to current treatment practice data as reported in the April 2020 Dialysis Outcomes Practice Patterns Study (“DOPPS”) Practice Monitor. The DOPPS data demonstrate that, with currently available treatments, only 30% of patients have serum phosphorous levels less than 4.6 mg/dL. The only adverse event reported in greater than 5% of patients in NORMALIZE was diarrhea, with an incidence rate of 23.3%.</w:t>
      </w:r>
    </w:p>
    <w:p>
      <w:pPr>
        <w:spacing w:after="0" w:line="176"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In September 2019, we reported positive results from the AMPLIFY trial, a Phase 3 study evaluating tenapanor in patients with CKD on dialysis who had uncontrolled hyperphosphatemia despite phosphate binder treatment. In this trial, approximately twice the number of patients achieved the serum phosphorus treatment goal of less than 5.5 mg/dL with tenapanor and phosphate binders versus phosphate binders alone. The only adverse event with a placebo-adjusted rate greater than 3% was diarrhea, with an incidence rate of 43%, with most being mild to moderate in nature.</w:t>
      </w:r>
    </w:p>
    <w:p>
      <w:pPr>
        <w:spacing w:after="0" w:line="177"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In June 2020, our partner KKC, a Japan-based global specialty pharmaceutical company exclusively developing tenapanor in Japan, presented results from a Phase 2 trial of tenapanor at the European Renal Association-European Dialysis and Transplant Association annual meeting (“ERA-EDTA 2020”). The trial was designed to evaluate if, with tenapanor, patients with hyperphosphatemia undergoing hemodialysis could achieve at least a 30% decrease in mean pill burden while maintaining their serum phosphorus level. The study results were statistically significant, with 71.6% (p&lt;0.001) of patients achieving at least a 30% reduction in mean pill burden. The overall mean reduction in phosphate binder usage was 80% (reduction from 14.7 to 3.0 pills per day), while maintaining serum phosphorus control. The mean phosphorus level of patients entering the study on treatment with binders was 5.2 mg/dL at baseline and 4.7 mg/dL at the end of the 26-week study.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Tenapanor is the first therapy for phosphate management that blocks phosphorus absorption at the primary pathway of uptake. It is not a phosphate binder. Tenapanor is a novel, potent, small molecule, that has been shown in phase 3 studies to treat hyperphosphatemia as monotherapy and as a dual mechanism approach.</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IBSRELA® (tenapanor) for Irritable Bowel Syndrome with Constipation (IBS-C)</w:t>
      </w:r>
    </w:p>
    <w:p>
      <w:pPr>
        <w:spacing w:after="0" w:line="224"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In addition to the development of tenapanor for hyperphosphatemia, we have developed tenapanor for the treatment of patients with irritable bowel syndrome with constipation (“IBS-C”). In September 2019, we received FDA approval of IBSRELA® (tenapanor) for the treatment of IBS-C in adults. IBS-C is a burdensome gastrointestinal (“GI”) disorder. It is characterized by significant abdominal pain, constipation, straining during bowel movements, bloating and/or gas.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RDX013 Program: Small Molecule for Treating Hyperkalemia</w:t>
      </w:r>
    </w:p>
    <w:p>
      <w:pPr>
        <w:spacing w:after="0" w:line="224"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renin-angiotensin-aldosterone system (“RAAS”) inhibitors. Similar to what we have done with tenapanor in developing a non-binder approach for the treatment of elevated serum phosphate levels, RDX013 is designed to target the underlying biological mechanisms of potassium secretion to lower elevated potassium. While currently available therapies are all ion exchange agents, RDX013 is a first in class approach that exerts its effects by amplifying the underlying pathways of potassium secretion in the colon.</w:t>
      </w:r>
    </w:p>
    <w:p>
      <w:pPr>
        <w:spacing w:after="0" w:line="181"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Since commencing operations in October 2007, substantially all our efforts have been dedicated to our research and development (“R&amp;D”) activities, including developing our clinical product candidate tenapanor and developing our proprietary drug discovery and design platform. We have not generated any revenues from product sales. As of March 31, 2021, we had an accumulated deficit of $587.9 million.</w:t>
      </w:r>
    </w:p>
    <w:p>
      <w:pPr>
        <w:spacing w:after="0" w:line="172"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6"/>
          <w:szCs w:val="16"/>
          <w:color w:val="auto"/>
        </w:rPr>
        <w:t>We expect to continue to incur substantial operating losses for the foreseeable future as a result of costs associated with the following activities: our continued development of tenapanor for the control of serum phosphorus in adult patients with CKD on dialysis; our preparations for, and if approved, the commercialization of tenapanor in the United States for the control of serum phosphorus in adult patients with CKD on dialysis, or for any related indication, including significantly increased personnel costs associated with our commercial team; the performance of certain activities required as a result of our NDA approval of tenapanor for IBS-C; the continued development of RDX013 and the advancement of our research programs into the preclinical stage. To date, we have funded our operations from the sale and issuance of common stock and convertible preferred stock, funds from our collaboration partnerships, which includes license fees, milestones and product supply revenue, as well as funds from our Loan Agreement with Solar Capital Ltd. and Western Alliance Bank.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RDX020 Program: Small molecule for Treating Metabolic Acidosis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an ongoing discovery program targeting the inhibition of bicarbonate exchange inhibitor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224" w:lineRule="exact"/>
        <w:rPr>
          <w:sz w:val="20"/>
          <w:szCs w:val="20"/>
          <w:color w:val="auto"/>
        </w:rPr>
      </w:pPr>
    </w:p>
    <w:p>
      <w:pPr>
        <w:jc w:val="both"/>
        <w:ind w:firstLine="310"/>
        <w:spacing w:after="0" w:line="294" w:lineRule="auto"/>
        <w:rPr>
          <w:sz w:val="20"/>
          <w:szCs w:val="20"/>
          <w:color w:val="auto"/>
        </w:rPr>
      </w:pPr>
      <w:r>
        <w:rPr>
          <w:rFonts w:ascii="Arial" w:cs="Arial" w:eastAsia="Arial" w:hAnsi="Arial"/>
          <w:sz w:val="15"/>
          <w:szCs w:val="15"/>
          <w:color w:val="auto"/>
        </w:rPr>
        <w:t xml:space="preserve">The global COVID-19 pandemic has impacted the operational decisions of companies worldwide. It also has created and may continue to create significant uncertainty in the global economy. We have undertaken measures to protect our employees, partners, collaborators, and vendors, some of which impact our normal operations. To date, we have been able to continue our operations with our workforce, most of whom are working remotely, and our pre-existing infrastructure that supports secure access to our internal systems. If, however, the COVID-19 pandemic has a substantial impact on the productivity of our employees, our ability to successfully prepare for the commercial launch of tenapanor for the control of serum phosphorus in adult patients with CKD on dialysis, including our ability to hire and successfully integrate into the company the new personnel required to prepare for such launch, or our ability to progress our research and development efforts, the results of our operations and overall financial performance may be adversely impacted. The extent of the impact from the COVID-19 pandemic on our business will depend largely on future developments that are highly uncertain and cannot be predicted. For a discussion of risks of COVID-19 relating to our business, see “Part II: Other Information-Item 1A.- Risk Factors- Risks Related to Our Business- </w:t>
      </w:r>
      <w:r>
        <w:rPr>
          <w:rFonts w:ascii="Arial" w:cs="Arial" w:eastAsia="Arial" w:hAnsi="Arial"/>
          <w:sz w:val="15"/>
          <w:szCs w:val="15"/>
          <w:i w:val="1"/>
          <w:iCs w:val="1"/>
          <w:color w:val="auto"/>
        </w:rPr>
        <w:t>The ongoing COVID-19 pandemic, or any other outbreak of</w:t>
      </w:r>
      <w:r>
        <w:rPr>
          <w:rFonts w:ascii="Arial" w:cs="Arial" w:eastAsia="Arial" w:hAnsi="Arial"/>
          <w:sz w:val="15"/>
          <w:szCs w:val="15"/>
          <w:color w:val="auto"/>
        </w:rPr>
        <w:t xml:space="preserve"> </w:t>
      </w:r>
      <w:r>
        <w:rPr>
          <w:rFonts w:ascii="Arial" w:cs="Arial" w:eastAsia="Arial" w:hAnsi="Arial"/>
          <w:sz w:val="15"/>
          <w:szCs w:val="15"/>
          <w:i w:val="1"/>
          <w:iCs w:val="1"/>
          <w:color w:val="auto"/>
        </w:rPr>
        <w:t>epidemic diseases, or the perception of their effects, could have a material adverse effect on our business, financial condition, results of operations or cash flows</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As of the date of issuance of this financial report, we are not aware of any specific event or circumstance that would require updates to our estimates and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auto"/>
        </w:rPr>
        <w:t>judgments or revisions to the carrying value of our assets or liabilities. These estimates may change as new events occur and additional information is obtained.</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2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Our discussion and analysis of financial condition and results of operations is based on our condensed financial statements, which have been prepared in accordance with accounting principles generally accepted in the United States.</w:t>
      </w:r>
    </w:p>
    <w:p>
      <w:pPr>
        <w:spacing w:after="0" w:line="159"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77"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 xml:space="preserve">The critical accounting policies that we believe impact significant judgments and estimates used in the preparation of our financial statements presented in this report are described in Part II,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Annual Report on Form 10-K filed with the SEC on March 8, 2021. There have been no significant changes to our critical accounting policies as disclosed in our most recently filed Annual Report on Form 10-K during the three months ended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4" w:lineRule="exact"/>
        <w:rPr>
          <w:sz w:val="20"/>
          <w:szCs w:val="20"/>
          <w:color w:val="auto"/>
        </w:rPr>
      </w:pPr>
    </w:p>
    <w:p>
      <w:pPr>
        <w:jc w:val="both"/>
        <w:ind w:firstLine="310"/>
        <w:spacing w:after="0" w:line="315" w:lineRule="auto"/>
        <w:rPr>
          <w:sz w:val="20"/>
          <w:szCs w:val="20"/>
          <w:color w:val="auto"/>
        </w:rPr>
      </w:pPr>
      <w:r>
        <w:rPr>
          <w:rFonts w:ascii="Arial" w:cs="Arial" w:eastAsia="Arial" w:hAnsi="Arial"/>
          <w:sz w:val="16"/>
          <w:szCs w:val="16"/>
          <w:color w:val="auto"/>
        </w:rPr>
        <w:t xml:space="preserve">A summary of recent accounting pronouncements that we have adopted or may expect to adopt is included in Note 1 – Organization and Basis of Presentation to our condensed financial statements (see Part I, Item 1 </w:t>
      </w:r>
      <w:r>
        <w:rPr>
          <w:rFonts w:ascii="Arial" w:cs="Arial" w:eastAsia="Arial" w:hAnsi="Arial"/>
          <w:sz w:val="16"/>
          <w:szCs w:val="16"/>
          <w:i w:val="1"/>
          <w:iCs w:val="1"/>
          <w:color w:val="auto"/>
        </w:rPr>
        <w:t>Notes to Condensed Financial Statements</w:t>
      </w:r>
      <w:r>
        <w:rPr>
          <w:rFonts w:ascii="Arial" w:cs="Arial" w:eastAsia="Arial" w:hAnsi="Arial"/>
          <w:sz w:val="16"/>
          <w:szCs w:val="16"/>
          <w:color w:val="auto"/>
        </w:rPr>
        <w:t>, of this Quarterly Report on Form 10-Q).</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18"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6"/>
          <w:szCs w:val="16"/>
          <w:color w:val="auto"/>
        </w:rPr>
        <w:t>Our revenue to date has been generated primarily through license, research and development collaborative agreements with various collaboration partners. We have not generated any revenue from commercial product sales. In the future, we may generate revenue from a combination of our own product sales, if regulatory approval is received,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whether we receive regulatory approval for tenapanor for the control of serum phosphorus in CDK patients on dialysis, and if such approval is received, the timing of such approval and the extent to which we are successful in our efforts to commercialize tenapanor for such indication; the timing and progress of goods and services provided pursuant to our current or future collaborative partnerships; our or our collaborators’ achievement of preclinical, clinical, regulatory or commercialization milestones, to the extent achieved; the timing and amount of any payments to us relating to the aforementioned milestones; and the extent to which any of our product candidates are approved and successfully commercialized by a collaboration partner. If our current collaboration partners or any future collaboration partners fail to obtain regulatory approval for tenapanor, our ability to generate future revenue from our product sales or from our collaborative arrangements, and our results of operations and financial position, would be materially and adversely affected. Our past revenue performance is not necessarily indicative of results to be expected in future periods.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1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Cost of revenue currently represents payments due to AstraZeneca, which under the terms of a termination agreement entered into in 2015 is entitled to (i) future royalties at a rate of 10% of net sales of tenapanor or other NHE3 products by us or our licensees, and (ii) 20% of non-royalty revenue received from our collaboration partners should we elect to which we provide rights to develop and commercialize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$11.6 million as cost of revenue under the AZ Termination Agreement since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We recognize all research and development expenses as they are incurred to support the discovery, research, development and manufacturing of our product candidates. Research and development expenses include, but are not limited to, the following:</w:t>
      </w:r>
    </w:p>
    <w:p>
      <w:pPr>
        <w:spacing w:after="0" w:line="159" w:lineRule="exact"/>
        <w:rPr>
          <w:sz w:val="20"/>
          <w:szCs w:val="20"/>
          <w:color w:val="auto"/>
        </w:rPr>
      </w:pPr>
    </w:p>
    <w:p>
      <w:pPr>
        <w:jc w:val="both"/>
        <w:ind w:left="620" w:hanging="307"/>
        <w:spacing w:after="0" w:line="268"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17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expenses associated with supplies and materials consumed in connection with our research operations;</w:t>
      </w:r>
    </w:p>
    <w:p>
      <w:pPr>
        <w:spacing w:after="0" w:line="217" w:lineRule="exact"/>
        <w:rPr>
          <w:rFonts w:ascii="Arial" w:cs="Arial" w:eastAsia="Arial" w:hAnsi="Arial"/>
          <w:sz w:val="17"/>
          <w:szCs w:val="17"/>
          <w:color w:val="auto"/>
        </w:rPr>
      </w:pPr>
    </w:p>
    <w:p>
      <w:pPr>
        <w:ind w:left="540" w:hanging="227"/>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expenses associated with producing tenapanor for the control of serum phosphorus in adult patients with CKD on dialysis prior to FDA approval;</w:t>
      </w:r>
    </w:p>
    <w:p>
      <w:pPr>
        <w:spacing w:after="0" w:line="229" w:lineRule="exact"/>
        <w:rPr>
          <w:rFonts w:ascii="Arial" w:cs="Arial" w:eastAsia="Arial" w:hAnsi="Arial"/>
          <w:sz w:val="16"/>
          <w:szCs w:val="16"/>
          <w:color w:val="auto"/>
        </w:rPr>
      </w:pPr>
    </w:p>
    <w:p>
      <w:pPr>
        <w:ind w:left="540" w:hanging="227"/>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costs associated with research, clinical development and regulatory activities; and</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employee-related expenses, which include salaries, bonuses, benefits, travel and stock-based compensation;</w:t>
      </w:r>
    </w:p>
    <w:p>
      <w:pPr>
        <w:spacing w:after="0" w:line="217" w:lineRule="exact"/>
        <w:rPr>
          <w:rFonts w:ascii="Arial" w:cs="Arial" w:eastAsia="Arial" w:hAnsi="Arial"/>
          <w:sz w:val="17"/>
          <w:szCs w:val="17"/>
          <w:color w:val="auto"/>
        </w:rPr>
      </w:pPr>
    </w:p>
    <w:p>
      <w:pPr>
        <w:ind w:left="620" w:hanging="307"/>
        <w:spacing w:after="0" w:line="28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facilities and other allocated expenses, which include direct and allocated expenses for rent and maintenance of facilities, depreciation and amortization expense, information technology expense and other supplies.</w:t>
      </w:r>
    </w:p>
    <w:p>
      <w:pPr>
        <w:spacing w:after="0" w:line="159" w:lineRule="exact"/>
        <w:rPr>
          <w:sz w:val="20"/>
          <w:szCs w:val="20"/>
          <w:color w:val="auto"/>
        </w:rPr>
      </w:pPr>
    </w:p>
    <w:p>
      <w:pPr>
        <w:jc w:val="both"/>
        <w:ind w:firstLine="620"/>
        <w:spacing w:after="0" w:line="273" w:lineRule="auto"/>
        <w:rPr>
          <w:sz w:val="20"/>
          <w:szCs w:val="20"/>
          <w:color w:val="auto"/>
        </w:rPr>
      </w:pPr>
      <w:r>
        <w:rPr>
          <w:rFonts w:ascii="Arial" w:cs="Arial" w:eastAsia="Arial" w:hAnsi="Arial"/>
          <w:sz w:val="16"/>
          <w:szCs w:val="16"/>
          <w:color w:val="auto"/>
        </w:rPr>
        <w:t>We expect to continue to make substantial investments in research and development activities as we further progress the development of tenapanor, particularly if the FDA should require additional clinical trials in connection with our NDA for the control of serum phosphorus in adult patients with CKD on dialysis, RDX013 and our other product candidates, as we advance our research programs into the preclinical stage and as we continue our early stage research. The process of conducting preclinical studies and clinical trials necessary to obtain regulatory approval is costly and time-consuming. On April 29, 2021, the FDA determined that a submission we made in response to an information request from the FDA constituted a major amendment to our NDA for tenapanor for the control of serum phosphorus, resulting in a three-month extension of the PDUFA date to July 29, 2021. The FDA’s information request included a request for additional analyses of our clinical data. The FDA may act on our application either by issuing an approval letter or by issuing a Complete Response Letter (“CRL”). Should we wish to pursue our application after receiving a CRL, we can, if possible, resubmit the application with information that addresses the questions or issues identified by the FDA in order to support approval. Resubmissions are subject to review period targets, which vary depending on the underlying submission type and the content of the resubmission. We may not succeed in achieving marketing approval for our product candidates, including tenapanor for the control of serum phosphorus in adult patients with CKD on dialysis. The probability of success of each of the product candidates may be affected by numerous factors, including preclinical data, clinical data, the regulatory process, market acceptance, sufficient third-party coverage or reimbursement, our ability to access capital on acceptable terms, competition, manufacturing capability and commercial viability.</w:t>
      </w:r>
    </w:p>
    <w:p>
      <w:pPr>
        <w:spacing w:after="0" w:line="174"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the development of RDX013 or certain of our product candidates through the use of alternative structures.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18"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General and administrative expenses consist primarily of salaries and related benefits, including stock-based compensation, for certain of our executives, our board members, and our finance, legal, business development, market development, commercial and support staff. Other general and administrative expenses include facility related costs and professional fees for legal, accounting and audit, investor relations, other consulting services and allocated facility-related costs not otherwise included in research and development expenses.</w:t>
      </w:r>
    </w:p>
    <w:p>
      <w:pPr>
        <w:spacing w:after="0" w:line="177"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anticipate that our general and administrative expenses will increase in the future primarily because of increased pre-commercial and commercial activities, personnel costs and professional fees for services to support the potential launch and commercialization of tenapanor for the control of serum phosphorus in adult patients with CKD on dialysis.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expense represents the interest paid on our loan payable.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1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Other income, net consists of interest income earned on our cash and cash equivalents and available-for-sale investments, the periodic revaluation of the exit fee related to our loan and currency exchange gains and losses.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4" w:lineRule="exact"/>
        <w:rPr>
          <w:sz w:val="20"/>
          <w:szCs w:val="20"/>
          <w:color w:val="auto"/>
        </w:rPr>
      </w:pPr>
    </w:p>
    <w:p>
      <w:pPr>
        <w:ind w:right="220" w:firstLine="310"/>
        <w:spacing w:after="0" w:line="283" w:lineRule="auto"/>
        <w:rPr>
          <w:sz w:val="20"/>
          <w:szCs w:val="20"/>
          <w:color w:val="auto"/>
        </w:rPr>
      </w:pPr>
      <w:r>
        <w:rPr>
          <w:rFonts w:ascii="Arial" w:cs="Arial" w:eastAsia="Arial" w:hAnsi="Arial"/>
          <w:sz w:val="17"/>
          <w:szCs w:val="17"/>
          <w:color w:val="auto"/>
        </w:rPr>
        <w:t>The results of operations are not necessarily indicative of the results to be expected for the year ending December 31, 2021, for any other interim period, or for any other future year.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March 31, 2021 and 2020</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Below is a summary of our total revenue (dollar amounts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3020" w:type="dxa"/>
            <w:vAlign w:val="bottom"/>
            <w:gridSpan w:val="6"/>
          </w:tcPr>
          <w:p>
            <w:pPr>
              <w:ind w:left="280"/>
              <w:spacing w:after="0"/>
              <w:rPr>
                <w:sz w:val="20"/>
                <w:szCs w:val="20"/>
                <w:color w:val="auto"/>
              </w:rPr>
            </w:pPr>
            <w:r>
              <w:rPr>
                <w:rFonts w:ascii="Arial" w:cs="Arial" w:eastAsia="Arial" w:hAnsi="Arial"/>
                <w:sz w:val="17"/>
                <w:szCs w:val="17"/>
                <w:b w:val="1"/>
                <w:bCs w:val="1"/>
                <w:color w:val="auto"/>
              </w:rPr>
              <w:t>Three Months Ended March 31,</w:t>
            </w:r>
          </w:p>
        </w:tc>
        <w:tc>
          <w:tcPr>
            <w:tcW w:w="380" w:type="dxa"/>
            <w:vAlign w:val="bottom"/>
          </w:tcPr>
          <w:p>
            <w:pPr>
              <w:spacing w:after="0"/>
              <w:rPr>
                <w:sz w:val="19"/>
                <w:szCs w:val="19"/>
                <w:color w:val="auto"/>
              </w:rPr>
            </w:pPr>
          </w:p>
        </w:tc>
        <w:tc>
          <w:tcPr>
            <w:tcW w:w="1620" w:type="dxa"/>
            <w:vAlign w:val="bottom"/>
            <w:gridSpan w:val="3"/>
          </w:tcPr>
          <w:p>
            <w:pPr>
              <w:ind w:left="860"/>
              <w:spacing w:after="0"/>
              <w:rPr>
                <w:sz w:val="20"/>
                <w:szCs w:val="20"/>
                <w:color w:val="auto"/>
              </w:rPr>
            </w:pPr>
            <w:r>
              <w:rPr>
                <w:rFonts w:ascii="Arial" w:cs="Arial" w:eastAsia="Arial" w:hAnsi="Arial"/>
                <w:sz w:val="17"/>
                <w:szCs w:val="17"/>
                <w:b w:val="1"/>
                <w:bCs w:val="1"/>
                <w:color w:val="auto"/>
              </w:rPr>
              <w:t>Change</w:t>
            </w:r>
          </w:p>
        </w:tc>
        <w:tc>
          <w:tcPr>
            <w:tcW w:w="1060" w:type="dxa"/>
            <w:vAlign w:val="bottom"/>
          </w:tcPr>
          <w:p>
            <w:pPr>
              <w:spacing w:after="0"/>
              <w:rPr>
                <w:sz w:val="19"/>
                <w:szCs w:val="19"/>
                <w:color w:val="auto"/>
              </w:rPr>
            </w:pPr>
          </w:p>
        </w:tc>
      </w:tr>
      <w:tr>
        <w:trPr>
          <w:trHeight w:val="213"/>
        </w:trPr>
        <w:tc>
          <w:tcPr>
            <w:tcW w:w="5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Collaborative development revenue</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23.7 %</w:t>
            </w:r>
          </w:p>
        </w:tc>
      </w:tr>
      <w:tr>
        <w:trPr>
          <w:trHeight w:val="220"/>
        </w:trPr>
        <w:tc>
          <w:tcPr>
            <w:tcW w:w="5140" w:type="dxa"/>
            <w:vAlign w:val="bottom"/>
          </w:tcPr>
          <w:p>
            <w:pPr>
              <w:ind w:left="20"/>
              <w:spacing w:after="0"/>
              <w:rPr>
                <w:sz w:val="20"/>
                <w:szCs w:val="20"/>
                <w:color w:val="auto"/>
              </w:rPr>
            </w:pPr>
            <w:r>
              <w:rPr>
                <w:rFonts w:ascii="Arial" w:cs="Arial" w:eastAsia="Arial" w:hAnsi="Arial"/>
                <w:sz w:val="17"/>
                <w:szCs w:val="17"/>
                <w:color w:val="auto"/>
              </w:rPr>
              <w:t>Product supply revenue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231.6 %</w:t>
            </w: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Licensing revenue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w:t>
            </w:r>
          </w:p>
        </w:tc>
      </w:tr>
      <w:tr>
        <w:trPr>
          <w:trHeight w:val="213"/>
        </w:trPr>
        <w:tc>
          <w:tcPr>
            <w:tcW w:w="5140" w:type="dxa"/>
            <w:vAlign w:val="bottom"/>
          </w:tcPr>
          <w:p>
            <w:pPr>
              <w:ind w:left="120"/>
              <w:spacing w:after="0"/>
              <w:rPr>
                <w:sz w:val="20"/>
                <w:szCs w:val="20"/>
                <w:color w:val="auto"/>
              </w:rPr>
            </w:pPr>
            <w:r>
              <w:rPr>
                <w:rFonts w:ascii="Arial" w:cs="Arial" w:eastAsia="Arial" w:hAnsi="Arial"/>
                <w:sz w:val="17"/>
                <w:szCs w:val="17"/>
                <w:color w:val="auto"/>
              </w:rPr>
              <w:t>Total revenues</w:t>
            </w: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6,582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442.6 %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185"/>
        </w:trPr>
        <w:tc>
          <w:tcPr>
            <w:tcW w:w="5140" w:type="dxa"/>
            <w:vAlign w:val="bottom"/>
            <w:shd w:val="clear" w:color="auto" w:fill="CCEEFF"/>
          </w:tcPr>
          <w:p>
            <w:pPr>
              <w:ind w:left="220"/>
              <w:spacing w:after="0" w:line="185" w:lineRule="exact"/>
              <w:rPr>
                <w:sz w:val="20"/>
                <w:szCs w:val="20"/>
                <w:color w:val="auto"/>
              </w:rPr>
            </w:pPr>
            <w:r>
              <w:rPr>
                <w:rFonts w:ascii="Arial" w:cs="Arial" w:eastAsia="Arial" w:hAnsi="Arial"/>
                <w:sz w:val="17"/>
                <w:szCs w:val="17"/>
                <w:color w:val="auto"/>
              </w:rPr>
              <w:t>(a) Percent change is not meaningful.</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bl>
    <w:p>
      <w:pPr>
        <w:spacing w:after="0" w:line="28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The increase to total revenues during the three months ended March 31, 2021 as compared to the same period in 2020 is primarily attributable to a $5.0 million development milestone which we earned upon the initiation by KKC of phase 3 clinical studies in Japan to evaluate tenapanor for hyperphosphatemia. There was no comparable revenue during the three months ended March 31, 2020.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Below is a summary of our operating expenses (dollars in thousands):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gridSpan w:val="5"/>
          </w:tcPr>
          <w:p>
            <w:pPr>
              <w:ind w:left="100"/>
              <w:spacing w:after="0"/>
              <w:rPr>
                <w:sz w:val="20"/>
                <w:szCs w:val="20"/>
                <w:color w:val="auto"/>
              </w:rPr>
            </w:pPr>
            <w:r>
              <w:rPr>
                <w:rFonts w:ascii="Arial" w:cs="Arial" w:eastAsia="Arial" w:hAnsi="Arial"/>
                <w:sz w:val="17"/>
                <w:szCs w:val="17"/>
                <w:b w:val="1"/>
                <w:bCs w:val="1"/>
                <w:color w:val="auto"/>
              </w:rPr>
              <w:t>Three Months Ended March 31,</w:t>
            </w:r>
          </w:p>
        </w:tc>
        <w:tc>
          <w:tcPr>
            <w:tcW w:w="820" w:type="dxa"/>
            <w:vAlign w:val="bottom"/>
          </w:tcPr>
          <w:p>
            <w:pPr>
              <w:spacing w:after="0"/>
              <w:rPr>
                <w:sz w:val="19"/>
                <w:szCs w:val="19"/>
                <w:color w:val="auto"/>
              </w:rPr>
            </w:pPr>
          </w:p>
        </w:tc>
        <w:tc>
          <w:tcPr>
            <w:tcW w:w="1200" w:type="dxa"/>
            <w:vAlign w:val="bottom"/>
            <w:gridSpan w:val="3"/>
          </w:tcPr>
          <w:p>
            <w:pPr>
              <w:ind w:left="440"/>
              <w:spacing w:after="0"/>
              <w:rPr>
                <w:sz w:val="20"/>
                <w:szCs w:val="20"/>
                <w:color w:val="auto"/>
              </w:rPr>
            </w:pPr>
            <w:r>
              <w:rPr>
                <w:rFonts w:ascii="Arial" w:cs="Arial" w:eastAsia="Arial" w:hAnsi="Arial"/>
                <w:sz w:val="17"/>
                <w:szCs w:val="17"/>
                <w:b w:val="1"/>
                <w:bCs w:val="1"/>
                <w:color w:val="auto"/>
              </w:rPr>
              <w:t>Change</w:t>
            </w:r>
          </w:p>
        </w:tc>
        <w:tc>
          <w:tcPr>
            <w:tcW w:w="1060" w:type="dxa"/>
            <w:vAlign w:val="bottom"/>
          </w:tcPr>
          <w:p>
            <w:pPr>
              <w:spacing w:after="0"/>
              <w:rPr>
                <w:sz w:val="19"/>
                <w:szCs w:val="19"/>
                <w:color w:val="auto"/>
              </w:rPr>
            </w:pPr>
          </w:p>
        </w:tc>
      </w:tr>
      <w:tr>
        <w:trPr>
          <w:trHeight w:val="213"/>
        </w:trPr>
        <w:tc>
          <w:tcPr>
            <w:tcW w:w="5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w:t>
            </w: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w:t>
            </w:r>
          </w:p>
        </w:tc>
      </w:tr>
      <w:tr>
        <w:trPr>
          <w:trHeight w:val="220"/>
        </w:trPr>
        <w:tc>
          <w:tcPr>
            <w:tcW w:w="512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15,844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4,612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29.1 %</w:t>
            </w: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7,138</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140.0 %</w:t>
            </w:r>
          </w:p>
        </w:tc>
      </w:tr>
      <w:tr>
        <w:trPr>
          <w:trHeight w:val="213"/>
        </w:trPr>
        <w:tc>
          <w:tcPr>
            <w:tcW w:w="5120" w:type="dxa"/>
            <w:vAlign w:val="bottom"/>
          </w:tcPr>
          <w:p>
            <w:pPr>
              <w:ind w:left="12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38,587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22,982</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15,605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wp:posOffset>
            </wp:positionV>
            <wp:extent cx="7121525" cy="139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ind w:left="480" w:hanging="240"/>
        <w:spacing w:after="0"/>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change is not meaningful.</w:t>
      </w:r>
    </w:p>
    <w:p>
      <w:pPr>
        <w:spacing w:after="0" w:line="8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color w:val="auto"/>
        </w:rPr>
        <w:t>Cost of revenue</w:t>
      </w:r>
    </w:p>
    <w:p>
      <w:pPr>
        <w:spacing w:after="0" w:line="224" w:lineRule="exact"/>
        <w:rPr>
          <w:sz w:val="20"/>
          <w:szCs w:val="20"/>
          <w:color w:val="auto"/>
        </w:rPr>
      </w:pPr>
    </w:p>
    <w:p>
      <w:pPr>
        <w:ind w:firstLine="310"/>
        <w:spacing w:after="0" w:line="315" w:lineRule="auto"/>
        <w:rPr>
          <w:sz w:val="20"/>
          <w:szCs w:val="20"/>
          <w:color w:val="auto"/>
        </w:rPr>
      </w:pPr>
      <w:r>
        <w:rPr>
          <w:rFonts w:ascii="Arial" w:cs="Arial" w:eastAsia="Arial" w:hAnsi="Arial"/>
          <w:sz w:val="16"/>
          <w:szCs w:val="16"/>
          <w:color w:val="auto"/>
        </w:rPr>
        <w:t>The increase in cost of revenue for the three months ended March 31, 2021 was for payment due to AstraZeneca under the AZ Termination Agreement related to the development milestone we earned upon the initiation by KKC of phase 3 clinical studies in Japan to evaluate tenapanor for hyperphosphatemia.</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512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962"/>
        </w:trPr>
        <w:tc>
          <w:tcPr>
            <w:tcW w:w="5120" w:type="dxa"/>
            <w:vAlign w:val="bottom"/>
            <w:gridSpan w:val="2"/>
          </w:tcPr>
          <w:p>
            <w:pPr>
              <w:spacing w:after="0"/>
              <w:rPr>
                <w:sz w:val="20"/>
                <w:szCs w:val="20"/>
                <w:color w:val="auto"/>
              </w:rPr>
            </w:pPr>
            <w:r>
              <w:rPr>
                <w:rFonts w:ascii="Arial" w:cs="Arial" w:eastAsia="Arial" w:hAnsi="Arial"/>
                <w:sz w:val="17"/>
                <w:szCs w:val="17"/>
                <w:b w:val="1"/>
                <w:bCs w:val="1"/>
                <w:color w:val="auto"/>
              </w:rPr>
              <w:t>Research and Development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3"/>
        </w:trPr>
        <w:tc>
          <w:tcPr>
            <w:tcW w:w="6640" w:type="dxa"/>
            <w:vAlign w:val="bottom"/>
            <w:gridSpan w:val="5"/>
          </w:tcPr>
          <w:p>
            <w:pPr>
              <w:ind w:left="320"/>
              <w:spacing w:after="0"/>
              <w:rPr>
                <w:sz w:val="20"/>
                <w:szCs w:val="20"/>
                <w:color w:val="auto"/>
              </w:rPr>
            </w:pPr>
            <w:r>
              <w:rPr>
                <w:rFonts w:ascii="Arial" w:cs="Arial" w:eastAsia="Arial" w:hAnsi="Arial"/>
                <w:sz w:val="17"/>
                <w:szCs w:val="17"/>
                <w:color w:val="auto"/>
                <w:w w:val="96"/>
              </w:rPr>
              <w:t>Below is a summary of our research and development expenses (dollars 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40" w:type="dxa"/>
            <w:vAlign w:val="bottom"/>
            <w:gridSpan w:val="5"/>
          </w:tcPr>
          <w:p>
            <w:pPr>
              <w:ind w:left="80"/>
              <w:spacing w:after="0"/>
              <w:rPr>
                <w:sz w:val="20"/>
                <w:szCs w:val="20"/>
                <w:color w:val="auto"/>
              </w:rPr>
            </w:pPr>
            <w:r>
              <w:rPr>
                <w:rFonts w:ascii="Arial" w:cs="Arial" w:eastAsia="Arial" w:hAnsi="Arial"/>
                <w:sz w:val="17"/>
                <w:szCs w:val="17"/>
                <w:b w:val="1"/>
                <w:bCs w:val="1"/>
                <w:color w:val="auto"/>
              </w:rPr>
              <w:t>Three Months Ended March 31,</w:t>
            </w:r>
          </w:p>
        </w:tc>
        <w:tc>
          <w:tcPr>
            <w:tcW w:w="380" w:type="dxa"/>
            <w:vAlign w:val="bottom"/>
          </w:tcPr>
          <w:p>
            <w:pPr>
              <w:spacing w:after="0"/>
              <w:rPr>
                <w:sz w:val="21"/>
                <w:szCs w:val="21"/>
                <w:color w:val="auto"/>
              </w:rPr>
            </w:pPr>
          </w:p>
        </w:tc>
        <w:tc>
          <w:tcPr>
            <w:tcW w:w="1620" w:type="dxa"/>
            <w:vAlign w:val="bottom"/>
            <w:gridSpan w:val="3"/>
          </w:tcPr>
          <w:p>
            <w:pPr>
              <w:ind w:left="860"/>
              <w:spacing w:after="0"/>
              <w:rPr>
                <w:sz w:val="20"/>
                <w:szCs w:val="20"/>
                <w:color w:val="auto"/>
              </w:rPr>
            </w:pPr>
            <w:r>
              <w:rPr>
                <w:rFonts w:ascii="Arial" w:cs="Arial" w:eastAsia="Arial" w:hAnsi="Arial"/>
                <w:sz w:val="17"/>
                <w:szCs w:val="17"/>
                <w:b w:val="1"/>
                <w:bCs w:val="1"/>
                <w:color w:val="auto"/>
              </w:rPr>
              <w:t>Change</w:t>
            </w:r>
          </w:p>
        </w:tc>
        <w:tc>
          <w:tcPr>
            <w:tcW w:w="1060" w:type="dxa"/>
            <w:vAlign w:val="bottom"/>
          </w:tcPr>
          <w:p>
            <w:pPr>
              <w:spacing w:after="0"/>
              <w:rPr>
                <w:sz w:val="21"/>
                <w:szCs w:val="21"/>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w:t>
            </w:r>
          </w:p>
        </w:tc>
      </w:tr>
      <w:tr>
        <w:trPr>
          <w:trHeight w:val="213"/>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External R&amp;D expenses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25.1 %</w:t>
            </w:r>
          </w:p>
        </w:tc>
      </w:tr>
      <w:tr>
        <w:trPr>
          <w:trHeight w:val="220"/>
        </w:trPr>
        <w:tc>
          <w:tcPr>
            <w:tcW w:w="5120" w:type="dxa"/>
            <w:vAlign w:val="bottom"/>
            <w:gridSpan w:val="2"/>
          </w:tcPr>
          <w:p>
            <w:pPr>
              <w:ind w:left="20"/>
              <w:spacing w:after="0"/>
              <w:rPr>
                <w:sz w:val="20"/>
                <w:szCs w:val="20"/>
                <w:color w:val="auto"/>
              </w:rPr>
            </w:pPr>
            <w:r>
              <w:rPr>
                <w:rFonts w:ascii="Arial" w:cs="Arial" w:eastAsia="Arial" w:hAnsi="Arial"/>
                <w:sz w:val="17"/>
                <w:szCs w:val="17"/>
                <w:color w:val="auto"/>
              </w:rPr>
              <w:t>Employee-related expenses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44.6 %</w:t>
            </w:r>
          </w:p>
        </w:tc>
      </w:tr>
      <w:tr>
        <w:trPr>
          <w:trHeight w:val="220"/>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Facilities, equipment and depreciation expenses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20"/>
        </w:trPr>
        <w:tc>
          <w:tcPr>
            <w:tcW w:w="51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640.0 %</w:t>
            </w:r>
          </w:p>
        </w:tc>
      </w:tr>
      <w:tr>
        <w:trPr>
          <w:trHeight w:val="238"/>
        </w:trPr>
        <w:tc>
          <w:tcPr>
            <w:tcW w:w="5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Total research and development expenses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20,456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29.1 %</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100" w:firstLine="310"/>
        <w:spacing w:after="0" w:line="292" w:lineRule="auto"/>
        <w:rPr>
          <w:sz w:val="20"/>
          <w:szCs w:val="20"/>
          <w:color w:val="auto"/>
        </w:rPr>
      </w:pPr>
      <w:r>
        <w:rPr>
          <w:rFonts w:ascii="Arial" w:cs="Arial" w:eastAsia="Arial" w:hAnsi="Arial"/>
          <w:sz w:val="16"/>
          <w:szCs w:val="16"/>
          <w:color w:val="auto"/>
        </w:rPr>
        <w:t>The increase in our external R&amp;D expenses for the three months ended March 31, 2021 is primarily the result of clinical study costs from the advancement of our OPTIMIZE study which were partially offset by lower costs for the PHREEDOM clinical study. The increase in our employee-related expenses for the three months ended March 31, 2021 is related to recruiting, compensation and benefits expenses for our research and development workforce.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w:t>
      </w:r>
    </w:p>
    <w:p>
      <w:pPr>
        <w:spacing w:after="0" w:line="224" w:lineRule="exact"/>
        <w:rPr>
          <w:sz w:val="20"/>
          <w:szCs w:val="20"/>
          <w:color w:val="auto"/>
        </w:rPr>
      </w:pPr>
    </w:p>
    <w:p>
      <w:pPr>
        <w:jc w:val="both"/>
        <w:ind w:right="100" w:firstLine="310"/>
        <w:spacing w:after="0" w:line="309" w:lineRule="auto"/>
        <w:rPr>
          <w:sz w:val="20"/>
          <w:szCs w:val="20"/>
          <w:color w:val="auto"/>
        </w:rPr>
      </w:pPr>
      <w:r>
        <w:rPr>
          <w:rFonts w:ascii="Arial" w:cs="Arial" w:eastAsia="Arial" w:hAnsi="Arial"/>
          <w:sz w:val="15"/>
          <w:szCs w:val="15"/>
          <w:color w:val="auto"/>
        </w:rPr>
        <w:t>The increase in general and administrative expenses for the three months ended March 31, 2021 was primarily due to an increase in costs associated with building and staffing our commercial infrastructure and teams as we prepare for the U.S. launch of tenapanor for the control of serum phosphorus in adult patients with CKD on dialysis. The increase consisted of headcount and related personnel costs and an increase in external spending for disease awareness initiatives, commercial infrastructure and strategy, partially offset by a decrease in stock-based compensation costs related to performance-based restricted stock units.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Below is a summary of our other income (expense), net (dollars in thousands):</w:t>
      </w:r>
    </w:p>
    <w:p>
      <w:pPr>
        <w:spacing w:after="0" w:line="251"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3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80" w:type="dxa"/>
            <w:vAlign w:val="bottom"/>
            <w:gridSpan w:val="5"/>
          </w:tcPr>
          <w:p>
            <w:pPr>
              <w:ind w:left="220"/>
              <w:spacing w:after="0"/>
              <w:rPr>
                <w:sz w:val="20"/>
                <w:szCs w:val="20"/>
                <w:color w:val="auto"/>
              </w:rPr>
            </w:pPr>
            <w:r>
              <w:rPr>
                <w:rFonts w:ascii="Arial" w:cs="Arial" w:eastAsia="Arial" w:hAnsi="Arial"/>
                <w:sz w:val="17"/>
                <w:szCs w:val="17"/>
                <w:b w:val="1"/>
                <w:bCs w:val="1"/>
                <w:color w:val="auto"/>
              </w:rPr>
              <w:t>Three Months Ended March 31,</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854"/>
              <w:spacing w:after="0"/>
              <w:rPr>
                <w:sz w:val="20"/>
                <w:szCs w:val="20"/>
                <w:color w:val="auto"/>
              </w:rPr>
            </w:pPr>
            <w:r>
              <w:rPr>
                <w:rFonts w:ascii="Arial" w:cs="Arial" w:eastAsia="Arial" w:hAnsi="Arial"/>
                <w:sz w:val="17"/>
                <w:szCs w:val="17"/>
                <w:b w:val="1"/>
                <w:bCs w:val="1"/>
                <w:color w:val="auto"/>
                <w:w w:val="96"/>
              </w:rPr>
              <w:t>Change</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Interest expense</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center"/>
              <w:ind w:left="454"/>
              <w:spacing w:after="0"/>
              <w:rPr>
                <w:sz w:val="20"/>
                <w:szCs w:val="20"/>
                <w:color w:val="auto"/>
              </w:rPr>
            </w:pPr>
            <w:r>
              <w:rPr>
                <w:rFonts w:ascii="Arial" w:cs="Arial" w:eastAsia="Arial" w:hAnsi="Arial"/>
                <w:sz w:val="17"/>
                <w:szCs w:val="17"/>
                <w:color w:val="auto"/>
                <w:w w:val="91"/>
              </w:rPr>
              <w:t>257</w:t>
            </w:r>
          </w:p>
        </w:tc>
        <w:tc>
          <w:tcPr>
            <w:tcW w:w="166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20"/>
        </w:trPr>
        <w:tc>
          <w:tcPr>
            <w:tcW w:w="30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Other income (expense), net</w:t>
            </w:r>
          </w:p>
        </w:tc>
        <w:tc>
          <w:tcPr>
            <w:tcW w:w="9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14"/>
              <w:spacing w:after="0"/>
              <w:rPr>
                <w:sz w:val="20"/>
                <w:szCs w:val="20"/>
                <w:color w:val="auto"/>
              </w:rPr>
            </w:pPr>
            <w:r>
              <w:rPr>
                <w:rFonts w:ascii="Arial" w:cs="Arial" w:eastAsia="Arial" w:hAnsi="Arial"/>
                <w:sz w:val="17"/>
                <w:szCs w:val="17"/>
                <w:color w:val="auto"/>
                <w:w w:val="95"/>
              </w:rPr>
              <w:t>(802)</w:t>
            </w:r>
          </w:p>
        </w:tc>
        <w:tc>
          <w:tcPr>
            <w:tcW w:w="1660" w:type="dxa"/>
            <w:vAlign w:val="bottom"/>
            <w:tcBorders>
              <w:bottom w:val="single" w:sz="8" w:color="CCEEFF"/>
            </w:tcBorders>
            <w:gridSpan w:val="2"/>
          </w:tcPr>
          <w:p>
            <w:pPr>
              <w:jc w:val="right"/>
              <w:ind w:right="194"/>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ind w:left="740"/>
              <w:spacing w:after="0" w:line="149" w:lineRule="exact"/>
              <w:rPr>
                <w:sz w:val="20"/>
                <w:szCs w:val="20"/>
                <w:color w:val="auto"/>
              </w:rPr>
            </w:pPr>
            <w:r>
              <w:rPr>
                <w:rFonts w:ascii="Arial" w:cs="Arial" w:eastAsia="Arial" w:hAnsi="Arial"/>
                <w:sz w:val="17"/>
                <w:szCs w:val="17"/>
                <w:color w:val="auto"/>
              </w:rPr>
              <w:t>Total other income (expense),</w:t>
            </w:r>
          </w:p>
        </w:tc>
        <w:tc>
          <w:tcPr>
            <w:tcW w:w="9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(1,149)</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center"/>
              <w:ind w:left="414"/>
              <w:spacing w:after="0"/>
              <w:rPr>
                <w:sz w:val="20"/>
                <w:szCs w:val="20"/>
                <w:color w:val="auto"/>
              </w:rPr>
            </w:pPr>
            <w:r>
              <w:rPr>
                <w:rFonts w:ascii="Arial" w:cs="Arial" w:eastAsia="Arial" w:hAnsi="Arial"/>
                <w:sz w:val="17"/>
                <w:szCs w:val="17"/>
                <w:color w:val="auto"/>
                <w:w w:val="95"/>
              </w:rPr>
              <w:t>(545)</w:t>
            </w:r>
          </w:p>
        </w:tc>
        <w:tc>
          <w:tcPr>
            <w:tcW w:w="1660" w:type="dxa"/>
            <w:vAlign w:val="bottom"/>
            <w:gridSpan w:val="2"/>
            <w:vMerge w:val="restart"/>
            <w:shd w:val="clear" w:color="auto" w:fill="CCEEFF"/>
          </w:tcPr>
          <w:p>
            <w:pPr>
              <w:jc w:val="right"/>
              <w:ind w:right="254"/>
              <w:spacing w:after="0"/>
              <w:rPr>
                <w:sz w:val="20"/>
                <w:szCs w:val="20"/>
                <w:color w:val="auto"/>
              </w:rPr>
            </w:pPr>
            <w:r>
              <w:rPr>
                <w:rFonts w:ascii="Arial" w:cs="Arial" w:eastAsia="Arial" w:hAnsi="Arial"/>
                <w:sz w:val="17"/>
                <w:szCs w:val="17"/>
                <w:color w:val="auto"/>
              </w:rPr>
              <w:t>90.2</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shd w:val="clear" w:color="auto" w:fill="CCEEFF"/>
          </w:tcPr>
          <w:p>
            <w:pPr>
              <w:ind w:left="120"/>
              <w:spacing w:after="0" w:line="194" w:lineRule="exact"/>
              <w:rPr>
                <w:sz w:val="20"/>
                <w:szCs w:val="20"/>
                <w:color w:val="auto"/>
              </w:rPr>
            </w:pPr>
            <w:r>
              <w:rPr>
                <w:rFonts w:ascii="Arial" w:cs="Arial" w:eastAsia="Arial" w:hAnsi="Arial"/>
                <w:sz w:val="17"/>
                <w:szCs w:val="17"/>
                <w:color w:val="auto"/>
              </w:rPr>
              <w:t>net</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6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decrease in interest expense for the three months ended March 31, 2021 was primarily due to lower interest rates on our variable-rate term loan.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224" w:lineRule="exact"/>
        <w:rPr>
          <w:sz w:val="20"/>
          <w:szCs w:val="20"/>
          <w:color w:val="auto"/>
        </w:rPr>
      </w:pPr>
    </w:p>
    <w:p>
      <w:pPr>
        <w:ind w:right="120" w:firstLine="310"/>
        <w:spacing w:after="0" w:line="283" w:lineRule="auto"/>
        <w:rPr>
          <w:sz w:val="20"/>
          <w:szCs w:val="20"/>
          <w:color w:val="auto"/>
        </w:rPr>
      </w:pPr>
      <w:r>
        <w:rPr>
          <w:rFonts w:ascii="Arial" w:cs="Arial" w:eastAsia="Arial" w:hAnsi="Arial"/>
          <w:sz w:val="17"/>
          <w:szCs w:val="17"/>
          <w:color w:val="auto"/>
        </w:rPr>
        <w:t>The decrease in other income (expense), net for the three months ended March 31, 2021 was primarily due to a decrease in investment income and an increase to the exit fee accretion related to our term loan agreement.</w:t>
      </w: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319"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722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962"/>
        </w:trPr>
        <w:tc>
          <w:tcPr>
            <w:tcW w:w="7220" w:type="dxa"/>
            <w:vAlign w:val="bottom"/>
            <w:gridSpan w:val="2"/>
          </w:tcPr>
          <w:p>
            <w:pPr>
              <w:spacing w:after="0"/>
              <w:rPr>
                <w:sz w:val="20"/>
                <w:szCs w:val="20"/>
                <w:color w:val="auto"/>
              </w:rPr>
            </w:pPr>
            <w:r>
              <w:rPr>
                <w:rFonts w:ascii="Arial" w:cs="Arial" w:eastAsia="Arial" w:hAnsi="Arial"/>
                <w:sz w:val="17"/>
                <w:szCs w:val="17"/>
                <w:b w:val="1"/>
                <w:bCs w:val="1"/>
                <w:color w:val="auto"/>
              </w:rPr>
              <w:t>Liquidity and Capital Resources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13"/>
        </w:trPr>
        <w:tc>
          <w:tcPr>
            <w:tcW w:w="7220" w:type="dxa"/>
            <w:vAlign w:val="bottom"/>
            <w:gridSpan w:val="2"/>
          </w:tcPr>
          <w:p>
            <w:pPr>
              <w:ind w:left="320"/>
              <w:spacing w:after="0"/>
              <w:rPr>
                <w:sz w:val="20"/>
                <w:szCs w:val="20"/>
                <w:color w:val="auto"/>
              </w:rPr>
            </w:pPr>
            <w:r>
              <w:rPr>
                <w:rFonts w:ascii="Arial" w:cs="Arial" w:eastAsia="Arial" w:hAnsi="Arial"/>
                <w:sz w:val="17"/>
                <w:szCs w:val="17"/>
                <w:color w:val="auto"/>
                <w:w w:val="99"/>
              </w:rPr>
              <w:t>Below is a summary of our cash, cash equivalents and marketable securities (in thousands):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36"/>
        </w:trPr>
        <w:tc>
          <w:tcPr>
            <w:tcW w:w="12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 2021</w:t>
            </w:r>
          </w:p>
        </w:tc>
        <w:tc>
          <w:tcPr>
            <w:tcW w:w="200" w:type="dxa"/>
            <w:vAlign w:val="bottom"/>
          </w:tcPr>
          <w:p>
            <w:pPr>
              <w:spacing w:after="0"/>
              <w:rPr>
                <w:sz w:val="24"/>
                <w:szCs w:val="24"/>
                <w:color w:val="auto"/>
              </w:rPr>
            </w:pPr>
          </w:p>
        </w:tc>
        <w:tc>
          <w:tcPr>
            <w:tcW w:w="1780" w:type="dxa"/>
            <w:vAlign w:val="bottom"/>
          </w:tcPr>
          <w:p>
            <w:pPr>
              <w:jc w:val="right"/>
              <w:ind w:right="214"/>
              <w:spacing w:after="0"/>
              <w:rPr>
                <w:sz w:val="20"/>
                <w:szCs w:val="20"/>
                <w:color w:val="auto"/>
              </w:rPr>
            </w:pPr>
            <w:r>
              <w:rPr>
                <w:rFonts w:ascii="Arial" w:cs="Arial" w:eastAsia="Arial" w:hAnsi="Arial"/>
                <w:sz w:val="17"/>
                <w:szCs w:val="17"/>
                <w:b w:val="1"/>
                <w:bCs w:val="1"/>
                <w:color w:val="auto"/>
                <w:w w:val="95"/>
              </w:rPr>
              <w:t>December 31, 2020</w:t>
            </w:r>
          </w:p>
        </w:tc>
      </w:tr>
      <w:tr>
        <w:trPr>
          <w:trHeight w:val="213"/>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91,032</w:t>
            </w:r>
          </w:p>
        </w:tc>
      </w:tr>
      <w:tr>
        <w:trPr>
          <w:trHeight w:val="220"/>
        </w:trPr>
        <w:tc>
          <w:tcPr>
            <w:tcW w:w="7220" w:type="dxa"/>
            <w:vAlign w:val="bottom"/>
            <w:gridSpan w:val="2"/>
          </w:tcPr>
          <w:p>
            <w:pPr>
              <w:ind w:left="20"/>
              <w:spacing w:after="0"/>
              <w:rPr>
                <w:sz w:val="20"/>
                <w:szCs w:val="20"/>
                <w:color w:val="auto"/>
              </w:rPr>
            </w:pPr>
            <w:r>
              <w:rPr>
                <w:rFonts w:ascii="Arial" w:cs="Arial" w:eastAsia="Arial" w:hAnsi="Arial"/>
                <w:sz w:val="17"/>
                <w:szCs w:val="17"/>
                <w:color w:val="auto"/>
              </w:rPr>
              <w:t>Marketable securities - current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94,142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95,452</w:t>
            </w:r>
          </w:p>
        </w:tc>
      </w:tr>
      <w:tr>
        <w:trPr>
          <w:trHeight w:val="22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Marketable securities - non-current</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w:t>
            </w:r>
          </w:p>
        </w:tc>
      </w:tr>
      <w:tr>
        <w:trPr>
          <w:trHeight w:val="213"/>
        </w:trPr>
        <w:tc>
          <w:tcPr>
            <w:tcW w:w="7220" w:type="dxa"/>
            <w:vAlign w:val="bottom"/>
            <w:gridSpan w:val="2"/>
          </w:tcPr>
          <w:p>
            <w:pPr>
              <w:ind w:left="120"/>
              <w:spacing w:after="0"/>
              <w:rPr>
                <w:sz w:val="20"/>
                <w:szCs w:val="20"/>
                <w:color w:val="auto"/>
              </w:rPr>
            </w:pPr>
            <w:r>
              <w:rPr>
                <w:rFonts w:ascii="Arial" w:cs="Arial" w:eastAsia="Arial" w:hAnsi="Arial"/>
                <w:sz w:val="17"/>
                <w:szCs w:val="17"/>
                <w:color w:val="auto"/>
              </w:rPr>
              <w:t>Total liquid funds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178,256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188,642</w:t>
            </w:r>
          </w:p>
        </w:tc>
      </w:tr>
      <w:tr>
        <w:trPr>
          <w:trHeight w:val="20"/>
        </w:trPr>
        <w:tc>
          <w:tcPr>
            <w:tcW w:w="12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March 31, 2021, we had cash, cash equivalents and marketable securities totaling $178.2 million compared to $188.6 million as of December 31, 2020.</w:t>
      </w:r>
    </w:p>
    <w:p>
      <w:pPr>
        <w:spacing w:after="0" w:line="241" w:lineRule="exact"/>
        <w:rPr>
          <w:sz w:val="20"/>
          <w:szCs w:val="20"/>
          <w:color w:val="auto"/>
        </w:rPr>
      </w:pPr>
    </w:p>
    <w:p>
      <w:pPr>
        <w:jc w:val="both"/>
        <w:ind w:firstLine="310"/>
        <w:spacing w:after="0" w:line="275" w:lineRule="auto"/>
        <w:rPr>
          <w:sz w:val="20"/>
          <w:szCs w:val="20"/>
          <w:color w:val="auto"/>
        </w:rPr>
      </w:pPr>
      <w:r>
        <w:rPr>
          <w:rFonts w:ascii="Arial" w:cs="Arial" w:eastAsia="Arial" w:hAnsi="Arial"/>
          <w:sz w:val="16"/>
          <w:szCs w:val="16"/>
          <w:color w:val="auto"/>
        </w:rPr>
        <w:t>In July 2020, we filed a Form S-3 registration statement, which became effective in August 2020,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deemed to be “at the market offerings.” During the three months ended March 31, 2021, we sold 4.9 million shares of our common stock for aggregate gross proceeds of $35.0 million at a weighted average price of $7.09 per share under the Open Market Sales Agreement. In aggregate during the life of the Open Market Sales Agreement, and as of March 31, 2021, we have sold 8.2 million shares of our common stock for gross proceeds of $56.7 million at a weighted average sales price of approximately $6.91 per share. Pursuant to the Open Market Sales Agreement, Jefferies, as sales agent, receives a commission of up to 3.0% of the gross sales price for shares of common stock sold under the Open Market Sales Agreement.</w:t>
      </w:r>
    </w:p>
    <w:p>
      <w:pPr>
        <w:spacing w:after="0" w:line="170"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Our primary sources of cash have been from the sale and issuance of common stock (in both public offerings and private placements) and private placements of convertible preferred stock, funds from our collaboration partnerships and funds from our loan agreement. Our primary uses of cash are to fund operating expenses, primarily research and development expenditures and pre-commercial expenses. Cash used to fund operating expenses is impacted by the timing of when we pay these expenses, as reflected in the change in our outstanding accounts payable and accrued expenses.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18" w:lineRule="exact"/>
        <w:rPr>
          <w:sz w:val="20"/>
          <w:szCs w:val="20"/>
          <w:color w:val="auto"/>
        </w:rPr>
      </w:pPr>
    </w:p>
    <w:p>
      <w:pPr>
        <w:jc w:val="both"/>
        <w:ind w:firstLine="310"/>
        <w:spacing w:after="0" w:line="257" w:lineRule="auto"/>
        <w:rPr>
          <w:sz w:val="20"/>
          <w:szCs w:val="20"/>
          <w:color w:val="auto"/>
        </w:rPr>
      </w:pPr>
      <w:r>
        <w:rPr>
          <w:rFonts w:ascii="Arial" w:cs="Arial" w:eastAsia="Arial" w:hAnsi="Arial"/>
          <w:sz w:val="17"/>
          <w:szCs w:val="17"/>
          <w:color w:val="auto"/>
        </w:rPr>
        <w:t>We believe that our existing capital resources as of March 31, 2021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There are numerous risks and uncertainties associated with research, development and commercialization initiatives, and actual results could vary materially as a result of a number of factors, many of which are outside of our control. Our future capital requirements are difficult to forecast and will depend on many factors, including:</w:t>
      </w:r>
    </w:p>
    <w:p>
      <w:pPr>
        <w:spacing w:after="0" w:line="183" w:lineRule="exact"/>
        <w:rPr>
          <w:sz w:val="20"/>
          <w:szCs w:val="20"/>
          <w:color w:val="auto"/>
        </w:rPr>
      </w:pPr>
    </w:p>
    <w:p>
      <w:pPr>
        <w:jc w:val="both"/>
        <w:ind w:left="320" w:hanging="317"/>
        <w:spacing w:after="0" w:line="268" w:lineRule="auto"/>
        <w:tabs>
          <w:tab w:leader="none" w:pos="31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FDA’s actions and decisions with respect to the NDA submitted to the FDA on June 30, 2020 to request marketing authorization for tenapanor for the control of serum phosphorus in adult CKD patients on dialysis, including the FDA’s actions after the three-month extension of the PDUFA date to July 29, 2021;</w:t>
      </w:r>
    </w:p>
    <w:p>
      <w:pPr>
        <w:spacing w:after="0" w:line="172" w:lineRule="exact"/>
        <w:rPr>
          <w:rFonts w:ascii="Arial" w:cs="Arial" w:eastAsia="Arial" w:hAnsi="Arial"/>
          <w:sz w:val="17"/>
          <w:szCs w:val="17"/>
          <w:color w:val="auto"/>
        </w:rPr>
      </w:pPr>
    </w:p>
    <w:p>
      <w:pPr>
        <w:ind w:left="320" w:hanging="317"/>
        <w:spacing w:after="0" w:line="283" w:lineRule="auto"/>
        <w:tabs>
          <w:tab w:leader="none" w:pos="294"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successfully commercialize tenapanor for the control of serum phosphorus in adult patients with CKD on dialysis or for another other related indication, if approved, either alone or with one or more collaboration partners;</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sales price and the availability of adequate third-party reimbursement for tenapanor, if approved;</w:t>
      </w:r>
    </w:p>
    <w:p>
      <w:pPr>
        <w:spacing w:after="0" w:line="217" w:lineRule="exact"/>
        <w:rPr>
          <w:rFonts w:ascii="Arial" w:cs="Arial" w:eastAsia="Arial" w:hAnsi="Arial"/>
          <w:sz w:val="17"/>
          <w:szCs w:val="17"/>
          <w:color w:val="auto"/>
        </w:rPr>
      </w:pPr>
    </w:p>
    <w:p>
      <w:pPr>
        <w:ind w:left="320" w:hanging="317"/>
        <w:spacing w:after="0" w:line="283" w:lineRule="auto"/>
        <w:tabs>
          <w:tab w:leader="none" w:pos="25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manufacturing costs of our product candidates, and the availability of one or more suppliers for our product candidates at reasonable costs, both for clinical and commercial supply;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hanging="237"/>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selling and marketing costs associated with tenapanor, including the cost and timing of maintaining our sales and marketing capabilities;</w:t>
      </w:r>
    </w:p>
    <w:p>
      <w:pPr>
        <w:spacing w:after="0" w:line="217" w:lineRule="exact"/>
        <w:rPr>
          <w:rFonts w:ascii="Arial" w:cs="Arial" w:eastAsia="Arial" w:hAnsi="Arial"/>
          <w:sz w:val="17"/>
          <w:szCs w:val="17"/>
          <w:color w:val="auto"/>
        </w:rPr>
      </w:pPr>
    </w:p>
    <w:p>
      <w:pPr>
        <w:ind w:left="320" w:hanging="317"/>
        <w:spacing w:after="0" w:line="283" w:lineRule="auto"/>
        <w:tabs>
          <w:tab w:leader="none" w:pos="302"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receipt, and amount of sales of, or royalties on, tenapanor, if any;</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cash requirements of any future acquisitions or discovery of product candidates;</w:t>
      </w:r>
    </w:p>
    <w:p>
      <w:pPr>
        <w:spacing w:after="0" w:line="217" w:lineRule="exact"/>
        <w:rPr>
          <w:rFonts w:ascii="Arial" w:cs="Arial" w:eastAsia="Arial" w:hAnsi="Arial"/>
          <w:sz w:val="17"/>
          <w:szCs w:val="17"/>
          <w:color w:val="auto"/>
        </w:rPr>
      </w:pPr>
    </w:p>
    <w:p>
      <w:pPr>
        <w:ind w:left="320" w:hanging="317"/>
        <w:spacing w:after="0" w:line="283" w:lineRule="auto"/>
        <w:tabs>
          <w:tab w:leader="none" w:pos="27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number and scope of preclinical and discovery programs that we decide to pursue or initiate, and any clinical trials we decide to pursue for other product candidates, including RDX013;</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time and cost necessary to respond to technological and market developments;</w:t>
      </w:r>
    </w:p>
    <w:p>
      <w:pPr>
        <w:spacing w:after="0" w:line="217" w:lineRule="exact"/>
        <w:rPr>
          <w:rFonts w:ascii="Arial" w:cs="Arial" w:eastAsia="Arial" w:hAnsi="Arial"/>
          <w:sz w:val="17"/>
          <w:szCs w:val="17"/>
          <w:color w:val="auto"/>
        </w:rPr>
      </w:pPr>
    </w:p>
    <w:p>
      <w:pPr>
        <w:ind w:left="320" w:hanging="317"/>
        <w:spacing w:after="0" w:line="268" w:lineRule="auto"/>
        <w:tabs>
          <w:tab w:leader="none" w:pos="25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72" w:lineRule="exact"/>
        <w:rPr>
          <w:rFonts w:ascii="Arial" w:cs="Arial" w:eastAsia="Arial" w:hAnsi="Arial"/>
          <w:sz w:val="17"/>
          <w:szCs w:val="17"/>
          <w:color w:val="auto"/>
        </w:rPr>
      </w:pPr>
    </w:p>
    <w:p>
      <w:pPr>
        <w:ind w:left="320" w:hanging="317"/>
        <w:spacing w:after="0" w:line="283" w:lineRule="auto"/>
        <w:tabs>
          <w:tab w:leader="none" w:pos="28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payment of interest and principal related to our loan and security agreement entered into with Solar Capital and Western Alliance Bank in May 2018, as amended in October 2020.</w:t>
      </w:r>
    </w:p>
    <w:p>
      <w:pPr>
        <w:spacing w:after="0" w:line="15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Please see the risk factors set forth in Part II, Item 1A, Risk Factors, in this Quarterly Report on Form 10-Q for additional risks associated with our capital requirements.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20" w:type="dxa"/>
            <w:vAlign w:val="bottom"/>
          </w:tcPr>
          <w:p>
            <w:pPr>
              <w:spacing w:after="0"/>
              <w:rPr>
                <w:sz w:val="20"/>
                <w:szCs w:val="20"/>
                <w:color w:val="auto"/>
              </w:rPr>
            </w:pPr>
            <w:r>
              <w:rPr>
                <w:rFonts w:ascii="Arial" w:cs="Arial" w:eastAsia="Arial" w:hAnsi="Arial"/>
                <w:sz w:val="17"/>
                <w:szCs w:val="17"/>
                <w:b w:val="1"/>
                <w:bCs w:val="1"/>
                <w:i w:val="1"/>
                <w:iCs w:val="1"/>
                <w:color w:val="auto"/>
              </w:rPr>
              <w:t>CASH FLOW ACTIVITIES</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13"/>
        </w:trPr>
        <w:tc>
          <w:tcPr>
            <w:tcW w:w="7620" w:type="dxa"/>
            <w:vAlign w:val="bottom"/>
          </w:tcPr>
          <w:p>
            <w:pPr>
              <w:ind w:left="320"/>
              <w:spacing w:after="0"/>
              <w:rPr>
                <w:sz w:val="20"/>
                <w:szCs w:val="20"/>
                <w:color w:val="auto"/>
              </w:rPr>
            </w:pPr>
            <w:r>
              <w:rPr>
                <w:rFonts w:ascii="Arial" w:cs="Arial" w:eastAsia="Arial" w:hAnsi="Arial"/>
                <w:sz w:val="17"/>
                <w:szCs w:val="17"/>
                <w:color w:val="auto"/>
              </w:rPr>
              <w:t>The following table summarizes our cash flows (in thousands):</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7620" w:type="dxa"/>
            <w:vAlign w:val="bottom"/>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r>
      <w:tr>
        <w:trPr>
          <w:trHeight w:val="213"/>
        </w:trPr>
        <w:tc>
          <w:tcPr>
            <w:tcW w:w="76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7"/>
                <w:szCs w:val="17"/>
                <w:color w:val="auto"/>
              </w:rPr>
              <w:t>Cash used in operating activities</w:t>
            </w:r>
          </w:p>
        </w:tc>
        <w:tc>
          <w:tcPr>
            <w:tcW w:w="1060" w:type="dxa"/>
            <w:vAlign w:val="bottom"/>
          </w:tcPr>
          <w:p>
            <w:pPr>
              <w:jc w:val="right"/>
              <w:ind w:right="8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4"/>
              </w:rPr>
              <w:t>(44,217)</w:t>
            </w:r>
          </w:p>
        </w:tc>
        <w:tc>
          <w:tcPr>
            <w:tcW w:w="100" w:type="dxa"/>
            <w:vAlign w:val="bottom"/>
          </w:tcPr>
          <w:p>
            <w:pPr>
              <w:spacing w:after="0"/>
              <w:rPr>
                <w:sz w:val="18"/>
                <w:szCs w:val="18"/>
                <w:color w:val="auto"/>
              </w:rPr>
            </w:pPr>
          </w:p>
        </w:tc>
        <w:tc>
          <w:tcPr>
            <w:tcW w:w="1200" w:type="dxa"/>
            <w:vAlign w:val="bottom"/>
          </w:tcPr>
          <w:p>
            <w:pPr>
              <w:jc w:val="right"/>
              <w:ind w:right="101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(24,946)</w:t>
            </w:r>
          </w:p>
        </w:tc>
      </w:tr>
      <w:tr>
        <w:trPr>
          <w:trHeight w:val="22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(used in) provided by investing activities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(50,883)</w:t>
            </w:r>
          </w:p>
        </w:tc>
      </w:tr>
      <w:tr>
        <w:trPr>
          <w:trHeight w:val="22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provided by financing activities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34,770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r>
      <w:tr>
        <w:trPr>
          <w:trHeight w:val="238"/>
        </w:trPr>
        <w:tc>
          <w:tcPr>
            <w:tcW w:w="7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decrease in cash and cash equivalents</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(75,238)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224"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Net cash used in operating activities during the three months ended March 31, 2021 increased by $19.3 million as a result of our increased net loss for the period. The increased net loss was primarily driven by costs associated with building and staffing our commercial infrastructure and teams as we prepare for the U.S. launch of tenapanor for the control of serum phosphorus in adult patients with CKD on dialysis. An increase of $12.7 million of cash used in prepaid expenses and other assets which was primarily for prepayments for raw materials and production of tenapanor also contributed to the increase in net cash used during the three months ended March 31, 2021.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Net cash provided by investing activities increased by $53.4 million as a our investment maturities increased to fully offset the cost to purchase investments.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2020, investment purchases exceeded maturities by approximately $50.9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22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Net cash provided by financing activities increased by $34.2 million due to net proceeds from issuance of our common stock pursuant to the Open Market Sales Agreement, or at-the-market offering.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4"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As of March 31, 2021 and 2020, respectively, we did not have any off-balance sheet arrangements as defined in Item 303(a)(4) of Regulation S-K as promulgated by the SEC.</w:t>
      </w:r>
    </w:p>
    <w:p>
      <w:pPr>
        <w:spacing w:after="0" w:line="15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4"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are subject to market risks, including interest rate fluctuation exposure through our investments, in the ordinary course of our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78"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As of March 31, 2021, we had cash, cash equivalents and marketable securities of $178.2 million, which consist of bank deposits and money market funds, as well as high quality fixed income instruments including corporate bonds, commercial paper, and asset-backed securities collateralized by non-mortgage consumer receivables. The credit rating of our short-term investments must be rated A-1/P-1,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83"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We are subject to interest rate fluctuation exposure through our borrowings under the Loan Agreement and our investment in money market accounts which bear a variable interest rate. Borrowings under the Loan Agreement bear interest at a rate equal to one-month London Interbank Offered Rate (“LIBOR”), plus 7.45% per annum. A hypothetical increase in one-month LIBOR of 100 basis points above the current one-month LIBOR rates would have increased our interest expense by approximately $0.1 million for the three months ended March 31, 2021. As of March 31, 2021, we had an aggregate principal amount of $50.0 million outstanding pursuant to our Loan Agreement.</w:t>
      </w:r>
    </w:p>
    <w:p>
      <w:pPr>
        <w:spacing w:after="0" w:line="178" w:lineRule="exact"/>
        <w:rPr>
          <w:sz w:val="20"/>
          <w:szCs w:val="20"/>
          <w:color w:val="auto"/>
        </w:rPr>
      </w:pPr>
    </w:p>
    <w:p>
      <w:pPr>
        <w:jc w:val="both"/>
        <w:ind w:firstLine="310"/>
        <w:spacing w:after="0" w:line="320" w:lineRule="auto"/>
        <w:rPr>
          <w:sz w:val="20"/>
          <w:szCs w:val="20"/>
          <w:color w:val="auto"/>
        </w:rPr>
      </w:pPr>
      <w:r>
        <w:rPr>
          <w:rFonts w:ascii="Arial" w:cs="Arial" w:eastAsia="Arial" w:hAnsi="Arial"/>
          <w:sz w:val="15"/>
          <w:szCs w:val="15"/>
          <w:i w:val="1"/>
          <w:iCs w:val="1"/>
          <w:color w:val="auto"/>
        </w:rPr>
        <w:t xml:space="preserve">Foreign Currency Risk. </w:t>
      </w:r>
      <w:r>
        <w:rPr>
          <w:rFonts w:ascii="Arial" w:cs="Arial" w:eastAsia="Arial" w:hAnsi="Arial"/>
          <w:sz w:val="15"/>
          <w:szCs w:val="15"/>
          <w:color w:val="auto"/>
        </w:rPr>
        <w:t>The majority of our transactions are denominated in U.S. dollars. However, we do have certain transactions that are denominated in</w:t>
      </w:r>
      <w:r>
        <w:rPr>
          <w:rFonts w:ascii="Arial" w:cs="Arial" w:eastAsia="Arial" w:hAnsi="Arial"/>
          <w:sz w:val="15"/>
          <w:szCs w:val="15"/>
          <w:i w:val="1"/>
          <w:iCs w:val="1"/>
          <w:color w:val="auto"/>
        </w:rPr>
        <w:t xml:space="preserve"> </w:t>
      </w:r>
      <w:r>
        <w:rPr>
          <w:rFonts w:ascii="Arial" w:cs="Arial" w:eastAsia="Arial" w:hAnsi="Arial"/>
          <w:sz w:val="15"/>
          <w:szCs w:val="15"/>
          <w:color w:val="auto"/>
        </w:rPr>
        <w:t>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37"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31, 2021, we had no open forward foreign currency exchange contracts.</w:t>
      </w: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18"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As required by Rule 13a-15(b)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13a-15(e) and 15d-15(e) under the Exchange Act) as of March 31, 2021.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March 31, 2021,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1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There were no changes in our internal control over financial reporting that occurred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not experienced any material impact to our internal controls over financial reporting, despite the fact that most of our employees are working remotely due to the COVID-19 pandemic. We are continually monitoring and assessing the COVID-19 situation to minimize the impact on the design and operating effectiveness of our internal controls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Inherent Limitations on Effectiveness of Controls</w:t>
      </w:r>
    </w:p>
    <w:p>
      <w:pPr>
        <w:spacing w:after="0" w:line="218"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PART II.</w:t>
        <w:tab/>
        <w:t>OTHER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4"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From time to time, we may be involved in legal proceedings arising in the ordinary course of business. As of March 31, 2021, there is no litigation pending that would reasonably be expected to have a material adverse effect on our results of operations and financial condition, and no contingent liabilities were accrued as of March 31, 2021.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4"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i w:val="1"/>
          <w:iCs w:val="1"/>
          <w:color w:val="auto"/>
        </w:rPr>
        <w:t xml:space="preserve">Our business involves significant risks, some of which are described below. You should carefully consider these risks, as well as other information in this Quarterly Report on Form 10-Q, including our condensed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Many of the following risks and uncertainties are, and will be, exacerbated by the COVID-19 </w:t>
      </w:r>
      <w:r>
        <w:rPr>
          <w:rFonts w:ascii="Arial" w:cs="Arial" w:eastAsia="Arial" w:hAnsi="Arial"/>
          <w:sz w:val="16"/>
          <w:szCs w:val="16"/>
          <w:color w:val="auto"/>
        </w:rPr>
        <w:t>pandemic</w:t>
      </w:r>
      <w:r>
        <w:rPr>
          <w:rFonts w:ascii="Arial" w:cs="Arial" w:eastAsia="Arial" w:hAnsi="Arial"/>
          <w:sz w:val="16"/>
          <w:szCs w:val="16"/>
          <w:i w:val="1"/>
          <w:iCs w:val="1"/>
          <w:color w:val="auto"/>
        </w:rPr>
        <w:t xml:space="preserve"> and any worsening of the global business and economic environment as a result. Additional risks and uncertainties not presently known to us or that we currently deem immaterial may also impair our business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Principal Risks Related to Our Business</w:t>
      </w:r>
    </w:p>
    <w:p>
      <w:pPr>
        <w:spacing w:after="0" w:line="224" w:lineRule="exact"/>
        <w:rPr>
          <w:sz w:val="20"/>
          <w:szCs w:val="20"/>
          <w:color w:val="auto"/>
        </w:rPr>
      </w:pPr>
    </w:p>
    <w:p>
      <w:pPr>
        <w:jc w:val="both"/>
        <w:ind w:left="320" w:hanging="317"/>
        <w:spacing w:after="0" w:line="257" w:lineRule="auto"/>
        <w:tabs>
          <w:tab w:leader="none" w:pos="283"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substantially dependent on the success of our lead product candidate, tenapanor, which may not receive regulatory approval for the control of serum phosphorus in adult patients with CKD on dialysis or for any other related indication, and if approved, may not be successfully commercialized for such indication. On April 29, 2021, the U.S. Food and Drug Administration (“FDA”) determined that a submission we made in response to an information request from the FDA constituted a major amendment to our New Drug Application (“NDA”) for tenapanor for the control of serum phosphorus, resulting in a three-month extension of the PDUFA date to July 29, 2021. The FDA’s information request included a request for additional analyses of our clinical data. The FDA may act on our application by issuing either an approval letter or a Complete Response Letter (“CRL.”). Should we wish to pursue our application after receiving a CRL, we may, if possible, resubmit the application with information that addresses the questions or issues identified by the FDA in order to support approval. Resubmissions are subject to review period targets, which vary depending on the underlying submission type and the content of the resubmission.</w:t>
      </w:r>
    </w:p>
    <w:p>
      <w:pPr>
        <w:spacing w:after="0" w:line="183" w:lineRule="exact"/>
        <w:rPr>
          <w:rFonts w:ascii="Arial" w:cs="Arial" w:eastAsia="Arial" w:hAnsi="Arial"/>
          <w:sz w:val="17"/>
          <w:szCs w:val="17"/>
          <w:color w:val="auto"/>
        </w:rPr>
      </w:pPr>
    </w:p>
    <w:p>
      <w:pPr>
        <w:ind w:left="320" w:hanging="317"/>
        <w:spacing w:after="0" w:line="259"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Even if we are successful in obtaining regulatory approval for tenapanor for the control of serum phosphorus or for any other related indication,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 Additionally, if the number of patients in the market for tenapanor for the approved indication or the price that the market can bear is not as significant as we estimate, or if we are not able to secure adequate coverage and reimbursement for tenapanor, we may not generate sufficient revenue from sales of tenapanor.</w:t>
      </w:r>
    </w:p>
    <w:p>
      <w:pPr>
        <w:spacing w:after="0" w:line="181" w:lineRule="exact"/>
        <w:rPr>
          <w:rFonts w:ascii="Arial" w:cs="Arial" w:eastAsia="Arial" w:hAnsi="Arial"/>
          <w:sz w:val="17"/>
          <w:szCs w:val="17"/>
          <w:color w:val="auto"/>
        </w:rPr>
      </w:pPr>
    </w:p>
    <w:p>
      <w:pPr>
        <w:jc w:val="both"/>
        <w:ind w:left="320" w:hanging="317"/>
        <w:spacing w:after="0" w:line="268" w:lineRule="auto"/>
        <w:tabs>
          <w:tab w:leader="none" w:pos="37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Third-party payor coverage and reimbursement status of newly-approved products are uncertain. Failure to obtain or maintain adequate coverage and reimbursement for tenapanor, if approved, could limit our ability to market tenapanor for the approved indication and decrease our ability to generate revenue. For example, certain policies of the Biden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20"/>
        <w:spacing w:after="0" w:line="298" w:lineRule="auto"/>
        <w:rPr>
          <w:sz w:val="20"/>
          <w:szCs w:val="20"/>
          <w:color w:val="auto"/>
        </w:rPr>
      </w:pPr>
      <w:r>
        <w:rPr>
          <w:rFonts w:ascii="Arial" w:cs="Arial" w:eastAsia="Arial" w:hAnsi="Arial"/>
          <w:sz w:val="15"/>
          <w:szCs w:val="15"/>
          <w:color w:val="auto"/>
        </w:rPr>
        <w:t>administration with respect to drug pricing or reimbursement may impact our business and industry. While there is significant uncertainty related to the insurance coverage and reimbursement of newly approved products in general in the United States, there is additional uncertainty related to insurance coverage and reimbursement for drugs, like tenapanor, which, if approved, will be marketed for the approved indication for adult patients with CKD on dialysis. If we are successful in obtaining regulatory approval to market tenapanor for the control of serum phosphorus in adult patients with CKD on dialysis or for any other related indication, our ability to generate and sustain future revenues from sales of tenapanor for such indication, may be dependent upon whether and when tenapanor, along with other oral end-stage renal disease (“ESRD”) related drugs without an injectable or intravenous equivalent, are bundled into the ESRD prospective payment system, and the manner in which such introduction into the ESRD prospective payment system may occur.</w:t>
      </w:r>
    </w:p>
    <w:p>
      <w:pPr>
        <w:spacing w:after="0" w:line="155" w:lineRule="exact"/>
        <w:rPr>
          <w:sz w:val="20"/>
          <w:szCs w:val="20"/>
          <w:color w:val="auto"/>
        </w:rPr>
      </w:pPr>
    </w:p>
    <w:p>
      <w:pPr>
        <w:jc w:val="both"/>
        <w:ind w:left="320" w:hanging="317"/>
        <w:spacing w:after="0" w:line="261" w:lineRule="auto"/>
        <w:tabs>
          <w:tab w:leader="none" w:pos="31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hired sales and marketing leadership and employees with technical expertise, and we are required to train, retain and incentivize those sales and marketing personnel. The FDA has extended our PDUFA date to July 29, 2021, and there can be no assurances that we will be successful in retaining our sales and marketing leadership or other key employees necessary for commercial launch throughout this extension, or that we will be able to replace any such leadership or other sales personnel that may leave the Company. Retaining and incentivizing our commercial personnel throughout our extended PDUFA date and thereafter will continue to be expensive and time consuming.</w:t>
      </w:r>
    </w:p>
    <w:p>
      <w:pPr>
        <w:spacing w:after="0" w:line="177" w:lineRule="exact"/>
        <w:rPr>
          <w:rFonts w:ascii="Arial" w:cs="Arial" w:eastAsia="Arial" w:hAnsi="Arial"/>
          <w:sz w:val="17"/>
          <w:szCs w:val="17"/>
          <w:color w:val="auto"/>
        </w:rPr>
      </w:pPr>
    </w:p>
    <w:p>
      <w:pPr>
        <w:jc w:val="both"/>
        <w:ind w:left="320" w:hanging="317"/>
        <w:spacing w:after="0" w:line="263" w:lineRule="auto"/>
        <w:tabs>
          <w:tab w:leader="none" w:pos="331"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rely completely on third parties to manufacture tenapanor and our other product candidates. If they are unable to comply with applicable regulatory requirements, unable to source sufficient raw materials, experience manufacturing or distribution difficulties or are otherwise unable to manufacture sufficient quantities to meet demand, our commercialization of tenapanor, if approved, and our development efforts for tenapanor, RDX013 and our other product candidates may be materially harmed.</w:t>
      </w:r>
    </w:p>
    <w:p>
      <w:pPr>
        <w:spacing w:after="0" w:line="176" w:lineRule="exact"/>
        <w:rPr>
          <w:rFonts w:ascii="Arial" w:cs="Arial" w:eastAsia="Arial" w:hAnsi="Arial"/>
          <w:sz w:val="17"/>
          <w:szCs w:val="17"/>
          <w:color w:val="auto"/>
        </w:rPr>
      </w:pPr>
    </w:p>
    <w:p>
      <w:pPr>
        <w:ind w:left="320" w:hanging="317"/>
        <w:spacing w:after="0" w:line="283" w:lineRule="auto"/>
        <w:tabs>
          <w:tab w:leader="none" w:pos="27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a limited operating history, have incurred significant losses since our inception and will incur losses in the future, which makes it difficult for us to assess our future viability.</w:t>
      </w:r>
    </w:p>
    <w:p>
      <w:pPr>
        <w:spacing w:after="0" w:line="159" w:lineRule="exact"/>
        <w:rPr>
          <w:rFonts w:ascii="Arial" w:cs="Arial" w:eastAsia="Arial" w:hAnsi="Arial"/>
          <w:sz w:val="17"/>
          <w:szCs w:val="17"/>
          <w:color w:val="auto"/>
        </w:rPr>
      </w:pPr>
    </w:p>
    <w:p>
      <w:pPr>
        <w:ind w:left="320" w:hanging="317"/>
        <w:spacing w:after="0" w:line="261" w:lineRule="auto"/>
        <w:tabs>
          <w:tab w:leader="none" w:pos="252"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never generated any revenue from product sales and may never be profitable. Our ability to generate future revenue from product sales or pursuant to milestone payments is dependent upon many factors, including, but not limited to, obtaining regulatory approvals for tenapanor for the control of serum phosphorus or for any other related indication, and establishing and maintaining supply and manufacturing relationships with third parties that can provide adequate supply of product to support the market demand for tenapanor; and obtaining market acceptance of tenapanor as a viable treatment option for the indications for which it is approved and commercialized.</w:t>
      </w:r>
    </w:p>
    <w:p>
      <w:pPr>
        <w:spacing w:after="0" w:line="177" w:lineRule="exact"/>
        <w:rPr>
          <w:rFonts w:ascii="Arial" w:cs="Arial" w:eastAsia="Arial" w:hAnsi="Arial"/>
          <w:sz w:val="17"/>
          <w:szCs w:val="17"/>
          <w:color w:val="auto"/>
        </w:rPr>
      </w:pPr>
    </w:p>
    <w:p>
      <w:pPr>
        <w:jc w:val="both"/>
        <w:ind w:left="320" w:hanging="317"/>
        <w:spacing w:after="0" w:line="268"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72" w:lineRule="exact"/>
        <w:rPr>
          <w:rFonts w:ascii="Arial" w:cs="Arial" w:eastAsia="Arial" w:hAnsi="Arial"/>
          <w:sz w:val="17"/>
          <w:szCs w:val="17"/>
          <w:color w:val="auto"/>
        </w:rPr>
      </w:pPr>
    </w:p>
    <w:p>
      <w:pPr>
        <w:ind w:left="320" w:hanging="317"/>
        <w:spacing w:after="0" w:line="283" w:lineRule="auto"/>
        <w:tabs>
          <w:tab w:leader="none" w:pos="258"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be successful in our efforts to develop RDX013 or expand our pipeline of product candidates, as a result of numerous factors, which may include the inability to access capital necessary to fund such efforts on acceptable terms.</w:t>
      </w:r>
    </w:p>
    <w:p>
      <w:pPr>
        <w:spacing w:after="0" w:line="159" w:lineRule="exact"/>
        <w:rPr>
          <w:rFonts w:ascii="Arial" w:cs="Arial" w:eastAsia="Arial" w:hAnsi="Arial"/>
          <w:sz w:val="17"/>
          <w:szCs w:val="17"/>
          <w:color w:val="auto"/>
        </w:rPr>
      </w:pPr>
    </w:p>
    <w:p>
      <w:pPr>
        <w:jc w:val="both"/>
        <w:ind w:left="320" w:hanging="317"/>
        <w:spacing w:after="0" w:line="278"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w:t>
      </w:r>
    </w:p>
    <w:p>
      <w:pPr>
        <w:spacing w:after="0" w:line="168" w:lineRule="exact"/>
        <w:rPr>
          <w:rFonts w:ascii="Arial" w:cs="Arial" w:eastAsia="Arial" w:hAnsi="Arial"/>
          <w:sz w:val="16"/>
          <w:szCs w:val="16"/>
          <w:color w:val="auto"/>
        </w:rPr>
      </w:pPr>
    </w:p>
    <w:p>
      <w:pPr>
        <w:jc w:val="both"/>
        <w:ind w:left="320" w:hanging="317"/>
        <w:spacing w:after="0" w:line="276" w:lineRule="auto"/>
        <w:tabs>
          <w:tab w:leader="none" w:pos="28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COVID-19 pandemic continues to rapidly evolve. The extent to which the pandemic may impact our business, manufacturing, preclinical development activities, preclinical studies, planned and ongoing clinical trials, as well as regulators' review of applications will depend on future developments, which are highly uncertain and cannot be predicted with confidence, such as, the duration of the pandemic, travel restrictions and actions to contain the pandemic or treat its impact, such as social distancing, quarantines or lock-downs in the United States and other countries, business closures or business disruptions and the effectiveness of actions taken in the United States and other countries to contain and treat the disease. Specifically, while our Phase 3 clinical development of tenapanor for the control of serum phosphorus in adult patients with CKD on dialysis or for another other related indication is complete, we have ongoing and planned clinical trials for tenapanor or may be required to conduct additional clinical trials, that may be delayed as a result of the restrictions placed on access to dialysis centers during the COVID-19 pandemic or regulators' review of our applications.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20"/>
        <w:spacing w:after="0" w:line="263" w:lineRule="auto"/>
        <w:rPr>
          <w:sz w:val="20"/>
          <w:szCs w:val="20"/>
          <w:color w:val="auto"/>
        </w:rPr>
      </w:pPr>
      <w:r>
        <w:rPr>
          <w:rFonts w:ascii="Arial" w:cs="Arial" w:eastAsia="Arial" w:hAnsi="Arial"/>
          <w:sz w:val="17"/>
          <w:szCs w:val="17"/>
          <w:color w:val="auto"/>
        </w:rPr>
        <w:t>Other potential impacts of the COVID-19 pandemic on our various clinical trials, including our ongoing Phase 2 clinical trial for RDX013,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77" w:lineRule="exact"/>
        <w:rPr>
          <w:sz w:val="20"/>
          <w:szCs w:val="20"/>
          <w:color w:val="auto"/>
        </w:rPr>
      </w:pPr>
    </w:p>
    <w:p>
      <w:pPr>
        <w:ind w:left="320" w:hanging="317"/>
        <w:spacing w:after="0" w:line="283" w:lineRule="auto"/>
        <w:tabs>
          <w:tab w:leader="none" w:pos="2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59" w:lineRule="exact"/>
        <w:rPr>
          <w:rFonts w:ascii="Arial" w:cs="Arial" w:eastAsia="Arial" w:hAnsi="Arial"/>
          <w:sz w:val="17"/>
          <w:szCs w:val="17"/>
          <w:color w:val="auto"/>
        </w:rPr>
      </w:pPr>
    </w:p>
    <w:p>
      <w:pPr>
        <w:jc w:val="both"/>
        <w:ind w:left="320" w:hanging="317"/>
        <w:spacing w:after="0" w:line="281" w:lineRule="auto"/>
        <w:tabs>
          <w:tab w:leader="none" w:pos="35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for us or a collaboration partner to achieve or maintain market acceptance of the approved product could be materially affected and could result in the loss of significant revenue to us, which would materially and adversely affect our results of operations and business.</w:t>
      </w:r>
    </w:p>
    <w:p>
      <w:pPr>
        <w:spacing w:after="0" w:line="163" w:lineRule="exact"/>
        <w:rPr>
          <w:rFonts w:ascii="Arial" w:cs="Arial" w:eastAsia="Arial" w:hAnsi="Arial"/>
          <w:sz w:val="16"/>
          <w:szCs w:val="16"/>
          <w:color w:val="auto"/>
        </w:rPr>
      </w:pPr>
    </w:p>
    <w:p>
      <w:pPr>
        <w:jc w:val="both"/>
        <w:ind w:left="320" w:hanging="317"/>
        <w:spacing w:after="0" w:line="259" w:lineRule="auto"/>
        <w:tabs>
          <w:tab w:leader="none" w:pos="34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regulatory approval processes of the FDA and comparable foreign authorities are lengthy, time consuming and inherently unpredictable. If we are ultimately unable to obtain regulatory approval for our product candidates, including tenapanor for the control of serum phosphorus, or any related indication, our business will be substantially harmed. 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Risks Related to Our Business</w:t>
      </w: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tenapanor, which may not receive regulatory approval for the control of serum phosphorus or for any other related indication or be successfully commercialized for hyperphosphatemia or IBS-C.</w:t>
      </w:r>
    </w:p>
    <w:p>
      <w:pPr>
        <w:spacing w:after="0" w:line="159"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To date, we have invested a significant amount of our efforts and financial resources in the research and development of tenapanor, which is currently our lead product candidate. The commercial success of tenapanor will depend on a number of factors, including whether tenapanor’s safety and efficacy profile is satisfactory to the FDA and foreign regulatory authorities to gain marketing approval for the control of serum phosphorus, or any other related indication. On April 29, 2021, the FDA determined that a submission we made in response to an information request from the FDA constituted a major amendment to our NDA, resulting in a three-month extension of the PDUFA date to July 29, 2021. The FDA’s information request included a request for additional analyses of our clinical data. The FDA may act on our application by issuing an approval letter or a CRL. Should we wish to pursue an application after receiving a CRL, we may, if possible, resubmit the application with information that addresses the questions or issues identified by the FDA in order to support approval. Resubmissions are subject to review period targets, which vary depending on the underlying submission type, the content of the resubmission and regulators' ability to conduct the review. If we are successful in obtaining approval for tenapanor for the control of serum phosphorus, or for a related indication, the commercial success of tenapanor will depend on a number of additional factors, including the following:</w:t>
      </w:r>
    </w:p>
    <w:p>
      <w:pPr>
        <w:spacing w:after="0" w:line="174" w:lineRule="exact"/>
        <w:rPr>
          <w:sz w:val="20"/>
          <w:szCs w:val="20"/>
          <w:color w:val="auto"/>
        </w:rPr>
      </w:pPr>
    </w:p>
    <w:p>
      <w:pPr>
        <w:ind w:left="320" w:hanging="317"/>
        <w:spacing w:after="0" w:line="268" w:lineRule="auto"/>
        <w:tabs>
          <w:tab w:leader="none" w:pos="24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ability of the third-party manufacturers we contract with to provide an adequate (in amount and quality) supply of product to support the market demand for tenapanor for the treatment of IBS-C, and/or if approved, tenapanor for the control of serum phosphorus in adult patients with CKD on dialysis or for another other related indication, particularly in light of the effects of the COVID-19 pandemic;</w:t>
      </w:r>
    </w:p>
    <w:p>
      <w:pPr>
        <w:spacing w:after="0" w:line="172" w:lineRule="exact"/>
        <w:rPr>
          <w:rFonts w:ascii="Arial" w:cs="Arial" w:eastAsia="Arial" w:hAnsi="Arial"/>
          <w:sz w:val="17"/>
          <w:szCs w:val="17"/>
          <w:color w:val="auto"/>
        </w:rPr>
      </w:pPr>
    </w:p>
    <w:p>
      <w:pPr>
        <w:ind w:left="320" w:hanging="317"/>
        <w:spacing w:after="0" w:line="283" w:lineRule="auto"/>
        <w:tabs>
          <w:tab w:leader="none" w:pos="2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whether or not the content and breadth of the label approved by the FDA or foreign regulatory authorities may materially and adversely impact our ability or the ability of our collaboration partners to commercialize the product for the approved indication, or for any other indication;</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whether we will be required to conduct clinical trials in addition to those anticipated to obtain regulatory approval or adequate commercial pricing;</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prevalence and severity of adverse side effects of tenapanor;</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timely receipt of necessary marketing approvals from the FDA and foreign regulatory authorities;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hanging="317"/>
        <w:spacing w:after="0" w:line="283" w:lineRule="auto"/>
        <w:tabs>
          <w:tab w:leader="none" w:pos="288"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achieving and maintaining compliance with all regulatory requirements applicable to tenapanor;</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acceptance of tenapanor as safe, effective and well-tolerated by patients and the medical community;</w:t>
      </w:r>
    </w:p>
    <w:p>
      <w:pPr>
        <w:spacing w:after="0" w:line="217" w:lineRule="exact"/>
        <w:rPr>
          <w:rFonts w:ascii="Arial" w:cs="Arial" w:eastAsia="Arial" w:hAnsi="Arial"/>
          <w:sz w:val="17"/>
          <w:szCs w:val="17"/>
          <w:color w:val="auto"/>
        </w:rPr>
      </w:pPr>
    </w:p>
    <w:p>
      <w:pPr>
        <w:ind w:left="320" w:hanging="317"/>
        <w:spacing w:after="0" w:line="268" w:lineRule="auto"/>
        <w:tabs>
          <w:tab w:leader="none" w:pos="251"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alone or with collaboration partners, to manage the complex pricing and reimbursement negotiations associated with marketing the same product at different doses for separate indications for tenapanor for the treatment of IBS-C, and, if approved, for the control of serum phosphorus in adult patients with CKD on dialysis or for another other related indication;</w:t>
      </w:r>
    </w:p>
    <w:p>
      <w:pPr>
        <w:spacing w:after="0" w:line="172" w:lineRule="exact"/>
        <w:rPr>
          <w:rFonts w:ascii="Arial" w:cs="Arial" w:eastAsia="Arial" w:hAnsi="Arial"/>
          <w:sz w:val="17"/>
          <w:szCs w:val="17"/>
          <w:color w:val="auto"/>
        </w:rPr>
      </w:pPr>
    </w:p>
    <w:p>
      <w:pPr>
        <w:ind w:left="240" w:hanging="237"/>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availability, perceived advantages, relative cost, relative safety and relative efficacy of tenapanor compared to alternative and competing treatments;</w:t>
      </w:r>
    </w:p>
    <w:p>
      <w:pPr>
        <w:spacing w:after="0" w:line="229" w:lineRule="exact"/>
        <w:rPr>
          <w:rFonts w:ascii="Arial" w:cs="Arial" w:eastAsia="Arial" w:hAnsi="Arial"/>
          <w:sz w:val="16"/>
          <w:szCs w:val="16"/>
          <w:color w:val="auto"/>
        </w:rPr>
      </w:pPr>
    </w:p>
    <w:p>
      <w:pPr>
        <w:ind w:left="240" w:hanging="237"/>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obtaining and sustaining an adequate level of coverage and reimbursement for tenapanor by third-party payors;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enforcing intellectual property rights in and to tenapanor;</w:t>
      </w:r>
    </w:p>
    <w:p>
      <w:pPr>
        <w:spacing w:after="0" w:line="217" w:lineRule="exact"/>
        <w:rPr>
          <w:rFonts w:ascii="Arial" w:cs="Arial" w:eastAsia="Arial" w:hAnsi="Arial"/>
          <w:sz w:val="17"/>
          <w:szCs w:val="17"/>
          <w:color w:val="auto"/>
        </w:rPr>
      </w:pPr>
    </w:p>
    <w:p>
      <w:pPr>
        <w:ind w:left="320" w:hanging="317"/>
        <w:spacing w:after="0" w:line="283" w:lineRule="auto"/>
        <w:tabs>
          <w:tab w:leader="none" w:pos="29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avoiding third-party interference, opposition, derivation or similar proceedings with respect to our patent rights, and avoiding other challenges to our patent rights and patent infringement claims; and</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continued acceptable safety and tolerability profile of tenapanor following approval.</w:t>
      </w:r>
    </w:p>
    <w:p>
      <w:pPr>
        <w:spacing w:after="0" w:line="218"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6"/>
          <w:szCs w:val="16"/>
          <w:color w:val="auto"/>
        </w:rPr>
        <w:t>As tenapanor is a first-in-class drug, there is a higher likelihood that approval may not be attained as compared to a class of drugs with approved products. Although tenapanor met the primary endpoints in all of the three Phase 3 clinical trials evaluating tenapanor for the control of serum phosphorus in adult patients with CKD on dialysis, the FDA requested additional analyses of the clinical data submitted in our NDA in order to more fully evaluate our clinical data, including as compared to approved therapies. The submission of the new analyses was determined to be a major amendment to our NDA, and resulted in a three month extension of our PDUFA date. There can be no assurances that we will receive regulatory approval to market tenapanor for the control of serum phosphorus in adult patients with CKD on dialysis or for any other related indication. The FDA, after consideration of our submission may issue a CRL. Further, it may not be possible or practicable to demonstrate, or if approved, to market tenapanor on the basis of certain of the benefits we believe tenapanor possesses. If the number of patients in the market for tenapanor based on the approved indication or the price that the market can bear is not as significant as we estimate, or if we are not able to secure adequate coverage and reimbursement for tenapanor, we may not generate sufficient revenue from sales of tenapanor for the control of serum phosphorus in adult patients with CKD on dialysis or for any other related indication, if approved, or for IBS-C if commercialized. There can be no assurance that tenapanor will ever be successfully commercialized or that we will ever generate income from sales of tenapanor. If we are not successful in obtaining approval for tenapanor for the control of serum phosphorus or for any other related indication, or we are not successful in commercializing tenapanor, or are significantly delayed in doing so, our business will be materially harmed.</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auto"/>
        </w:rPr>
        <w:t>Even if we are successful in obtaining regulatory approval for tenapanor for the control of serum phosphorus or for any other related indication,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77"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Market acceptance of tenapanor for IBS-C and, in the event that marketing approval is obtained, for the control of serum phosphorus or for another other related indication, depends on a number of factors, including:</w:t>
      </w:r>
    </w:p>
    <w:p>
      <w:pPr>
        <w:spacing w:after="0" w:line="159" w:lineRule="exact"/>
        <w:rPr>
          <w:sz w:val="20"/>
          <w:szCs w:val="20"/>
          <w:color w:val="auto"/>
        </w:rPr>
      </w:pPr>
    </w:p>
    <w:p>
      <w:pPr>
        <w:ind w:left="240" w:hanging="237"/>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breadth and content of the approved label, and the clinical indications for which it is approved;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efficacy demonstrated in our clinical trials;</w:t>
      </w:r>
    </w:p>
    <w:p>
      <w:pPr>
        <w:spacing w:after="0" w:line="217" w:lineRule="exact"/>
        <w:rPr>
          <w:rFonts w:ascii="Arial" w:cs="Arial" w:eastAsia="Arial" w:hAnsi="Arial"/>
          <w:sz w:val="17"/>
          <w:szCs w:val="17"/>
          <w:color w:val="auto"/>
        </w:rPr>
      </w:pPr>
    </w:p>
    <w:p>
      <w:pPr>
        <w:jc w:val="both"/>
        <w:ind w:left="320" w:hanging="317"/>
        <w:spacing w:after="0" w:line="268"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 respect to tenapanor for the control of serum phosphorus or for another other related indication, whether tenapanor, along with other oral only medications, are included in the bundled prospective payment system for the treatment of ESRD patients, and the time and manner in which such transition is achieved;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hanging="237"/>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prevalence and severity of any side effects and overall safety and tolerability profile of the product;</w:t>
      </w:r>
    </w:p>
    <w:p>
      <w:pPr>
        <w:spacing w:after="0" w:line="217" w:lineRule="exact"/>
        <w:rPr>
          <w:rFonts w:ascii="Arial" w:cs="Arial" w:eastAsia="Arial" w:hAnsi="Arial"/>
          <w:sz w:val="17"/>
          <w:szCs w:val="17"/>
          <w:color w:val="auto"/>
        </w:rPr>
      </w:pPr>
    </w:p>
    <w:p>
      <w:pPr>
        <w:ind w:left="320" w:hanging="317"/>
        <w:spacing w:after="0" w:line="283" w:lineRule="auto"/>
        <w:tabs>
          <w:tab w:leader="none" w:pos="29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advantages over new or traditional or existing therapies, including recently approved therapies or therapies that the physician community anticipate will be approved;</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acceptance by physicians, major operators of clinics and patients of tenapanor as a safe, effective and well-tolerated treatment;</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relative convenience and ease of administration of tenapanor;</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potential and perceived advantages of tenapanor over current treatment options or alternative treatments, including future alternative treatments;</w:t>
      </w:r>
    </w:p>
    <w:p>
      <w:pPr>
        <w:spacing w:after="0" w:line="229" w:lineRule="exact"/>
        <w:rPr>
          <w:rFonts w:ascii="Arial" w:cs="Arial" w:eastAsia="Arial" w:hAnsi="Arial"/>
          <w:sz w:val="16"/>
          <w:szCs w:val="16"/>
          <w:color w:val="auto"/>
        </w:rPr>
      </w:pPr>
    </w:p>
    <w:p>
      <w:pPr>
        <w:ind w:left="240" w:hanging="237"/>
        <w:spacing w:after="0"/>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 of treatment in relation to alternative treatments and the willingness to pay for tenapanor, if approved, on the part of physicians and patients;</w:t>
      </w:r>
    </w:p>
    <w:p>
      <w:pPr>
        <w:spacing w:after="0" w:line="229" w:lineRule="exact"/>
        <w:rPr>
          <w:rFonts w:ascii="Arial" w:cs="Arial" w:eastAsia="Arial" w:hAnsi="Arial"/>
          <w:sz w:val="16"/>
          <w:szCs w:val="16"/>
          <w:color w:val="auto"/>
        </w:rPr>
      </w:pPr>
    </w:p>
    <w:p>
      <w:pPr>
        <w:ind w:left="240" w:hanging="237"/>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availability of alternative products and their ability to meet market demand;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quality of our relationships with patient advocacy groups.</w:t>
      </w:r>
    </w:p>
    <w:p>
      <w:pPr>
        <w:spacing w:after="0" w:line="21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Any failure of tenapanor to achieve market acceptance, sufficient third-party coverage or reimbursement, or commercial success for any approved indications would adversely affect our results of operations.</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we are not able to retain our sales and marketing leadership and other key employees during the extended PDUFA date, and we are not able to replace any lost personnel we may not be able to commercialize tenapanor or any of our other product candidates.</w:t>
      </w:r>
    </w:p>
    <w:p>
      <w:pPr>
        <w:spacing w:after="0" w:line="159" w:lineRule="exact"/>
        <w:rPr>
          <w:sz w:val="20"/>
          <w:szCs w:val="20"/>
          <w:color w:val="auto"/>
        </w:rPr>
      </w:pPr>
    </w:p>
    <w:p>
      <w:pPr>
        <w:jc w:val="both"/>
        <w:ind w:firstLine="310"/>
        <w:spacing w:after="0" w:line="294" w:lineRule="auto"/>
        <w:rPr>
          <w:sz w:val="20"/>
          <w:szCs w:val="20"/>
          <w:color w:val="auto"/>
        </w:rPr>
      </w:pPr>
      <w:r>
        <w:rPr>
          <w:rFonts w:ascii="Arial" w:cs="Arial" w:eastAsia="Arial" w:hAnsi="Arial"/>
          <w:sz w:val="15"/>
          <w:szCs w:val="15"/>
          <w:color w:val="auto"/>
        </w:rPr>
        <w:t>If approved, we currently plan to commercialize tenapanor for the control of serum phosphorus in adult patients with CKD on dialysis or for another related indication, on our own. We have hired sales leadership and sales employees with technical expertise, and we are required to train, retain and incentivize those sales personnel. The FDA has extended our PDUFA date to July 29, 2021, and there can be no assurances that we will be successful in retaining our sales and marketing leadership or other key employees necessary for commercial launch throughout this extension, or that we will be able to replace any such leadership or other sales personnel that may leave the Company. Retaining and incentivizing our commercial personnel throughout our extended PDUFA date and thereafter will continue to be expensive and time consuming. Even if we are able to retain our key sales and marketing leadership during this extended PDUFA date, and tenapanor is approved for the control of serum phosphorus in adult patients with CKD on dialysis, or any related indication, as a company, we have no prior experience in the marketing, sale and distribution of pharmaceutical products and there are significant risks involved in managing and retaining a sales organization, including our ability to secure the capital necessary to fund such efforts on acceptable terms, provide adequate training to sales and marketing personnel, comply with regulatory requirements applicable to the marketing and sale of drug products and effectively manage a geographically dispersed sales and marketing team.</w:t>
      </w:r>
    </w:p>
    <w:p>
      <w:pPr>
        <w:spacing w:after="0" w:line="161" w:lineRule="exact"/>
        <w:rPr>
          <w:sz w:val="20"/>
          <w:szCs w:val="20"/>
          <w:color w:val="auto"/>
        </w:rPr>
      </w:pPr>
    </w:p>
    <w:p>
      <w:pPr>
        <w:jc w:val="both"/>
        <w:ind w:firstLine="310"/>
        <w:spacing w:after="0" w:line="315" w:lineRule="auto"/>
        <w:rPr>
          <w:sz w:val="20"/>
          <w:szCs w:val="20"/>
          <w:color w:val="auto"/>
        </w:rPr>
      </w:pPr>
      <w:r>
        <w:rPr>
          <w:rFonts w:ascii="Arial" w:cs="Arial" w:eastAsia="Arial" w:hAnsi="Arial"/>
          <w:sz w:val="16"/>
          <w:szCs w:val="16"/>
          <w:color w:val="auto"/>
        </w:rPr>
        <w:t>If we fail to maintain or replace our internal sales, marketing and distribution capabilities, we may need to delay the commercialization of tenapanor for the control of serum phosphorus or for another other related indication, if approved, or such commercialization could be adversely impacted.</w:t>
      </w:r>
    </w:p>
    <w:p>
      <w:pPr>
        <w:spacing w:after="0" w:line="137"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Third-party payor coverage and reimbursement status of newly-approved products are uncertain. Failure to obtain or maintain adequate coverage and reimbursement for our products, if approved, could limit our ability to market those products and decrease our ability to generate revenue.</w:t>
      </w:r>
    </w:p>
    <w:p>
      <w:pPr>
        <w:spacing w:after="0" w:line="137"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6"/>
          <w:szCs w:val="16"/>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63"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There is increased uncertainty related to insurance coverage and reimbursement for drugs, like tenapanor, which, if approved, will be marketed for the control of serum phosphorus in CKD patients on dialysis or for another other related indication.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tenapanor and our business should tenapanor be brought into the bundle in 2025, or at any time, we may be unable to sell tenapanor,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170"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3"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auto"/>
        </w:rPr>
        <w:t>We rely completely on third parties to manufacture tenapanor and our other product candidates. If they are unable to comply with applicable regulatory requirements, unable to source sufficient raw materials, experience manufacturing or distribution difficulties or are otherwise unable to manufacture sufficient quantities to meet demand, our commercialization of tenapanor, if approved, and our development efforts for tenapanor, RDX013 and our other product candidates may be materially harmed.</w:t>
      </w:r>
    </w:p>
    <w:p>
      <w:pPr>
        <w:spacing w:after="0" w:line="177"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are subject to inspection by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current Good Manufacturing Practice requirements (“cGMPs”), for manufacture of both active drug substances and finished drug products.</w:t>
      </w:r>
    </w:p>
    <w:p>
      <w:pPr>
        <w:spacing w:after="0" w:line="168"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contract manufacturers do not experience problems and commercial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181"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6"/>
          <w:szCs w:val="16"/>
          <w:color w:val="auto"/>
        </w:rPr>
        <w:t>If our contract manufacturers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approved for marketing for the control of serum phosphorus in adult patients with CKD on dialysis or for another other related indication,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tenapanor for the control of serum phosphorus or for another other related indication, if approved, may be materially harmed.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Condition and Capital Requirements</w:t>
      </w: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59"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77"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are not profitable and have incurred losses in each year since our inception in October 2007, and we do not know whether or when we will become profitable. We continue to incur significant research, development and other expenses related to our ongoing operations. As of March 31, 2021, we had an accumulated deficit of $587.9 million.</w:t>
      </w:r>
    </w:p>
    <w:p>
      <w:pPr>
        <w:spacing w:after="0" w:line="172"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We expect to continue to incur substantial operating losses for the foreseeable future as we prepare for the potential commercialization of, and incur manufacturing and development costs for, tenapanor for the control of serum phosphorus in CKD patients on dialysis or for another other related indication; as we commence commercialization of tenapanor for that or another related indication, if approved; as we incur development costs for RDX013; and as we continue our discovery and research activities.</w:t>
      </w:r>
    </w:p>
    <w:p>
      <w:pPr>
        <w:spacing w:after="0" w:line="177"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72"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generated any revenue from product sales and may never be profitable.</w:t>
      </w:r>
    </w:p>
    <w:p>
      <w:pPr>
        <w:spacing w:after="0" w:line="21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We received FDA approval for our NDA for tenapanor for the treatment of IBS-C in adults in September 2019. However, we have not commercialized tenapanor for IBS-C ourselves in the United States and have not entered into a collaboration partnership for such commercialization. We have no other products approved for sale and have never generated any revenue from product sales. On April 29, 2021, the FDA determined that a submission we made in response to an information request from the FDA related to our NDA for the control of serum phosphorus in adult patients with CKD on dialysis constituted a major amendment to our NDA, resulting in a three-month extension of the PDUFA date to July 29, 2021. The FDA’s information request included a request for additional analyses of our clinical data. The FDA may act on our application by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either issuing an approval letter or a CRL. Should we wish to pursue an application after receiving a CRL, we may, if possible, resubmit the application with information that addresses the questions or issues identified by the FDA in order to support approval. Resubmissions are subject to review period targets, which vary depending on the underlying submission type and the content of the resubmission. There can be no assurances that our NDA for tenapanor for the control of serum phosphorus in adult patients with CKD on dialysis will be approved for such indication or any other related indication. Our ability to generate revenue from product sales and achieve profitability depends on our ability to obtain such approval by the FDA and the ability of our collaboration partners to obtain regulatory approval to market tenapanor in their respective territories. There can be no assurances that we will generate product revenue from sales of tenapanor, either on our own, or with a collaboration partner. Our ability to generate future revenue from product sales or pursuant to milestone payments depends heavily on many factors, including but not limited to:</w:t>
      </w:r>
    </w:p>
    <w:p>
      <w:pPr>
        <w:spacing w:after="0" w:line="180" w:lineRule="exact"/>
        <w:rPr>
          <w:sz w:val="20"/>
          <w:szCs w:val="20"/>
          <w:color w:val="auto"/>
        </w:rPr>
      </w:pPr>
    </w:p>
    <w:p>
      <w:pPr>
        <w:ind w:left="320" w:hanging="317"/>
        <w:spacing w:after="0" w:line="283" w:lineRule="auto"/>
        <w:tabs>
          <w:tab w:leader="none" w:pos="25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regulatory approvals for tenapanor for the control of serum phosphorus in adult patients with CKD on dialysis or for another other related indication, either on our own or with one or more collaboration partners;</w:t>
      </w:r>
    </w:p>
    <w:p>
      <w:pPr>
        <w:spacing w:after="0" w:line="159" w:lineRule="exact"/>
        <w:rPr>
          <w:rFonts w:ascii="Arial" w:cs="Arial" w:eastAsia="Arial" w:hAnsi="Arial"/>
          <w:sz w:val="17"/>
          <w:szCs w:val="17"/>
          <w:color w:val="auto"/>
        </w:rPr>
      </w:pPr>
    </w:p>
    <w:p>
      <w:pPr>
        <w:ind w:left="320" w:hanging="317"/>
        <w:spacing w:after="0" w:line="268" w:lineRule="auto"/>
        <w:tabs>
          <w:tab w:leader="none" w:pos="242"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successfully commercialize tenapanor, which has been approved by the FDA for the treatment of IBS-C in adults, and/or tenapanor for the control of serum phosphorus in adult patients with CKD on dialysis or for another other related indication, if approved, either on our own or with one or more collaboration partners;</w:t>
      </w:r>
    </w:p>
    <w:p>
      <w:pPr>
        <w:spacing w:after="0" w:line="172" w:lineRule="exact"/>
        <w:rPr>
          <w:rFonts w:ascii="Arial" w:cs="Arial" w:eastAsia="Arial" w:hAnsi="Arial"/>
          <w:sz w:val="17"/>
          <w:szCs w:val="17"/>
          <w:color w:val="auto"/>
        </w:rPr>
      </w:pPr>
    </w:p>
    <w:p>
      <w:pPr>
        <w:ind w:left="320" w:hanging="317"/>
        <w:spacing w:after="0" w:line="268" w:lineRule="auto"/>
        <w:tabs>
          <w:tab w:leader="none" w:pos="259"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an adequate (in amount and quality) supply of product to support the market demand for tenapanor for the treatment of IBS-C, and/or, if approved, tenapanor for the control of serum phosphorus in adult patients with CKD on dialysis or for another other related indication;</w:t>
      </w:r>
    </w:p>
    <w:p>
      <w:pPr>
        <w:spacing w:after="0" w:line="172" w:lineRule="exact"/>
        <w:rPr>
          <w:rFonts w:ascii="Arial" w:cs="Arial" w:eastAsia="Arial" w:hAnsi="Arial"/>
          <w:sz w:val="17"/>
          <w:szCs w:val="17"/>
          <w:color w:val="auto"/>
        </w:rPr>
      </w:pPr>
    </w:p>
    <w:p>
      <w:pPr>
        <w:ind w:left="240" w:hanging="237"/>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market acceptance of tenapanor as a viable treatment option for the indications for which it is approved and commercialized;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217" w:lineRule="exact"/>
        <w:rPr>
          <w:rFonts w:ascii="Arial" w:cs="Arial" w:eastAsia="Arial" w:hAnsi="Arial"/>
          <w:sz w:val="17"/>
          <w:szCs w:val="17"/>
          <w:color w:val="auto"/>
        </w:rPr>
      </w:pPr>
    </w:p>
    <w:p>
      <w:pPr>
        <w:ind w:left="320" w:hanging="317"/>
        <w:spacing w:after="0" w:line="283" w:lineRule="auto"/>
        <w:tabs>
          <w:tab w:leader="none" w:pos="2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218"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6"/>
          <w:szCs w:val="16"/>
          <w:color w:val="auto"/>
        </w:rPr>
        <w:t>In cases where we are successful in obtaining regulatory approvals to market tenapanor for one or more indications, our revenue will be dependent, in part, upon the size of the markets in the territories for which regulatory approval is granted, the breadth of the indication and the label for which approval is granted,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12, Collaboration and Licensing Agreements, in the notes to our financial statements, included in Part II, Item 8, for details on our obligations to AstraZeneca. While there is significant uncertainty related to the insurance coverage and reimbursement of newly approved products in general in the United States, there is additional uncertainty related to insurance coverage and reimbursement for drugs, like tenapanor, which, if approved, will be marketed for the control of serum phosphorus in adult patients with CKD on dialysis or for another other related indication. If we are successful in obtaining regulatory approval to market tenapanor for the control of serum phosphorus in adult patients with CKD on dialysis or for another other related indication, our ability to generate and sustain future revenues from sales of tenapanor for such indication, may be dependent upon whether and when tenapanor, along with other oral end-stage renal disease (“ESRD”) related drugs without an injectable or intravenous equivalent, are bundled into the ESRD prospective payment system, and the manner in which such introduction into the ESRD prospective payment system may occur. See “Third-party payor coverage and reimbursement status of newly-approved products is uncertain. Failure to obtain or maintain adequate coverage and reimbursement for our products, if approved, could limit our ability to market those products and decrease our ability to generate revenue” below. Additionally, if the number of patients for the approved indication suitable for tenapanor is not as significant as we estimate, the indication approved by regulatory authorities is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discover or develop other product candidates or continue our operations. A decline in the value of our common stock could cause our stockholders to lose all or part of their investment.</w:t>
      </w:r>
    </w:p>
    <w:p>
      <w:pPr>
        <w:spacing w:after="0" w:line="15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commercialization efforts for tenapanor for the control of serum phosphorus or for another other related indication, if approved, and our other product development and platform development activities.</w:t>
      </w:r>
    </w:p>
    <w:p>
      <w:pPr>
        <w:spacing w:after="0" w:line="155"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if approved, costs associated with the commercialization of tenapanor for the control of serum phosphorus in adult patients with CKD on dialysis or for another other related indication, research and development, conducting preclinical studies and clinical trials for our other programs, including RDX013, obtaining regulatory approvals, scaling our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68" w:lineRule="exact"/>
        <w:rPr>
          <w:sz w:val="20"/>
          <w:szCs w:val="20"/>
          <w:color w:val="auto"/>
        </w:rPr>
      </w:pPr>
    </w:p>
    <w:p>
      <w:pPr>
        <w:jc w:val="both"/>
        <w:ind w:left="320" w:hanging="317"/>
        <w:spacing w:after="0" w:line="268" w:lineRule="auto"/>
        <w:tabs>
          <w:tab w:leader="none" w:pos="30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FDA’s actions and decisions with respect to the NDA submitted to the FDA on June 30, 2020 to request marketing authorization for tenapanor for the control of serum phosphorus in adult patients with CKD on dialysis, including the FDA’s actions after the three-month extension of the PDUFA date to July 29, 2021;</w:t>
      </w:r>
    </w:p>
    <w:p>
      <w:pPr>
        <w:spacing w:after="0" w:line="172" w:lineRule="exact"/>
        <w:rPr>
          <w:rFonts w:ascii="Arial" w:cs="Arial" w:eastAsia="Arial" w:hAnsi="Arial"/>
          <w:sz w:val="17"/>
          <w:szCs w:val="17"/>
          <w:color w:val="auto"/>
        </w:rPr>
      </w:pPr>
    </w:p>
    <w:p>
      <w:pPr>
        <w:ind w:left="320" w:hanging="317"/>
        <w:spacing w:after="0" w:line="283" w:lineRule="auto"/>
        <w:tabs>
          <w:tab w:leader="none" w:pos="294"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successfully commercialize tenapanor for the control of serum phosphorus in adult patients with CKD on dialysis or for another other related indication, if approved, either alone or with one or more collaboration partners;</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sales price and the availability of adequate third-party reimbursement for tenapanor, if approved;</w:t>
      </w:r>
    </w:p>
    <w:p>
      <w:pPr>
        <w:spacing w:after="0" w:line="217" w:lineRule="exact"/>
        <w:rPr>
          <w:rFonts w:ascii="Arial" w:cs="Arial" w:eastAsia="Arial" w:hAnsi="Arial"/>
          <w:sz w:val="17"/>
          <w:szCs w:val="17"/>
          <w:color w:val="auto"/>
        </w:rPr>
      </w:pPr>
    </w:p>
    <w:p>
      <w:pPr>
        <w:ind w:left="320" w:hanging="317"/>
        <w:spacing w:after="0" w:line="283" w:lineRule="auto"/>
        <w:tabs>
          <w:tab w:leader="none" w:pos="25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manufacturing costs of our product candidates, and the availability of one or more suppliers for our product candidates at reasonable costs, both for clinical and commercial supply;</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selling and marketing costs associated with tenapanor, including the cost and timing of maintaining our sales and marketing capabilities;</w:t>
      </w:r>
    </w:p>
    <w:p>
      <w:pPr>
        <w:spacing w:after="0" w:line="217" w:lineRule="exact"/>
        <w:rPr>
          <w:rFonts w:ascii="Arial" w:cs="Arial" w:eastAsia="Arial" w:hAnsi="Arial"/>
          <w:sz w:val="17"/>
          <w:szCs w:val="17"/>
          <w:color w:val="auto"/>
        </w:rPr>
      </w:pPr>
    </w:p>
    <w:p>
      <w:pPr>
        <w:ind w:left="320" w:hanging="317"/>
        <w:spacing w:after="0" w:line="283" w:lineRule="auto"/>
        <w:tabs>
          <w:tab w:leader="none" w:pos="302"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receipt, and amount of sales of, or royalties on, tenapanor, if any;</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cash requirements of any future acquisitions or discovery of product candidates;</w:t>
      </w:r>
    </w:p>
    <w:p>
      <w:pPr>
        <w:spacing w:after="0" w:line="217" w:lineRule="exact"/>
        <w:rPr>
          <w:rFonts w:ascii="Arial" w:cs="Arial" w:eastAsia="Arial" w:hAnsi="Arial"/>
          <w:sz w:val="17"/>
          <w:szCs w:val="17"/>
          <w:color w:val="auto"/>
        </w:rPr>
      </w:pPr>
    </w:p>
    <w:p>
      <w:pPr>
        <w:ind w:left="320" w:hanging="317"/>
        <w:spacing w:after="0" w:line="283" w:lineRule="auto"/>
        <w:tabs>
          <w:tab w:leader="none" w:pos="2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and scope of preclinical and discovery programs that we decide to pursue or initiate, and any clinical trials we decide to pursue for other product candidates, including RDX013;</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time and cost necessary to respond to technological and market developments;</w:t>
      </w:r>
    </w:p>
    <w:p>
      <w:pPr>
        <w:spacing w:after="0" w:line="217" w:lineRule="exact"/>
        <w:rPr>
          <w:rFonts w:ascii="Arial" w:cs="Arial" w:eastAsia="Arial" w:hAnsi="Arial"/>
          <w:sz w:val="17"/>
          <w:szCs w:val="17"/>
          <w:color w:val="auto"/>
        </w:rPr>
      </w:pPr>
    </w:p>
    <w:p>
      <w:pPr>
        <w:ind w:left="320" w:hanging="317"/>
        <w:spacing w:after="0" w:line="268" w:lineRule="auto"/>
        <w:tabs>
          <w:tab w:leader="none" w:pos="25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72" w:lineRule="exact"/>
        <w:rPr>
          <w:rFonts w:ascii="Arial" w:cs="Arial" w:eastAsia="Arial" w:hAnsi="Arial"/>
          <w:sz w:val="17"/>
          <w:szCs w:val="17"/>
          <w:color w:val="auto"/>
        </w:rPr>
      </w:pPr>
    </w:p>
    <w:p>
      <w:pPr>
        <w:ind w:left="320" w:hanging="317"/>
        <w:spacing w:after="0" w:line="283" w:lineRule="auto"/>
        <w:tabs>
          <w:tab w:leader="none" w:pos="2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payment of interest and principal related to our loan and security agreement entered into with Solar Capital and Western Alliance Bank in May 2018, as amended in October 2020, March 2021 and May 2021.</w:t>
      </w:r>
    </w:p>
    <w:p>
      <w:pPr>
        <w:spacing w:after="0" w:line="159"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59"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37" w:lineRule="exact"/>
        <w:rPr>
          <w:sz w:val="20"/>
          <w:szCs w:val="20"/>
          <w:color w:val="auto"/>
        </w:rPr>
      </w:pPr>
    </w:p>
    <w:p>
      <w:pPr>
        <w:jc w:val="both"/>
        <w:ind w:firstLine="310"/>
        <w:spacing w:after="0" w:line="257" w:lineRule="auto"/>
        <w:rPr>
          <w:sz w:val="20"/>
          <w:szCs w:val="20"/>
          <w:color w:val="auto"/>
        </w:rPr>
      </w:pPr>
      <w:r>
        <w:rPr>
          <w:rFonts w:ascii="Arial" w:cs="Arial" w:eastAsia="Arial" w:hAnsi="Arial"/>
          <w:sz w:val="17"/>
          <w:szCs w:val="17"/>
          <w:color w:val="auto"/>
        </w:rPr>
        <w:t>On May 16, 2018, we entered into a loan and security agreement with Solar Capital, Ltd. and Western Alliance Bank (collectively, the “Lenders”) pursuant to which the Lenders agreed to provide us a $50.0 million term loan facility with a maturity date of November 1, 2022. On October 9, 2020, we entered into an amendment to the loan and security agreement.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83" w:lineRule="exact"/>
        <w:rPr>
          <w:sz w:val="20"/>
          <w:szCs w:val="20"/>
          <w:color w:val="auto"/>
        </w:rPr>
      </w:pPr>
    </w:p>
    <w:p>
      <w:pPr>
        <w:jc w:val="both"/>
        <w:ind w:firstLine="310"/>
        <w:spacing w:after="0" w:line="292" w:lineRule="auto"/>
        <w:rPr>
          <w:sz w:val="20"/>
          <w:szCs w:val="20"/>
          <w:color w:val="auto"/>
        </w:rPr>
      </w:pPr>
      <w:r>
        <w:rPr>
          <w:rFonts w:ascii="Arial" w:cs="Arial" w:eastAsia="Arial" w:hAnsi="Arial"/>
          <w:sz w:val="15"/>
          <w:szCs w:val="15"/>
          <w:color w:val="auto"/>
        </w:rPr>
        <w:t>We are permitted to make interest only payments on the loan facility through December 1, 2021, unless we have not received FDA approval for our NDA for tenapanor for the control of serum phosphorus in adult patients with CKD on dialysis on or before July 31, 2021, or the FDA issues a complete response letter in connection with such NDA. In either event, the period in which we are permitted to make interest only payments shall end on the earlier of June 1, 2021, or the first day of the month following the date that the FDA issues a CRL. However,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the Lenders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Risks Related to Our Business and Industry</w:t>
      </w:r>
    </w:p>
    <w:p>
      <w:pPr>
        <w:spacing w:after="0" w:line="250" w:lineRule="exact"/>
        <w:rPr>
          <w:sz w:val="20"/>
          <w:szCs w:val="20"/>
          <w:color w:val="auto"/>
        </w:rPr>
      </w:pPr>
    </w:p>
    <w:p>
      <w:pPr>
        <w:jc w:val="both"/>
        <w:spacing w:after="0" w:line="353" w:lineRule="auto"/>
        <w:rPr>
          <w:sz w:val="20"/>
          <w:szCs w:val="20"/>
          <w:color w:val="auto"/>
        </w:rPr>
      </w:pPr>
      <w:r>
        <w:rPr>
          <w:rFonts w:ascii="Arial" w:cs="Arial" w:eastAsia="Arial" w:hAnsi="Arial"/>
          <w:sz w:val="15"/>
          <w:szCs w:val="15"/>
          <w:b w:val="1"/>
          <w:bCs w:val="1"/>
          <w:i w:val="1"/>
          <w:iCs w:val="1"/>
          <w:color w:val="auto"/>
        </w:rPr>
        <w:t>We may not be successful in our efforts to develop RDX013 or any other product candidates that are at an early stage of development, or expand our pipeline of product candidates, as a result of numerous factors, which may include the inability to access capital necessary to fund such efforts on acceptable terms</w:t>
      </w:r>
      <w:r>
        <w:rPr>
          <w:rFonts w:ascii="Arial" w:cs="Arial" w:eastAsia="Arial" w:hAnsi="Arial"/>
          <w:sz w:val="15"/>
          <w:szCs w:val="15"/>
          <w:color w:val="auto"/>
        </w:rPr>
        <w:t>.</w:t>
      </w:r>
    </w:p>
    <w:p>
      <w:pPr>
        <w:spacing w:after="0" w:line="113"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early-stage development programs, there can be no assurance that any product candidates will reach the clinic or be successfully developed or commercialized.</w:t>
      </w:r>
    </w:p>
    <w:p>
      <w:pPr>
        <w:spacing w:after="0" w:line="168" w:lineRule="exact"/>
        <w:rPr>
          <w:sz w:val="20"/>
          <w:szCs w:val="20"/>
          <w:color w:val="auto"/>
        </w:rPr>
      </w:pPr>
    </w:p>
    <w:p>
      <w:pPr>
        <w:jc w:val="both"/>
        <w:ind w:firstLine="310"/>
        <w:spacing w:after="0" w:line="309" w:lineRule="auto"/>
        <w:rPr>
          <w:sz w:val="20"/>
          <w:szCs w:val="20"/>
          <w:color w:val="auto"/>
        </w:rPr>
      </w:pPr>
      <w:r>
        <w:rPr>
          <w:rFonts w:ascii="Arial" w:cs="Arial" w:eastAsia="Arial" w:hAnsi="Arial"/>
          <w:sz w:val="15"/>
          <w:szCs w:val="15"/>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hanging="317"/>
        <w:spacing w:after="0" w:line="315" w:lineRule="auto"/>
        <w:tabs>
          <w:tab w:leader="none" w:pos="2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37" w:lineRule="exact"/>
        <w:rPr>
          <w:rFonts w:ascii="Arial" w:cs="Arial" w:eastAsia="Arial" w:hAnsi="Arial"/>
          <w:sz w:val="16"/>
          <w:szCs w:val="16"/>
          <w:color w:val="auto"/>
        </w:rPr>
      </w:pPr>
    </w:p>
    <w:p>
      <w:pPr>
        <w:ind w:left="240" w:hanging="237"/>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research methodology used and our drug discovery and design platform may not be successful in identifying potential product candidates;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competitors may develop alternatives that render our product candidates obsolete or less attractive;</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product candidates we develop may nevertheless be covered by third parties’ patents or other exclusive rights;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market for a product candidate may change during our program so that the continued development of that product candidate is no longer reasonable;</w:t>
      </w:r>
    </w:p>
    <w:p>
      <w:pPr>
        <w:spacing w:after="0" w:line="229" w:lineRule="exact"/>
        <w:rPr>
          <w:rFonts w:ascii="Arial" w:cs="Arial" w:eastAsia="Arial" w:hAnsi="Arial"/>
          <w:sz w:val="16"/>
          <w:szCs w:val="16"/>
          <w:color w:val="auto"/>
        </w:rPr>
      </w:pPr>
    </w:p>
    <w:p>
      <w:pPr>
        <w:ind w:left="320" w:hanging="317"/>
        <w:spacing w:after="0" w:line="283" w:lineRule="auto"/>
        <w:tabs>
          <w:tab w:leader="none" w:pos="2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product candidate may not be capable of being produced in commercial quantities at an acceptable cost, or at all;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product candidate may not be accepted as safe, effective and well-tolerated by patients, the medical community or third-party payors, if applicable.</w:t>
      </w:r>
    </w:p>
    <w:p>
      <w:pPr>
        <w:spacing w:after="0" w:line="229"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and the results of earlier studies and trials may not be predictive of future trial results.</w:t>
      </w:r>
    </w:p>
    <w:p>
      <w:pPr>
        <w:spacing w:after="0" w:line="159"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including RDX013,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w:t>
      </w:r>
    </w:p>
    <w:p>
      <w:pPr>
        <w:spacing w:after="0" w:line="168"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Our ongoing RDX013 Phase 2 clinical trial or any of our other ongoing clinical trials may be impacted by the COVID-19 pandemic in a number of ways, including delays or difficulties in any planned clinical site initiation, difficulties in obtaining IRB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77"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Furthermore, we could encounter delays if our ongoing RDX013 Phase 2 clinical trial, or any other of our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81"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In addition, identifying and qualifying patients to participate in our RDX013 Phase 2 clinical trial or any of our other clinical trials is critical to our success. The timing of our clinical trials depends, in part, on the speed at which we can recruit patients to participate in testing our product candidates. Patients may be unwilling to participate in our clinical studies because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our RDX013 Phase 2 clinical trial or any of our other clinical trials may be delayed. These delays could result in increased costs, delays in advancing our development of our product candidates, or termination of the clinical studies altogether. Any of these occurrences may significantly harm our business, financial condition and prospects.</w:t>
      </w:r>
    </w:p>
    <w:p>
      <w:pPr>
        <w:spacing w:after="0" w:line="16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Furthermore, even though we have completed our Phase 3 clinical development program for tenapanor for the control of serum phosphorus, the results may not be sufficient to obtain the desired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additional products or commercialize our product candidates.</w:t>
      </w:r>
    </w:p>
    <w:p>
      <w:pPr>
        <w:spacing w:after="0" w:line="172"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6"/>
          <w:szCs w:val="16"/>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to market such product candidate could be compromised.</w:t>
      </w:r>
    </w:p>
    <w:p>
      <w:pPr>
        <w:spacing w:after="0" w:line="177"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Undesirable side effects caused by our products or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Despite our receipt of marketing approval for tenapanor for IBS-C in adults and the completion of our Phase 3 clinical program for tenapanor for the control of serum phosphorus, in the event that future trials conducted by us with tenapanor, or trials we conduct with RDX013 or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RDX013,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In addition, if we or others identify undesirable side effects caused by one of our products for which we have received regulatory approval, a number of potentially significant negative consequences could occur, including:</w:t>
      </w:r>
    </w:p>
    <w:p>
      <w:pPr>
        <w:spacing w:after="0" w:line="159" w:lineRule="exact"/>
        <w:rPr>
          <w:sz w:val="20"/>
          <w:szCs w:val="20"/>
          <w:color w:val="auto"/>
        </w:rPr>
      </w:pPr>
    </w:p>
    <w:p>
      <w:pPr>
        <w:ind w:left="240" w:hanging="237"/>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 of the product or seize the product;</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a collaboration partner may be required to recall the product;</w:t>
      </w:r>
    </w:p>
    <w:p>
      <w:pPr>
        <w:spacing w:after="0" w:line="217" w:lineRule="exact"/>
        <w:rPr>
          <w:rFonts w:ascii="Arial" w:cs="Arial" w:eastAsia="Arial" w:hAnsi="Arial"/>
          <w:sz w:val="17"/>
          <w:szCs w:val="17"/>
          <w:color w:val="auto"/>
        </w:rPr>
      </w:pPr>
    </w:p>
    <w:p>
      <w:pPr>
        <w:jc w:val="both"/>
        <w:ind w:left="320" w:hanging="317"/>
        <w:spacing w:after="0" w:line="285" w:lineRule="auto"/>
        <w:tabs>
          <w:tab w:leader="none" w:pos="288"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59" w:lineRule="exact"/>
        <w:rPr>
          <w:rFonts w:ascii="Arial" w:cs="Arial" w:eastAsia="Arial" w:hAnsi="Arial"/>
          <w:sz w:val="16"/>
          <w:szCs w:val="16"/>
          <w:color w:val="auto"/>
        </w:rPr>
      </w:pPr>
    </w:p>
    <w:p>
      <w:pPr>
        <w:ind w:left="240" w:hanging="237"/>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a collaboration partner may be subject to fines, injunctions or the imposition of civil or criminal penalties;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product may become less competitive;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18" w:lineRule="exact"/>
        <w:rPr>
          <w:sz w:val="20"/>
          <w:szCs w:val="20"/>
          <w:color w:val="auto"/>
        </w:rPr>
      </w:pPr>
    </w:p>
    <w:p>
      <w:pPr>
        <w:jc w:val="both"/>
        <w:ind w:firstLine="310"/>
        <w:spacing w:after="0" w:line="353" w:lineRule="auto"/>
        <w:rPr>
          <w:sz w:val="20"/>
          <w:szCs w:val="20"/>
          <w:color w:val="auto"/>
        </w:rPr>
      </w:pPr>
      <w:r>
        <w:rPr>
          <w:rFonts w:ascii="Arial" w:cs="Arial" w:eastAsia="Arial" w:hAnsi="Arial"/>
          <w:sz w:val="15"/>
          <w:szCs w:val="15"/>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229"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77"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For example, tenapanor, if approved for the control of serum phosphorus in adult patients with CKD on dialysis or for another related indication, will compete with phosphate binders used for the same or similar indication`. If approved, our label for tenapanor for the control of serum phosphorus may include data comparing the effectiveness of tenapanor to phosphate binders used for the same indication. The various types of phosphate binders commercialized in the United States include the following:</w:t>
      </w:r>
    </w:p>
    <w:p>
      <w:pPr>
        <w:spacing w:after="0" w:line="177" w:lineRule="exact"/>
        <w:rPr>
          <w:sz w:val="20"/>
          <w:szCs w:val="20"/>
          <w:color w:val="auto"/>
        </w:rPr>
      </w:pPr>
    </w:p>
    <w:p>
      <w:pPr>
        <w:ind w:left="240" w:hanging="237"/>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Calcium carbonate (many over-the-counter brands including Tums and Caltrate);</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Calcium acetate (several prescription brands including PhosLo and Phoslyra);</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Lanthanum carbonate (Fosrenol);</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Sevelamer hydrochloride (Renagel);</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Sevelamer carbonate (Renvela);</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Sucroferric oxyhydroxide (Velphoro);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Ferric citrate (Auryxia).</w:t>
      </w:r>
    </w:p>
    <w:p>
      <w:pPr>
        <w:spacing w:after="0" w:line="21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All of the phosphate binders listed above are available as generics in the U.S., with the exception of Velphoro and Auryxia. In addition to the currently available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7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We are aware of four prescription products marketed for certain patients with IBS-C, including Linzess (linaclotide), Amitiza (lubiprostone), Trulance (plecanatide) and Zelnorm (tegaserod maleate).</w:t>
      </w:r>
    </w:p>
    <w:p>
      <w:pPr>
        <w:spacing w:after="0" w:line="159" w:lineRule="exact"/>
        <w:rPr>
          <w:sz w:val="20"/>
          <w:szCs w:val="20"/>
          <w:color w:val="auto"/>
        </w:rPr>
      </w:pPr>
    </w:p>
    <w:p>
      <w:pPr>
        <w:jc w:val="both"/>
        <w:ind w:firstLine="310"/>
        <w:spacing w:after="0" w:line="320" w:lineRule="auto"/>
        <w:rPr>
          <w:sz w:val="20"/>
          <w:szCs w:val="20"/>
          <w:color w:val="auto"/>
        </w:rPr>
      </w:pPr>
      <w:r>
        <w:rPr>
          <w:rFonts w:ascii="Arial" w:cs="Arial" w:eastAsia="Arial" w:hAnsi="Arial"/>
          <w:sz w:val="15"/>
          <w:szCs w:val="15"/>
          <w:color w:val="auto"/>
        </w:rPr>
        <w:t>It is possible that our competitors' drugs may be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37"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difficulties in managing our current activities and growth given our level of managerial, operational, financial and other resources.</w:t>
      </w:r>
    </w:p>
    <w:p>
      <w:pPr>
        <w:spacing w:after="0" w:line="241"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59" w:lineRule="exact"/>
        <w:rPr>
          <w:sz w:val="20"/>
          <w:szCs w:val="20"/>
          <w:color w:val="auto"/>
        </w:rPr>
      </w:pPr>
    </w:p>
    <w:p>
      <w:pPr>
        <w:ind w:left="240" w:hanging="237"/>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manage any commercialization activities in which we may engage effectively;</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manage our clinical trials effectively;</w:t>
      </w:r>
    </w:p>
    <w:p>
      <w:pPr>
        <w:spacing w:after="0" w:line="217" w:lineRule="exact"/>
        <w:rPr>
          <w:rFonts w:ascii="Arial" w:cs="Arial" w:eastAsia="Arial" w:hAnsi="Arial"/>
          <w:sz w:val="17"/>
          <w:szCs w:val="17"/>
          <w:color w:val="auto"/>
        </w:rPr>
      </w:pPr>
    </w:p>
    <w:p>
      <w:pPr>
        <w:ind w:left="320" w:hanging="317"/>
        <w:spacing w:after="0" w:line="283" w:lineRule="auto"/>
        <w:tabs>
          <w:tab w:leader="none" w:pos="358"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manage our internal research and development efforts effectively while carrying out our contractual obligations to licensors, contractors, collaborators, government agencies and other third parties;</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to improve our operational, financial and management controls, reporting systems and procedures;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retain and motivate our remaining employees and potentially identify, recruit, and integrate additional employees.</w:t>
      </w:r>
    </w:p>
    <w:p>
      <w:pPr>
        <w:spacing w:after="0" w:line="21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3" w:lineRule="exact"/>
        <w:rPr>
          <w:sz w:val="20"/>
          <w:szCs w:val="20"/>
          <w:color w:val="auto"/>
        </w:rPr>
      </w:pPr>
    </w:p>
    <w:p>
      <w:pPr>
        <w:ind w:left="240" w:hanging="237"/>
        <w:spacing w:after="0"/>
        <w:tabs>
          <w:tab w:leader="none" w:pos="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decreased demand for our product candidates;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hanging="237"/>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diversion of management’s time and our resources;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investigations, product recalls or withdrawals, or labeling, marketing or promotional restrictions;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to commercialize or co-promote our product candidates.</w:t>
      </w:r>
    </w:p>
    <w:p>
      <w:pPr>
        <w:spacing w:after="0" w:line="218"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attract, retain and motivate our executives, senior management and key personnel, our business will suffer.</w:t>
      </w:r>
    </w:p>
    <w:p>
      <w:pPr>
        <w:spacing w:after="0" w:line="218"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research,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55" w:lineRule="exact"/>
        <w:rPr>
          <w:sz w:val="20"/>
          <w:szCs w:val="20"/>
          <w:color w:val="auto"/>
        </w:rPr>
      </w:pPr>
    </w:p>
    <w:p>
      <w:pPr>
        <w:jc w:val="both"/>
        <w:ind w:firstLine="310"/>
        <w:spacing w:after="0" w:line="275" w:lineRule="auto"/>
        <w:rPr>
          <w:sz w:val="20"/>
          <w:szCs w:val="20"/>
          <w:color w:val="auto"/>
        </w:rPr>
      </w:pPr>
      <w:r>
        <w:rPr>
          <w:rFonts w:ascii="Arial" w:cs="Arial" w:eastAsia="Arial" w:hAnsi="Arial"/>
          <w:sz w:val="16"/>
          <w:szCs w:val="16"/>
          <w:color w:val="auto"/>
        </w:rPr>
        <w:t>We have developed a proprietary drug discovery and design platform integrating our proprietary chemistry capabilities and our APECCs stem cell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68"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0"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Kingdom’s withdrawal from the European Economic Area and the European Union,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may expose us to further compliance risk.</w:t>
      </w:r>
    </w:p>
    <w:p>
      <w:pPr>
        <w:spacing w:after="0" w:line="168"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63"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37"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80" w:lineRule="exact"/>
        <w:rPr>
          <w:sz w:val="20"/>
          <w:szCs w:val="20"/>
          <w:color w:val="auto"/>
        </w:rPr>
      </w:pPr>
    </w:p>
    <w:p>
      <w:pPr>
        <w:jc w:val="both"/>
        <w:ind w:firstLine="310"/>
        <w:spacing w:after="0" w:line="291" w:lineRule="auto"/>
        <w:rPr>
          <w:sz w:val="20"/>
          <w:szCs w:val="20"/>
          <w:color w:val="auto"/>
        </w:rPr>
      </w:pPr>
      <w:r>
        <w:rPr>
          <w:rFonts w:ascii="Arial" w:cs="Arial" w:eastAsia="Arial" w:hAnsi="Arial"/>
          <w:sz w:val="15"/>
          <w:szCs w:val="15"/>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and/or of our efforts to commercialize tenapanor for the control of serum phosphorus in adult patients with CKD on dialysis or for another other related indication, if approved. For example, the loss of clinical trial data from completed or ongoing or planned clinical trials could result in delays in our regulatory approval efforts and significantly increase our costs to recover or reproduce the data. In addition, such a breach may require notification to governmental agencies, the media or individuals pursuant to various federal and state privacy and security laws, if applicable, including HIPAA.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16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jc w:val="both"/>
        <w:ind w:firstLine="310"/>
        <w:spacing w:after="0" w:line="275"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70" w:lineRule="exact"/>
        <w:rPr>
          <w:sz w:val="20"/>
          <w:szCs w:val="20"/>
          <w:color w:val="auto"/>
        </w:rPr>
      </w:pPr>
    </w:p>
    <w:p>
      <w:pPr>
        <w:jc w:val="both"/>
        <w:ind w:firstLine="310"/>
        <w:spacing w:after="0" w:line="298" w:lineRule="auto"/>
        <w:rPr>
          <w:sz w:val="20"/>
          <w:szCs w:val="20"/>
          <w:color w:val="auto"/>
        </w:rPr>
      </w:pPr>
      <w:r>
        <w:rPr>
          <w:rFonts w:ascii="Arial" w:cs="Arial" w:eastAsia="Arial" w:hAnsi="Arial"/>
          <w:sz w:val="15"/>
          <w:szCs w:val="15"/>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Even when HIPAA does not apply, according to the Federal Trade Commission (the “FTC”) failing to take appropriate steps to keep consumers’ personnel information secure constitutes unfair acts or practices in or affecting commerce in violation of Section 5(a) of the Federal Trade Commission Act (the “FTCA”) 15 U.S. C § 45(a). The FTC expects a</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We may also be subject to state laws requiring notification of affected individuals and state regulators in the event of a breach of personal information, which is a broader class of information than the health information protected by HIPAA. For example, California recently enacted legislation the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Further,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71"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We have previously identified a material weakness in our internal control over financial reporting.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55"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w:t>
      </w:r>
    </w:p>
    <w:p>
      <w:pPr>
        <w:spacing w:after="0" w:line="160"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6"/>
          <w:szCs w:val="16"/>
          <w:color w:val="auto"/>
        </w:rPr>
        <w:t>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59"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Kirin Co., Ltd. (“KKC”) for certain research programs and for commercialization of tenapanor for hyperphosphatemia in Japan; with Shanghai Fosun Pharmaceutical Industrial Development Co. Ltd. (“Fosun Pharma”) for commercialization of tenapanor for hyperphosphatemia and IBS-C in China and related territories; and in Canada with Knight Therapeutics, Inc.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7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The ongoing COVID-19 pandemic, or any other outbreak of epidemic diseases, or the perception of their effects, could have a material adverse effect on our business, financial condition, results of operations or cash flows.</w:t>
      </w:r>
    </w:p>
    <w:p>
      <w:pPr>
        <w:spacing w:after="0" w:line="159"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Outbreaks of epidemic, pandemic, or contagious diseases, such as the current novel coronavirus (“COVID-19”) pandemic or, historically, the Ebola virus, Middle East Respiratory Syndrome, Severe Acute Respiratory Syndrome or the H1N1 virus, could disrupt our business. Business disruptions could include disruptions or restrictions on our ability to conduct our clinical trials, as planned, travel, as well as temporary closures of the facilities of our collaboration partners, suppliers or contract manufacturers. Any disruption of our clinical trial operations, collaboration partners, suppliers or contract manufacturers could adversely impact our operating results.</w:t>
      </w:r>
    </w:p>
    <w:p>
      <w:pPr>
        <w:spacing w:after="0" w:line="17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Economic and health conditions related to the COVID-19 pandemic in the United States and across most of the globe remain uncertain and continue to evolve. While at this point, the extent to which the coronavirus outbreak may impact our results is uncertain, it could result in delays in the manufacture of tenapanor, or in the delivery of key intermediates or raw materials required to manufacture tenapanor or delays in clinical development activities by us, or our collaboration partners. It could also materially and negatively impact our ability, either alone, or with a collaboration partner, to successfully commercialize tenapanor, if approved for marketing and sale by the FDA or foreign regulatory authorities, including our ability to educate physicians and patients about the benefits, administration and use of tenapanor.</w:t>
      </w:r>
    </w:p>
    <w:p>
      <w:pPr>
        <w:spacing w:after="0" w:line="181" w:lineRule="exact"/>
        <w:rPr>
          <w:sz w:val="20"/>
          <w:szCs w:val="20"/>
          <w:color w:val="auto"/>
        </w:rPr>
      </w:pPr>
    </w:p>
    <w:p>
      <w:pPr>
        <w:ind w:left="320" w:hanging="317"/>
        <w:spacing w:after="0" w:line="283" w:lineRule="auto"/>
        <w:tabs>
          <w:tab w:leader="none" w:pos="2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a result of the COVID-19 pandemic, we may also experience disruptions that could severely impact our business, preclinical studies and clinical trials, including:</w:t>
      </w:r>
    </w:p>
    <w:p>
      <w:pPr>
        <w:spacing w:after="0" w:line="159" w:lineRule="exact"/>
        <w:rPr>
          <w:rFonts w:ascii="Arial" w:cs="Arial" w:eastAsia="Arial" w:hAnsi="Arial"/>
          <w:sz w:val="17"/>
          <w:szCs w:val="17"/>
          <w:color w:val="auto"/>
        </w:rPr>
      </w:pPr>
    </w:p>
    <w:p>
      <w:pPr>
        <w:ind w:left="320" w:hanging="317"/>
        <w:spacing w:after="0" w:line="259" w:lineRule="auto"/>
        <w:tabs>
          <w:tab w:leader="none" w:pos="24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While our Phase 3 clinical development of tenapanor for the control of serum phosphorus in adult patients with CKD on dialysis is complete, we have ongoing and planned clinical trials for tenapanor and an ongoing Phase 2 clinical trial for RDX013, any of which may be delayed as a result the COVID-19 outbreak. Other potential impacts of the COVID-19 pandemic on our various clinical trials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81" w:lineRule="exact"/>
        <w:rPr>
          <w:rFonts w:ascii="Arial" w:cs="Arial" w:eastAsia="Arial" w:hAnsi="Arial"/>
          <w:sz w:val="17"/>
          <w:szCs w:val="17"/>
          <w:color w:val="auto"/>
        </w:rPr>
      </w:pPr>
    </w:p>
    <w:p>
      <w:pPr>
        <w:jc w:val="both"/>
        <w:ind w:left="320" w:hanging="317"/>
        <w:spacing w:after="0" w:line="281" w:lineRule="auto"/>
        <w:tabs>
          <w:tab w:leader="none" w:pos="2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limited the use of our offices to essential employees and requested that most of our personnel, including all of our administrative employees, work remotely. We have restricted on-site staff to only those personnel and contractors who must perform essential activities that must be completed on-site and limited the number of staff in our research laboratories. The COVID-19 pandemic could disrupt our ability to secure supplies for our facilities and to provide personal protective equipment for our employees. The safety, health and well-being of our workforce is of primary concern and we may need to enact further precautionary measures to help minimize the risk of our employees being exposed to the novel coronavirus.</w:t>
      </w:r>
    </w:p>
    <w:p>
      <w:pPr>
        <w:spacing w:after="0" w:line="163" w:lineRule="exact"/>
        <w:rPr>
          <w:rFonts w:ascii="Arial" w:cs="Arial" w:eastAsia="Arial" w:hAnsi="Arial"/>
          <w:sz w:val="16"/>
          <w:szCs w:val="16"/>
          <w:color w:val="auto"/>
        </w:rPr>
      </w:pPr>
    </w:p>
    <w:p>
      <w:pPr>
        <w:jc w:val="both"/>
        <w:ind w:left="320" w:hanging="317"/>
        <w:spacing w:after="0" w:line="263" w:lineRule="auto"/>
        <w:tabs>
          <w:tab w:leader="none" w:pos="263"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increased reliance on personnel working from home may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w:t>
      </w:r>
    </w:p>
    <w:p>
      <w:pPr>
        <w:spacing w:after="0" w:line="176" w:lineRule="exact"/>
        <w:rPr>
          <w:rFonts w:ascii="Arial" w:cs="Arial" w:eastAsia="Arial" w:hAnsi="Arial"/>
          <w:sz w:val="17"/>
          <w:szCs w:val="17"/>
          <w:color w:val="auto"/>
        </w:rPr>
      </w:pPr>
    </w:p>
    <w:p>
      <w:pPr>
        <w:ind w:left="320" w:hanging="317"/>
        <w:spacing w:after="0" w:line="283" w:lineRule="auto"/>
        <w:tabs>
          <w:tab w:leader="none" w:pos="35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and comparable foreign regulatory agencies may continue to experience operational interruptions or delays, which may impact timelines for regulatory submission, trial initiation and regulatory approval.</w:t>
      </w:r>
    </w:p>
    <w:p>
      <w:pPr>
        <w:spacing w:after="0" w:line="159"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The COVID-19 outbreak continues to rapidly evolve. The extent to which the outbreak may impact our business, manufacturing, preclinical development activities, preclinical studies and planned clinical trials will depend on future developments, which are highly uncertain and cannot be predicted with confidence, such as the ultimate geographic spread of COVID-19,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41" w:lineRule="exact"/>
        <w:rPr>
          <w:sz w:val="20"/>
          <w:szCs w:val="20"/>
          <w:color w:val="auto"/>
        </w:rPr>
      </w:pPr>
    </w:p>
    <w:p>
      <w:pPr>
        <w:jc w:val="both"/>
        <w:ind w:firstLine="310"/>
        <w:spacing w:after="0" w:line="296" w:lineRule="auto"/>
        <w:rPr>
          <w:sz w:val="20"/>
          <w:szCs w:val="20"/>
          <w:color w:val="auto"/>
        </w:rPr>
      </w:pPr>
      <w:r>
        <w:rPr>
          <w:rFonts w:ascii="Arial" w:cs="Arial" w:eastAsia="Arial" w:hAnsi="Arial"/>
          <w:sz w:val="15"/>
          <w:szCs w:val="15"/>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and/or the development of RDX013 or certain of our other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59" w:lineRule="exact"/>
        <w:rPr>
          <w:sz w:val="20"/>
          <w:szCs w:val="20"/>
          <w:color w:val="auto"/>
        </w:rPr>
      </w:pPr>
    </w:p>
    <w:p>
      <w:pPr>
        <w:ind w:left="320" w:hanging="317"/>
        <w:spacing w:after="0" w:line="283" w:lineRule="auto"/>
        <w:tabs>
          <w:tab w:leader="none" w:pos="362"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up-front, milestone and royalty payments, equity investments and financial support of new research and development candidates including increase of personnel, all of which may be substantial;</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exposure to unknown liabilities;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disruption of our business and diversion of our management’s time and attention in order to develop acquired products, product candidates or technologies;</w:t>
      </w:r>
    </w:p>
    <w:p>
      <w:pPr>
        <w:spacing w:after="0" w:line="229" w:lineRule="exact"/>
        <w:rPr>
          <w:rFonts w:ascii="Arial" w:cs="Arial" w:eastAsia="Arial" w:hAnsi="Arial"/>
          <w:sz w:val="16"/>
          <w:szCs w:val="16"/>
          <w:color w:val="auto"/>
        </w:rPr>
      </w:pPr>
    </w:p>
    <w:p>
      <w:pPr>
        <w:ind w:left="240" w:hanging="237"/>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incurrence of substantial debt or dilutive issuances of equity securities;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higher-than-expected acquisition and integration costs;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write-downs of assets or goodwill or impairment charges;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amortization expenses;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difficulty and cost in combining the operations and personnel of any acquired businesses with our operations and personnel;</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retain key employees of any acquired businesses.</w:t>
      </w:r>
    </w:p>
    <w:p>
      <w:pPr>
        <w:spacing w:after="0" w:line="21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72"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177" w:lineRule="exact"/>
        <w:rPr>
          <w:sz w:val="20"/>
          <w:szCs w:val="20"/>
          <w:color w:val="auto"/>
        </w:rPr>
      </w:pPr>
    </w:p>
    <w:p>
      <w:pPr>
        <w:ind w:left="240" w:hanging="237"/>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different regulatory requirements for drug approvals in foreign countries;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differing United States and foreign drug import and export rules;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 in foreign countries;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unexpected changes in tariffs, trade barriers and regulatory requirements;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hanging="237"/>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different reimbursement systems, and different competitive drugs;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foreign taxes, including withholding of payroll taxes;</w:t>
      </w:r>
    </w:p>
    <w:p>
      <w:pPr>
        <w:spacing w:after="0" w:line="217" w:lineRule="exact"/>
        <w:rPr>
          <w:rFonts w:ascii="Arial" w:cs="Arial" w:eastAsia="Arial" w:hAnsi="Arial"/>
          <w:sz w:val="17"/>
          <w:szCs w:val="17"/>
          <w:color w:val="auto"/>
        </w:rPr>
      </w:pPr>
    </w:p>
    <w:p>
      <w:pPr>
        <w:ind w:left="320" w:hanging="317"/>
        <w:spacing w:after="0" w:line="283" w:lineRule="auto"/>
        <w:tabs>
          <w:tab w:leader="none" w:pos="2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revenues, and other obligations incident to doing business in another country;</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 liability resulting from development work conducted by these distributors;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w:t>
      </w:r>
    </w:p>
    <w:p>
      <w:pPr>
        <w:spacing w:after="0" w:line="21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59" w:lineRule="exact"/>
        <w:rPr>
          <w:sz w:val="20"/>
          <w:szCs w:val="20"/>
          <w:color w:val="auto"/>
        </w:rPr>
      </w:pPr>
    </w:p>
    <w:p>
      <w:pPr>
        <w:jc w:val="both"/>
        <w:ind w:firstLine="310"/>
        <w:spacing w:after="0" w:line="294" w:lineRule="auto"/>
        <w:rPr>
          <w:sz w:val="20"/>
          <w:szCs w:val="20"/>
          <w:color w:val="auto"/>
        </w:rPr>
      </w:pPr>
      <w:r>
        <w:rPr>
          <w:rFonts w:ascii="Arial" w:cs="Arial" w:eastAsia="Arial" w:hAnsi="Arial"/>
          <w:sz w:val="15"/>
          <w:szCs w:val="15"/>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have dual headquarters and one of our facilities is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72"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California facility,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63" w:lineRule="exact"/>
        <w:rPr>
          <w:sz w:val="20"/>
          <w:szCs w:val="20"/>
          <w:color w:val="auto"/>
        </w:rPr>
      </w:pPr>
    </w:p>
    <w:p>
      <w:pPr>
        <w:ind w:left="240" w:hanging="237"/>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warning or untitled letters;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civil and criminal penalties;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injunctions;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withdrawal of regulatory approval of products;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 seizure or detention;</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 recalls;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total or partial suspension of production;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refusal to approve pending NDAs or supplements to approved NDAs.</w:t>
      </w:r>
    </w:p>
    <w:p>
      <w:pPr>
        <w:spacing w:after="0" w:line="218"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80" w:lineRule="exact"/>
        <w:rPr>
          <w:sz w:val="20"/>
          <w:szCs w:val="20"/>
          <w:color w:val="auto"/>
        </w:rPr>
      </w:pPr>
    </w:p>
    <w:p>
      <w:pPr>
        <w:jc w:val="both"/>
        <w:ind w:firstLine="310"/>
        <w:spacing w:after="0" w:line="292" w:lineRule="auto"/>
        <w:rPr>
          <w:sz w:val="20"/>
          <w:szCs w:val="20"/>
          <w:color w:val="auto"/>
        </w:rPr>
      </w:pPr>
      <w:r>
        <w:rPr>
          <w:rFonts w:ascii="Arial" w:cs="Arial" w:eastAsia="Arial" w:hAnsi="Arial"/>
          <w:sz w:val="15"/>
          <w:szCs w:val="15"/>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for a drug product either prior to or post-approval, such as additional drug-drug interaction studies or safety or efficacy studies, or it may object to elements of our clinical development program such as the number of subjects in our current clinical trials from the United States. Additionally, on April 29, 2021, the FDA determined that a submission we made in response to an information request from the FDA constituted a major amendment to our NDA for tenapanor for the control of serum phosphorus, resulting in a three-month extension of the PDUFA date to July 29, 2021. The FDA’s information request included a request for additional analyses of our clinical data. The FDA may act on our application by either issuing an approval letter or a CRL. Should we wish to pursue our application after receiving a CRL, we may, if possible, resubmit the application with information that addresses the questions or issues identified by the FDA in order to support approval. Resubmissions are subject to review period targets, which vary depending on the underlying submission type and the content of the resubmission. The FDA’s information request included a request for additional analyses of our clinical data. Finally,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218" w:lineRule="exact"/>
        <w:rPr>
          <w:sz w:val="20"/>
          <w:szCs w:val="20"/>
          <w:color w:val="auto"/>
        </w:rPr>
      </w:pPr>
    </w:p>
    <w:p>
      <w:pPr>
        <w:ind w:left="240" w:hanging="237"/>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the design or implementation of our, or our collaboration partners’, clinical studies;</w:t>
      </w:r>
    </w:p>
    <w:p>
      <w:pPr>
        <w:spacing w:after="0" w:line="200" w:lineRule="exact"/>
        <w:rPr>
          <w:rFonts w:ascii="Arial" w:cs="Arial" w:eastAsia="Arial" w:hAnsi="Arial"/>
          <w:sz w:val="16"/>
          <w:szCs w:val="16"/>
          <w:color w:val="auto"/>
        </w:rPr>
      </w:pPr>
    </w:p>
    <w:p>
      <w:pPr>
        <w:spacing w:after="0" w:line="35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hanging="317"/>
        <w:spacing w:after="0" w:line="283" w:lineRule="auto"/>
        <w:tabs>
          <w:tab w:leader="none" w:pos="31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population studied in the clinical program may not be sufficiently broad or representative to assure safety in the full population for which approval is sought;</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interpretation of data from preclinical studies or clinical studies;</w:t>
      </w:r>
    </w:p>
    <w:p>
      <w:pPr>
        <w:spacing w:after="0" w:line="217" w:lineRule="exact"/>
        <w:rPr>
          <w:rFonts w:ascii="Arial" w:cs="Arial" w:eastAsia="Arial" w:hAnsi="Arial"/>
          <w:sz w:val="17"/>
          <w:szCs w:val="17"/>
          <w:color w:val="auto"/>
        </w:rPr>
      </w:pPr>
    </w:p>
    <w:p>
      <w:pPr>
        <w:ind w:left="320" w:hanging="317"/>
        <w:spacing w:after="0" w:line="283" w:lineRule="auto"/>
        <w:tabs>
          <w:tab w:leader="none" w:pos="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data collected from clinical studies of our product candidates may not be sufficient to support the submission of a NDA or other submission or to obtain regulatory approval in the United States or elsewhere;</w:t>
      </w:r>
    </w:p>
    <w:p>
      <w:pPr>
        <w:spacing w:after="0" w:line="159" w:lineRule="exact"/>
        <w:rPr>
          <w:rFonts w:ascii="Arial" w:cs="Arial" w:eastAsia="Arial" w:hAnsi="Arial"/>
          <w:sz w:val="17"/>
          <w:szCs w:val="17"/>
          <w:color w:val="auto"/>
        </w:rPr>
      </w:pPr>
    </w:p>
    <w:p>
      <w:pPr>
        <w:ind w:left="320" w:hanging="317"/>
        <w:spacing w:after="0" w:line="283" w:lineRule="auto"/>
        <w:tabs>
          <w:tab w:leader="none" w:pos="262"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or our collaboration partners may be unable to demonstrate to the FDA or comparable foreign regulatory authorities that a product candidate’s risk-benefit ratio for its proposed indication is acceptable;</w:t>
      </w:r>
    </w:p>
    <w:p>
      <w:pPr>
        <w:spacing w:after="0" w:line="159" w:lineRule="exact"/>
        <w:rPr>
          <w:rFonts w:ascii="Arial" w:cs="Arial" w:eastAsia="Arial" w:hAnsi="Arial"/>
          <w:sz w:val="17"/>
          <w:szCs w:val="17"/>
          <w:color w:val="auto"/>
        </w:rPr>
      </w:pPr>
    </w:p>
    <w:p>
      <w:pPr>
        <w:ind w:left="320" w:hanging="317"/>
        <w:spacing w:after="0" w:line="283" w:lineRule="auto"/>
        <w:tabs>
          <w:tab w:leader="none" w:pos="2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59" w:lineRule="exact"/>
        <w:rPr>
          <w:rFonts w:ascii="Arial" w:cs="Arial" w:eastAsia="Arial" w:hAnsi="Arial"/>
          <w:sz w:val="17"/>
          <w:szCs w:val="17"/>
          <w:color w:val="auto"/>
        </w:rPr>
      </w:pPr>
    </w:p>
    <w:p>
      <w:pPr>
        <w:ind w:left="320" w:hanging="317"/>
        <w:spacing w:after="0" w:line="283" w:lineRule="auto"/>
        <w:tabs>
          <w:tab w:leader="none" w:pos="2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59"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77"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60"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37"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pharmacovigilance,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68"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77"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59"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warning or untitled letters, fines or holds on clinical trials;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hanging="237"/>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withdrawal of the product from the market or voluntary or mandatory product recalls;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suspension or revocation of existing regulatory approvals;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suspension of any of our ongoing clinical trials;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submitted by us;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restrictions on our or our contract manufacturers’ operations; or</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w:t>
      </w:r>
    </w:p>
    <w:p>
      <w:pPr>
        <w:spacing w:after="0" w:line="218" w:lineRule="exact"/>
        <w:rPr>
          <w:sz w:val="20"/>
          <w:szCs w:val="20"/>
          <w:color w:val="auto"/>
        </w:rPr>
      </w:pPr>
    </w:p>
    <w:p>
      <w:pPr>
        <w:jc w:val="both"/>
        <w:ind w:firstLine="310"/>
        <w:spacing w:after="0" w:line="320"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37"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7"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the results of the 2020 President election may impact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Orders will be implemented, or whether they will be rescinded or replaced under a Biden Administration. The policies and priorities of an incoming administration are unknown, and could materially impact the regulatory framework governing our products.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2"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7"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59" w:lineRule="exact"/>
        <w:rPr>
          <w:sz w:val="20"/>
          <w:szCs w:val="20"/>
          <w:color w:val="auto"/>
        </w:rPr>
      </w:pPr>
    </w:p>
    <w:p>
      <w:pPr>
        <w:jc w:val="both"/>
        <w:ind w:firstLine="310"/>
        <w:spacing w:after="0" w:line="272"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80"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81"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72"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77" w:lineRule="exact"/>
        <w:rPr>
          <w:sz w:val="20"/>
          <w:szCs w:val="20"/>
          <w:color w:val="auto"/>
        </w:rPr>
      </w:pPr>
    </w:p>
    <w:p>
      <w:pPr>
        <w:jc w:val="both"/>
        <w:ind w:firstLine="310"/>
        <w:spacing w:after="0" w:line="292"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5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5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are implementing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81"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70"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Tenapanor, which has been approved by the FDA for the treatment of IBS-C in adults, and/or RDX013, and our other product candidates, if approved, may cause or contribute to adverse medical events that we are required to report to regulatory agencies and if we fail to do so we could be subject to sanctions that would materially harm our business.</w:t>
      </w:r>
    </w:p>
    <w:p>
      <w:pPr>
        <w:spacing w:after="0" w:line="172" w:lineRule="exact"/>
        <w:rPr>
          <w:sz w:val="20"/>
          <w:szCs w:val="20"/>
          <w:color w:val="auto"/>
        </w:rPr>
      </w:pPr>
    </w:p>
    <w:p>
      <w:pPr>
        <w:jc w:val="both"/>
        <w:ind w:firstLine="310"/>
        <w:spacing w:after="0" w:line="276" w:lineRule="auto"/>
        <w:rPr>
          <w:sz w:val="20"/>
          <w:szCs w:val="20"/>
          <w:color w:val="auto"/>
        </w:rPr>
      </w:pPr>
      <w:r>
        <w:rPr>
          <w:rFonts w:ascii="Arial" w:cs="Arial" w:eastAsia="Arial" w:hAnsi="Arial"/>
          <w:sz w:val="16"/>
          <w:szCs w:val="16"/>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59" w:lineRule="exact"/>
        <w:rPr>
          <w:sz w:val="20"/>
          <w:szCs w:val="20"/>
          <w:color w:val="auto"/>
        </w:rPr>
      </w:pPr>
    </w:p>
    <w:p>
      <w:pPr>
        <w:jc w:val="both"/>
        <w:ind w:firstLine="310"/>
        <w:spacing w:after="0" w:line="298" w:lineRule="auto"/>
        <w:rPr>
          <w:sz w:val="20"/>
          <w:szCs w:val="20"/>
          <w:color w:val="auto"/>
        </w:rPr>
      </w:pPr>
      <w:r>
        <w:rPr>
          <w:rFonts w:ascii="Arial" w:cs="Arial" w:eastAsia="Arial" w:hAnsi="Arial"/>
          <w:sz w:val="15"/>
          <w:szCs w:val="15"/>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regulatory approvals in foreign jurisdictions would prevent us from marketing our products internationally.</w:t>
      </w:r>
    </w:p>
    <w:p>
      <w:pPr>
        <w:spacing w:after="0" w:line="218"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60"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83"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37"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72" w:lineRule="exact"/>
        <w:rPr>
          <w:sz w:val="20"/>
          <w:szCs w:val="20"/>
          <w:color w:val="auto"/>
        </w:rPr>
      </w:pPr>
    </w:p>
    <w:p>
      <w:pPr>
        <w:jc w:val="both"/>
        <w:ind w:left="320" w:hanging="317"/>
        <w:spacing w:after="0" w:line="285" w:lineRule="auto"/>
        <w:tabs>
          <w:tab w:leader="none" w:pos="36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59" w:lineRule="exact"/>
        <w:rPr>
          <w:rFonts w:ascii="Arial" w:cs="Arial" w:eastAsia="Arial" w:hAnsi="Arial"/>
          <w:sz w:val="16"/>
          <w:szCs w:val="16"/>
          <w:color w:val="auto"/>
        </w:rPr>
      </w:pPr>
    </w:p>
    <w:p>
      <w:pPr>
        <w:ind w:left="320" w:hanging="317"/>
        <w:spacing w:after="0" w:line="320" w:lineRule="auto"/>
        <w:tabs>
          <w:tab w:leader="none" w:pos="2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137" w:lineRule="exact"/>
        <w:rPr>
          <w:rFonts w:ascii="Arial" w:cs="Arial" w:eastAsia="Arial" w:hAnsi="Arial"/>
          <w:sz w:val="15"/>
          <w:szCs w:val="15"/>
          <w:color w:val="auto"/>
        </w:rPr>
      </w:pPr>
    </w:p>
    <w:p>
      <w:pPr>
        <w:jc w:val="both"/>
        <w:ind w:left="320" w:hanging="317"/>
        <w:spacing w:after="0" w:line="268" w:lineRule="auto"/>
        <w:tabs>
          <w:tab w:leader="none" w:pos="27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2" w:lineRule="exact"/>
        <w:rPr>
          <w:rFonts w:ascii="Arial" w:cs="Arial" w:eastAsia="Arial" w:hAnsi="Arial"/>
          <w:sz w:val="17"/>
          <w:szCs w:val="17"/>
          <w:color w:val="auto"/>
        </w:rPr>
      </w:pPr>
    </w:p>
    <w:p>
      <w:pPr>
        <w:jc w:val="both"/>
        <w:ind w:left="320" w:hanging="317"/>
        <w:spacing w:after="0" w:line="268"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172" w:lineRule="exact"/>
        <w:rPr>
          <w:rFonts w:ascii="Arial" w:cs="Arial" w:eastAsia="Arial" w:hAnsi="Arial"/>
          <w:sz w:val="17"/>
          <w:szCs w:val="17"/>
          <w:color w:val="auto"/>
        </w:rPr>
      </w:pPr>
    </w:p>
    <w:p>
      <w:pPr>
        <w:ind w:left="320" w:hanging="317"/>
        <w:spacing w:after="0" w:line="283" w:lineRule="auto"/>
        <w:tabs>
          <w:tab w:leader="none" w:pos="24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which requires manufacturers of drugs, devices, biologics, and medical supplies to report annually to CMS information related to payments and other transfers of value to physicians,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line="283" w:lineRule="auto"/>
        <w:rPr>
          <w:sz w:val="20"/>
          <w:szCs w:val="20"/>
          <w:color w:val="auto"/>
        </w:rPr>
      </w:pPr>
      <w:r>
        <w:rPr>
          <w:rFonts w:ascii="Arial" w:cs="Arial" w:eastAsia="Arial" w:hAnsi="Arial"/>
          <w:sz w:val="17"/>
          <w:szCs w:val="17"/>
          <w:color w:val="auto"/>
        </w:rPr>
        <w:t>certain other healthcare providers beginning in 2022, and teaching hospitals, and ownership and investment interests held by physicians and other healthcare providers and their immediate family members;</w:t>
      </w:r>
    </w:p>
    <w:p>
      <w:pPr>
        <w:spacing w:after="0" w:line="159" w:lineRule="exact"/>
        <w:rPr>
          <w:sz w:val="20"/>
          <w:szCs w:val="20"/>
          <w:color w:val="auto"/>
        </w:rPr>
      </w:pPr>
    </w:p>
    <w:p>
      <w:pPr>
        <w:ind w:left="320" w:hanging="317"/>
        <w:spacing w:after="0" w:line="283" w:lineRule="auto"/>
        <w:tabs>
          <w:tab w:leader="none" w:pos="273"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w:t>
      </w:r>
    </w:p>
    <w:p>
      <w:pPr>
        <w:spacing w:after="0" w:line="159" w:lineRule="exact"/>
        <w:rPr>
          <w:rFonts w:ascii="Arial" w:cs="Arial" w:eastAsia="Arial" w:hAnsi="Arial"/>
          <w:sz w:val="17"/>
          <w:szCs w:val="17"/>
          <w:color w:val="auto"/>
        </w:rPr>
      </w:pPr>
    </w:p>
    <w:p>
      <w:pPr>
        <w:jc w:val="right"/>
        <w:ind w:left="320" w:hanging="317"/>
        <w:spacing w:after="0" w:line="353" w:lineRule="auto"/>
        <w:tabs>
          <w:tab w:leader="none" w:pos="25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12" w:lineRule="exact"/>
        <w:rPr>
          <w:rFonts w:ascii="Arial" w:cs="Arial" w:eastAsia="Arial" w:hAnsi="Arial"/>
          <w:sz w:val="15"/>
          <w:szCs w:val="15"/>
          <w:color w:val="auto"/>
        </w:rPr>
      </w:pPr>
    </w:p>
    <w:p>
      <w:pPr>
        <w:ind w:left="320" w:hanging="317"/>
        <w:spacing w:after="0" w:line="283" w:lineRule="auto"/>
        <w:tabs>
          <w:tab w:leader="none" w:pos="248"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state laws that require drug manufacturers to report information related to payments and other transfers of value to physicians and other healthcare providers or pricing information and marketing expenditures; and</w:t>
      </w:r>
    </w:p>
    <w:p>
      <w:pPr>
        <w:spacing w:after="0" w:line="159" w:lineRule="exact"/>
        <w:rPr>
          <w:rFonts w:ascii="Arial" w:cs="Arial" w:eastAsia="Arial" w:hAnsi="Arial"/>
          <w:sz w:val="17"/>
          <w:szCs w:val="17"/>
          <w:color w:val="auto"/>
        </w:rPr>
      </w:pPr>
    </w:p>
    <w:p>
      <w:pPr>
        <w:ind w:left="320" w:hanging="317"/>
        <w:spacing w:after="0" w:line="283" w:lineRule="auto"/>
        <w:tabs>
          <w:tab w:leader="none" w:pos="331" w:val="left"/>
        </w:tabs>
        <w:numPr>
          <w:ilvl w:val="0"/>
          <w:numId w:val="32"/>
        </w:numPr>
        <w:rPr>
          <w:rFonts w:ascii="Arial" w:cs="Arial" w:eastAsia="Arial" w:hAnsi="Arial"/>
          <w:sz w:val="17"/>
          <w:szCs w:val="17"/>
          <w:color w:val="auto"/>
        </w:rPr>
      </w:pPr>
      <w:r>
        <w:rPr>
          <w:rFonts w:ascii="Arial" w:cs="Arial" w:eastAsia="Arial" w:hAnsi="Arial"/>
          <w:sz w:val="17"/>
          <w:szCs w:val="17"/>
          <w:color w:val="auto"/>
        </w:rPr>
        <w:t>European and other foreign law equivalents of each of the laws, including reporting requirements detailing interactions with and payments to healthcare providers.</w:t>
      </w:r>
    </w:p>
    <w:p>
      <w:pPr>
        <w:spacing w:after="0" w:line="159"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59"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81" w:lineRule="exact"/>
        <w:rPr>
          <w:sz w:val="20"/>
          <w:szCs w:val="20"/>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additional clinical trials to be conducted prior to obtaining approval;</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to manufacturing methods;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recall, replacement, or discontinuance of one or more of our products;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additional record keeping.</w:t>
      </w:r>
    </w:p>
    <w:p>
      <w:pPr>
        <w:spacing w:after="0" w:line="218" w:lineRule="exact"/>
        <w:rPr>
          <w:sz w:val="20"/>
          <w:szCs w:val="20"/>
          <w:color w:val="auto"/>
        </w:rPr>
      </w:pPr>
    </w:p>
    <w:p>
      <w:pPr>
        <w:jc w:val="both"/>
        <w:ind w:firstLine="310"/>
        <w:spacing w:after="0" w:line="315" w:lineRule="auto"/>
        <w:rPr>
          <w:sz w:val="20"/>
          <w:szCs w:val="20"/>
          <w:color w:val="auto"/>
        </w:rPr>
      </w:pPr>
      <w:r>
        <w:rPr>
          <w:rFonts w:ascii="Arial" w:cs="Arial" w:eastAsia="Arial" w:hAnsi="Arial"/>
          <w:sz w:val="16"/>
          <w:szCs w:val="16"/>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37"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In addition, the full impact of recent healthcare reform and other changes in the healthcare industry and in healthcare spending is currently unknown, and may adversely affect our business model.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sale discounts off negotiated prices of applicable brand drugs to eligible beneficiaries during their coverage gap period as a condition for the manufacturer’s outpatient drugs to be covered under Medicare Part D.</w:t>
      </w:r>
    </w:p>
    <w:p>
      <w:pPr>
        <w:spacing w:after="0" w:line="159"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By way of example, the Tax Cuts and Jobs Act of 2017 included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Supreme Court heard argument on this case on November 10, 2020. On February 10, 2021, the Department of Justice notified the Court of the federal government’s change in position from that presented in its brief on the merits filed in the case. It is unclear how the Supreme Court will rule. It is also unclear how other efforts, if any, to challenge, repeal, or replace the ACA will impact the ACA or our business.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71"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These new laws, among other things, included aggregate reductions of Medicare payments of 2% per fiscal year to providers that will remain in effect through 2030, with the exception of a temporary suspension from May 1, 2020 through December 31, 2020,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24"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37" w:lineRule="exact"/>
        <w:rPr>
          <w:sz w:val="20"/>
          <w:szCs w:val="20"/>
          <w:color w:val="auto"/>
        </w:rPr>
      </w:pPr>
    </w:p>
    <w:p>
      <w:pPr>
        <w:jc w:val="both"/>
        <w:ind w:firstLine="310"/>
        <w:spacing w:after="0" w:line="257" w:lineRule="auto"/>
        <w:rPr>
          <w:sz w:val="20"/>
          <w:szCs w:val="20"/>
          <w:color w:val="auto"/>
        </w:rPr>
      </w:pPr>
      <w:r>
        <w:rPr>
          <w:rFonts w:ascii="Arial" w:cs="Arial" w:eastAsia="Arial" w:hAnsi="Arial"/>
          <w:sz w:val="17"/>
          <w:szCs w:val="17"/>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83" w:lineRule="exact"/>
        <w:rPr>
          <w:sz w:val="20"/>
          <w:szCs w:val="20"/>
          <w:color w:val="auto"/>
        </w:rPr>
      </w:pPr>
    </w:p>
    <w:p>
      <w:pPr>
        <w:jc w:val="both"/>
        <w:ind w:firstLine="310"/>
        <w:spacing w:after="0" w:line="285"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could be forced to stop or delay research, development, manufacturing or 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76"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6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59"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77"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71"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63" w:lineRule="exact"/>
        <w:rPr>
          <w:sz w:val="20"/>
          <w:szCs w:val="20"/>
          <w:color w:val="auto"/>
        </w:rPr>
      </w:pPr>
    </w:p>
    <w:p>
      <w:pPr>
        <w:jc w:val="both"/>
        <w:ind w:firstLine="310"/>
        <w:spacing w:after="0" w:line="294" w:lineRule="auto"/>
        <w:rPr>
          <w:sz w:val="20"/>
          <w:szCs w:val="20"/>
          <w:color w:val="auto"/>
        </w:rPr>
      </w:pPr>
      <w:r>
        <w:rPr>
          <w:rFonts w:ascii="Arial" w:cs="Arial" w:eastAsia="Arial" w:hAnsi="Arial"/>
          <w:sz w:val="15"/>
          <w:szCs w:val="15"/>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57"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77"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37"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3"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72" w:lineRule="exact"/>
        <w:rPr>
          <w:sz w:val="20"/>
          <w:szCs w:val="20"/>
          <w:color w:val="auto"/>
        </w:rPr>
      </w:pPr>
    </w:p>
    <w:p>
      <w:pPr>
        <w:jc w:val="both"/>
        <w:spacing w:after="0" w:line="395"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90"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enforce our intellectual property rights throughout the world.</w:t>
      </w:r>
    </w:p>
    <w:p>
      <w:pPr>
        <w:spacing w:after="0" w:line="218"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63" w:lineRule="exact"/>
        <w:rPr>
          <w:sz w:val="20"/>
          <w:szCs w:val="20"/>
          <w:color w:val="auto"/>
        </w:rPr>
      </w:pPr>
    </w:p>
    <w:p>
      <w:pPr>
        <w:jc w:val="both"/>
        <w:ind w:firstLine="310"/>
        <w:spacing w:after="0" w:line="281"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59"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70" w:lineRule="exact"/>
        <w:rPr>
          <w:sz w:val="20"/>
          <w:szCs w:val="20"/>
          <w:color w:val="auto"/>
        </w:rPr>
      </w:pPr>
    </w:p>
    <w:p>
      <w:pPr>
        <w:jc w:val="both"/>
        <w:ind w:firstLine="310"/>
        <w:spacing w:after="0" w:line="304" w:lineRule="auto"/>
        <w:rPr>
          <w:sz w:val="20"/>
          <w:szCs w:val="20"/>
          <w:color w:val="auto"/>
        </w:rPr>
      </w:pPr>
      <w:r>
        <w:rPr>
          <w:rFonts w:ascii="Arial" w:cs="Arial" w:eastAsia="Arial" w:hAnsi="Arial"/>
          <w:sz w:val="15"/>
          <w:szCs w:val="15"/>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may be volatile and our stockholders may not be able to resell shares of our common stock at or above the price they paid.</w:t>
      </w:r>
    </w:p>
    <w:p>
      <w:pPr>
        <w:spacing w:after="0" w:line="22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59" w:lineRule="exact"/>
        <w:rPr>
          <w:sz w:val="20"/>
          <w:szCs w:val="20"/>
          <w:color w:val="auto"/>
        </w:rPr>
      </w:pPr>
    </w:p>
    <w:p>
      <w:pPr>
        <w:ind w:left="320" w:hanging="317"/>
        <w:spacing w:after="0" w:line="283" w:lineRule="auto"/>
        <w:tabs>
          <w:tab w:leader="none" w:pos="2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of regulatory decisions regarding our NDA seeking marketing approval for tenapanor for the control of serum phosphorus in adult patients with CKD on dialysis or for another other related indication;</w:t>
      </w:r>
    </w:p>
    <w:p>
      <w:pPr>
        <w:spacing w:after="0" w:line="159" w:lineRule="exact"/>
        <w:rPr>
          <w:rFonts w:ascii="Arial" w:cs="Arial" w:eastAsia="Arial" w:hAnsi="Arial"/>
          <w:sz w:val="17"/>
          <w:szCs w:val="17"/>
          <w:color w:val="auto"/>
        </w:rPr>
      </w:pPr>
    </w:p>
    <w:p>
      <w:pPr>
        <w:ind w:left="320" w:hanging="317"/>
        <w:spacing w:after="0" w:line="283" w:lineRule="auto"/>
        <w:tabs>
          <w:tab w:leader="none" w:pos="284"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results of regulatory inspections of our facilities or those of our contract manufacturing organizations, or specific label restrictions or patient populations for tenapanor’s use, or changes or delays in the regulatory review process;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hanging="317"/>
        <w:spacing w:after="0" w:line="283" w:lineRule="auto"/>
        <w:tabs>
          <w:tab w:leader="none" w:pos="28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regarding whether tenapanor, alone or with other oral only medications, will be included in the bundled prospective payment system for the treatment of ESRD patients, and the time and manner in which such transition is achieved;</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results from, or any delays in, our RDX013 Phase 2 clinical trial;</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relating to our current or future collaboration partnerships;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of therapeutic innovations or new products by us or our competitors;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adverse actions taken by regulatory agencies with respect to our product label, our clinical trials, manufacturing supply chain or sales and marketing activities;</w:t>
      </w:r>
    </w:p>
    <w:p>
      <w:pPr>
        <w:spacing w:after="0" w:line="240" w:lineRule="exact"/>
        <w:rPr>
          <w:rFonts w:ascii="Arial" w:cs="Arial" w:eastAsia="Arial" w:hAnsi="Arial"/>
          <w:sz w:val="15"/>
          <w:szCs w:val="15"/>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or developments in laws or regulations applicable to our approved products or our product candidates;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 of our testing and clinical trials;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to meet any of our projected timelines or goals with regard to the clinical development and commercialization of any of our product candidates;</w:t>
      </w:r>
    </w:p>
    <w:p>
      <w:pPr>
        <w:spacing w:after="0" w:line="229" w:lineRule="exact"/>
        <w:rPr>
          <w:rFonts w:ascii="Arial" w:cs="Arial" w:eastAsia="Arial" w:hAnsi="Arial"/>
          <w:sz w:val="16"/>
          <w:szCs w:val="16"/>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 of our efforts to acquire or license or discover additional product candidates;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intellectual property infringement actions in which we may become involved;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 of our efforts to obtain adequate intellectual property protection for our product candidates;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concerning our competitors or the pharmaceutical industry in general;</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achievement of expected product sales and profitability;</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manufacture, supply or distribution shortages;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FDA or other U.S. or foreign regulatory actions affecting us or our industry or other healthcare reform measures in the United States;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financial estimates or recommendations by securities analysts;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sales of our common stock by us, our executive officers and directors or our stockholders in the future;</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sales of debt securities and sales or licensing of assets;</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economic and market conditions and overall fluctuations in the United States equity markets; and</w:t>
      </w:r>
    </w:p>
    <w:p>
      <w:pPr>
        <w:spacing w:after="0" w:line="217"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loss of any of our key scientific or management personnel.</w:t>
      </w:r>
    </w:p>
    <w:p>
      <w:pPr>
        <w:spacing w:after="0" w:line="218"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principal stockholders own a significant percentage of our stock and, together with our management, will be able to exert significant control over matters subject to stockholder approval.</w:t>
      </w:r>
    </w:p>
    <w:p>
      <w:pPr>
        <w:spacing w:after="0" w:line="159" w:lineRule="exact"/>
        <w:rPr>
          <w:sz w:val="20"/>
          <w:szCs w:val="20"/>
          <w:color w:val="auto"/>
        </w:rPr>
      </w:pPr>
    </w:p>
    <w:p>
      <w:pPr>
        <w:jc w:val="both"/>
        <w:ind w:firstLine="310"/>
        <w:spacing w:after="0" w:line="258" w:lineRule="auto"/>
        <w:rPr>
          <w:sz w:val="20"/>
          <w:szCs w:val="20"/>
          <w:color w:val="auto"/>
        </w:rPr>
      </w:pPr>
      <w:r>
        <w:rPr>
          <w:rFonts w:ascii="Arial" w:cs="Arial" w:eastAsia="Arial" w:hAnsi="Arial"/>
          <w:sz w:val="17"/>
          <w:szCs w:val="17"/>
          <w:color w:val="auto"/>
        </w:rPr>
        <w:t>Based on the number of shares outstanding as of March 31, 2021, our officers, directors and stockholders who hold at least 5% of our stock together beneficially own approximately 40.8%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21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March 31, 2021, we had approximately 98.7 million shares of common stock outstanding. Of those shares, approximately 37.4 million were held by current directors, executive officers and stockholders owning 5% or more of our outstanding common stock.</w:t>
      </w:r>
    </w:p>
    <w:p>
      <w:pPr>
        <w:spacing w:after="0" w:line="172"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As of March 31, 2021, 1.0 million shares of common stock issuable upon vesting of outstanding restricted stock units and approximately 12.3 million shares of common stock issuable upon exercise of outstanding options were eligible for sale in the public market to the extent permitted by the provisions of the applicable vesting schedules, and Rule 144 and Rule 701 under the Securities Act. If these additional shares of common stock are issued and sold, or if it is perceived that they will be sold, in the public market, the trading price of our common stock could decline.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sell shares of our common stock in future financings, stockholders may experience immediate dilution and, as a result, our stock price may decline.</w:t>
      </w:r>
    </w:p>
    <w:p>
      <w:pPr>
        <w:spacing w:after="0" w:line="241"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72"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4"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are subject to Section 404 of The Sarbanes-Oxley Act of 2002 (“Section 404”) and the related rules of the Securities and Exchange Commission (“SEC”) which require, among other things, our management to report on the effectiveness of our internal control over financial reporting. Our compliance with Section 404 requires that we incur substantial expense and expend significant management efforts.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affected by the global economic environment.</w:t>
      </w:r>
    </w:p>
    <w:p>
      <w:pPr>
        <w:spacing w:after="0" w:line="218"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68"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72" w:lineRule="exact"/>
        <w:rPr>
          <w:sz w:val="20"/>
          <w:szCs w:val="20"/>
          <w:color w:val="auto"/>
        </w:rPr>
      </w:pPr>
    </w:p>
    <w:p>
      <w:pPr>
        <w:ind w:left="320" w:hanging="317"/>
        <w:spacing w:after="0" w:line="283" w:lineRule="auto"/>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delay the ability of stockholders to change the membership of a majority of our board of directors;</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217" w:lineRule="exact"/>
        <w:rPr>
          <w:rFonts w:ascii="Arial" w:cs="Arial" w:eastAsia="Arial" w:hAnsi="Arial"/>
          <w:sz w:val="17"/>
          <w:szCs w:val="17"/>
          <w:color w:val="auto"/>
        </w:rPr>
      </w:pPr>
    </w:p>
    <w:p>
      <w:pPr>
        <w:ind w:left="320" w:hanging="317"/>
        <w:spacing w:after="0" w:line="283" w:lineRule="auto"/>
        <w:tabs>
          <w:tab w:leader="none" w:pos="27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9" w:lineRule="exact"/>
        <w:rPr>
          <w:rFonts w:ascii="Arial" w:cs="Arial" w:eastAsia="Arial" w:hAnsi="Arial"/>
          <w:sz w:val="17"/>
          <w:szCs w:val="17"/>
          <w:color w:val="auto"/>
        </w:rPr>
      </w:pPr>
    </w:p>
    <w:p>
      <w:pPr>
        <w:ind w:left="320" w:hanging="317"/>
        <w:spacing w:after="0" w:line="283" w:lineRule="auto"/>
        <w:tabs>
          <w:tab w:leader="none" w:pos="28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required approval of at least two-thirds of the shares entitled to vote to remove a director for cause, and the prohibition on removal of directors without cause;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hanging="317"/>
        <w:spacing w:after="0" w:line="315" w:lineRule="auto"/>
        <w:tabs>
          <w:tab w:leader="none" w:pos="2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37" w:lineRule="exact"/>
        <w:rPr>
          <w:rFonts w:ascii="Arial" w:cs="Arial" w:eastAsia="Arial" w:hAnsi="Arial"/>
          <w:sz w:val="16"/>
          <w:szCs w:val="16"/>
          <w:color w:val="auto"/>
        </w:rPr>
      </w:pPr>
    </w:p>
    <w:p>
      <w:pPr>
        <w:ind w:left="240" w:hanging="237"/>
        <w:spacing w:after="0"/>
        <w:tabs>
          <w:tab w:leader="none" w:pos="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bylaws without obtaining stockholder approval;</w:t>
      </w:r>
    </w:p>
    <w:p>
      <w:pPr>
        <w:spacing w:after="0" w:line="217" w:lineRule="exact"/>
        <w:rPr>
          <w:rFonts w:ascii="Arial" w:cs="Arial" w:eastAsia="Arial" w:hAnsi="Arial"/>
          <w:sz w:val="17"/>
          <w:szCs w:val="17"/>
          <w:color w:val="auto"/>
        </w:rPr>
      </w:pPr>
    </w:p>
    <w:p>
      <w:pPr>
        <w:ind w:left="320" w:hanging="317"/>
        <w:spacing w:after="0" w:line="283" w:lineRule="auto"/>
        <w:tabs>
          <w:tab w:leader="none" w:pos="24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59" w:lineRule="exact"/>
        <w:rPr>
          <w:rFonts w:ascii="Arial" w:cs="Arial" w:eastAsia="Arial" w:hAnsi="Arial"/>
          <w:sz w:val="17"/>
          <w:szCs w:val="17"/>
          <w:color w:val="auto"/>
        </w:rPr>
      </w:pPr>
    </w:p>
    <w:p>
      <w:pPr>
        <w:ind w:left="240" w:hanging="237"/>
        <w:spacing w:after="0"/>
        <w:tabs>
          <w:tab w:leader="none" w:pos="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229" w:lineRule="exact"/>
        <w:rPr>
          <w:rFonts w:ascii="Arial" w:cs="Arial" w:eastAsia="Arial" w:hAnsi="Arial"/>
          <w:sz w:val="16"/>
          <w:szCs w:val="16"/>
          <w:color w:val="auto"/>
        </w:rPr>
      </w:pPr>
    </w:p>
    <w:p>
      <w:pPr>
        <w:ind w:left="320" w:hanging="317"/>
        <w:spacing w:after="0" w:line="268" w:lineRule="auto"/>
        <w:tabs>
          <w:tab w:leader="none" w:pos="24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72" w:lineRule="exact"/>
        <w:rPr>
          <w:rFonts w:ascii="Arial" w:cs="Arial" w:eastAsia="Arial" w:hAnsi="Arial"/>
          <w:sz w:val="17"/>
          <w:szCs w:val="17"/>
          <w:color w:val="auto"/>
        </w:rPr>
      </w:pPr>
    </w:p>
    <w:p>
      <w:pPr>
        <w:ind w:left="320" w:hanging="317"/>
        <w:spacing w:after="0" w:line="268" w:lineRule="auto"/>
        <w:tabs>
          <w:tab w:leader="none" w:pos="251"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these provisions would apply even if we were to receive an offer that some stockholders may consider beneficial.</w:t>
      </w:r>
    </w:p>
    <w:p>
      <w:pPr>
        <w:spacing w:after="0" w:line="218"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and officers, in each case to the fullest extent permitted by Delaware law.</w:t>
      </w:r>
    </w:p>
    <w:p>
      <w:pPr>
        <w:spacing w:after="0" w:line="159"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59" w:lineRule="exact"/>
        <w:rPr>
          <w:sz w:val="20"/>
          <w:szCs w:val="20"/>
          <w:color w:val="auto"/>
        </w:rPr>
      </w:pPr>
    </w:p>
    <w:p>
      <w:pPr>
        <w:jc w:val="both"/>
        <w:ind w:left="320" w:hanging="317"/>
        <w:spacing w:after="0" w:line="263" w:lineRule="auto"/>
        <w:tabs>
          <w:tab w:leader="none" w:pos="304"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6" w:lineRule="exact"/>
        <w:rPr>
          <w:rFonts w:ascii="Arial" w:cs="Arial" w:eastAsia="Arial" w:hAnsi="Arial"/>
          <w:sz w:val="17"/>
          <w:szCs w:val="17"/>
          <w:color w:val="auto"/>
        </w:rPr>
      </w:pPr>
    </w:p>
    <w:p>
      <w:pPr>
        <w:ind w:left="240" w:hanging="237"/>
        <w:spacing w:after="0"/>
        <w:tabs>
          <w:tab w:leader="none" w:pos="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217" w:lineRule="exact"/>
        <w:rPr>
          <w:rFonts w:ascii="Arial" w:cs="Arial" w:eastAsia="Arial" w:hAnsi="Arial"/>
          <w:sz w:val="17"/>
          <w:szCs w:val="17"/>
          <w:color w:val="auto"/>
        </w:rPr>
      </w:pPr>
    </w:p>
    <w:p>
      <w:pPr>
        <w:ind w:left="320" w:hanging="317"/>
        <w:spacing w:after="0" w:line="283" w:lineRule="auto"/>
        <w:tabs>
          <w:tab w:leader="none" w:pos="2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9" w:lineRule="exact"/>
        <w:rPr>
          <w:rFonts w:ascii="Arial" w:cs="Arial" w:eastAsia="Arial" w:hAnsi="Arial"/>
          <w:sz w:val="17"/>
          <w:szCs w:val="17"/>
          <w:color w:val="auto"/>
        </w:rPr>
      </w:pPr>
    </w:p>
    <w:p>
      <w:pPr>
        <w:ind w:left="320" w:hanging="317"/>
        <w:spacing w:after="0" w:line="315" w:lineRule="auto"/>
        <w:tabs>
          <w:tab w:leader="none" w:pos="258"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37" w:lineRule="exact"/>
        <w:rPr>
          <w:rFonts w:ascii="Arial" w:cs="Arial" w:eastAsia="Arial" w:hAnsi="Arial"/>
          <w:sz w:val="16"/>
          <w:szCs w:val="16"/>
          <w:color w:val="auto"/>
        </w:rPr>
      </w:pPr>
    </w:p>
    <w:p>
      <w:pPr>
        <w:ind w:left="320" w:hanging="317"/>
        <w:spacing w:after="0" w:line="283" w:lineRule="auto"/>
        <w:tabs>
          <w:tab w:leader="none" w:pos="25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hanging="317"/>
        <w:spacing w:after="0" w:line="283" w:lineRule="auto"/>
        <w:tabs>
          <w:tab w:leader="none" w:pos="2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not retroactively amend our amended and restated bylaw provisions to reduce our indemnification obligations to directors, officers, employees and agents.</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59" w:lineRule="exact"/>
        <w:rPr>
          <w:sz w:val="20"/>
          <w:szCs w:val="20"/>
          <w:color w:val="auto"/>
        </w:rPr>
      </w:pPr>
    </w:p>
    <w:p>
      <w:pPr>
        <w:jc w:val="both"/>
        <w:ind w:firstLine="310"/>
        <w:spacing w:after="0" w:line="261"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United Kingdom’s withdrawal from the European Union may have a negative effect on global economic conditions, financial markets and our business.</w:t>
      </w:r>
    </w:p>
    <w:p>
      <w:pPr>
        <w:spacing w:after="0" w:line="241" w:lineRule="exact"/>
        <w:rPr>
          <w:sz w:val="20"/>
          <w:szCs w:val="20"/>
          <w:color w:val="auto"/>
        </w:rPr>
      </w:pPr>
    </w:p>
    <w:p>
      <w:pPr>
        <w:jc w:val="both"/>
        <w:ind w:firstLine="310"/>
        <w:spacing w:after="0" w:line="277"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67"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4" w:lineRule="exact"/>
        <w:rPr>
          <w:sz w:val="20"/>
          <w:szCs w:val="20"/>
          <w:color w:val="auto"/>
        </w:rPr>
      </w:pPr>
    </w:p>
    <w:p>
      <w:pPr>
        <w:jc w:val="both"/>
        <w:ind w:firstLine="310"/>
        <w:spacing w:after="0" w:line="263" w:lineRule="auto"/>
        <w:rPr>
          <w:sz w:val="20"/>
          <w:szCs w:val="20"/>
          <w:color w:val="auto"/>
        </w:rPr>
      </w:pPr>
      <w:r>
        <w:rPr>
          <w:rFonts w:ascii="Arial" w:cs="Arial" w:eastAsia="Arial" w:hAnsi="Arial"/>
          <w:sz w:val="17"/>
          <w:szCs w:val="17"/>
          <w:color w:val="auto"/>
        </w:rPr>
        <w:t xml:space="preserve">Effective May 16, 2018, we entered into a loan and security agreement (as amended on October 9, 2020) pursuant to which the Lenders agreed to provide us a $50.0 million term loan facility. Covenants in the loan and security agreement limit our ability to pay dividends or make other distributions. For additional information refer to “NOTE 5. BORROWINGS” in the notes to our unaudited condensed financial statements in Part I, Item 1, </w:t>
      </w:r>
      <w:r>
        <w:rPr>
          <w:rFonts w:ascii="Arial" w:cs="Arial" w:eastAsia="Arial" w:hAnsi="Arial"/>
          <w:sz w:val="17"/>
          <w:szCs w:val="17"/>
          <w:i w:val="1"/>
          <w:iCs w:val="1"/>
          <w:color w:val="auto"/>
        </w:rPr>
        <w:t>Notes to Condensed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None.</w:t>
      </w: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80" w:type="dxa"/>
            <w:vAlign w:val="bottom"/>
            <w:gridSpan w:val="7"/>
            <w:vMerge w:val="restart"/>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0"/>
        </w:trPr>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5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0" w:type="dxa"/>
            <w:vAlign w:val="bottom"/>
            <w:tcBorders>
              <w:top w:val="single" w:sz="8" w:color="auto"/>
            </w:tcBorders>
            <w:gridSpan w:val="9"/>
          </w:tcPr>
          <w:p>
            <w:pPr>
              <w:spacing w:after="0"/>
              <w:rPr>
                <w:rFonts w:ascii="Arial" w:cs="Arial" w:eastAsia="Arial" w:hAnsi="Arial"/>
                <w:sz w:val="17"/>
                <w:szCs w:val="17"/>
                <w:color w:val="0000FF"/>
                <w:w w:val="94"/>
              </w:rPr>
            </w:pPr>
            <w:hyperlink w:anchor="page66">
              <w:r>
                <w:rPr>
                  <w:rFonts w:ascii="Arial" w:cs="Arial" w:eastAsia="Arial" w:hAnsi="Arial"/>
                  <w:sz w:val="17"/>
                  <w:szCs w:val="17"/>
                  <w:color w:val="0000FF"/>
                  <w:w w:val="94"/>
                </w:rPr>
                <w:t>Third Amendment to the Loan and Security Agreement, dated May 5, 2021, by</w:t>
              </w:r>
            </w:hyperlink>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8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1"/>
              </w:rPr>
            </w:pPr>
            <w:hyperlink w:anchor="page66">
              <w:r>
                <w:rPr>
                  <w:rFonts w:ascii="Arial" w:cs="Arial" w:eastAsia="Arial" w:hAnsi="Arial"/>
                  <w:sz w:val="17"/>
                  <w:szCs w:val="17"/>
                  <w:color w:val="0000FF"/>
                  <w:w w:val="91"/>
                </w:rPr>
                <w:t>and between the Company and Solar Capital Ltd. and Western Alliance Bank.</w:t>
              </w:r>
            </w:hyperlink>
          </w:p>
        </w:tc>
        <w:tc>
          <w:tcPr>
            <w:tcW w:w="8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5"/>
        </w:trPr>
        <w:tc>
          <w:tcPr>
            <w:tcW w:w="760" w:type="dxa"/>
            <w:vAlign w:val="bottom"/>
          </w:tcPr>
          <w:p>
            <w:pPr>
              <w:ind w:left="20"/>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9"/>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Certification of Chief Executive Officer Pursuant to Section 302 of the</w:t>
              </w:r>
            </w:hyperlink>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2"/>
              </w:rPr>
            </w:pPr>
            <w:hyperlink w:anchor="page72">
              <w:r>
                <w:rPr>
                  <w:rFonts w:ascii="Arial" w:cs="Arial" w:eastAsia="Arial" w:hAnsi="Arial"/>
                  <w:sz w:val="17"/>
                  <w:szCs w:val="17"/>
                  <w:color w:val="0000FF"/>
                  <w:w w:val="92"/>
                </w:rPr>
                <w:t>Sarbanes-Oxley Act of 2002.</w:t>
              </w:r>
            </w:hyperlink>
          </w:p>
        </w:tc>
        <w:tc>
          <w:tcPr>
            <w:tcW w:w="2860" w:type="dxa"/>
            <w:vAlign w:val="bottom"/>
            <w:tcBorders>
              <w:top w:val="single" w:sz="8" w:color="0000FF"/>
            </w:tcBorders>
            <w:gridSpan w:val="2"/>
          </w:tcPr>
          <w:p>
            <w:pPr>
              <w:spacing w:after="0"/>
              <w:rPr>
                <w:sz w:val="12"/>
                <w:szCs w:val="12"/>
                <w:color w:val="auto"/>
              </w:rPr>
            </w:pPr>
          </w:p>
        </w:tc>
        <w:tc>
          <w:tcPr>
            <w:tcW w:w="64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5"/>
        </w:trPr>
        <w:tc>
          <w:tcPr>
            <w:tcW w:w="760" w:type="dxa"/>
            <w:vAlign w:val="bottom"/>
          </w:tcPr>
          <w:p>
            <w:pPr>
              <w:ind w:left="2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9"/>
          </w:tcPr>
          <w:p>
            <w:pPr>
              <w:spacing w:after="0"/>
              <w:rPr>
                <w:rFonts w:ascii="Arial" w:cs="Arial" w:eastAsia="Arial" w:hAnsi="Arial"/>
                <w:sz w:val="17"/>
                <w:szCs w:val="17"/>
                <w:color w:val="0000FF"/>
                <w:w w:val="93"/>
              </w:rPr>
            </w:pPr>
            <w:hyperlink w:anchor="page73">
              <w:r>
                <w:rPr>
                  <w:rFonts w:ascii="Arial" w:cs="Arial" w:eastAsia="Arial" w:hAnsi="Arial"/>
                  <w:sz w:val="17"/>
                  <w:szCs w:val="17"/>
                  <w:color w:val="0000FF"/>
                  <w:w w:val="93"/>
                </w:rPr>
                <w:t>Certification of Chief Financial Officer Pursuant to Section 302 of the Sarbanes-</w:t>
              </w:r>
            </w:hyperlink>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94"/>
              </w:rPr>
            </w:pPr>
            <w:hyperlink w:anchor="page73">
              <w:r>
                <w:rPr>
                  <w:rFonts w:ascii="Arial" w:cs="Arial" w:eastAsia="Arial" w:hAnsi="Arial"/>
                  <w:sz w:val="17"/>
                  <w:szCs w:val="17"/>
                  <w:color w:val="0000FF"/>
                  <w:w w:val="94"/>
                </w:rPr>
                <w:t>Oxley Act of 2002.</w:t>
              </w:r>
            </w:hyperlink>
          </w:p>
        </w:tc>
        <w:tc>
          <w:tcPr>
            <w:tcW w:w="422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5"/>
        </w:trPr>
        <w:tc>
          <w:tcPr>
            <w:tcW w:w="760" w:type="dxa"/>
            <w:vAlign w:val="bottom"/>
          </w:tcPr>
          <w:p>
            <w:pPr>
              <w:ind w:left="20"/>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9"/>
          </w:tcPr>
          <w:p>
            <w:pPr>
              <w:spacing w:after="0"/>
              <w:rPr>
                <w:rFonts w:ascii="Arial" w:cs="Arial" w:eastAsia="Arial" w:hAnsi="Arial"/>
                <w:sz w:val="17"/>
                <w:szCs w:val="17"/>
                <w:color w:val="0000FF"/>
                <w:w w:val="95"/>
              </w:rPr>
            </w:pPr>
            <w:hyperlink w:anchor="page74">
              <w:r>
                <w:rPr>
                  <w:rFonts w:ascii="Arial" w:cs="Arial" w:eastAsia="Arial" w:hAnsi="Arial"/>
                  <w:sz w:val="17"/>
                  <w:szCs w:val="17"/>
                  <w:color w:val="0000FF"/>
                  <w:w w:val="95"/>
                </w:rPr>
                <w:t>Certification of Chief Executive Officer and Chief Financial Officer Pursuant to</w:t>
              </w:r>
            </w:hyperlink>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1"/>
              </w:rPr>
            </w:pPr>
            <w:hyperlink w:anchor="page74">
              <w:r>
                <w:rPr>
                  <w:rFonts w:ascii="Arial" w:cs="Arial" w:eastAsia="Arial" w:hAnsi="Arial"/>
                  <w:sz w:val="17"/>
                  <w:szCs w:val="17"/>
                  <w:color w:val="0000FF"/>
                  <w:w w:val="91"/>
                </w:rPr>
                <w:t>Section 906 of the Sarbanes-Oxley Act of 2002.</w:t>
              </w:r>
            </w:hyperlink>
          </w:p>
        </w:tc>
        <w:tc>
          <w:tcPr>
            <w:tcW w:w="2200" w:type="dxa"/>
            <w:vAlign w:val="bottom"/>
            <w:tcBorders>
              <w:top w:val="single" w:sz="8" w:color="0000FF"/>
            </w:tcBorders>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880" w:right="20" w:hanging="859"/>
        <w:spacing w:after="0" w:line="245" w:lineRule="auto"/>
        <w:tabs>
          <w:tab w:leader="none" w:pos="8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following financial statements, formatted in Inline Extensible Business Reporting Language (XBRL): (i) Condensed Balance Sheets as of March 31, 2021 and December 31, 2020, (ii) Condensed Statements of Operations and Comprehensive Loss for the three months ended March 31, 2021 and 2020, (iii) Condensed Statements of Cash Flows for the nine months ended March 31, 2021 and 2020, and (iv) Notes to Unaudited Condensed Financial Statements.</w:t>
      </w:r>
    </w:p>
    <w:p>
      <w:pPr>
        <w:spacing w:after="0" w:line="3" w:lineRule="exact"/>
        <w:rPr>
          <w:sz w:val="20"/>
          <w:szCs w:val="20"/>
          <w:color w:val="auto"/>
        </w:rPr>
      </w:pPr>
    </w:p>
    <w:p>
      <w:pPr>
        <w:ind w:left="880" w:right="280" w:hanging="859"/>
        <w:spacing w:after="0" w:line="237"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Cover Page Interactive Data File, formatted in Inline XBRL and contained in Exhibit 101.</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160" w:type="dxa"/>
            <w:vAlign w:val="bottom"/>
            <w:tcBorders>
              <w:top w:val="single" w:sz="8" w:color="auto"/>
            </w:tcBorders>
            <w:gridSpan w:val="2"/>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160" w:type="dxa"/>
            <w:vAlign w:val="bottom"/>
            <w:tcBorders>
              <w:top w:val="single" w:sz="8" w:color="auto"/>
            </w:tcBorders>
            <w:gridSpan w:val="2"/>
            <w:vMerge w:val="restart"/>
          </w:tcPr>
          <w:p>
            <w:pPr>
              <w:ind w:left="380"/>
              <w:spacing w:after="0"/>
              <w:rPr>
                <w:sz w:val="20"/>
                <w:szCs w:val="20"/>
                <w:color w:val="auto"/>
              </w:rPr>
            </w:pPr>
            <w:r>
              <w:rPr>
                <w:rFonts w:ascii="Arial" w:cs="Arial" w:eastAsia="Arial" w:hAnsi="Arial"/>
                <w:sz w:val="14"/>
                <w:szCs w:val="14"/>
                <w:b w:val="1"/>
                <w:bCs w:val="1"/>
                <w:color w:val="auto"/>
              </w:rPr>
              <w:t>Date</w:t>
            </w:r>
          </w:p>
        </w:tc>
        <w:tc>
          <w:tcPr>
            <w:tcW w:w="118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106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0"/>
        </w:trPr>
        <w:tc>
          <w:tcPr>
            <w:tcW w:w="116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56"/>
        </w:trPr>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543"/>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543"/>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543"/>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543"/>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bl>
    <w:p>
      <w:pPr>
        <w:sectPr>
          <w:pgSz w:w="11900" w:h="16838" w:orient="portrait"/>
          <w:cols w:equalWidth="0" w:num="2">
            <w:col w:w="6480" w:space="120"/>
            <w:col w:w="4560"/>
          </w:cols>
          <w:pgMar w:left="320" w:top="334" w:right="41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firstLine="310"/>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480"/>
        <w:spacing w:after="0"/>
        <w:rPr>
          <w:sz w:val="20"/>
          <w:szCs w:val="20"/>
          <w:color w:val="auto"/>
        </w:rPr>
      </w:pPr>
      <w:r>
        <w:rPr>
          <w:rFonts w:ascii="Arial" w:cs="Arial" w:eastAsia="Arial" w:hAnsi="Arial"/>
          <w:sz w:val="17"/>
          <w:szCs w:val="17"/>
          <w:b w:val="1"/>
          <w:bCs w:val="1"/>
          <w:color w:val="auto"/>
        </w:rPr>
        <w:t>Ardelyx, Inc.</w:t>
      </w:r>
    </w:p>
    <w:p>
      <w:pPr>
        <w:spacing w:after="0" w:line="276" w:lineRule="exact"/>
        <w:rPr>
          <w:sz w:val="20"/>
          <w:szCs w:val="20"/>
          <w:color w:val="auto"/>
        </w:rPr>
      </w:pPr>
    </w:p>
    <w:p>
      <w:pPr>
        <w:ind w:left="20"/>
        <w:spacing w:after="0"/>
        <w:tabs>
          <w:tab w:leader="none" w:pos="5460" w:val="left"/>
          <w:tab w:leader="none" w:pos="5940" w:val="left"/>
        </w:tabs>
        <w:rPr>
          <w:sz w:val="20"/>
          <w:szCs w:val="20"/>
          <w:color w:val="auto"/>
        </w:rPr>
      </w:pPr>
      <w:r>
        <w:rPr>
          <w:rFonts w:ascii="Arial" w:cs="Arial" w:eastAsia="Arial" w:hAnsi="Arial"/>
          <w:sz w:val="17"/>
          <w:szCs w:val="17"/>
          <w:color w:val="auto"/>
        </w:rPr>
        <w:t>Date: May 6,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15240</wp:posOffset>
            </wp:positionV>
            <wp:extent cx="33229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22955" cy="8255"/>
                    </a:xfrm>
                    <a:prstGeom prst="rect">
                      <a:avLst/>
                    </a:prstGeom>
                    <a:noFill/>
                  </pic:spPr>
                </pic:pic>
              </a:graphicData>
            </a:graphic>
          </wp:anchor>
        </w:drawing>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Justin Renz</w:t>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Chief Financial Officer</w:t>
      </w:r>
    </w:p>
    <w:p>
      <w:pPr>
        <w:spacing w:after="0" w:line="24"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(Chief Accounting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33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THIRD AMENDMENT TO LOAN AND SECURITY AGREEMENT</w:t>
      </w:r>
    </w:p>
    <w:p>
      <w:pPr>
        <w:spacing w:after="0" w:line="208" w:lineRule="exact"/>
        <w:rPr>
          <w:sz w:val="20"/>
          <w:szCs w:val="20"/>
          <w:color w:val="auto"/>
        </w:rPr>
      </w:pPr>
    </w:p>
    <w:p>
      <w:pPr>
        <w:jc w:val="both"/>
        <w:ind w:firstLine="620"/>
        <w:spacing w:after="0" w:line="247"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THIRD AMENDMENT TO LOAN AND SECURITY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Amendment</w:t>
      </w:r>
      <w:r>
        <w:rPr>
          <w:rFonts w:ascii="Arial" w:cs="Arial" w:eastAsia="Arial" w:hAnsi="Arial"/>
          <w:sz w:val="19"/>
          <w:szCs w:val="19"/>
          <w:color w:val="auto"/>
        </w:rPr>
        <w:t>”), dated as of May 5, 2021 (the “</w:t>
      </w:r>
      <w:r>
        <w:rPr>
          <w:rFonts w:ascii="Arial" w:cs="Arial" w:eastAsia="Arial" w:hAnsi="Arial"/>
          <w:sz w:val="19"/>
          <w:szCs w:val="19"/>
          <w:b w:val="1"/>
          <w:bCs w:val="1"/>
          <w:color w:val="auto"/>
        </w:rPr>
        <w:t>Amendment Effective Date</w:t>
      </w:r>
      <w:r>
        <w:rPr>
          <w:rFonts w:ascii="Arial" w:cs="Arial" w:eastAsia="Arial" w:hAnsi="Arial"/>
          <w:sz w:val="19"/>
          <w:szCs w:val="19"/>
          <w:color w:val="auto"/>
        </w:rPr>
        <w:t>”), is made by and among Ardelyx, Inc., a Delaware corporation (“</w:t>
      </w:r>
      <w:r>
        <w:rPr>
          <w:rFonts w:ascii="Arial" w:cs="Arial" w:eastAsia="Arial" w:hAnsi="Arial"/>
          <w:sz w:val="19"/>
          <w:szCs w:val="19"/>
          <w:b w:val="1"/>
          <w:bCs w:val="1"/>
          <w:color w:val="auto"/>
        </w:rPr>
        <w:t>Borrower</w:t>
      </w:r>
      <w:r>
        <w:rPr>
          <w:rFonts w:ascii="Arial" w:cs="Arial" w:eastAsia="Arial" w:hAnsi="Arial"/>
          <w:sz w:val="19"/>
          <w:szCs w:val="19"/>
          <w:color w:val="auto"/>
        </w:rPr>
        <w:t>”), SLR Investment Corp., a Maryland corporation and formerly known as Solar Capital Ltd. (“</w:t>
      </w:r>
      <w:r>
        <w:rPr>
          <w:rFonts w:ascii="Arial" w:cs="Arial" w:eastAsia="Arial" w:hAnsi="Arial"/>
          <w:sz w:val="19"/>
          <w:szCs w:val="19"/>
          <w:b w:val="1"/>
          <w:bCs w:val="1"/>
          <w:color w:val="auto"/>
        </w:rPr>
        <w:t>Solar</w:t>
      </w:r>
      <w:r>
        <w:rPr>
          <w:rFonts w:ascii="Arial" w:cs="Arial" w:eastAsia="Arial" w:hAnsi="Arial"/>
          <w:sz w:val="19"/>
          <w:szCs w:val="19"/>
          <w:color w:val="auto"/>
        </w:rPr>
        <w:t>”), in its capacity as collateral agent for Lenders (in such capacity, together with its successors and assigns in such capacity, “</w:t>
      </w:r>
      <w:r>
        <w:rPr>
          <w:rFonts w:ascii="Arial" w:cs="Arial" w:eastAsia="Arial" w:hAnsi="Arial"/>
          <w:sz w:val="19"/>
          <w:szCs w:val="19"/>
          <w:b w:val="1"/>
          <w:bCs w:val="1"/>
          <w:color w:val="auto"/>
        </w:rPr>
        <w:t>Collateral Agent</w:t>
      </w:r>
      <w:r>
        <w:rPr>
          <w:rFonts w:ascii="Arial" w:cs="Arial" w:eastAsia="Arial" w:hAnsi="Arial"/>
          <w:sz w:val="19"/>
          <w:szCs w:val="19"/>
          <w:color w:val="auto"/>
        </w:rPr>
        <w:t>”), and the Lenders listed on Schedule 1.1 of the Loan and Security Agreement (as defined below) or otherwise a party hereto from time to time including Solar in its capacity as a Lender and Western Alliance Bank, an Arizona corporation, as a Lender (each a “</w:t>
      </w:r>
      <w:r>
        <w:rPr>
          <w:rFonts w:ascii="Arial" w:cs="Arial" w:eastAsia="Arial" w:hAnsi="Arial"/>
          <w:sz w:val="19"/>
          <w:szCs w:val="19"/>
          <w:b w:val="1"/>
          <w:bCs w:val="1"/>
          <w:color w:val="auto"/>
        </w:rPr>
        <w:t>Lender</w:t>
      </w:r>
      <w:r>
        <w:rPr>
          <w:rFonts w:ascii="Arial" w:cs="Arial" w:eastAsia="Arial" w:hAnsi="Arial"/>
          <w:sz w:val="19"/>
          <w:szCs w:val="19"/>
          <w:color w:val="auto"/>
        </w:rPr>
        <w:t>” and collectively, the “</w:t>
      </w:r>
      <w:r>
        <w:rPr>
          <w:rFonts w:ascii="Arial" w:cs="Arial" w:eastAsia="Arial" w:hAnsi="Arial"/>
          <w:sz w:val="19"/>
          <w:szCs w:val="19"/>
          <w:b w:val="1"/>
          <w:bCs w:val="1"/>
          <w:color w:val="auto"/>
        </w:rPr>
        <w:t>Lenders</w:t>
      </w:r>
      <w:r>
        <w:rPr>
          <w:rFonts w:ascii="Arial" w:cs="Arial" w:eastAsia="Arial" w:hAnsi="Arial"/>
          <w:sz w:val="19"/>
          <w:szCs w:val="19"/>
          <w:color w:val="auto"/>
        </w:rPr>
        <w:t>”).</w:t>
      </w:r>
    </w:p>
    <w:p>
      <w:pPr>
        <w:spacing w:after="0" w:line="182" w:lineRule="exact"/>
        <w:rPr>
          <w:sz w:val="20"/>
          <w:szCs w:val="20"/>
          <w:color w:val="auto"/>
        </w:rPr>
      </w:pPr>
    </w:p>
    <w:p>
      <w:pPr>
        <w:jc w:val="both"/>
        <w:ind w:firstLine="620"/>
        <w:spacing w:after="0" w:line="247" w:lineRule="auto"/>
        <w:rPr>
          <w:sz w:val="20"/>
          <w:szCs w:val="20"/>
          <w:color w:val="auto"/>
        </w:rPr>
      </w:pPr>
      <w:r>
        <w:rPr>
          <w:rFonts w:ascii="Arial" w:cs="Arial" w:eastAsia="Arial" w:hAnsi="Arial"/>
          <w:sz w:val="19"/>
          <w:szCs w:val="19"/>
          <w:color w:val="auto"/>
        </w:rPr>
        <w:t>The Borrower, the Lenders and Collateral Agent are parties to a Loan and Security Agreement dated as of May 16, 2018 (as amended, restated or modified from time to time, including by that certain First Amendment to Loan and Security Agreement, dated as of October 9, 2020, and that certain Second Amendment to Loan and Security Agreement, dated as of March 1, 2021, the “</w:t>
      </w:r>
      <w:r>
        <w:rPr>
          <w:rFonts w:ascii="Arial" w:cs="Arial" w:eastAsia="Arial" w:hAnsi="Arial"/>
          <w:sz w:val="19"/>
          <w:szCs w:val="19"/>
          <w:b w:val="1"/>
          <w:bCs w:val="1"/>
          <w:color w:val="auto"/>
        </w:rPr>
        <w:t>Loan and Security Agreement</w:t>
      </w:r>
      <w:r>
        <w:rPr>
          <w:rFonts w:ascii="Arial" w:cs="Arial" w:eastAsia="Arial" w:hAnsi="Arial"/>
          <w:sz w:val="19"/>
          <w:szCs w:val="19"/>
          <w:color w:val="auto"/>
        </w:rPr>
        <w:t>”). The Borrower has requested that the Lenders agree to certain amendments to the Loan and Security Agreement. The Lenders have agreed to such request, subject to the terms and conditions hereof.</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Accordingly, the parties hereto agree as follows:</w:t>
      </w:r>
    </w:p>
    <w:p>
      <w:pPr>
        <w:spacing w:after="0" w:line="20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7"/>
          <w:szCs w:val="17"/>
          <w:b w:val="1"/>
          <w:bCs w:val="1"/>
          <w:color w:val="auto"/>
        </w:rPr>
        <w:t>Definitions; Interpretation.</w:t>
      </w:r>
    </w:p>
    <w:p>
      <w:pPr>
        <w:spacing w:after="0" w:line="231" w:lineRule="exact"/>
        <w:rPr>
          <w:sz w:val="20"/>
          <w:szCs w:val="20"/>
          <w:color w:val="auto"/>
        </w:rPr>
      </w:pPr>
    </w:p>
    <w:p>
      <w:pPr>
        <w:ind w:firstLine="624"/>
        <w:spacing w:after="0" w:line="272" w:lineRule="auto"/>
        <w:tabs>
          <w:tab w:leader="none" w:pos="1231"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Terms Defined in Loan and Security Agreement</w:t>
      </w:r>
      <w:r>
        <w:rPr>
          <w:rFonts w:ascii="Arial" w:cs="Arial" w:eastAsia="Arial" w:hAnsi="Arial"/>
          <w:sz w:val="19"/>
          <w:szCs w:val="19"/>
          <w:color w:val="auto"/>
        </w:rPr>
        <w:t>. All capitalized terms used in this Amendment (including in the recitals hereof)</w:t>
      </w:r>
      <w:r>
        <w:rPr>
          <w:rFonts w:ascii="Arial" w:cs="Arial" w:eastAsia="Arial" w:hAnsi="Arial"/>
          <w:sz w:val="19"/>
          <w:szCs w:val="19"/>
          <w:b w:val="1"/>
          <w:bCs w:val="1"/>
          <w:color w:val="auto"/>
        </w:rPr>
        <w:t xml:space="preserve"> </w:t>
      </w:r>
      <w:r>
        <w:rPr>
          <w:rFonts w:ascii="Arial" w:cs="Arial" w:eastAsia="Arial" w:hAnsi="Arial"/>
          <w:sz w:val="19"/>
          <w:szCs w:val="19"/>
          <w:color w:val="auto"/>
        </w:rPr>
        <w:t>and not otherwise defined herein shall have the meanings assigned to them in the Loan and Security Agreement.</w:t>
      </w:r>
    </w:p>
    <w:p>
      <w:pPr>
        <w:spacing w:after="0" w:line="150" w:lineRule="exact"/>
        <w:rPr>
          <w:rFonts w:ascii="Arial" w:cs="Arial" w:eastAsia="Arial" w:hAnsi="Arial"/>
          <w:sz w:val="19"/>
          <w:szCs w:val="19"/>
          <w:color w:val="auto"/>
        </w:rPr>
      </w:pPr>
    </w:p>
    <w:p>
      <w:pPr>
        <w:ind w:firstLine="624"/>
        <w:spacing w:after="0" w:line="272" w:lineRule="auto"/>
        <w:tabs>
          <w:tab w:leader="none" w:pos="1228"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Interpretation</w:t>
      </w:r>
      <w:r>
        <w:rPr>
          <w:rFonts w:ascii="Arial" w:cs="Arial" w:eastAsia="Arial" w:hAnsi="Arial"/>
          <w:sz w:val="19"/>
          <w:szCs w:val="19"/>
          <w:color w:val="auto"/>
        </w:rPr>
        <w:t>. The rules of interpretation set forth in Section 1.1 of the Loan and Security Agreement shall be applicable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and are incorporated herein by this reference.</w:t>
      </w:r>
    </w:p>
    <w:p>
      <w:pPr>
        <w:spacing w:after="0" w:line="151"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7"/>
          <w:szCs w:val="17"/>
          <w:b w:val="1"/>
          <w:bCs w:val="1"/>
          <w:color w:val="auto"/>
        </w:rPr>
        <w:t>Amendments to the Loan and Security Agreement.</w:t>
      </w:r>
    </w:p>
    <w:p>
      <w:pPr>
        <w:spacing w:after="0" w:line="237" w:lineRule="exact"/>
        <w:rPr>
          <w:sz w:val="20"/>
          <w:szCs w:val="20"/>
          <w:color w:val="auto"/>
        </w:rPr>
      </w:pPr>
    </w:p>
    <w:p>
      <w:pPr>
        <w:ind w:left="1060" w:right="1620" w:hanging="436"/>
        <w:spacing w:after="0" w:line="494" w:lineRule="auto"/>
        <w:tabs>
          <w:tab w:leader="none" w:pos="1236" w:val="left"/>
        </w:tabs>
        <w:numPr>
          <w:ilvl w:val="0"/>
          <w:numId w:val="43"/>
        </w:numPr>
        <w:rPr>
          <w:rFonts w:ascii="Arial" w:cs="Arial" w:eastAsia="Arial" w:hAnsi="Arial"/>
          <w:sz w:val="16"/>
          <w:szCs w:val="16"/>
          <w:color w:val="auto"/>
        </w:rPr>
      </w:pPr>
      <w:r>
        <w:rPr>
          <w:rFonts w:ascii="Arial" w:cs="Arial" w:eastAsia="Arial" w:hAnsi="Arial"/>
          <w:sz w:val="18"/>
          <w:szCs w:val="18"/>
          <w:color w:val="auto"/>
        </w:rPr>
        <w:t>The Loan and Security Agreement shall be amended as follows effective as of the Amendment Effective Date: (i)Section 2.2(b)(ii) of the Loan and Security Agreement is amended and restated as follows:</w:t>
      </w:r>
    </w:p>
    <w:p>
      <w:pPr>
        <w:spacing w:after="0" w:line="1" w:lineRule="exact"/>
        <w:rPr>
          <w:sz w:val="20"/>
          <w:szCs w:val="20"/>
          <w:color w:val="auto"/>
        </w:rPr>
      </w:pPr>
    </w:p>
    <w:p>
      <w:pPr>
        <w:jc w:val="both"/>
        <w:ind w:left="620" w:right="620" w:firstLine="620"/>
        <w:spacing w:after="0" w:line="272" w:lineRule="auto"/>
        <w:rPr>
          <w:sz w:val="20"/>
          <w:szCs w:val="20"/>
          <w:color w:val="auto"/>
        </w:rPr>
      </w:pPr>
      <w:r>
        <w:rPr>
          <w:rFonts w:ascii="Arial" w:cs="Arial" w:eastAsia="Arial" w:hAnsi="Arial"/>
          <w:sz w:val="17"/>
          <w:szCs w:val="17"/>
          <w:color w:val="auto"/>
        </w:rPr>
        <w:t>“(ii) Commencing on the Amortization Date, and continuing on the Payment Date of each month thereafter, Borrower shall (i) make monthly payments of interest to the respective Lender to which such payments are owed in accordance with their respective Pro Rata Shares, as calculated by Collateral Agent (which calculations shall be deemed correct absent manifest error) based upon the effective rate of interest applicable to the Term Loan, as determined in Section 2.3(a) plus (ii) make consecutive equal monthly payments of principal to the respective Lender to which such payments are owed in accordance with their respective Pro Rata Shares, as calculated by Collateral Agent (which calculations shall be deemed correct absent manifest error) based upon:</w:t>
      </w:r>
    </w:p>
    <w:p>
      <w:pPr>
        <w:spacing w:after="0" w:line="5" w:lineRule="exact"/>
        <w:rPr>
          <w:sz w:val="20"/>
          <w:szCs w:val="20"/>
          <w:color w:val="auto"/>
        </w:rPr>
      </w:pPr>
    </w:p>
    <w:p>
      <w:pPr>
        <w:jc w:val="both"/>
        <w:ind w:left="620" w:right="620" w:firstLine="4"/>
        <w:spacing w:after="0" w:line="244" w:lineRule="auto"/>
        <w:tabs>
          <w:tab w:leader="none" w:pos="969"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respective principal amounts of such Lender’s Term Loan outstanding less the additional principal payment (if any) pursuant to the proviso at the end of this sentence, and (B) a repayment schedule equal to the number of months from (and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3" w:right="339" w:bottom="1440" w:gutter="0" w:footer="0" w:header="0"/>
        </w:sectPr>
      </w:pPr>
    </w:p>
    <w:bookmarkStart w:id="66" w:name="page67"/>
    <w:bookmarkEnd w:id="66"/>
    <w:p>
      <w:pPr>
        <w:jc w:val="both"/>
        <w:ind w:left="620" w:right="620"/>
        <w:spacing w:after="0" w:line="262" w:lineRule="auto"/>
        <w:rPr>
          <w:sz w:val="20"/>
          <w:szCs w:val="20"/>
          <w:color w:val="auto"/>
        </w:rPr>
      </w:pPr>
      <w:r>
        <w:rPr>
          <w:rFonts w:ascii="Arial" w:cs="Arial" w:eastAsia="Arial" w:hAnsi="Arial"/>
          <w:sz w:val="18"/>
          <w:szCs w:val="18"/>
          <w:color w:val="auto"/>
        </w:rPr>
        <w:t>Amortization Date through (and including) the Maturity Date; provided, however, (1) if the Amortization date is July 1, 2021, Borrower shall make an additional principal payment to Lenders on such date in an amount equal to $2,777,777.78 and (2) if the Amortization Date is August 1, 2021, Borrower shall make an additional principal payment to Lenders on such date in an amount equal to $5,555,555.55, in either case, without any Prepayment Premium in respect of such additional principal payment. All unpaid principal and accrued and unpaid interest with respect to each such Term Loan is due and payable in full on the Maturity Date. The Term Loan may only be prepaid in accordance with Sections 2.2(c) and 2.2(d).”</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(ii)The defined term “Amortization Date” is hereby amended and restated in its entirety as follows:</w:t>
      </w:r>
    </w:p>
    <w:p>
      <w:pPr>
        <w:spacing w:after="0" w:line="202" w:lineRule="exact"/>
        <w:rPr>
          <w:sz w:val="20"/>
          <w:szCs w:val="20"/>
          <w:color w:val="auto"/>
        </w:rPr>
      </w:pPr>
    </w:p>
    <w:p>
      <w:pPr>
        <w:jc w:val="both"/>
        <w:ind w:left="620" w:right="620" w:firstLine="62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Amortization Date</w:t>
      </w:r>
      <w:r>
        <w:rPr>
          <w:rFonts w:ascii="Arial" w:cs="Arial" w:eastAsia="Arial" w:hAnsi="Arial"/>
          <w:sz w:val="17"/>
          <w:szCs w:val="17"/>
          <w:color w:val="auto"/>
        </w:rPr>
        <w:t>” means December 1, 2021; provided, however, if either (a) the FDA does not approve the Borrower’s New Drug Application for tenapanor for control of serum phosphorus in adult chronic kidney disease patients (CKD) on dialysis on or before July 31, 2021 or (b) the FDA issues a complete response letter (“CRL”) for tenapanor for the control of serum phosphorus in adult chronic kidney disease patients (CKD) on dialysis, in each case, subject to reasonable verification by Collateral Agent (including supporting documentation reasonably requested by Collateral Agent), then the Amortization Date shall mean the earlier of (x) August 1, 2021, or (y) the first (1</w:t>
      </w:r>
      <w:r>
        <w:rPr>
          <w:rFonts w:ascii="Arial" w:cs="Arial" w:eastAsia="Arial" w:hAnsi="Arial"/>
          <w:sz w:val="22"/>
          <w:szCs w:val="22"/>
          <w:color w:val="auto"/>
          <w:vertAlign w:val="superscript"/>
        </w:rPr>
        <w:t>st</w:t>
      </w:r>
      <w:r>
        <w:rPr>
          <w:rFonts w:ascii="Arial" w:cs="Arial" w:eastAsia="Arial" w:hAnsi="Arial"/>
          <w:sz w:val="17"/>
          <w:szCs w:val="17"/>
          <w:color w:val="auto"/>
        </w:rPr>
        <w:t>) day of the month immediately following the date that the FDA issues a CRL to Borrower.</w:t>
      </w:r>
    </w:p>
    <w:p>
      <w:pPr>
        <w:spacing w:after="0" w:line="64" w:lineRule="exact"/>
        <w:rPr>
          <w:sz w:val="20"/>
          <w:szCs w:val="20"/>
          <w:color w:val="auto"/>
        </w:rPr>
      </w:pPr>
    </w:p>
    <w:p>
      <w:pPr>
        <w:jc w:val="both"/>
        <w:ind w:firstLine="624"/>
        <w:spacing w:after="0" w:line="256" w:lineRule="auto"/>
        <w:tabs>
          <w:tab w:leader="none" w:pos="1228"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References Within Loan and Security Agreement</w:t>
      </w:r>
      <w:r>
        <w:rPr>
          <w:rFonts w:ascii="Arial" w:cs="Arial" w:eastAsia="Arial" w:hAnsi="Arial"/>
          <w:sz w:val="19"/>
          <w:szCs w:val="19"/>
          <w:color w:val="auto"/>
        </w:rPr>
        <w:t>. Each reference in the Loan and Security Agreement to “this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words “hereof,” “herein,” “hereunder,” or words of like import, shall mean and be a reference to the Loan and Security Agreement as amended by this Amendment.</w:t>
      </w:r>
    </w:p>
    <w:p>
      <w:pPr>
        <w:spacing w:after="0" w:line="167" w:lineRule="exact"/>
        <w:rPr>
          <w:sz w:val="20"/>
          <w:szCs w:val="20"/>
          <w:color w:val="auto"/>
        </w:rPr>
      </w:pPr>
    </w:p>
    <w:p>
      <w:pPr>
        <w:spacing w:after="0" w:line="300" w:lineRule="auto"/>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8"/>
          <w:szCs w:val="18"/>
          <w:b w:val="1"/>
          <w:bCs w:val="1"/>
          <w:color w:val="auto"/>
        </w:rPr>
        <w:t>Conditions of Effectiveness.</w:t>
      </w:r>
      <w:r>
        <w:rPr>
          <w:rFonts w:ascii="Arial" w:cs="Arial" w:eastAsia="Arial" w:hAnsi="Arial"/>
          <w:sz w:val="17"/>
          <w:szCs w:val="17"/>
          <w:b w:val="1"/>
          <w:bCs w:val="1"/>
          <w:color w:val="auto"/>
        </w:rPr>
        <w:t xml:space="preserve"> </w:t>
      </w:r>
      <w:r>
        <w:rPr>
          <w:rFonts w:ascii="Arial" w:cs="Arial" w:eastAsia="Arial" w:hAnsi="Arial"/>
          <w:sz w:val="18"/>
          <w:szCs w:val="18"/>
          <w:color w:val="auto"/>
        </w:rPr>
        <w:t>The effectiveness of</w:t>
      </w:r>
      <w:r>
        <w:rPr>
          <w:rFonts w:ascii="Arial" w:cs="Arial" w:eastAsia="Arial" w:hAnsi="Arial"/>
          <w:sz w:val="17"/>
          <w:szCs w:val="17"/>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7"/>
          <w:szCs w:val="17"/>
          <w:b w:val="1"/>
          <w:bCs w:val="1"/>
          <w:color w:val="auto"/>
        </w:rPr>
        <w:t xml:space="preserve"> </w:t>
      </w:r>
      <w:r>
        <w:rPr>
          <w:rFonts w:ascii="Arial" w:cs="Arial" w:eastAsia="Arial" w:hAnsi="Arial"/>
          <w:sz w:val="18"/>
          <w:szCs w:val="18"/>
          <w:color w:val="auto"/>
        </w:rPr>
        <w:t>of this Amendment shall be subject to the satisfaction of each of the</w:t>
      </w:r>
      <w:r>
        <w:rPr>
          <w:rFonts w:ascii="Arial" w:cs="Arial" w:eastAsia="Arial" w:hAnsi="Arial"/>
          <w:sz w:val="17"/>
          <w:szCs w:val="17"/>
          <w:b w:val="1"/>
          <w:bCs w:val="1"/>
          <w:color w:val="auto"/>
        </w:rPr>
        <w:t xml:space="preserve"> </w:t>
      </w:r>
      <w:r>
        <w:rPr>
          <w:rFonts w:ascii="Arial" w:cs="Arial" w:eastAsia="Arial" w:hAnsi="Arial"/>
          <w:sz w:val="18"/>
          <w:szCs w:val="18"/>
          <w:color w:val="auto"/>
        </w:rPr>
        <w:t>following conditions precedent:</w:t>
      </w:r>
    </w:p>
    <w:p>
      <w:pPr>
        <w:spacing w:after="0" w:line="129" w:lineRule="exact"/>
        <w:rPr>
          <w:sz w:val="20"/>
          <w:szCs w:val="20"/>
          <w:color w:val="auto"/>
        </w:rPr>
      </w:pPr>
    </w:p>
    <w:p>
      <w:pPr>
        <w:jc w:val="both"/>
        <w:ind w:firstLine="624"/>
        <w:spacing w:after="0" w:line="256" w:lineRule="auto"/>
        <w:tabs>
          <w:tab w:leader="none" w:pos="1231"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Fees and Expenses</w:t>
      </w:r>
      <w:r>
        <w:rPr>
          <w:rFonts w:ascii="Arial" w:cs="Arial" w:eastAsia="Arial" w:hAnsi="Arial"/>
          <w:sz w:val="19"/>
          <w:szCs w:val="19"/>
          <w:color w:val="auto"/>
        </w:rPr>
        <w:t>. The Borrower shall have paid (i) an amendment fee of Twenty-Five Thousand Dollars ($25,000) to be shared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between the Lenders seventy percent (70%) to Solar and thirty percent (30%) to Western Alliance Bank, and (ii) all invoiced costs and expenses then due in accordance with </w:t>
      </w:r>
      <w:r>
        <w:rPr>
          <w:rFonts w:ascii="Arial" w:cs="Arial" w:eastAsia="Arial" w:hAnsi="Arial"/>
          <w:sz w:val="19"/>
          <w:szCs w:val="19"/>
          <w:u w:val="single" w:color="auto"/>
          <w:color w:val="auto"/>
        </w:rPr>
        <w:t>Section 5(e)</w:t>
      </w:r>
      <w:r>
        <w:rPr>
          <w:rFonts w:ascii="Arial" w:cs="Arial" w:eastAsia="Arial" w:hAnsi="Arial"/>
          <w:sz w:val="19"/>
          <w:szCs w:val="19"/>
          <w:color w:val="auto"/>
        </w:rPr>
        <w:t>.</w:t>
      </w:r>
    </w:p>
    <w:p>
      <w:pPr>
        <w:spacing w:after="0" w:line="166" w:lineRule="exact"/>
        <w:rPr>
          <w:rFonts w:ascii="Arial" w:cs="Arial" w:eastAsia="Arial" w:hAnsi="Arial"/>
          <w:sz w:val="19"/>
          <w:szCs w:val="19"/>
          <w:color w:val="auto"/>
        </w:rPr>
      </w:pPr>
    </w:p>
    <w:p>
      <w:pPr>
        <w:ind w:left="1240" w:hanging="616"/>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This Amendment</w:t>
      </w:r>
      <w:r>
        <w:rPr>
          <w:rFonts w:ascii="Arial" w:cs="Arial" w:eastAsia="Arial" w:hAnsi="Arial"/>
          <w:sz w:val="18"/>
          <w:szCs w:val="18"/>
          <w:color w:val="auto"/>
        </w:rPr>
        <w:t>. Collateral Agent shall have received this Amendment, executed by Collateral Agent, the Lenders and the</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Borrower.</w:t>
      </w:r>
    </w:p>
    <w:p>
      <w:pPr>
        <w:spacing w:after="0" w:line="185" w:lineRule="exact"/>
        <w:rPr>
          <w:rFonts w:ascii="Arial" w:cs="Arial" w:eastAsia="Arial" w:hAnsi="Arial"/>
          <w:sz w:val="18"/>
          <w:szCs w:val="18"/>
          <w:color w:val="auto"/>
        </w:rPr>
      </w:pPr>
    </w:p>
    <w:p>
      <w:pPr>
        <w:ind w:firstLine="624"/>
        <w:spacing w:after="0" w:line="272" w:lineRule="auto"/>
        <w:tabs>
          <w:tab w:leader="none" w:pos="1231"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Representations and Warranties; No Default</w:t>
      </w:r>
      <w:r>
        <w:rPr>
          <w:rFonts w:ascii="Arial" w:cs="Arial" w:eastAsia="Arial" w:hAnsi="Arial"/>
          <w:sz w:val="19"/>
          <w:szCs w:val="19"/>
          <w:color w:val="auto"/>
        </w:rPr>
        <w:t>. On the Amendment Effective Date, after giving effect to the amendment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Loan and Security Agreement contemplated hereby:</w:t>
      </w:r>
    </w:p>
    <w:p>
      <w:pPr>
        <w:spacing w:after="0" w:line="157" w:lineRule="exact"/>
        <w:rPr>
          <w:sz w:val="20"/>
          <w:szCs w:val="20"/>
          <w:color w:val="auto"/>
        </w:rPr>
      </w:pPr>
    </w:p>
    <w:p>
      <w:pPr>
        <w:jc w:val="both"/>
        <w:ind w:firstLine="1062"/>
        <w:spacing w:after="0" w:line="265" w:lineRule="auto"/>
        <w:rPr>
          <w:sz w:val="20"/>
          <w:szCs w:val="20"/>
          <w:color w:val="auto"/>
        </w:rPr>
      </w:pPr>
      <w:r>
        <w:rPr>
          <w:rFonts w:ascii="Arial" w:cs="Arial" w:eastAsia="Arial" w:hAnsi="Arial"/>
          <w:sz w:val="19"/>
          <w:szCs w:val="19"/>
          <w:color w:val="auto"/>
        </w:rPr>
        <w:t xml:space="preserve">(i)The representations and warranties contained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be true and correct in all material respects on and as of the Amendment Effective Date as though made on and as of such date; and</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(ii)There exist no Events of Default.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To induce the Lenders to enter into this Amendment, the Borrower hereby confirms, as of the</w:t>
      </w:r>
      <w:r>
        <w:rPr>
          <w:rFonts w:ascii="Arial" w:cs="Arial" w:eastAsia="Arial" w:hAnsi="Arial"/>
          <w:sz w:val="17"/>
          <w:szCs w:val="17"/>
          <w:b w:val="1"/>
          <w:bCs w:val="1"/>
          <w:color w:val="auto"/>
        </w:rPr>
        <w:t xml:space="preserve"> </w:t>
      </w:r>
      <w:r>
        <w:rPr>
          <w:rFonts w:ascii="Arial" w:cs="Arial" w:eastAsia="Arial" w:hAnsi="Arial"/>
          <w:sz w:val="18"/>
          <w:szCs w:val="18"/>
          <w:color w:val="auto"/>
        </w:rPr>
        <w:t>date hereof, (a) that the representations and warranties made by it in Section 5 of the Loan and Security Agreement and in the other Loan Documents are true and correct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3" w:right="339" w:bottom="1440" w:gutter="0" w:footer="0" w:header="0"/>
        </w:sectPr>
      </w:pPr>
    </w:p>
    <w:bookmarkStart w:id="67" w:name="page68"/>
    <w:bookmarkEnd w:id="67"/>
    <w:p>
      <w:pPr>
        <w:jc w:val="both"/>
        <w:spacing w:after="0" w:line="260" w:lineRule="auto"/>
        <w:rPr>
          <w:sz w:val="20"/>
          <w:szCs w:val="20"/>
          <w:color w:val="auto"/>
        </w:rPr>
      </w:pPr>
      <w:r>
        <w:rPr>
          <w:rFonts w:ascii="Arial" w:cs="Arial" w:eastAsia="Arial" w:hAnsi="Arial"/>
          <w:sz w:val="18"/>
          <w:szCs w:val="18"/>
          <w:color w:val="auto"/>
        </w:rPr>
        <w:t xml:space="preserve">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materiality qualifier shall not be applicable to any representations and warranties that already are qualified or modified by materiality in the text thereof; (b) that there has not been and there does not exist a Material Adverse Change; and (c) that the information included in the Perfection Certificate most recently delivered to Collateral Agent pursuant to Section 6.2(a)(xiv) of the Loan Agreement remains true and correct in all material respects. For the purposes of this </w:t>
      </w:r>
      <w:r>
        <w:rPr>
          <w:rFonts w:ascii="Arial" w:cs="Arial" w:eastAsia="Arial" w:hAnsi="Arial"/>
          <w:sz w:val="18"/>
          <w:szCs w:val="18"/>
          <w:u w:val="single" w:color="auto"/>
          <w:color w:val="auto"/>
        </w:rPr>
        <w:t>Section 4</w:t>
      </w:r>
      <w:r>
        <w:rPr>
          <w:rFonts w:ascii="Arial" w:cs="Arial" w:eastAsia="Arial" w:hAnsi="Arial"/>
          <w:sz w:val="18"/>
          <w:szCs w:val="18"/>
          <w:color w:val="auto"/>
        </w:rPr>
        <w:t>, (i) each reference in Section 5 of the Loan and Security Agreement to “this Agreement,” and the words “hereof,” “herein,” “hereunder,” or words of like import in such Section, shall mean and be a reference to the Loan and Security Agreement as amended by this Amendment, and (ii) any representations and warranties which relate solely to an earlier date shall not be deemed confirmed and restated as of the date hereof (provided that such representations and warranties shall be true, correct and complete in all material respects as of such earlier date).</w:t>
      </w:r>
    </w:p>
    <w:p>
      <w:pPr>
        <w:spacing w:after="0" w:line="164"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6"/>
          <w:szCs w:val="16"/>
          <w:b w:val="1"/>
          <w:bCs w:val="1"/>
          <w:color w:val="auto"/>
        </w:rPr>
        <w:t>Miscellaneous.</w:t>
      </w:r>
    </w:p>
    <w:p>
      <w:pPr>
        <w:spacing w:after="0" w:line="231" w:lineRule="exact"/>
        <w:rPr>
          <w:sz w:val="20"/>
          <w:szCs w:val="20"/>
          <w:color w:val="auto"/>
        </w:rPr>
      </w:pPr>
    </w:p>
    <w:p>
      <w:pPr>
        <w:jc w:val="both"/>
        <w:ind w:firstLine="624"/>
        <w:spacing w:after="0" w:line="262" w:lineRule="auto"/>
        <w:tabs>
          <w:tab w:leader="none" w:pos="1231"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Loan Documents Otherwise Not Affected; Reaffirmation</w:t>
      </w:r>
      <w:r>
        <w:rPr>
          <w:rFonts w:ascii="Arial" w:cs="Arial" w:eastAsia="Arial" w:hAnsi="Arial"/>
          <w:sz w:val="18"/>
          <w:szCs w:val="18"/>
          <w:color w:val="auto"/>
        </w:rPr>
        <w:t>. Except as expressly amended pursuant hereto or referenced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and Security Agreement and the other Loan Documents shall remain unchanged and in full force and effect and are hereby ratified and confirmed in all respects. The Lenders’ and Collateral Agent’s execution and delivery of, or acceptance of, this Amendment shall not be deemed to create a course of dealing or otherwise create any express or implied duty by any of them to provide any other or further amendments, consents or waivers in the future. The Borrower hereby reaffirms the grant of security under Section 4.1 of the Loan and Security Agreement and hereby reaffirms that such grant of security in the Collateral secures all Obligations under the Loan and Security Agreement, including without limitation any Term Loans funded on or after the Amendment Effective Date, as of the date hereof.</w:t>
      </w:r>
    </w:p>
    <w:p>
      <w:pPr>
        <w:spacing w:after="0" w:line="162" w:lineRule="exact"/>
        <w:rPr>
          <w:rFonts w:ascii="Arial" w:cs="Arial" w:eastAsia="Arial" w:hAnsi="Arial"/>
          <w:sz w:val="18"/>
          <w:szCs w:val="18"/>
          <w:color w:val="auto"/>
        </w:rPr>
      </w:pPr>
    </w:p>
    <w:p>
      <w:pPr>
        <w:jc w:val="both"/>
        <w:ind w:firstLine="624"/>
        <w:spacing w:after="0" w:line="251" w:lineRule="auto"/>
        <w:tabs>
          <w:tab w:leader="none" w:pos="1228"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Conditions</w:t>
      </w:r>
      <w:r>
        <w:rPr>
          <w:rFonts w:ascii="Arial" w:cs="Arial" w:eastAsia="Arial" w:hAnsi="Arial"/>
          <w:sz w:val="19"/>
          <w:szCs w:val="19"/>
          <w:color w:val="auto"/>
        </w:rPr>
        <w:t>. For purposes of determining compliance with the conditions specified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color w:val="auto"/>
        </w:rPr>
        <w:t>, each Lender that has signed this</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shall be deemed to have consented to, approved or accepted or to be satisfied with, each document or other matter required thereunder to be consented to or approved by or acceptable or satisfactory to a Lender unless Collateral Agent shall have received notice from such Lender prior to the Amendment Effective Date specifying its objection thereto.</w:t>
      </w:r>
    </w:p>
    <w:p>
      <w:pPr>
        <w:spacing w:after="0" w:line="171" w:lineRule="exact"/>
        <w:rPr>
          <w:rFonts w:ascii="Arial" w:cs="Arial" w:eastAsia="Arial" w:hAnsi="Arial"/>
          <w:sz w:val="19"/>
          <w:szCs w:val="19"/>
          <w:color w:val="auto"/>
        </w:rPr>
      </w:pPr>
    </w:p>
    <w:p>
      <w:pPr>
        <w:jc w:val="both"/>
        <w:ind w:firstLine="624"/>
        <w:spacing w:after="0" w:line="274" w:lineRule="auto"/>
        <w:tabs>
          <w:tab w:leader="none" w:pos="1231"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Release</w:t>
      </w:r>
      <w:r>
        <w:rPr>
          <w:rFonts w:ascii="Arial" w:cs="Arial" w:eastAsia="Arial" w:hAnsi="Arial"/>
          <w:sz w:val="17"/>
          <w:szCs w:val="17"/>
          <w:color w:val="auto"/>
        </w:rPr>
        <w:t>. In consideration of the agreements of Collateral Agent and each Lender contained herein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are hereby acknowledged, Borrower, on behalf of itself and its successors, assigns, and other legal representatives, hereby fully, absolutely, unconditionally and irrevocably releases, remises and forever discharges Collateral Agent and each Lender, and its successors and assigns, and its present and former shareholders, affiliates, subsidiaries, divisions, predecessors, directors, officers, attorneys, employees, agents and other representatives (Collateral Agent, Lenders and all such other persons being hereinafter referred to collectively as the “</w:t>
      </w:r>
      <w:r>
        <w:rPr>
          <w:rFonts w:ascii="Arial" w:cs="Arial" w:eastAsia="Arial" w:hAnsi="Arial"/>
          <w:sz w:val="17"/>
          <w:szCs w:val="17"/>
          <w:b w:val="1"/>
          <w:bCs w:val="1"/>
          <w:color w:val="auto"/>
        </w:rPr>
        <w:t>Releasees</w:t>
      </w:r>
      <w:r>
        <w:rPr>
          <w:rFonts w:ascii="Arial" w:cs="Arial" w:eastAsia="Arial" w:hAnsi="Arial"/>
          <w:sz w:val="17"/>
          <w:szCs w:val="17"/>
          <w:color w:val="auto"/>
        </w:rPr>
        <w:t>” and individually as a “</w:t>
      </w:r>
      <w:r>
        <w:rPr>
          <w:rFonts w:ascii="Arial" w:cs="Arial" w:eastAsia="Arial" w:hAnsi="Arial"/>
          <w:sz w:val="17"/>
          <w:szCs w:val="17"/>
          <w:b w:val="1"/>
          <w:bCs w:val="1"/>
          <w:color w:val="auto"/>
        </w:rPr>
        <w:t>Releasee</w:t>
      </w:r>
      <w:r>
        <w:rPr>
          <w:rFonts w:ascii="Arial" w:cs="Arial" w:eastAsia="Arial" w:hAnsi="Arial"/>
          <w:sz w:val="17"/>
          <w:szCs w:val="17"/>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3" w:right="339" w:bottom="1440" w:gutter="0" w:footer="0" w:header="0"/>
        </w:sectPr>
      </w:pPr>
    </w:p>
    <w:bookmarkStart w:id="68" w:name="page69"/>
    <w:bookmarkEnd w:id="68"/>
    <w:p>
      <w:pPr>
        <w:jc w:val="both"/>
        <w:spacing w:after="0" w:line="274" w:lineRule="auto"/>
        <w:rPr>
          <w:sz w:val="20"/>
          <w:szCs w:val="20"/>
          <w:color w:val="auto"/>
        </w:rPr>
      </w:pPr>
      <w:r>
        <w:rPr>
          <w:rFonts w:ascii="Arial" w:cs="Arial" w:eastAsia="Arial" w:hAnsi="Arial"/>
          <w:sz w:val="18"/>
          <w:szCs w:val="18"/>
          <w:color w:val="auto"/>
        </w:rPr>
        <w:t>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spacing w:after="0" w:line="151" w:lineRule="exact"/>
        <w:rPr>
          <w:sz w:val="20"/>
          <w:szCs w:val="20"/>
          <w:color w:val="auto"/>
        </w:rPr>
      </w:pPr>
    </w:p>
    <w:p>
      <w:pPr>
        <w:jc w:val="both"/>
        <w:ind w:firstLine="624"/>
        <w:spacing w:after="0" w:line="256" w:lineRule="auto"/>
        <w:tabs>
          <w:tab w:leader="none" w:pos="1228"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No Reliance</w:t>
      </w:r>
      <w:r>
        <w:rPr>
          <w:rFonts w:ascii="Arial" w:cs="Arial" w:eastAsia="Arial" w:hAnsi="Arial"/>
          <w:sz w:val="19"/>
          <w:szCs w:val="19"/>
          <w:color w:val="auto"/>
        </w:rPr>
        <w:t>. The Borrower hereby acknowledges and confirms to Collateral Agent and the Lenders that the Borrower is executing</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on the basis of its own investigation and for its own reasons without reliance upon any agreement, representation, understanding or communication by or on behalf of any other Person.</w:t>
      </w:r>
    </w:p>
    <w:p>
      <w:pPr>
        <w:spacing w:after="0" w:line="166" w:lineRule="exact"/>
        <w:rPr>
          <w:rFonts w:ascii="Arial" w:cs="Arial" w:eastAsia="Arial" w:hAnsi="Arial"/>
          <w:sz w:val="19"/>
          <w:szCs w:val="19"/>
          <w:color w:val="auto"/>
        </w:rPr>
      </w:pPr>
    </w:p>
    <w:p>
      <w:pPr>
        <w:jc w:val="both"/>
        <w:ind w:firstLine="624"/>
        <w:spacing w:after="0" w:line="249" w:lineRule="auto"/>
        <w:tabs>
          <w:tab w:leader="none" w:pos="1231"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Costs and Expenses</w:t>
      </w:r>
      <w:r>
        <w:rPr>
          <w:rFonts w:ascii="Arial" w:cs="Arial" w:eastAsia="Arial" w:hAnsi="Arial"/>
          <w:sz w:val="19"/>
          <w:szCs w:val="19"/>
          <w:color w:val="auto"/>
        </w:rPr>
        <w:t>. The Borrower agrees to pay to Collateral Agent within the later of (i) ten (10) days following its receipt of an</w:t>
      </w:r>
      <w:r>
        <w:rPr>
          <w:rFonts w:ascii="Arial" w:cs="Arial" w:eastAsia="Arial" w:hAnsi="Arial"/>
          <w:sz w:val="19"/>
          <w:szCs w:val="19"/>
          <w:b w:val="1"/>
          <w:bCs w:val="1"/>
          <w:color w:val="auto"/>
        </w:rPr>
        <w:t xml:space="preserve"> </w:t>
      </w:r>
      <w:r>
        <w:rPr>
          <w:rFonts w:ascii="Arial" w:cs="Arial" w:eastAsia="Arial" w:hAnsi="Arial"/>
          <w:sz w:val="19"/>
          <w:szCs w:val="19"/>
          <w:color w:val="auto"/>
        </w:rPr>
        <w:t>invoice, or (ii) ten (10) days following the Amendment Effective Date, the reasonable and documented out-of-pocket costs and expenses of Collateral Agent and the Lenders party hereto, and the reasonable and documented fees of counsel to Collateral Agent and the Lenders party thereto, in connection with the negotiation, preparation, execution and delivery of this Amendment and any other documents to be delivered in connection herewith on the Amendment Effective Date.</w:t>
      </w:r>
    </w:p>
    <w:p>
      <w:pPr>
        <w:spacing w:after="0" w:line="171" w:lineRule="exact"/>
        <w:rPr>
          <w:rFonts w:ascii="Arial" w:cs="Arial" w:eastAsia="Arial" w:hAnsi="Arial"/>
          <w:sz w:val="19"/>
          <w:szCs w:val="19"/>
          <w:color w:val="auto"/>
        </w:rPr>
      </w:pPr>
    </w:p>
    <w:p>
      <w:pPr>
        <w:ind w:left="1240" w:hanging="616"/>
        <w:spacing w:after="0"/>
        <w:tabs>
          <w:tab w:leader="none" w:pos="1240"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Binding Effect</w:t>
      </w:r>
      <w:r>
        <w:rPr>
          <w:rFonts w:ascii="Arial" w:cs="Arial" w:eastAsia="Arial" w:hAnsi="Arial"/>
          <w:sz w:val="19"/>
          <w:szCs w:val="19"/>
          <w:color w:val="auto"/>
        </w:rPr>
        <w:t>. This Amendment binds and is for the benefit of the successors and permitted assigns of each party.</w:t>
      </w:r>
    </w:p>
    <w:p>
      <w:pPr>
        <w:spacing w:after="0" w:line="207" w:lineRule="exact"/>
        <w:rPr>
          <w:rFonts w:ascii="Arial" w:cs="Arial" w:eastAsia="Arial" w:hAnsi="Arial"/>
          <w:sz w:val="19"/>
          <w:szCs w:val="19"/>
          <w:color w:val="auto"/>
        </w:rPr>
      </w:pPr>
    </w:p>
    <w:p>
      <w:pPr>
        <w:ind w:left="1240" w:hanging="616"/>
        <w:spacing w:after="0"/>
        <w:tabs>
          <w:tab w:leader="none" w:pos="1240"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w:t>
      </w:r>
      <w:r>
        <w:rPr>
          <w:rFonts w:ascii="Arial" w:cs="Arial" w:eastAsia="Arial" w:hAnsi="Arial"/>
          <w:sz w:val="19"/>
          <w:szCs w:val="19"/>
          <w:b w:val="1"/>
          <w:bCs w:val="1"/>
          <w:color w:val="auto"/>
        </w:rPr>
        <w:t xml:space="preserve"> THIS AMENDMENT AND THE RIGHTS AND OBLIGATIONS OF THE PARTIES HEREUNDER</w:t>
      </w:r>
    </w:p>
    <w:p>
      <w:pPr>
        <w:spacing w:after="0" w:line="23" w:lineRule="exact"/>
        <w:rPr>
          <w:rFonts w:ascii="Arial" w:cs="Arial" w:eastAsia="Arial" w:hAnsi="Arial"/>
          <w:sz w:val="19"/>
          <w:szCs w:val="19"/>
          <w:color w:val="auto"/>
        </w:rPr>
      </w:pPr>
    </w:p>
    <w:p>
      <w:pPr>
        <w:jc w:val="both"/>
        <w:spacing w:after="0" w:line="243" w:lineRule="auto"/>
        <w:rPr>
          <w:rFonts w:ascii="Arial" w:cs="Arial" w:eastAsia="Arial" w:hAnsi="Arial"/>
          <w:sz w:val="19"/>
          <w:szCs w:val="19"/>
          <w:color w:val="auto"/>
        </w:rPr>
      </w:pPr>
      <w:r>
        <w:rPr>
          <w:rFonts w:ascii="Arial" w:cs="Arial" w:eastAsia="Arial" w:hAnsi="Arial"/>
          <w:sz w:val="19"/>
          <w:szCs w:val="19"/>
          <w:b w:val="1"/>
          <w:bCs w:val="1"/>
          <w:color w:val="auto"/>
        </w:rPr>
        <w:t>SHALL IN ALL RESPECTS BE GOVERNED BY AND CONSTRUED IN ACCORDANCE WITH, THE INTERNAL LAWS OF THE STATE OF NEW YORK (WITHOUT REGARD TO THE CONFLICT OF LAWS PRINCIPLES THAT WOULD RESULT IN THE APPLICATION OF ANY LAWS OTHER THAN THE LAWS OF THE STATE OF NEW YORK (OTHER THAN SECTION 5-1401 OF THE GENERAL OBLIGATIONS LAW)), INCLUDING ALL MATTERS OF CONSTRUCTION, VALIDITY AND PERFORMANCE, REGARDLESS OF THE LOCATION OF THE COLLATERAL.</w:t>
      </w:r>
    </w:p>
    <w:p>
      <w:pPr>
        <w:spacing w:after="0" w:line="176" w:lineRule="exact"/>
        <w:rPr>
          <w:rFonts w:ascii="Arial" w:cs="Arial" w:eastAsia="Arial" w:hAnsi="Arial"/>
          <w:sz w:val="19"/>
          <w:szCs w:val="19"/>
          <w:color w:val="auto"/>
        </w:rPr>
      </w:pPr>
    </w:p>
    <w:p>
      <w:pPr>
        <w:jc w:val="both"/>
        <w:ind w:firstLine="624"/>
        <w:spacing w:after="0" w:line="261" w:lineRule="auto"/>
        <w:tabs>
          <w:tab w:leader="none" w:pos="122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Complete Agreement; Amendments; Exit Fee Agreement</w:t>
      </w:r>
      <w:r>
        <w:rPr>
          <w:rFonts w:ascii="Arial" w:cs="Arial" w:eastAsia="Arial" w:hAnsi="Arial"/>
          <w:sz w:val="18"/>
          <w:szCs w:val="18"/>
          <w:color w:val="auto"/>
        </w:rPr>
        <w:t>. This Amendment and the Loan Documents represent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 For the avoidance of doubt and notwithstanding anything to the contrary in this Amendment, Borrower (a) reaffirms its obligations under the Exit Fee Agreement, including without limitation its obligation to pay the Exit Fee (as defined in the Exit Fee Agreement) if and when due thereunder, and (b) agrees that the defined term “Loan Agreement” as defined in the Exit Fee Agreement shall on and after the Amendment Effective Date mean the Loan and Security Agreement as amended by this Amendment and may be amended, restated or modified from time to time on or after the Amendment Effective Date.</w:t>
      </w:r>
    </w:p>
    <w:p>
      <w:pPr>
        <w:spacing w:after="0" w:line="163" w:lineRule="exact"/>
        <w:rPr>
          <w:rFonts w:ascii="Arial" w:cs="Arial" w:eastAsia="Arial" w:hAnsi="Arial"/>
          <w:sz w:val="18"/>
          <w:szCs w:val="18"/>
          <w:color w:val="auto"/>
        </w:rPr>
      </w:pPr>
    </w:p>
    <w:p>
      <w:pPr>
        <w:ind w:firstLine="624"/>
        <w:spacing w:after="0" w:line="272" w:lineRule="auto"/>
        <w:tabs>
          <w:tab w:leader="none" w:pos="1238"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of Provisions. </w:t>
      </w:r>
      <w:r>
        <w:rPr>
          <w:rFonts w:ascii="Arial" w:cs="Arial" w:eastAsia="Arial" w:hAnsi="Arial"/>
          <w:sz w:val="19"/>
          <w:szCs w:val="19"/>
          <w:color w:val="auto"/>
        </w:rPr>
        <w:t>Each provision of this Amendment is severable from every other provision in determining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enforceability of any provision.</w:t>
      </w:r>
    </w:p>
    <w:p>
      <w:pPr>
        <w:spacing w:after="0" w:line="150" w:lineRule="exact"/>
        <w:rPr>
          <w:rFonts w:ascii="Arial" w:cs="Arial" w:eastAsia="Arial" w:hAnsi="Arial"/>
          <w:sz w:val="19"/>
          <w:szCs w:val="19"/>
          <w:color w:val="auto"/>
        </w:rPr>
      </w:pPr>
    </w:p>
    <w:p>
      <w:pPr>
        <w:jc w:val="both"/>
        <w:ind w:firstLine="624"/>
        <w:spacing w:after="0" w:line="256" w:lineRule="auto"/>
        <w:tabs>
          <w:tab w:leader="none" w:pos="1238"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Amendment may be executed in any number of counterparts and by different parties on separate 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which, when executed and delivered, is an original, and all taken together, constitute one Amendment. Delivery of an executed counterpart of a signature page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3" w:right="339" w:bottom="1440" w:gutter="0" w:footer="0" w:header="0"/>
        </w:sectPr>
      </w:pPr>
    </w:p>
    <w:bookmarkStart w:id="69" w:name="page70"/>
    <w:bookmarkEnd w:id="69"/>
    <w:p>
      <w:pPr>
        <w:spacing w:after="0" w:line="265" w:lineRule="auto"/>
        <w:rPr>
          <w:sz w:val="20"/>
          <w:szCs w:val="20"/>
          <w:color w:val="auto"/>
        </w:rPr>
      </w:pPr>
      <w:r>
        <w:rPr>
          <w:rFonts w:ascii="Arial" w:cs="Arial" w:eastAsia="Arial" w:hAnsi="Arial"/>
          <w:sz w:val="19"/>
          <w:szCs w:val="19"/>
          <w:color w:val="auto"/>
        </w:rPr>
        <w:t>this Amendment by facsimile, portable document format (.pdf) or other electronic transmission will be as effective as delivery of a manually executed counterpart hereof.</w:t>
      </w:r>
    </w:p>
    <w:p>
      <w:pPr>
        <w:spacing w:after="0" w:line="158" w:lineRule="exact"/>
        <w:rPr>
          <w:sz w:val="20"/>
          <w:szCs w:val="20"/>
          <w:color w:val="auto"/>
        </w:rPr>
      </w:pPr>
    </w:p>
    <w:p>
      <w:pPr>
        <w:ind w:left="1240" w:hanging="616"/>
        <w:spacing w:after="0"/>
        <w:tabs>
          <w:tab w:leader="none" w:pos="1240"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Loan Documents</w:t>
      </w:r>
      <w:r>
        <w:rPr>
          <w:rFonts w:ascii="Arial" w:cs="Arial" w:eastAsia="Arial" w:hAnsi="Arial"/>
          <w:sz w:val="19"/>
          <w:szCs w:val="19"/>
          <w:color w:val="auto"/>
        </w:rPr>
        <w:t>. This Amendment and the documents related thereto shall constitute Loan Documents</w:t>
      </w:r>
    </w:p>
    <w:p>
      <w:pPr>
        <w:spacing w:after="0" w:line="207" w:lineRule="exact"/>
        <w:rPr>
          <w:rFonts w:ascii="Arial" w:cs="Arial" w:eastAsia="Arial" w:hAnsi="Arial"/>
          <w:sz w:val="19"/>
          <w:szCs w:val="19"/>
          <w:color w:val="auto"/>
        </w:rPr>
      </w:pPr>
    </w:p>
    <w:p>
      <w:pPr>
        <w:jc w:val="both"/>
        <w:ind w:firstLine="624"/>
        <w:spacing w:after="0" w:line="245" w:lineRule="auto"/>
        <w:tabs>
          <w:tab w:leader="none" w:pos="1238"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Electronic Execution of Certain Other Documents</w:t>
      </w:r>
      <w:r>
        <w:rPr>
          <w:rFonts w:ascii="Arial" w:cs="Arial" w:eastAsia="Arial" w:hAnsi="Arial"/>
          <w:sz w:val="19"/>
          <w:szCs w:val="19"/>
          <w:color w:val="auto"/>
        </w:rPr>
        <w:t>. The words “execution,” “execute”, “signed,” “signature,” and words of like</w:t>
      </w:r>
      <w:r>
        <w:rPr>
          <w:rFonts w:ascii="Arial" w:cs="Arial" w:eastAsia="Arial" w:hAnsi="Arial"/>
          <w:sz w:val="19"/>
          <w:szCs w:val="19"/>
          <w:b w:val="1"/>
          <w:bCs w:val="1"/>
          <w:color w:val="auto"/>
        </w:rPr>
        <w:t xml:space="preserve"> </w:t>
      </w:r>
      <w:r>
        <w:rPr>
          <w:rFonts w:ascii="Arial" w:cs="Arial" w:eastAsia="Arial" w:hAnsi="Arial"/>
          <w:sz w:val="19"/>
          <w:szCs w:val="19"/>
          <w:color w:val="auto"/>
        </w:rPr>
        <w:t>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[Balance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63" w:right="339" w:bottom="1440" w:gutter="0" w:footer="0" w:header="0"/>
        </w:sectPr>
      </w:pPr>
    </w:p>
    <w:bookmarkStart w:id="70" w:name="page71"/>
    <w:bookmarkEnd w:id="70"/>
    <w:p>
      <w:pPr>
        <w:ind w:left="400"/>
        <w:spacing w:after="0"/>
        <w:rPr>
          <w:sz w:val="20"/>
          <w:szCs w:val="20"/>
          <w:color w:val="auto"/>
        </w:rPr>
      </w:pPr>
      <w:r>
        <w:rPr>
          <w:rFonts w:ascii="Arial" w:cs="Arial" w:eastAsia="Arial" w:hAnsi="Arial"/>
          <w:sz w:val="17"/>
          <w:szCs w:val="17"/>
          <w:color w:val="auto"/>
        </w:rPr>
        <w:t>IN WITNESS WHEREOF, the parties hereto have duly executed this Amendment, as of the date first above written.</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BORROWER:</w:t>
      </w:r>
    </w:p>
    <w:p>
      <w:pPr>
        <w:spacing w:after="0" w:line="234"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ARDELYX, INC.</w:t>
      </w:r>
      <w:r>
        <w:rPr>
          <w:rFonts w:ascii="Arial" w:cs="Arial" w:eastAsia="Arial" w:hAnsi="Arial"/>
          <w:sz w:val="19"/>
          <w:szCs w:val="19"/>
          <w:color w:val="auto"/>
        </w:rPr>
        <w:t>,</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as Borrower</w:t>
      </w:r>
    </w:p>
    <w:p>
      <w:pPr>
        <w:spacing w:after="0" w:line="1"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 /s/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-22860</wp:posOffset>
            </wp:positionV>
            <wp:extent cx="7315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ind w:left="3500"/>
        <w:spacing w:after="0"/>
        <w:rPr>
          <w:sz w:val="20"/>
          <w:szCs w:val="20"/>
          <w:color w:val="auto"/>
        </w:rPr>
      </w:pPr>
      <w:r>
        <w:rPr>
          <w:rFonts w:ascii="Arial" w:cs="Arial" w:eastAsia="Arial" w:hAnsi="Arial"/>
          <w:sz w:val="19"/>
          <w:szCs w:val="19"/>
          <w:color w:val="auto"/>
        </w:rPr>
        <w:t>Name: Justin Renz</w:t>
      </w:r>
    </w:p>
    <w:p>
      <w:pPr>
        <w:spacing w:after="0" w:line="1"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COLLATERAL AGENT AND LENDER:</w:t>
      </w:r>
    </w:p>
    <w:p>
      <w:pPr>
        <w:spacing w:after="0" w:line="234"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SLR INVESTMENT CORP.</w:t>
      </w:r>
      <w:r>
        <w:rPr>
          <w:rFonts w:ascii="Arial" w:cs="Arial" w:eastAsia="Arial" w:hAnsi="Arial"/>
          <w:sz w:val="19"/>
          <w:szCs w:val="19"/>
          <w:color w:val="auto"/>
        </w:rPr>
        <w:t>,</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as Collateral Agent and a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Anthony J. Storino</w:t>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Name: Anthony J.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-22860</wp:posOffset>
            </wp:positionV>
            <wp:extent cx="29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ind w:left="350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LENDER:</w:t>
      </w:r>
    </w:p>
    <w:p>
      <w:pPr>
        <w:spacing w:after="0" w:line="234"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SCP PRIVATE CREDIT INCOME FUND SPV, LLC</w:t>
      </w:r>
      <w:r>
        <w:rPr>
          <w:rFonts w:ascii="Arial" w:cs="Arial" w:eastAsia="Arial" w:hAnsi="Arial"/>
          <w:sz w:val="19"/>
          <w:szCs w:val="19"/>
          <w:color w:val="auto"/>
        </w:rPr>
        <w:t>,</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Anthony J. Storino</w:t>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Name: Anthony J. Storino</w:t>
      </w:r>
    </w:p>
    <w:p>
      <w:pPr>
        <w:spacing w:after="0" w:line="1"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44"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LENDER:</w:t>
      </w:r>
    </w:p>
    <w:p>
      <w:pPr>
        <w:spacing w:after="0" w:line="234" w:lineRule="exact"/>
        <w:rPr>
          <w:sz w:val="20"/>
          <w:szCs w:val="20"/>
          <w:color w:val="auto"/>
        </w:rPr>
      </w:pPr>
    </w:p>
    <w:p>
      <w:pPr>
        <w:ind w:left="3500"/>
        <w:spacing w:after="0"/>
        <w:rPr>
          <w:sz w:val="20"/>
          <w:szCs w:val="20"/>
          <w:color w:val="auto"/>
        </w:rPr>
      </w:pPr>
      <w:r>
        <w:rPr>
          <w:rFonts w:ascii="Arial" w:cs="Arial" w:eastAsia="Arial" w:hAnsi="Arial"/>
          <w:sz w:val="19"/>
          <w:szCs w:val="19"/>
          <w:b w:val="1"/>
          <w:bCs w:val="1"/>
          <w:color w:val="auto"/>
        </w:rPr>
        <w:t>WESTERN ALLIANCE BANK</w:t>
      </w:r>
      <w:r>
        <w:rPr>
          <w:rFonts w:ascii="Arial" w:cs="Arial" w:eastAsia="Arial" w:hAnsi="Arial"/>
          <w:sz w:val="19"/>
          <w:szCs w:val="19"/>
          <w:color w:val="auto"/>
        </w:rPr>
        <w:t>,</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 /</w:t>
      </w:r>
      <w:r>
        <w:rPr>
          <w:rFonts w:ascii="Arial" w:cs="Arial" w:eastAsia="Arial" w:hAnsi="Arial"/>
          <w:sz w:val="19"/>
          <w:szCs w:val="19"/>
          <w:u w:val="single" w:color="auto"/>
          <w:color w:val="auto"/>
        </w:rPr>
        <w:t>/s/ Bill Wickline</w:t>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Name: Bill Wickline</w:t>
      </w:r>
    </w:p>
    <w:p>
      <w:pPr>
        <w:spacing w:after="0" w:line="1"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Title: Head of Life Sciences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9919"/>
          </w:cols>
          <w:pgMar w:left="540" w:top="1363"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Michael Raab, certify that:</w:t>
      </w:r>
    </w:p>
    <w:p>
      <w:pPr>
        <w:spacing w:after="0" w:line="218" w:lineRule="exact"/>
        <w:rPr>
          <w:sz w:val="20"/>
          <w:szCs w:val="20"/>
          <w:color w:val="auto"/>
        </w:rPr>
      </w:pPr>
    </w:p>
    <w:p>
      <w:pPr>
        <w:ind w:left="300" w:hanging="297"/>
        <w:spacing w:after="0"/>
        <w:tabs>
          <w:tab w:leader="none" w:pos="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Ardelyx, Inc.;</w:t>
      </w:r>
    </w:p>
    <w:p>
      <w:pPr>
        <w:spacing w:after="0" w:line="217" w:lineRule="exact"/>
        <w:rPr>
          <w:rFonts w:ascii="Arial" w:cs="Arial" w:eastAsia="Arial" w:hAnsi="Arial"/>
          <w:sz w:val="17"/>
          <w:szCs w:val="17"/>
          <w:color w:val="auto"/>
        </w:rPr>
      </w:pPr>
    </w:p>
    <w:p>
      <w:pPr>
        <w:ind w:left="460" w:right="140" w:hanging="457"/>
        <w:spacing w:after="0" w:line="353" w:lineRule="auto"/>
        <w:tabs>
          <w:tab w:leader="none" w:pos="296"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460" w:right="240" w:hanging="457"/>
        <w:spacing w:after="0" w:line="283" w:lineRule="auto"/>
        <w:tabs>
          <w:tab w:leader="none" w:pos="296"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460" w:right="200" w:hanging="457"/>
        <w:spacing w:after="0" w:line="268" w:lineRule="auto"/>
        <w:tabs>
          <w:tab w:leader="none" w:pos="29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940" w:right="140" w:hanging="471"/>
        <w:spacing w:after="0" w:line="268" w:lineRule="auto"/>
        <w:tabs>
          <w:tab w:leader="none" w:pos="838"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940" w:right="120" w:hanging="471"/>
        <w:spacing w:after="0" w:line="268" w:lineRule="auto"/>
        <w:tabs>
          <w:tab w:leader="none" w:pos="848"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940" w:hanging="471"/>
        <w:spacing w:after="0" w:line="283" w:lineRule="auto"/>
        <w:tabs>
          <w:tab w:leader="none" w:pos="838"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ind w:left="940" w:right="200" w:hanging="471"/>
        <w:spacing w:after="0" w:line="268" w:lineRule="auto"/>
        <w:tabs>
          <w:tab w:leader="none" w:pos="848"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460" w:hanging="457"/>
        <w:spacing w:after="0" w:line="283" w:lineRule="auto"/>
        <w:tabs>
          <w:tab w:leader="none" w:pos="29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940" w:right="120" w:hanging="471"/>
        <w:spacing w:after="0" w:line="283" w:lineRule="auto"/>
        <w:tabs>
          <w:tab w:leader="none" w:pos="829"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940" w:right="160" w:hanging="471"/>
        <w:spacing w:after="0" w:line="283" w:lineRule="auto"/>
        <w:tabs>
          <w:tab w:leader="none" w:pos="838"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20"/>
        <w:spacing w:after="0"/>
        <w:tabs>
          <w:tab w:leader="none" w:pos="4920" w:val="left"/>
          <w:tab w:leader="none" w:pos="7720" w:val="left"/>
        </w:tabs>
        <w:rPr>
          <w:sz w:val="20"/>
          <w:szCs w:val="20"/>
          <w:color w:val="auto"/>
        </w:rPr>
      </w:pPr>
      <w:r>
        <w:rPr>
          <w:rFonts w:ascii="Arial" w:cs="Arial" w:eastAsia="Arial" w:hAnsi="Arial"/>
          <w:sz w:val="17"/>
          <w:szCs w:val="17"/>
          <w:color w:val="auto"/>
        </w:rPr>
        <w:t>Date: May 6,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15240</wp:posOffset>
            </wp:positionV>
            <wp:extent cx="37166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 w:lineRule="exact"/>
        <w:rPr>
          <w:sz w:val="20"/>
          <w:szCs w:val="20"/>
          <w:color w:val="auto"/>
        </w:rPr>
      </w:pPr>
    </w:p>
    <w:p>
      <w:pPr>
        <w:jc w:val="center"/>
        <w:ind w:left="5380"/>
        <w:spacing w:after="0"/>
        <w:rPr>
          <w:sz w:val="20"/>
          <w:szCs w:val="20"/>
          <w:color w:val="auto"/>
        </w:rPr>
      </w:pPr>
      <w:r>
        <w:rPr>
          <w:rFonts w:ascii="Arial" w:cs="Arial" w:eastAsia="Arial" w:hAnsi="Arial"/>
          <w:sz w:val="17"/>
          <w:szCs w:val="17"/>
          <w:b w:val="1"/>
          <w:bCs w:val="1"/>
          <w:color w:val="auto"/>
        </w:rPr>
        <w:t>Michael Raab</w:t>
      </w:r>
    </w:p>
    <w:p>
      <w:pPr>
        <w:jc w:val="center"/>
        <w:ind w:left="5380"/>
        <w:spacing w:after="0" w:line="206" w:lineRule="auto"/>
        <w:rPr>
          <w:sz w:val="20"/>
          <w:szCs w:val="20"/>
          <w:color w:val="auto"/>
        </w:rPr>
      </w:pPr>
      <w:r>
        <w:rPr>
          <w:rFonts w:ascii="Arial" w:cs="Arial" w:eastAsia="Arial" w:hAnsi="Arial"/>
          <w:sz w:val="17"/>
          <w:szCs w:val="17"/>
          <w:b w:val="1"/>
          <w:bCs w:val="1"/>
          <w:color w:val="auto"/>
        </w:rPr>
        <w:t>President Chief Executive Officer and Director</w:t>
      </w:r>
    </w:p>
    <w:p>
      <w:pPr>
        <w:jc w:val="center"/>
        <w:ind w:left="538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106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Justin Renz, certify that:</w:t>
      </w:r>
    </w:p>
    <w:p>
      <w:pPr>
        <w:spacing w:after="0" w:line="218" w:lineRule="exact"/>
        <w:rPr>
          <w:sz w:val="20"/>
          <w:szCs w:val="20"/>
          <w:color w:val="auto"/>
        </w:rPr>
      </w:pPr>
    </w:p>
    <w:p>
      <w:pPr>
        <w:ind w:left="300" w:hanging="297"/>
        <w:spacing w:after="0"/>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Ardelyx, Inc.;</w:t>
      </w:r>
    </w:p>
    <w:p>
      <w:pPr>
        <w:spacing w:after="0" w:line="217" w:lineRule="exact"/>
        <w:rPr>
          <w:rFonts w:ascii="Arial" w:cs="Arial" w:eastAsia="Arial" w:hAnsi="Arial"/>
          <w:sz w:val="17"/>
          <w:szCs w:val="17"/>
          <w:color w:val="auto"/>
        </w:rPr>
      </w:pPr>
    </w:p>
    <w:p>
      <w:pPr>
        <w:ind w:left="460" w:right="140" w:hanging="457"/>
        <w:spacing w:after="0" w:line="353" w:lineRule="auto"/>
        <w:tabs>
          <w:tab w:leader="none" w:pos="296"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460" w:right="240" w:hanging="457"/>
        <w:spacing w:after="0" w:line="283" w:lineRule="auto"/>
        <w:tabs>
          <w:tab w:leader="none" w:pos="296"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460" w:right="200" w:hanging="457"/>
        <w:spacing w:after="0" w:line="268" w:lineRule="auto"/>
        <w:tabs>
          <w:tab w:leader="none" w:pos="29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940" w:right="140" w:hanging="471"/>
        <w:spacing w:after="0" w:line="268" w:lineRule="auto"/>
        <w:tabs>
          <w:tab w:leader="none" w:pos="838"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940" w:right="120" w:hanging="471"/>
        <w:spacing w:after="0" w:line="268" w:lineRule="auto"/>
        <w:tabs>
          <w:tab w:leader="none" w:pos="848"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940" w:hanging="471"/>
        <w:spacing w:after="0" w:line="283" w:lineRule="auto"/>
        <w:tabs>
          <w:tab w:leader="none" w:pos="838"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ind w:left="940" w:right="200" w:hanging="471"/>
        <w:spacing w:after="0" w:line="268" w:lineRule="auto"/>
        <w:tabs>
          <w:tab w:leader="none" w:pos="848" w:val="left"/>
        </w:tabs>
        <w:numPr>
          <w:ilvl w:val="1"/>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460" w:hanging="457"/>
        <w:spacing w:after="0" w:line="283" w:lineRule="auto"/>
        <w:tabs>
          <w:tab w:leader="none" w:pos="29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940" w:right="120" w:hanging="471"/>
        <w:spacing w:after="0" w:line="283" w:lineRule="auto"/>
        <w:tabs>
          <w:tab w:leader="none" w:pos="829"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940" w:right="160" w:hanging="471"/>
        <w:spacing w:after="0" w:line="283" w:lineRule="auto"/>
        <w:tabs>
          <w:tab w:leader="none" w:pos="838"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20"/>
        <w:spacing w:after="0"/>
        <w:tabs>
          <w:tab w:leader="none" w:pos="4920" w:val="left"/>
          <w:tab w:leader="none" w:pos="7780" w:val="left"/>
        </w:tabs>
        <w:rPr>
          <w:sz w:val="20"/>
          <w:szCs w:val="20"/>
          <w:color w:val="auto"/>
        </w:rPr>
      </w:pPr>
      <w:r>
        <w:rPr>
          <w:rFonts w:ascii="Arial" w:cs="Arial" w:eastAsia="Arial" w:hAnsi="Arial"/>
          <w:sz w:val="17"/>
          <w:szCs w:val="17"/>
          <w:color w:val="auto"/>
        </w:rPr>
        <w:t>Date: May 6,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15240</wp:posOffset>
            </wp:positionV>
            <wp:extent cx="37001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00145" cy="8255"/>
                    </a:xfrm>
                    <a:prstGeom prst="rect">
                      <a:avLst/>
                    </a:prstGeom>
                    <a:noFill/>
                  </pic:spPr>
                </pic:pic>
              </a:graphicData>
            </a:graphic>
          </wp:anchor>
        </w:drawing>
      </w:r>
    </w:p>
    <w:p>
      <w:pPr>
        <w:spacing w:after="0" w:line="4" w:lineRule="exact"/>
        <w:rPr>
          <w:sz w:val="20"/>
          <w:szCs w:val="20"/>
          <w:color w:val="auto"/>
        </w:rPr>
      </w:pPr>
    </w:p>
    <w:p>
      <w:pPr>
        <w:jc w:val="center"/>
        <w:ind w:left="5340"/>
        <w:spacing w:after="0"/>
        <w:rPr>
          <w:sz w:val="20"/>
          <w:szCs w:val="20"/>
          <w:color w:val="auto"/>
        </w:rPr>
      </w:pPr>
      <w:r>
        <w:rPr>
          <w:rFonts w:ascii="Arial" w:cs="Arial" w:eastAsia="Arial" w:hAnsi="Arial"/>
          <w:sz w:val="17"/>
          <w:szCs w:val="17"/>
          <w:b w:val="1"/>
          <w:bCs w:val="1"/>
          <w:color w:val="auto"/>
        </w:rPr>
        <w:t>Justin Renz</w:t>
      </w:r>
    </w:p>
    <w:p>
      <w:pPr>
        <w:jc w:val="center"/>
        <w:ind w:left="5340"/>
        <w:spacing w:after="0" w:line="206" w:lineRule="auto"/>
        <w:rPr>
          <w:sz w:val="20"/>
          <w:szCs w:val="20"/>
          <w:color w:val="auto"/>
        </w:rPr>
      </w:pPr>
      <w:r>
        <w:rPr>
          <w:rFonts w:ascii="Arial" w:cs="Arial" w:eastAsia="Arial" w:hAnsi="Arial"/>
          <w:sz w:val="17"/>
          <w:szCs w:val="17"/>
          <w:b w:val="1"/>
          <w:bCs w:val="1"/>
          <w:color w:val="auto"/>
        </w:rPr>
        <w:t>Chief Financial Officer</w:t>
      </w:r>
    </w:p>
    <w:p>
      <w:pPr>
        <w:jc w:val="center"/>
        <w:ind w:left="5340"/>
        <w:spacing w:after="0"/>
        <w:rPr>
          <w:sz w:val="20"/>
          <w:szCs w:val="20"/>
          <w:color w:val="auto"/>
        </w:rPr>
      </w:pPr>
      <w:r>
        <w:rPr>
          <w:rFonts w:ascii="Arial" w:cs="Arial" w:eastAsia="Arial" w:hAnsi="Arial"/>
          <w:sz w:val="17"/>
          <w:szCs w:val="17"/>
          <w:b w:val="1"/>
          <w:bCs w:val="1"/>
          <w:color w:val="auto"/>
        </w:rPr>
        <w:t>(Principal Financial and Accounting Officer)</w:t>
      </w:r>
    </w:p>
    <w:p>
      <w:pPr>
        <w:sectPr>
          <w:pgSz w:w="11900" w:h="16838" w:orient="portrait"/>
          <w:cols w:equalWidth="0" w:num="1">
            <w:col w:w="11240"/>
          </w:cols>
          <w:pgMar w:left="320" w:top="106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1"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ind w:right="220" w:firstLine="310"/>
        <w:spacing w:after="0" w:line="263" w:lineRule="auto"/>
        <w:rPr>
          <w:sz w:val="20"/>
          <w:szCs w:val="20"/>
          <w:color w:val="auto"/>
        </w:rPr>
      </w:pPr>
      <w:r>
        <w:rPr>
          <w:rFonts w:ascii="Arial" w:cs="Arial" w:eastAsia="Arial" w:hAnsi="Arial"/>
          <w:sz w:val="17"/>
          <w:szCs w:val="17"/>
          <w:color w:val="auto"/>
        </w:rPr>
        <w:t>In connection with the Quarterly Report of Ardelyx, Inc. (the “Company”) on Form 10-Q for the period ending March 31, 2021, as filed with the Securities and Exchange Commission on the date hereof (the “Report”), Michael Raab, President and Chief Executive Officer of the Company, and Justin Renz, Chief Financial Officer of the Company, respectively, do each hereby certify, pursuant to 18 U.S.C. Section 1350, as adopted pursuant to Section 906 of the Sarbanes-Oxley Act of 2002, that:</w:t>
      </w:r>
    </w:p>
    <w:p>
      <w:pPr>
        <w:spacing w:after="0" w:line="177" w:lineRule="exact"/>
        <w:rPr>
          <w:sz w:val="20"/>
          <w:szCs w:val="20"/>
          <w:color w:val="auto"/>
        </w:rPr>
      </w:pPr>
    </w:p>
    <w:p>
      <w:pPr>
        <w:ind w:left="680" w:hanging="367"/>
        <w:spacing w:after="0"/>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left="680" w:hanging="367"/>
        <w:spacing w:after="0"/>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59" w:lineRule="exact"/>
        <w:rPr>
          <w:sz w:val="20"/>
          <w:szCs w:val="20"/>
          <w:color w:val="auto"/>
        </w:rPr>
      </w:pPr>
    </w:p>
    <w:p>
      <w:pPr>
        <w:ind w:left="20"/>
        <w:spacing w:after="0"/>
        <w:tabs>
          <w:tab w:leader="none" w:pos="4920" w:val="left"/>
          <w:tab w:leader="none" w:pos="7700" w:val="left"/>
        </w:tabs>
        <w:rPr>
          <w:sz w:val="20"/>
          <w:szCs w:val="20"/>
          <w:color w:val="auto"/>
        </w:rPr>
      </w:pPr>
      <w:r>
        <w:rPr>
          <w:rFonts w:ascii="Arial" w:cs="Arial" w:eastAsia="Arial" w:hAnsi="Arial"/>
          <w:sz w:val="17"/>
          <w:szCs w:val="17"/>
          <w:color w:val="auto"/>
        </w:rPr>
        <w:t>Date: May 6,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15240</wp:posOffset>
            </wp:positionV>
            <wp:extent cx="37001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00145" cy="8255"/>
                    </a:xfrm>
                    <a:prstGeom prst="rect">
                      <a:avLst/>
                    </a:prstGeom>
                    <a:noFill/>
                  </pic:spPr>
                </pic:pic>
              </a:graphicData>
            </a:graphic>
          </wp:anchor>
        </w:drawing>
      </w:r>
    </w:p>
    <w:p>
      <w:pPr>
        <w:spacing w:after="0" w:line="4" w:lineRule="exact"/>
        <w:rPr>
          <w:sz w:val="20"/>
          <w:szCs w:val="20"/>
          <w:color w:val="auto"/>
        </w:rPr>
      </w:pPr>
    </w:p>
    <w:p>
      <w:pPr>
        <w:jc w:val="center"/>
        <w:ind w:left="5340"/>
        <w:spacing w:after="0"/>
        <w:rPr>
          <w:sz w:val="20"/>
          <w:szCs w:val="20"/>
          <w:color w:val="auto"/>
        </w:rPr>
      </w:pPr>
      <w:r>
        <w:rPr>
          <w:rFonts w:ascii="Arial" w:cs="Arial" w:eastAsia="Arial" w:hAnsi="Arial"/>
          <w:sz w:val="17"/>
          <w:szCs w:val="17"/>
          <w:b w:val="1"/>
          <w:bCs w:val="1"/>
          <w:color w:val="auto"/>
        </w:rPr>
        <w:t>Michael Raab</w:t>
      </w:r>
    </w:p>
    <w:p>
      <w:pPr>
        <w:jc w:val="center"/>
        <w:ind w:left="5340"/>
        <w:spacing w:after="0" w:line="206" w:lineRule="auto"/>
        <w:rPr>
          <w:sz w:val="20"/>
          <w:szCs w:val="20"/>
          <w:color w:val="auto"/>
        </w:rPr>
      </w:pPr>
      <w:r>
        <w:rPr>
          <w:rFonts w:ascii="Arial" w:cs="Arial" w:eastAsia="Arial" w:hAnsi="Arial"/>
          <w:sz w:val="17"/>
          <w:szCs w:val="17"/>
          <w:b w:val="1"/>
          <w:bCs w:val="1"/>
          <w:color w:val="auto"/>
        </w:rPr>
        <w:t>President Chief Executive Officer and Director</w:t>
      </w:r>
    </w:p>
    <w:p>
      <w:pPr>
        <w:jc w:val="center"/>
        <w:ind w:left="5340"/>
        <w:spacing w:after="0"/>
        <w:rPr>
          <w:sz w:val="20"/>
          <w:szCs w:val="20"/>
          <w:color w:val="auto"/>
        </w:rPr>
      </w:pPr>
      <w:r>
        <w:rPr>
          <w:rFonts w:ascii="Arial" w:cs="Arial" w:eastAsia="Arial" w:hAnsi="Arial"/>
          <w:sz w:val="17"/>
          <w:szCs w:val="17"/>
          <w:b w:val="1"/>
          <w:bCs w:val="1"/>
          <w:color w:val="auto"/>
        </w:rPr>
        <w:t>(Principal Executive Officer)</w:t>
      </w:r>
    </w:p>
    <w:p>
      <w:pPr>
        <w:spacing w:after="0" w:line="269" w:lineRule="exact"/>
        <w:rPr>
          <w:sz w:val="20"/>
          <w:szCs w:val="20"/>
          <w:color w:val="auto"/>
        </w:rPr>
      </w:pPr>
    </w:p>
    <w:p>
      <w:pPr>
        <w:ind w:left="20"/>
        <w:spacing w:after="0"/>
        <w:tabs>
          <w:tab w:leader="none" w:pos="4920" w:val="left"/>
          <w:tab w:leader="none" w:pos="7780" w:val="left"/>
        </w:tabs>
        <w:rPr>
          <w:sz w:val="20"/>
          <w:szCs w:val="20"/>
          <w:color w:val="auto"/>
        </w:rPr>
      </w:pPr>
      <w:r>
        <w:rPr>
          <w:rFonts w:ascii="Arial" w:cs="Arial" w:eastAsia="Arial" w:hAnsi="Arial"/>
          <w:sz w:val="17"/>
          <w:szCs w:val="17"/>
          <w:color w:val="auto"/>
        </w:rPr>
        <w:t>Date: May 6,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15240</wp:posOffset>
            </wp:positionV>
            <wp:extent cx="37001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00145" cy="8255"/>
                    </a:xfrm>
                    <a:prstGeom prst="rect">
                      <a:avLst/>
                    </a:prstGeom>
                    <a:noFill/>
                  </pic:spPr>
                </pic:pic>
              </a:graphicData>
            </a:graphic>
          </wp:anchor>
        </w:drawing>
      </w:r>
    </w:p>
    <w:p>
      <w:pPr>
        <w:spacing w:after="0" w:line="4" w:lineRule="exact"/>
        <w:rPr>
          <w:sz w:val="20"/>
          <w:szCs w:val="20"/>
          <w:color w:val="auto"/>
        </w:rPr>
      </w:pPr>
    </w:p>
    <w:p>
      <w:pPr>
        <w:jc w:val="center"/>
        <w:ind w:left="5340"/>
        <w:spacing w:after="0"/>
        <w:rPr>
          <w:sz w:val="20"/>
          <w:szCs w:val="20"/>
          <w:color w:val="auto"/>
        </w:rPr>
      </w:pPr>
      <w:r>
        <w:rPr>
          <w:rFonts w:ascii="Arial" w:cs="Arial" w:eastAsia="Arial" w:hAnsi="Arial"/>
          <w:sz w:val="17"/>
          <w:szCs w:val="17"/>
          <w:b w:val="1"/>
          <w:bCs w:val="1"/>
          <w:color w:val="auto"/>
        </w:rPr>
        <w:t>Justin Renz</w:t>
      </w:r>
    </w:p>
    <w:p>
      <w:pPr>
        <w:jc w:val="center"/>
        <w:ind w:left="5340"/>
        <w:spacing w:after="0" w:line="206" w:lineRule="auto"/>
        <w:rPr>
          <w:sz w:val="20"/>
          <w:szCs w:val="20"/>
          <w:color w:val="auto"/>
        </w:rPr>
      </w:pPr>
      <w:r>
        <w:rPr>
          <w:rFonts w:ascii="Arial" w:cs="Arial" w:eastAsia="Arial" w:hAnsi="Arial"/>
          <w:sz w:val="17"/>
          <w:szCs w:val="17"/>
          <w:b w:val="1"/>
          <w:bCs w:val="1"/>
          <w:color w:val="auto"/>
        </w:rPr>
        <w:t>Chief Financial Officer</w:t>
      </w:r>
    </w:p>
    <w:p>
      <w:pPr>
        <w:jc w:val="center"/>
        <w:ind w:left="5340"/>
        <w:spacing w:after="0"/>
        <w:rPr>
          <w:sz w:val="20"/>
          <w:szCs w:val="20"/>
          <w:color w:val="auto"/>
        </w:rPr>
      </w:pPr>
      <w:r>
        <w:rPr>
          <w:rFonts w:ascii="Arial" w:cs="Arial" w:eastAsia="Arial" w:hAnsi="Arial"/>
          <w:sz w:val="17"/>
          <w:szCs w:val="17"/>
          <w:b w:val="1"/>
          <w:bCs w:val="1"/>
          <w:color w:val="auto"/>
        </w:rPr>
        <w:t>(Principal Financial and Accounting Officer)</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606"/>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01"/>
    </w:lvl>
  </w:abstractNum>
  <w:abstractNum w:abstractNumId="40">
    <w:nsid w:val="542289EC"/>
    <w:multiLevelType w:val="hybridMultilevel"/>
    <w:lvl w:ilvl="0">
      <w:lvlJc w:val="left"/>
      <w:lvlText w:val="%1"/>
      <w:numFmt w:val="decimal"/>
      <w:start w:val="104"/>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upperLetter"/>
      <w:start w:val="1"/>
    </w:lvl>
  </w:abstractNum>
  <w:abstractNum w:abstractNumId="44">
    <w:nsid w:val="32FFF902"/>
    <w:multiLevelType w:val="hybridMultilevel"/>
    <w:lvl w:ilvl="0">
      <w:lvlJc w:val="left"/>
      <w:lvlText w:val="(%1)"/>
      <w:numFmt w:val="lowerLetter"/>
      <w:start w:val="2"/>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4"/>
    </w:lvl>
  </w:abstractNum>
  <w:abstractNum w:abstractNumId="48">
    <w:nsid w:val="3DC240FB"/>
    <w:multiLevelType w:val="hybridMultilevel"/>
    <w:lvl w:ilvl="0">
      <w:lvlJc w:val="left"/>
      <w:lvlText w:val="(%1)"/>
      <w:numFmt w:val="lowerLetter"/>
      <w:start w:val="1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2021-05-06T07:19:14Z</dcterms:created>
  <dcterms:modified xsi:type="dcterms:W3CDTF">2021-05-06T07:19:14Z</dcterms:modified>
</cp:coreProperties>
</file>