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69"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0001321402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ARDELYX,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001-36485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400 Fifth Avenue, Suite 210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WALTHAM</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02451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510-745-1700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RAAB MICHAEL</w:t>
      </w:r>
    </w:p>
    <w:p>
      <w:pPr>
        <w:spacing w:after="0" w:line="44" w:lineRule="exact"/>
        <w:rPr>
          <w:sz w:val="24"/>
          <w:szCs w:val="24"/>
          <w:color w:val="auto"/>
        </w:rPr>
      </w:pPr>
    </w:p>
    <w:p>
      <w:pPr>
        <w:sectPr>
          <w:pgSz w:w="11900" w:h="16838" w:orient="portrait"/>
          <w:cols w:equalWidth="0" w:num="2">
            <w:col w:w="7140" w:space="720"/>
            <w:col w:w="3380"/>
          </w:cols>
          <w:pgMar w:left="320" w:top="261" w:right="339" w:bottom="69"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6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Morgan Stanley Smith</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Barney LLC</w:t>
      </w:r>
    </w:p>
    <w:p>
      <w:pPr>
        <w:ind w:left="2500"/>
        <w:spacing w:after="0" w:line="230" w:lineRule="auto"/>
        <w:rPr>
          <w:sz w:val="20"/>
          <w:szCs w:val="20"/>
          <w:color w:val="auto"/>
        </w:rPr>
      </w:pPr>
      <w:r>
        <w:rPr>
          <w:rFonts w:ascii="Times New Roman" w:cs="Times New Roman" w:eastAsia="Times New Roman" w:hAnsi="Times New Roman"/>
          <w:sz w:val="22"/>
          <w:szCs w:val="22"/>
          <w:color w:val="auto"/>
        </w:rPr>
        <w:t>Executive Financial</w:t>
      </w:r>
    </w:p>
    <w:p>
      <w:pPr>
        <w:ind w:left="40"/>
        <w:spacing w:after="0"/>
        <w:tabs>
          <w:tab w:leader="none" w:pos="2480" w:val="left"/>
        </w:tabs>
        <w:rPr>
          <w:sz w:val="20"/>
          <w:szCs w:val="20"/>
          <w:color w:val="auto"/>
        </w:rPr>
      </w:pPr>
      <w:r>
        <w:rPr>
          <w:rFonts w:ascii="Times New Roman" w:cs="Times New Roman" w:eastAsia="Times New Roman" w:hAnsi="Times New Roman"/>
          <w:sz w:val="22"/>
          <w:szCs w:val="22"/>
          <w:color w:val="auto"/>
        </w:rPr>
        <w:t>Common Stock</w:t>
      </w:r>
      <w:r>
        <w:rPr>
          <w:sz w:val="20"/>
          <w:szCs w:val="20"/>
          <w:color w:val="auto"/>
        </w:rPr>
        <w:tab/>
      </w:r>
      <w:r>
        <w:rPr>
          <w:rFonts w:ascii="Times New Roman" w:cs="Times New Roman" w:eastAsia="Times New Roman" w:hAnsi="Times New Roman"/>
          <w:sz w:val="21"/>
          <w:szCs w:val="21"/>
          <w:color w:val="auto"/>
        </w:rPr>
        <w:t>Services</w:t>
      </w:r>
    </w:p>
    <w:p>
      <w:pPr>
        <w:ind w:left="2500"/>
        <w:spacing w:after="0" w:line="230" w:lineRule="auto"/>
        <w:rPr>
          <w:sz w:val="20"/>
          <w:szCs w:val="20"/>
          <w:color w:val="auto"/>
        </w:rPr>
      </w:pPr>
      <w:r>
        <w:rPr>
          <w:rFonts w:ascii="Times New Roman" w:cs="Times New Roman" w:eastAsia="Times New Roman" w:hAnsi="Times New Roman"/>
          <w:sz w:val="22"/>
          <w:szCs w:val="22"/>
          <w:color w:val="auto"/>
        </w:rPr>
        <w:t>1 New York Plaza, 8th</w:t>
      </w:r>
    </w:p>
    <w:p>
      <w:pPr>
        <w:ind w:left="2500"/>
        <w:spacing w:after="0" w:line="231" w:lineRule="auto"/>
        <w:rPr>
          <w:sz w:val="20"/>
          <w:szCs w:val="20"/>
          <w:color w:val="auto"/>
        </w:rPr>
      </w:pPr>
      <w:r>
        <w:rPr>
          <w:rFonts w:ascii="Times New Roman" w:cs="Times New Roman" w:eastAsia="Times New Roman" w:hAnsi="Times New Roman"/>
          <w:sz w:val="22"/>
          <w:szCs w:val="22"/>
          <w:color w:val="auto"/>
        </w:rPr>
        <w:t>Floor</w:t>
      </w:r>
    </w:p>
    <w:p>
      <w:pPr>
        <w:ind w:left="2500"/>
        <w:spacing w:after="0"/>
        <w:rPr>
          <w:sz w:val="20"/>
          <w:szCs w:val="20"/>
          <w:color w:val="auto"/>
        </w:rPr>
      </w:pPr>
      <w:r>
        <w:rPr>
          <w:rFonts w:ascii="Times New Roman" w:cs="Times New Roman" w:eastAsia="Times New Roman" w:hAnsi="Times New Roman"/>
          <w:sz w:val="22"/>
          <w:szCs w:val="22"/>
          <w:color w:val="auto"/>
        </w:rPr>
        <w:t>New York  NY  10004</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40" w:type="dxa"/>
        <w:tblCellMar>
          <w:top w:w="0" w:type="dxa"/>
          <w:left w:w="0" w:type="dxa"/>
          <w:bottom w:w="0" w:type="dxa"/>
          <w:right w:w="0" w:type="dxa"/>
        </w:tblCellMar>
      </w:tblPr>
      <w:tr>
        <w:trPr>
          <w:trHeight w:val="253"/>
        </w:trPr>
        <w:tc>
          <w:tcPr>
            <w:tcW w:w="1220" w:type="dxa"/>
            <w:vAlign w:val="bottom"/>
          </w:tcPr>
          <w:p>
            <w:pPr>
              <w:jc w:val="center"/>
              <w:ind w:right="32"/>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20" w:type="dxa"/>
            <w:vAlign w:val="bottom"/>
            <w:vMerge w:val="restart"/>
          </w:tcPr>
          <w:p>
            <w:pPr>
              <w:jc w:val="center"/>
              <w:ind w:righ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8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20" w:type="dxa"/>
            <w:vAlign w:val="bottom"/>
            <w:vMerge w:val="continue"/>
          </w:tcPr>
          <w:p>
            <w:pPr>
              <w:spacing w:after="0"/>
              <w:rPr>
                <w:sz w:val="10"/>
                <w:szCs w:val="10"/>
                <w:color w:val="auto"/>
              </w:rPr>
            </w:pPr>
          </w:p>
        </w:tc>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20" w:type="dxa"/>
            <w:vAlign w:val="bottom"/>
            <w:vMerge w:val="restart"/>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8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20" w:type="dxa"/>
            <w:vAlign w:val="bottom"/>
            <w:vMerge w:val="continue"/>
          </w:tcPr>
          <w:p>
            <w:pPr>
              <w:spacing w:after="0"/>
              <w:rPr>
                <w:sz w:val="10"/>
                <w:szCs w:val="10"/>
                <w:color w:val="auto"/>
              </w:rPr>
            </w:pP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20" w:type="dxa"/>
            <w:vAlign w:val="bottom"/>
            <w:vMerge w:val="restart"/>
          </w:tcPr>
          <w:p>
            <w:pPr>
              <w:jc w:val="center"/>
              <w:ind w:right="32"/>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8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20" w:type="dxa"/>
            <w:vAlign w:val="bottom"/>
            <w:vMerge w:val="continue"/>
          </w:tcPr>
          <w:p>
            <w:pPr>
              <w:spacing w:after="0"/>
              <w:rPr>
                <w:sz w:val="10"/>
                <w:szCs w:val="10"/>
                <w:color w:val="auto"/>
              </w:rPr>
            </w:pPr>
          </w:p>
        </w:tc>
        <w:tc>
          <w:tcPr>
            <w:tcW w:w="118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344" w:lineRule="exact"/>
        <w:rPr>
          <w:sz w:val="24"/>
          <w:szCs w:val="24"/>
          <w:color w:val="auto"/>
        </w:rPr>
      </w:pPr>
    </w:p>
    <w:p>
      <w:pPr>
        <w:spacing w:after="0"/>
        <w:tabs>
          <w:tab w:leader="none" w:pos="1200" w:val="left"/>
          <w:tab w:leader="none" w:pos="2520" w:val="left"/>
          <w:tab w:leader="none" w:pos="3740" w:val="left"/>
          <w:tab w:leader="none" w:pos="5040" w:val="left"/>
        </w:tabs>
        <w:rPr>
          <w:sz w:val="20"/>
          <w:szCs w:val="20"/>
          <w:color w:val="auto"/>
        </w:rPr>
      </w:pPr>
      <w:r>
        <w:rPr>
          <w:rFonts w:ascii="Times New Roman" w:cs="Times New Roman" w:eastAsia="Times New Roman" w:hAnsi="Times New Roman"/>
          <w:sz w:val="22"/>
          <w:szCs w:val="22"/>
          <w:color w:val="auto"/>
        </w:rPr>
        <w:t>45868</w:t>
      </w:r>
      <w:r>
        <w:rPr>
          <w:sz w:val="20"/>
          <w:szCs w:val="20"/>
          <w:color w:val="auto"/>
        </w:rPr>
        <w:tab/>
      </w:r>
      <w:r>
        <w:rPr>
          <w:rFonts w:ascii="Times New Roman" w:cs="Times New Roman" w:eastAsia="Times New Roman" w:hAnsi="Times New Roman"/>
          <w:sz w:val="22"/>
          <w:szCs w:val="22"/>
          <w:color w:val="auto"/>
        </w:rPr>
        <w:t>271079.88</w:t>
      </w:r>
      <w:r>
        <w:rPr>
          <w:sz w:val="20"/>
          <w:szCs w:val="20"/>
          <w:color w:val="auto"/>
        </w:rPr>
        <w:tab/>
      </w:r>
      <w:r>
        <w:rPr>
          <w:rFonts w:ascii="Times New Roman" w:cs="Times New Roman" w:eastAsia="Times New Roman" w:hAnsi="Times New Roman"/>
          <w:sz w:val="22"/>
          <w:szCs w:val="22"/>
          <w:color w:val="auto"/>
        </w:rPr>
        <w:t>242974306</w:t>
        <w:tab/>
        <w:t>11/20/2025</w:t>
      </w:r>
      <w:r>
        <w:rPr>
          <w:sz w:val="20"/>
          <w:szCs w:val="20"/>
          <w:color w:val="auto"/>
        </w:rPr>
        <w:tab/>
      </w:r>
      <w:r>
        <w:rPr>
          <w:rFonts w:ascii="Times New Roman" w:cs="Times New Roman" w:eastAsia="Times New Roman" w:hAnsi="Times New Roman"/>
          <w:sz w:val="21"/>
          <w:szCs w:val="21"/>
          <w:color w:val="auto"/>
        </w:rPr>
        <w:t>NASDAQ</w:t>
      </w:r>
    </w:p>
    <w:p>
      <w:pPr>
        <w:spacing w:after="0" w:line="952" w:lineRule="exact"/>
        <w:rPr>
          <w:sz w:val="24"/>
          <w:szCs w:val="24"/>
          <w:color w:val="auto"/>
        </w:rPr>
      </w:pPr>
    </w:p>
    <w:p>
      <w:pPr>
        <w:sectPr>
          <w:pgSz w:w="11900" w:h="16838" w:orient="portrait"/>
          <w:cols w:equalWidth="0" w:num="2">
            <w:col w:w="4660" w:space="220"/>
            <w:col w:w="6360"/>
          </w:cols>
          <w:pgMar w:left="320" w:top="261" w:right="339" w:bottom="69"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p>
      <w:pPr>
        <w:jc w:val="center"/>
        <w:ind w:left="260"/>
        <w:spacing w:after="0"/>
        <w:rPr>
          <w:sz w:val="20"/>
          <w:szCs w:val="20"/>
          <w:color w:val="auto"/>
        </w:rPr>
      </w:pPr>
      <w:r>
        <w:rPr>
          <w:rFonts w:ascii="Times New Roman" w:cs="Times New Roman" w:eastAsia="Times New Roman" w:hAnsi="Times New Roman"/>
          <w:sz w:val="21"/>
          <w:szCs w:val="21"/>
          <w:b w:val="1"/>
          <w:bCs w:val="1"/>
          <w:color w:val="auto"/>
        </w:rPr>
        <w:t>Title of the</w:t>
      </w:r>
    </w:p>
    <w:p>
      <w:pPr>
        <w:spacing w:after="0" w:line="30"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22"/>
          <w:szCs w:val="22"/>
          <w:b w:val="1"/>
          <w:bCs w:val="1"/>
          <w:color w:val="auto"/>
        </w:rPr>
        <w:t>Class</w:t>
      </w:r>
    </w:p>
    <w:p>
      <w:pPr>
        <w:spacing w:after="0" w:line="20" w:lineRule="exact"/>
        <w:rPr>
          <w:sz w:val="20"/>
          <w:szCs w:val="20"/>
          <w:color w:val="auto"/>
        </w:rPr>
      </w:pPr>
      <w:r>
        <w:rPr>
          <w:sz w:val="20"/>
          <w:szCs w:val="20"/>
          <w:color w:val="auto"/>
        </w:rPr>
        <w:br w:type="column"/>
      </w:r>
    </w:p>
    <w:p>
      <w:pPr>
        <w:ind w:firstLine="19"/>
        <w:spacing w:after="0" w:line="263" w:lineRule="auto"/>
        <w:rPr>
          <w:sz w:val="20"/>
          <w:szCs w:val="20"/>
          <w:color w:val="auto"/>
        </w:rPr>
      </w:pPr>
      <w:r>
        <w:rPr>
          <w:rFonts w:ascii="Times New Roman" w:cs="Times New Roman" w:eastAsia="Times New Roman" w:hAnsi="Times New Roman"/>
          <w:sz w:val="21"/>
          <w:szCs w:val="21"/>
          <w:b w:val="1"/>
          <w:bCs w:val="1"/>
          <w:color w:val="auto"/>
        </w:rPr>
        <w:t>Date you Acquired</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Nature of</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Name of</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Person from</w:t>
      </w:r>
    </w:p>
    <w:p>
      <w:pPr>
        <w:spacing w:after="0" w:line="20" w:lineRule="exact"/>
        <w:rPr>
          <w:sz w:val="20"/>
          <w:szCs w:val="20"/>
          <w:color w:val="auto"/>
        </w:rPr>
      </w:pPr>
      <w:r>
        <w:rPr>
          <w:sz w:val="20"/>
          <w:szCs w:val="20"/>
          <w:color w:val="auto"/>
        </w:rPr>
        <w:br w:type="column"/>
      </w: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Is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this</w:t>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Times New Roman" w:cs="Times New Roman" w:eastAsia="Times New Roman" w:hAnsi="Times New Roman"/>
          <w:sz w:val="22"/>
          <w:szCs w:val="22"/>
          <w:b w:val="1"/>
          <w:bCs w:val="1"/>
          <w:color w:val="auto"/>
        </w:rPr>
        <w:t>Date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Donor</w:t>
      </w:r>
    </w:p>
    <w:p>
      <w:pPr>
        <w:spacing w:after="0" w:line="20" w:lineRule="exact"/>
        <w:rPr>
          <w:sz w:val="20"/>
          <w:szCs w:val="20"/>
          <w:color w:val="auto"/>
        </w:rPr>
      </w:pPr>
      <w:r>
        <w:rPr>
          <w:sz w:val="20"/>
          <w:szCs w:val="20"/>
          <w:color w:val="auto"/>
        </w:rPr>
        <w:br w:type="column"/>
      </w:r>
    </w:p>
    <w:p>
      <w:pPr>
        <w:ind w:hanging="44"/>
        <w:spacing w:after="0" w:line="263" w:lineRule="auto"/>
        <w:rPr>
          <w:sz w:val="20"/>
          <w:szCs w:val="20"/>
          <w:color w:val="auto"/>
        </w:rPr>
      </w:pPr>
      <w:r>
        <w:rPr>
          <w:rFonts w:ascii="Times New Roman" w:cs="Times New Roman" w:eastAsia="Times New Roman" w:hAnsi="Times New Roman"/>
          <w:sz w:val="21"/>
          <w:szCs w:val="21"/>
          <w:b w:val="1"/>
          <w:bCs w:val="1"/>
          <w:color w:val="auto"/>
        </w:rPr>
        <w:t>Amount of Securities</w:t>
      </w:r>
    </w:p>
    <w:p>
      <w:pPr>
        <w:spacing w:after="0" w:line="20" w:lineRule="exact"/>
        <w:rPr>
          <w:sz w:val="20"/>
          <w:szCs w:val="20"/>
          <w:color w:val="auto"/>
        </w:rPr>
      </w:pPr>
      <w:r>
        <w:rPr>
          <w:sz w:val="20"/>
          <w:szCs w:val="20"/>
          <w:color w:val="auto"/>
        </w:rPr>
        <w:br w:type="column"/>
      </w:r>
    </w:p>
    <w:p>
      <w:pPr>
        <w:jc w:val="both"/>
        <w:ind w:firstLine="75"/>
        <w:spacing w:after="0" w:line="263" w:lineRule="auto"/>
        <w:rPr>
          <w:sz w:val="20"/>
          <w:szCs w:val="20"/>
          <w:color w:val="auto"/>
        </w:rPr>
      </w:pPr>
      <w:r>
        <w:rPr>
          <w:rFonts w:ascii="Times New Roman" w:cs="Times New Roman" w:eastAsia="Times New Roman" w:hAnsi="Times New Roman"/>
          <w:sz w:val="21"/>
          <w:szCs w:val="21"/>
          <w:b w:val="1"/>
          <w:bCs w:val="1"/>
          <w:color w:val="auto"/>
        </w:rPr>
        <w:t>Date of Payment</w:t>
      </w:r>
    </w:p>
    <w:p>
      <w:pPr>
        <w:spacing w:after="0" w:line="20" w:lineRule="exact"/>
        <w:rPr>
          <w:sz w:val="20"/>
          <w:szCs w:val="20"/>
          <w:color w:val="auto"/>
        </w:rPr>
      </w:pPr>
      <w:r>
        <w:rPr>
          <w:sz w:val="20"/>
          <w:szCs w:val="20"/>
          <w:color w:val="auto"/>
        </w:rPr>
        <w:br w:type="column"/>
      </w:r>
    </w:p>
    <w:p>
      <w:pPr>
        <w:jc w:val="both"/>
        <w:ind w:right="360" w:firstLine="50"/>
        <w:spacing w:after="0" w:line="263" w:lineRule="auto"/>
        <w:rPr>
          <w:sz w:val="20"/>
          <w:szCs w:val="20"/>
          <w:color w:val="auto"/>
        </w:rPr>
      </w:pPr>
      <w:r>
        <w:rPr>
          <w:rFonts w:ascii="Times New Roman" w:cs="Times New Roman" w:eastAsia="Times New Roman" w:hAnsi="Times New Roman"/>
          <w:sz w:val="21"/>
          <w:szCs w:val="21"/>
          <w:b w:val="1"/>
          <w:bCs w:val="1"/>
          <w:color w:val="auto"/>
        </w:rPr>
        <w:t>Nature of Payment *</w:t>
      </w:r>
    </w:p>
    <w:p>
      <w:pPr>
        <w:spacing w:after="0" w:line="1" w:lineRule="exact"/>
        <w:rPr>
          <w:sz w:val="20"/>
          <w:szCs w:val="20"/>
          <w:color w:val="auto"/>
        </w:rPr>
      </w:pPr>
    </w:p>
    <w:p>
      <w:pPr>
        <w:sectPr>
          <w:pgSz w:w="11900" w:h="16838" w:orient="portrait"/>
          <w:cols w:equalWidth="0" w:num="9">
            <w:col w:w="1260" w:space="320"/>
            <w:col w:w="860" w:space="420"/>
            <w:col w:w="1060" w:space="500"/>
            <w:col w:w="1140" w:space="280"/>
            <w:col w:w="340" w:space="260"/>
            <w:col w:w="580" w:space="380"/>
            <w:col w:w="940" w:space="280"/>
            <w:col w:w="800" w:space="480"/>
            <w:col w:w="1340"/>
          </w:cols>
          <w:pgMar w:left="320" w:top="108" w:right="339" w:bottom="1440" w:gutter="0" w:footer="0" w:header="0"/>
        </w:sect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Whom</w:t>
      </w:r>
    </w:p>
    <w:p>
      <w:pPr>
        <w:spacing w:after="0" w:line="20" w:lineRule="exact"/>
        <w:rPr>
          <w:sz w:val="20"/>
          <w:szCs w:val="20"/>
          <w:color w:val="auto"/>
        </w:rPr>
      </w:pPr>
      <w:r>
        <w:rPr>
          <w:sz w:val="20"/>
          <w:szCs w:val="20"/>
          <w:color w:val="auto"/>
        </w:rPr>
        <w:br w:type="column"/>
      </w:r>
    </w:p>
    <w:p>
      <w:pPr>
        <w:spacing w:after="0" w:line="231" w:lineRule="auto"/>
        <w:rPr>
          <w:sz w:val="20"/>
          <w:szCs w:val="20"/>
          <w:color w:val="auto"/>
        </w:rPr>
      </w:pPr>
      <w:r>
        <w:rPr>
          <w:rFonts w:ascii="Times New Roman" w:cs="Times New Roman" w:eastAsia="Times New Roman" w:hAnsi="Times New Roman"/>
          <w:sz w:val="22"/>
          <w:szCs w:val="22"/>
          <w:b w:val="1"/>
          <w:bCs w:val="1"/>
          <w:color w:val="auto"/>
        </w:rPr>
        <w:t>a</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 w:lineRule="exact"/>
        <w:rPr>
          <w:sz w:val="20"/>
          <w:szCs w:val="20"/>
          <w:color w:val="auto"/>
        </w:rPr>
      </w:pPr>
    </w:p>
    <w:p>
      <w:pPr>
        <w:sectPr>
          <w:pgSz w:w="11900" w:h="16838" w:orient="portrait"/>
          <w:cols w:equalWidth="0" w:num="5">
            <w:col w:w="3960" w:space="720"/>
            <w:col w:w="620" w:space="640"/>
            <w:col w:w="120" w:space="240"/>
            <w:col w:w="860" w:space="260"/>
            <w:col w:w="3820"/>
          </w:cols>
          <w:pgMar w:left="320" w:top="108" w:right="339" w:bottom="1440" w:gutter="0" w:footer="0" w:header="0"/>
          <w:type w:val="continuous"/>
        </w:sectPr>
      </w:pPr>
    </w:p>
    <w:p>
      <w:pPr>
        <w:ind w:left="4560"/>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Gift?</w:t>
      </w:r>
    </w:p>
    <w:p>
      <w:pPr>
        <w:spacing w:after="0" w:line="30" w:lineRule="exact"/>
        <w:rPr>
          <w:sz w:val="20"/>
          <w:szCs w:val="20"/>
          <w:color w:val="auto"/>
        </w:rPr>
      </w:pPr>
    </w:p>
    <w:p>
      <w:pPr>
        <w:sectPr>
          <w:pgSz w:w="11900" w:h="16838" w:orient="portrait"/>
          <w:cols w:equalWidth="0" w:num="2">
            <w:col w:w="5420" w:space="340"/>
            <w:col w:w="5480"/>
          </w:cols>
          <w:pgMar w:left="320" w:top="108" w:right="339" w:bottom="1440" w:gutter="0" w:footer="0" w:header="0"/>
          <w:type w:val="continuous"/>
        </w:sectPr>
      </w:pPr>
    </w:p>
    <w:p>
      <w:pPr>
        <w:spacing w:after="0" w:line="2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Common Stock</w:t>
      </w:r>
    </w:p>
    <w:p>
      <w:pPr>
        <w:spacing w:after="0" w:line="20" w:lineRule="exact"/>
        <w:rPr>
          <w:sz w:val="20"/>
          <w:szCs w:val="20"/>
          <w:color w:val="auto"/>
        </w:rPr>
      </w:pPr>
      <w:r>
        <w:rPr>
          <w:sz w:val="20"/>
          <w:szCs w:val="20"/>
          <w:color w:val="auto"/>
        </w:rPr>
        <w:br w:type="column"/>
      </w:r>
    </w:p>
    <w:p>
      <w:pPr>
        <w:ind w:left="1040"/>
        <w:spacing w:after="0"/>
        <w:rPr>
          <w:sz w:val="20"/>
          <w:szCs w:val="20"/>
          <w:color w:val="auto"/>
        </w:rPr>
      </w:pPr>
      <w:r>
        <w:rPr>
          <w:rFonts w:ascii="Times New Roman" w:cs="Times New Roman" w:eastAsia="Times New Roman" w:hAnsi="Times New Roman"/>
          <w:sz w:val="22"/>
          <w:szCs w:val="22"/>
          <w:color w:val="auto"/>
        </w:rPr>
        <w:t>Vesting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11/19/2025 restricted stock</w:t>
      </w:r>
    </w:p>
    <w:p>
      <w:pPr>
        <w:spacing w:after="0" w:line="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units</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90327</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11/19/2025 Services Rendered</w:t>
      </w:r>
    </w:p>
    <w:p>
      <w:pPr>
        <w:spacing w:after="0" w:line="478" w:lineRule="exact"/>
        <w:rPr>
          <w:sz w:val="20"/>
          <w:szCs w:val="20"/>
          <w:color w:val="auto"/>
        </w:rPr>
      </w:pPr>
    </w:p>
    <w:p>
      <w:pPr>
        <w:sectPr>
          <w:pgSz w:w="11900" w:h="16838" w:orient="portrait"/>
          <w:cols w:equalWidth="0" w:num="5">
            <w:col w:w="1400" w:space="120"/>
            <w:col w:w="2360" w:space="380"/>
            <w:col w:w="2240" w:space="720"/>
            <w:col w:w="580" w:space="720"/>
            <w:col w:w="2720"/>
          </w:cols>
          <w:pgMar w:left="320" w:top="108" w:right="339" w:bottom="1440" w:gutter="0" w:footer="0" w:header="0"/>
          <w:type w:val="continuous"/>
        </w:sectPr>
      </w:pPr>
    </w:p>
    <w:p>
      <w:pPr>
        <w:spacing w:after="0" w:line="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Michael Raab</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400 Fifth Avenue,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08/21/2025 45687</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271001.58</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Waltham  MA  02451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186" w:lineRule="exact"/>
        <w:rPr>
          <w:sz w:val="20"/>
          <w:szCs w:val="20"/>
          <w:color w:val="auto"/>
        </w:rPr>
      </w:pPr>
    </w:p>
    <w:p>
      <w:pPr>
        <w:ind w:left="940" w:right="400" w:hanging="899"/>
        <w:spacing w:after="0" w:line="195" w:lineRule="auto"/>
        <w:tabs>
          <w:tab w:leader="none" w:pos="920" w:val="left"/>
        </w:tabs>
        <w:rPr>
          <w:sz w:val="20"/>
          <w:szCs w:val="20"/>
          <w:color w:val="auto"/>
        </w:rPr>
      </w:pPr>
      <w:r>
        <w:rPr>
          <w:rFonts w:ascii="Times New Roman" w:cs="Times New Roman" w:eastAsia="Times New Roman" w:hAnsi="Times New Roman"/>
          <w:sz w:val="37"/>
          <w:szCs w:val="37"/>
          <w:color w:val="auto"/>
          <w:vertAlign w:val="subscript"/>
        </w:rPr>
        <w:t>Remarks</w:t>
      </w:r>
      <w:r>
        <w:rPr>
          <w:sz w:val="20"/>
          <w:szCs w:val="20"/>
          <w:color w:val="auto"/>
        </w:rPr>
        <w:tab/>
      </w:r>
      <w:r>
        <w:rPr>
          <w:rFonts w:ascii="Times New Roman" w:cs="Times New Roman" w:eastAsia="Times New Roman" w:hAnsi="Times New Roman"/>
          <w:sz w:val="19"/>
          <w:szCs w:val="19"/>
          <w:color w:val="auto"/>
        </w:rPr>
        <w:t>Pursuant to an automatic sell-to-cover imposed by the terms of the initial grant of the restricted stock units (RSUs) awards, the shares are to be sold upon the vesting of the RSUs solely to cover applicable withholding taxes.</w:t>
      </w:r>
    </w:p>
    <w:p>
      <w:pPr>
        <w:spacing w:after="0" w:line="17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11/20/2025</w:t>
            </w:r>
          </w:p>
        </w:tc>
        <w:tc>
          <w:tcPr>
            <w:tcW w:w="0" w:type="dxa"/>
            <w:vAlign w:val="bottom"/>
          </w:tcPr>
          <w:p>
            <w:pPr>
              <w:spacing w:after="0"/>
              <w:rPr>
                <w:sz w:val="1"/>
                <w:szCs w:val="1"/>
                <w:color w:val="auto"/>
              </w:rPr>
            </w:pPr>
          </w:p>
        </w:tc>
      </w:tr>
      <w:tr>
        <w:trPr>
          <w:trHeight w:val="161"/>
        </w:trPr>
        <w:tc>
          <w:tcPr>
            <w:tcW w:w="7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78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8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Elizabeth Grammer, as Attorney-in-Fact for Michael Raab</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2025-11-20T16:37:32Z</dcterms:created>
  <dcterms:modified xsi:type="dcterms:W3CDTF">2025-11-20T16:37:32Z</dcterms:modified>
</cp:coreProperties>
</file>