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0001466562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510-745-1700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Renz Justin A</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49040</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272172.00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242974306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11/24/2025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11/19/2025 restricted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109635</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11/19/2025 Services Rendered</w:t>
      </w:r>
    </w:p>
    <w:p>
      <w:pPr>
        <w:spacing w:after="0" w:line="478" w:lineRule="exact"/>
        <w:rPr>
          <w:sz w:val="20"/>
          <w:szCs w:val="20"/>
          <w:color w:val="auto"/>
        </w:rPr>
      </w:pPr>
    </w:p>
    <w:p>
      <w:pPr>
        <w:sectPr>
          <w:pgSz w:w="11900" w:h="16838" w:orient="portrait"/>
          <w:cols w:equalWidth="0" w:num="5">
            <w:col w:w="1400" w:space="120"/>
            <w:col w:w="2360" w:space="380"/>
            <w:col w:w="2240" w:space="720"/>
            <w:col w:w="640" w:space="66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40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Pursuant to an automatic sell-to-cover imposed by the terms of the initial grant of the restricted stock units (RSUs) awards, the shares are to be sold upon the vesting of the RSUs solely to cover applicable withholding taxes.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11/24/2025</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Elizabeth Grammer, as Attorney-in-Fact for Justin A. Renz</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2025-11-24T17:08:45Z</dcterms:created>
  <dcterms:modified xsi:type="dcterms:W3CDTF">2025-11-24T17:08:45Z</dcterms:modified>
</cp:coreProperties>
</file>