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81915</wp:posOffset>
            </wp:positionV>
            <wp:extent cx="1663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88900</wp:posOffset>
            </wp:positionV>
            <wp:extent cx="16630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1"/>
          <w:szCs w:val="11"/>
          <w:color w:val="auto"/>
        </w:rPr>
        <w:t>(Mark One)</w:t>
      </w:r>
    </w:p>
    <w:p>
      <w:pPr>
        <w:spacing w:after="0" w:line="27"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tbl>
      <w:tblPr>
        <w:tblLayout w:type="fixed"/>
        <w:tblInd w:w="4040" w:type="dxa"/>
        <w:tblCellMar>
          <w:top w:w="0" w:type="dxa"/>
          <w:left w:w="0" w:type="dxa"/>
          <w:bottom w:w="0" w:type="dxa"/>
          <w:right w:w="0" w:type="dxa"/>
        </w:tblCellMar>
      </w:tblPr>
      <w:tr>
        <w:trPr>
          <w:trHeight w:val="216"/>
        </w:trPr>
        <w:tc>
          <w:tcPr>
            <w:tcW w:w="3000" w:type="dxa"/>
            <w:vAlign w:val="bottom"/>
            <w:gridSpan w:val="3"/>
          </w:tcPr>
          <w:p>
            <w:pPr>
              <w:spacing w:after="0"/>
              <w:rPr>
                <w:sz w:val="20"/>
                <w:szCs w:val="20"/>
                <w:color w:val="auto"/>
              </w:rPr>
            </w:pPr>
            <w:r>
              <w:rPr>
                <w:rFonts w:ascii="Arial" w:cs="Arial" w:eastAsia="Arial" w:hAnsi="Arial"/>
                <w:sz w:val="18"/>
                <w:szCs w:val="18"/>
                <w:b w:val="1"/>
                <w:bCs w:val="1"/>
                <w:color w:val="auto"/>
              </w:rPr>
              <w:t>For the transition period from</w:t>
            </w:r>
          </w:p>
        </w:tc>
        <w:tc>
          <w:tcPr>
            <w:tcW w:w="160" w:type="dxa"/>
            <w:vAlign w:val="bottom"/>
          </w:tcPr>
          <w:p>
            <w:pPr>
              <w:spacing w:after="0"/>
              <w:rPr>
                <w:sz w:val="20"/>
                <w:szCs w:val="20"/>
                <w:color w:val="auto"/>
              </w:rPr>
            </w:pPr>
            <w:r>
              <w:rPr>
                <w:rFonts w:ascii="Arial" w:cs="Arial" w:eastAsia="Arial" w:hAnsi="Arial"/>
                <w:sz w:val="18"/>
                <w:szCs w:val="18"/>
                <w:b w:val="1"/>
                <w:bCs w:val="1"/>
                <w:color w:val="auto"/>
                <w:w w:val="82"/>
              </w:rPr>
              <w:t>to</w:t>
            </w:r>
          </w:p>
        </w:tc>
      </w:tr>
      <w:tr>
        <w:trPr>
          <w:trHeight w:val="234"/>
        </w:trPr>
        <w:tc>
          <w:tcPr>
            <w:tcW w:w="3000" w:type="dxa"/>
            <w:vAlign w:val="bottom"/>
            <w:gridSpan w:val="3"/>
          </w:tcPr>
          <w:p>
            <w:pPr>
              <w:ind w:left="200"/>
              <w:spacing w:after="0"/>
              <w:rPr>
                <w:sz w:val="20"/>
                <w:szCs w:val="20"/>
                <w:color w:val="auto"/>
              </w:rPr>
            </w:pPr>
            <w:r>
              <w:rPr>
                <w:rFonts w:ascii="Arial" w:cs="Arial" w:eastAsia="Arial" w:hAnsi="Arial"/>
                <w:sz w:val="18"/>
                <w:szCs w:val="18"/>
                <w:b w:val="1"/>
                <w:bCs w:val="1"/>
                <w:color w:val="auto"/>
                <w:w w:val="90"/>
              </w:rPr>
              <w:t>Commission file number: 001-36485</w:t>
            </w:r>
          </w:p>
        </w:tc>
        <w:tc>
          <w:tcPr>
            <w:tcW w:w="160" w:type="dxa"/>
            <w:vAlign w:val="bottom"/>
          </w:tcPr>
          <w:p>
            <w:pPr>
              <w:spacing w:after="0"/>
              <w:rPr>
                <w:sz w:val="20"/>
                <w:szCs w:val="20"/>
                <w:color w:val="auto"/>
              </w:rPr>
            </w:pPr>
          </w:p>
        </w:tc>
      </w:tr>
      <w:tr>
        <w:trPr>
          <w:trHeight w:val="122"/>
        </w:trPr>
        <w:tc>
          <w:tcPr>
            <w:tcW w:w="280" w:type="dxa"/>
            <w:vAlign w:val="bottom"/>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ARDELYX,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81915</wp:posOffset>
            </wp:positionV>
            <wp:extent cx="1663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8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jc w:val="center"/>
              <w:ind w:left="2201"/>
              <w:spacing w:after="0"/>
              <w:rPr>
                <w:sz w:val="20"/>
                <w:szCs w:val="20"/>
                <w:color w:val="auto"/>
              </w:rPr>
            </w:pPr>
            <w:r>
              <w:rPr>
                <w:rFonts w:ascii="Arial" w:cs="Arial" w:eastAsia="Arial" w:hAnsi="Arial"/>
                <w:sz w:val="18"/>
                <w:szCs w:val="18"/>
                <w:b w:val="1"/>
                <w:bCs w:val="1"/>
                <w:color w:val="auto"/>
                <w:w w:val="91"/>
              </w:rPr>
              <w:t>Delaware</w:t>
            </w: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00" w:type="dxa"/>
            <w:vAlign w:val="bottom"/>
            <w:gridSpan w:val="2"/>
          </w:tcPr>
          <w:p>
            <w:pPr>
              <w:jc w:val="right"/>
              <w:ind w:right="2328"/>
              <w:spacing w:after="0"/>
              <w:rPr>
                <w:sz w:val="20"/>
                <w:szCs w:val="20"/>
                <w:color w:val="auto"/>
              </w:rPr>
            </w:pPr>
            <w:r>
              <w:rPr>
                <w:rFonts w:ascii="Arial" w:cs="Arial" w:eastAsia="Arial" w:hAnsi="Arial"/>
                <w:sz w:val="18"/>
                <w:szCs w:val="18"/>
                <w:b w:val="1"/>
                <w:bCs w:val="1"/>
                <w:color w:val="auto"/>
              </w:rPr>
              <w:t>26-1303944</w:t>
            </w:r>
          </w:p>
        </w:tc>
        <w:tc>
          <w:tcPr>
            <w:tcW w:w="0" w:type="dxa"/>
            <w:vAlign w:val="bottom"/>
          </w:tcPr>
          <w:p>
            <w:pPr>
              <w:spacing w:after="0"/>
              <w:rPr>
                <w:sz w:val="1"/>
                <w:szCs w:val="1"/>
                <w:color w:val="auto"/>
              </w:rPr>
            </w:pPr>
          </w:p>
        </w:tc>
      </w:tr>
      <w:tr>
        <w:trPr>
          <w:trHeight w:val="230"/>
        </w:trPr>
        <w:tc>
          <w:tcPr>
            <w:tcW w:w="6940" w:type="dxa"/>
            <w:vAlign w:val="bottom"/>
            <w:gridSpan w:val="6"/>
          </w:tcPr>
          <w:p>
            <w:pPr>
              <w:jc w:val="center"/>
              <w:ind w:right="134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300" w:type="dxa"/>
            <w:vAlign w:val="bottom"/>
            <w:gridSpan w:val="2"/>
          </w:tcPr>
          <w:p>
            <w:pPr>
              <w:jc w:val="center"/>
              <w:ind w:right="1308"/>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521"/>
        </w:trPr>
        <w:tc>
          <w:tcPr>
            <w:tcW w:w="3320" w:type="dxa"/>
            <w:vAlign w:val="bottom"/>
          </w:tcPr>
          <w:p>
            <w:pPr>
              <w:spacing w:after="0"/>
              <w:rPr>
                <w:sz w:val="24"/>
                <w:szCs w:val="24"/>
                <w:color w:val="auto"/>
              </w:rPr>
            </w:pPr>
          </w:p>
        </w:tc>
        <w:tc>
          <w:tcPr>
            <w:tcW w:w="7920" w:type="dxa"/>
            <w:vAlign w:val="bottom"/>
            <w:gridSpan w:val="7"/>
          </w:tcPr>
          <w:p>
            <w:pPr>
              <w:jc w:val="center"/>
              <w:ind w:right="3248"/>
              <w:spacing w:after="0"/>
              <w:rPr>
                <w:sz w:val="20"/>
                <w:szCs w:val="20"/>
                <w:color w:val="auto"/>
              </w:rPr>
            </w:pPr>
            <w:r>
              <w:rPr>
                <w:rFonts w:ascii="Arial" w:cs="Arial" w:eastAsia="Arial" w:hAnsi="Arial"/>
                <w:sz w:val="18"/>
                <w:szCs w:val="18"/>
                <w:b w:val="1"/>
                <w:bCs w:val="1"/>
                <w:color w:val="auto"/>
                <w:w w:val="89"/>
              </w:rPr>
              <w:t>400 Fifth Avenue, Suite 210, Waltham, Massachusetts 02451</w:t>
            </w:r>
          </w:p>
        </w:tc>
        <w:tc>
          <w:tcPr>
            <w:tcW w:w="0" w:type="dxa"/>
            <w:vAlign w:val="bottom"/>
          </w:tcPr>
          <w:p>
            <w:pPr>
              <w:spacing w:after="0"/>
              <w:rPr>
                <w:sz w:val="1"/>
                <w:szCs w:val="1"/>
                <w:color w:val="auto"/>
              </w:rPr>
            </w:pPr>
          </w:p>
        </w:tc>
      </w:tr>
      <w:tr>
        <w:trPr>
          <w:trHeight w:val="182"/>
        </w:trPr>
        <w:tc>
          <w:tcPr>
            <w:tcW w:w="3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320" w:type="dxa"/>
            <w:vAlign w:val="bottom"/>
            <w:gridSpan w:val="6"/>
          </w:tcPr>
          <w:p>
            <w:pPr>
              <w:jc w:val="center"/>
              <w:ind w:right="3828"/>
              <w:spacing w:after="0"/>
              <w:rPr>
                <w:sz w:val="20"/>
                <w:szCs w:val="20"/>
                <w:color w:val="auto"/>
              </w:rPr>
            </w:pPr>
            <w:r>
              <w:rPr>
                <w:rFonts w:ascii="Arial" w:cs="Arial" w:eastAsia="Arial" w:hAnsi="Arial"/>
                <w:sz w:val="14"/>
                <w:szCs w:val="14"/>
                <w:color w:val="auto"/>
                <w:w w:val="95"/>
              </w:rPr>
              <w:t>(Address of Principal Executive Offices) (Zip Code)</w:t>
            </w:r>
          </w:p>
        </w:tc>
        <w:tc>
          <w:tcPr>
            <w:tcW w:w="0" w:type="dxa"/>
            <w:vAlign w:val="bottom"/>
          </w:tcPr>
          <w:p>
            <w:pPr>
              <w:spacing w:after="0"/>
              <w:rPr>
                <w:sz w:val="1"/>
                <w:szCs w:val="1"/>
                <w:color w:val="auto"/>
              </w:rPr>
            </w:pPr>
          </w:p>
        </w:tc>
      </w:tr>
      <w:tr>
        <w:trPr>
          <w:trHeight w:val="412"/>
        </w:trPr>
        <w:tc>
          <w:tcPr>
            <w:tcW w:w="3320" w:type="dxa"/>
            <w:vAlign w:val="bottom"/>
          </w:tcPr>
          <w:p>
            <w:pPr>
              <w:spacing w:after="0"/>
              <w:rPr>
                <w:sz w:val="24"/>
                <w:szCs w:val="24"/>
                <w:color w:val="auto"/>
              </w:rPr>
            </w:pPr>
          </w:p>
        </w:tc>
        <w:tc>
          <w:tcPr>
            <w:tcW w:w="3500" w:type="dxa"/>
            <w:vAlign w:val="bottom"/>
            <w:gridSpan w:val="4"/>
          </w:tcPr>
          <w:p>
            <w:pPr>
              <w:jc w:val="center"/>
              <w:ind w:left="1010"/>
              <w:spacing w:after="0"/>
              <w:rPr>
                <w:sz w:val="20"/>
                <w:szCs w:val="20"/>
                <w:color w:val="auto"/>
              </w:rPr>
            </w:pPr>
            <w:r>
              <w:rPr>
                <w:rFonts w:ascii="Arial" w:cs="Arial" w:eastAsia="Arial" w:hAnsi="Arial"/>
                <w:sz w:val="18"/>
                <w:szCs w:val="18"/>
                <w:b w:val="1"/>
                <w:bCs w:val="1"/>
                <w:color w:val="auto"/>
                <w:w w:val="90"/>
              </w:rPr>
              <w:t>(510) 745-1700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320" w:type="dxa"/>
            <w:vAlign w:val="bottom"/>
            <w:gridSpan w:val="6"/>
          </w:tcPr>
          <w:p>
            <w:pPr>
              <w:jc w:val="center"/>
              <w:ind w:right="3848"/>
              <w:spacing w:after="0"/>
              <w:rPr>
                <w:sz w:val="20"/>
                <w:szCs w:val="20"/>
                <w:color w:val="auto"/>
              </w:rPr>
            </w:pPr>
            <w:r>
              <w:rPr>
                <w:rFonts w:ascii="Arial" w:cs="Arial" w:eastAsia="Arial" w:hAnsi="Arial"/>
                <w:sz w:val="14"/>
                <w:szCs w:val="14"/>
                <w:color w:val="auto"/>
                <w:w w:val="93"/>
              </w:rPr>
              <w:t>(Registrant’s Telephone Number, Including Area Code)</w:t>
            </w:r>
          </w:p>
        </w:tc>
        <w:tc>
          <w:tcPr>
            <w:tcW w:w="0" w:type="dxa"/>
            <w:vAlign w:val="bottom"/>
          </w:tcPr>
          <w:p>
            <w:pPr>
              <w:spacing w:after="0"/>
              <w:rPr>
                <w:sz w:val="1"/>
                <w:szCs w:val="1"/>
                <w:color w:val="auto"/>
              </w:rPr>
            </w:pPr>
          </w:p>
        </w:tc>
      </w:tr>
      <w:tr>
        <w:trPr>
          <w:trHeight w:val="25"/>
        </w:trPr>
        <w:tc>
          <w:tcPr>
            <w:tcW w:w="3320" w:type="dxa"/>
            <w:vAlign w:val="bottom"/>
            <w:vMerge w:val="restart"/>
          </w:tcPr>
          <w:p>
            <w:pPr>
              <w:spacing w:after="0"/>
              <w:rPr>
                <w:sz w:val="20"/>
                <w:szCs w:val="20"/>
                <w:color w:val="auto"/>
              </w:rPr>
            </w:pPr>
            <w:r>
              <w:rPr>
                <w:rFonts w:ascii="Arial" w:cs="Arial" w:eastAsia="Arial" w:hAnsi="Arial"/>
                <w:sz w:val="14"/>
                <w:szCs w:val="14"/>
                <w:color w:val="auto"/>
                <w:w w:val="92"/>
              </w:rPr>
              <w:t>Securities registered pursuant to Section 12(b) of the Act:</w:t>
            </w: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2"/>
        </w:trPr>
        <w:tc>
          <w:tcPr>
            <w:tcW w:w="33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320" w:type="dxa"/>
            <w:vAlign w:val="bottom"/>
          </w:tcPr>
          <w:p>
            <w:pPr>
              <w:jc w:val="center"/>
              <w:ind w:left="521"/>
              <w:spacing w:after="0"/>
              <w:rPr>
                <w:sz w:val="20"/>
                <w:szCs w:val="20"/>
                <w:color w:val="auto"/>
              </w:rPr>
            </w:pPr>
            <w:r>
              <w:rPr>
                <w:rFonts w:ascii="Arial" w:cs="Arial" w:eastAsia="Arial" w:hAnsi="Arial"/>
                <w:sz w:val="14"/>
                <w:szCs w:val="14"/>
                <w:b w:val="1"/>
                <w:bCs w:val="1"/>
                <w:color w:val="auto"/>
                <w:w w:val="89"/>
              </w:rPr>
              <w:t>Title of each class</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36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2"/>
        </w:trPr>
        <w:tc>
          <w:tcPr>
            <w:tcW w:w="3320" w:type="dxa"/>
            <w:vAlign w:val="bottom"/>
            <w:tcBorders>
              <w:top w:val="single" w:sz="8" w:color="auto"/>
            </w:tcBorders>
          </w:tcPr>
          <w:p>
            <w:pPr>
              <w:jc w:val="center"/>
              <w:ind w:left="521"/>
              <w:spacing w:after="0"/>
              <w:rPr>
                <w:sz w:val="20"/>
                <w:szCs w:val="20"/>
                <w:color w:val="auto"/>
              </w:rPr>
            </w:pPr>
            <w:r>
              <w:rPr>
                <w:rFonts w:ascii="Arial" w:cs="Arial" w:eastAsia="Arial" w:hAnsi="Arial"/>
                <w:sz w:val="14"/>
                <w:szCs w:val="14"/>
                <w:color w:val="auto"/>
                <w:w w:val="92"/>
              </w:rPr>
              <w:t>Common Stock, par value $0.0001</w:t>
            </w:r>
          </w:p>
        </w:tc>
        <w:tc>
          <w:tcPr>
            <w:tcW w:w="6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ARDX</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9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Global Market</w:t>
            </w:r>
          </w:p>
        </w:tc>
        <w:tc>
          <w:tcPr>
            <w:tcW w:w="0" w:type="dxa"/>
            <w:vAlign w:val="bottom"/>
          </w:tcPr>
          <w:p>
            <w:pPr>
              <w:spacing w:after="0"/>
              <w:rPr>
                <w:sz w:val="1"/>
                <w:szCs w:val="1"/>
                <w:color w:val="auto"/>
              </w:rPr>
            </w:pPr>
          </w:p>
        </w:tc>
      </w:tr>
    </w:tbl>
    <w:p>
      <w:pPr>
        <w:spacing w:after="0" w:line="258" w:lineRule="exact"/>
        <w:rPr>
          <w:sz w:val="24"/>
          <w:szCs w:val="24"/>
          <w:color w:val="auto"/>
        </w:rPr>
      </w:pPr>
    </w:p>
    <w:p>
      <w:pPr>
        <w:ind w:right="220"/>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38" w:lineRule="exact"/>
        <w:rPr>
          <w:sz w:val="24"/>
          <w:szCs w:val="24"/>
          <w:color w:val="auto"/>
        </w:rPr>
      </w:pPr>
    </w:p>
    <w:p>
      <w:pPr>
        <w:ind w:right="60"/>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38" w:lineRule="exact"/>
        <w:rPr>
          <w:sz w:val="24"/>
          <w:szCs w:val="24"/>
          <w:color w:val="auto"/>
        </w:rPr>
      </w:pPr>
    </w:p>
    <w:p>
      <w:pPr>
        <w:ind w:right="280"/>
        <w:spacing w:after="0" w:line="25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320" w:type="dxa"/>
        <w:tblCellMar>
          <w:top w:w="0" w:type="dxa"/>
          <w:left w:w="0" w:type="dxa"/>
          <w:bottom w:w="0" w:type="dxa"/>
          <w:right w:w="0" w:type="dxa"/>
        </w:tblCellMar>
      </w:tblPr>
      <w:tr>
        <w:trPr>
          <w:trHeight w:val="283"/>
        </w:trPr>
        <w:tc>
          <w:tcPr>
            <w:tcW w:w="1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840"/>
              <w:spacing w:after="0"/>
              <w:rPr>
                <w:sz w:val="20"/>
                <w:szCs w:val="20"/>
                <w:color w:val="auto"/>
              </w:rPr>
            </w:pPr>
            <w:r>
              <w:rPr>
                <w:rFonts w:ascii="Arial" w:cs="Arial" w:eastAsia="Arial" w:hAnsi="Arial"/>
                <w:sz w:val="14"/>
                <w:szCs w:val="14"/>
                <w:color w:val="auto"/>
              </w:rPr>
              <w:t>Accelerated filer</w:t>
            </w:r>
          </w:p>
        </w:tc>
        <w:tc>
          <w:tcPr>
            <w:tcW w:w="4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16"/>
        </w:trPr>
        <w:tc>
          <w:tcPr>
            <w:tcW w:w="1720" w:type="dxa"/>
            <w:vAlign w:val="bottom"/>
          </w:tcPr>
          <w:p>
            <w:pPr>
              <w:spacing w:after="0"/>
              <w:rPr>
                <w:sz w:val="20"/>
                <w:szCs w:val="20"/>
                <w:color w:val="auto"/>
              </w:rPr>
            </w:pPr>
            <w:r>
              <w:rPr>
                <w:rFonts w:ascii="Arial" w:cs="Arial" w:eastAsia="Arial" w:hAnsi="Arial"/>
                <w:sz w:val="14"/>
                <w:szCs w:val="14"/>
                <w:color w:val="auto"/>
              </w:rPr>
              <w:t>Non-accelerated filer</w:t>
            </w:r>
          </w:p>
        </w:tc>
        <w:tc>
          <w:tcPr>
            <w:tcW w:w="24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840"/>
              <w:spacing w:after="0"/>
              <w:rPr>
                <w:sz w:val="20"/>
                <w:szCs w:val="20"/>
                <w:color w:val="auto"/>
              </w:rPr>
            </w:pPr>
            <w:r>
              <w:rPr>
                <w:rFonts w:ascii="Arial" w:cs="Arial" w:eastAsia="Arial" w:hAnsi="Arial"/>
                <w:sz w:val="14"/>
                <w:szCs w:val="14"/>
                <w:color w:val="auto"/>
              </w:rPr>
              <w:t>Smaller reporting company</w:t>
            </w:r>
          </w:p>
        </w:tc>
        <w:tc>
          <w:tcPr>
            <w:tcW w:w="4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1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720" w:type="dxa"/>
            <w:vAlign w:val="bottom"/>
          </w:tcPr>
          <w:p>
            <w:pPr>
              <w:ind w:left="1840"/>
              <w:spacing w:after="0"/>
              <w:rPr>
                <w:sz w:val="20"/>
                <w:szCs w:val="20"/>
                <w:color w:val="auto"/>
              </w:rPr>
            </w:pPr>
            <w:r>
              <w:rPr>
                <w:rFonts w:ascii="Arial" w:cs="Arial" w:eastAsia="Arial" w:hAnsi="Arial"/>
                <w:sz w:val="14"/>
                <w:szCs w:val="14"/>
                <w:color w:val="auto"/>
              </w:rPr>
              <w:t>Emerging growth company</w:t>
            </w:r>
          </w:p>
        </w:tc>
        <w:tc>
          <w:tcPr>
            <w:tcW w:w="4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56" w:lineRule="exact"/>
        <w:rPr>
          <w:sz w:val="24"/>
          <w:szCs w:val="24"/>
          <w:color w:val="auto"/>
        </w:rPr>
      </w:pPr>
    </w:p>
    <w:p>
      <w:pPr>
        <w:ind w:right="560"/>
        <w:spacing w:after="0" w:line="20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09" w:lineRule="exact"/>
        <w:rPr>
          <w:sz w:val="24"/>
          <w:szCs w:val="24"/>
          <w:color w:val="auto"/>
        </w:rPr>
      </w:pPr>
    </w:p>
    <w:p>
      <w:pPr>
        <w:spacing w:after="0" w:line="196"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6"/>
          <w:szCs w:val="16"/>
          <w:color w:val="auto"/>
        </w:rPr>
        <w:t>☒</w:t>
      </w:r>
    </w:p>
    <w:p>
      <w:pPr>
        <w:spacing w:after="0" w:line="238" w:lineRule="exact"/>
        <w:rPr>
          <w:sz w:val="24"/>
          <w:szCs w:val="24"/>
          <w:color w:val="auto"/>
        </w:rPr>
      </w:pPr>
    </w:p>
    <w:p>
      <w:pPr>
        <w:spacing w:after="0"/>
        <w:rPr>
          <w:sz w:val="20"/>
          <w:szCs w:val="20"/>
          <w:color w:val="auto"/>
        </w:rPr>
      </w:pPr>
      <w:r>
        <w:rPr>
          <w:rFonts w:ascii="Arial" w:cs="Arial" w:eastAsia="Arial" w:hAnsi="Arial"/>
          <w:sz w:val="14"/>
          <w:szCs w:val="14"/>
          <w:color w:val="auto"/>
        </w:rPr>
        <w:t>The number of issued and outstanding shares of the registrant’s Common Stock, $0.0001 par value per share, as of May 2, 2022, was 144,598,863.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71151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the context requires otherwise, in this Quarterly Report on Form 10-Q the terms “Ardelyx”, “we,” “us,” “our” and “the Company” refer to Ardelyx, Inc.</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risks and uncertainties.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219" w:lineRule="exact"/>
        <w:rPr>
          <w:sz w:val="20"/>
          <w:szCs w:val="20"/>
          <w:color w:val="auto"/>
        </w:rPr>
      </w:pPr>
    </w:p>
    <w:p>
      <w:pPr>
        <w:jc w:val="both"/>
        <w:ind w:left="340" w:hanging="332"/>
        <w:spacing w:after="0" w:line="255"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our participation in a Cardiovascular and Renal Drugs Advisory Committee (“Advisory Committee”) meeting in connection with the formal dispute resolution (“FDR”) process commenced in response to the Complete Response Letter (“CRL”) received from the U.S. Food and Drug Administration (“FDA”) relating to our new drug application (“NDA”) for XPHOZAH</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(tenapanor) for the control of serum phosphorus in adult patients with chronic kidney disease on dialysis (“CKD”) (the “Hyperphosphatemia Indication”);</w:t>
      </w:r>
    </w:p>
    <w:p>
      <w:pPr>
        <w:spacing w:after="0" w:line="74" w:lineRule="exact"/>
        <w:rPr>
          <w:rFonts w:ascii="Arial" w:cs="Arial" w:eastAsia="Arial" w:hAnsi="Arial"/>
          <w:sz w:val="17"/>
          <w:szCs w:val="17"/>
          <w:color w:val="auto"/>
        </w:rPr>
      </w:pPr>
    </w:p>
    <w:p>
      <w:pPr>
        <w:jc w:val="both"/>
        <w:ind w:left="340" w:hanging="332"/>
        <w:spacing w:after="0" w:line="239"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address our operating cash flow requirements with our current cash and investments, cash generated from the sales of IBSRELA</w:t>
      </w:r>
      <w:r>
        <w:rPr>
          <w:rFonts w:ascii="Arial" w:cs="Arial" w:eastAsia="Arial" w:hAnsi="Arial"/>
          <w:sz w:val="23"/>
          <w:szCs w:val="23"/>
          <w:color w:val="auto"/>
          <w:vertAlign w:val="superscript"/>
        </w:rPr>
        <w:t>®</w:t>
      </w:r>
      <w:r>
        <w:rPr>
          <w:rFonts w:ascii="Arial" w:cs="Arial" w:eastAsia="Arial" w:hAnsi="Arial"/>
          <w:sz w:val="18"/>
          <w:szCs w:val="18"/>
          <w:color w:val="auto"/>
        </w:rPr>
        <w:t>, our potential receipt of anticipated milestones from our collaboration partners, our potential receipt of anticipated payments from our Japanese collaboration partner under the second amendment to our License Agreement; our ability to access the capital markets, as well as through the implementation of cash preservation activities to reduce or defer discretionary spending;</w:t>
      </w:r>
    </w:p>
    <w:p>
      <w:pPr>
        <w:spacing w:after="0" w:line="95"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with respect to RDX013 and RDX020;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estimates of our expenses, future revenue, capital requirements, our needs for additional financing and our ability to obtain additional capital.</w:t>
      </w:r>
    </w:p>
    <w:p>
      <w:pPr>
        <w:spacing w:after="0" w:line="1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Factors that could cause actual results or conditions to differ from those anticipated by these and other forward-looking statements include those more fully described in the “ITEM 1A. RISK FACTORS” section and elsewhere in this Quarterly Report on Form 10-Q. Except as required by law, we assume no obligation to update any forward-looking statement publicly, or to revise any forward-looking statement to reflect events or developments occurring after the date of this Quarterly Report on Form 10-Q, even if new information becomes available in the future. Thus, you should not assume that our silence over time means that actual events are bearing out as expressed or implied in any such forward-looking statement.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PRINCIPAL RISKS ASSOCIATED WITH OUR BUSINESS</w:t>
      </w:r>
    </w:p>
    <w:p>
      <w:pPr>
        <w:spacing w:after="0" w:line="256" w:lineRule="exact"/>
        <w:rPr>
          <w:sz w:val="20"/>
          <w:szCs w:val="20"/>
          <w:color w:val="auto"/>
        </w:rPr>
      </w:pPr>
    </w:p>
    <w:p>
      <w:pPr>
        <w:jc w:val="both"/>
        <w:ind w:left="340" w:hanging="332"/>
        <w:spacing w:after="0" w:line="259"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limited operating history, have incurred significant losses since our inception and will incur losses in the future, which makes it difficult for us to assess our future viability; although our financial statements have been prepared on a going concern basis, our current level of cash and investments alone is not sufficient to meet our operating plans for the next twelve months, raising substantial doubt regarding our ability to continue as a going concern.</w:t>
      </w:r>
    </w:p>
    <w:p>
      <w:pPr>
        <w:spacing w:after="0" w:line="78" w:lineRule="exact"/>
        <w:rPr>
          <w:rFonts w:ascii="Arial" w:cs="Arial" w:eastAsia="Arial" w:hAnsi="Arial"/>
          <w:sz w:val="18"/>
          <w:szCs w:val="18"/>
          <w:color w:val="auto"/>
        </w:rPr>
      </w:pPr>
    </w:p>
    <w:p>
      <w:pPr>
        <w:jc w:val="both"/>
        <w:ind w:left="340" w:hanging="332"/>
        <w:spacing w:after="0" w:line="254"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require substantial additional financing to achieve our goals, including our goals of commercializing IBSRELA, and preparing for and participating in a Cardiovascular and Renal Drugs Advisory Committee (“Advisory Committee”) meeting in connection with the formal dispute resolution (“FDR”) process commenced in response to the Complete Response Letter (“CRL”) received from the U.S. Food and Drug Administration (“FDA”) relating to our new drug application (“NDA”) for XPHOZAH (tenapanor) for the control of serum phosphorus in adult patients with chronic kidney disease (“CKD”) on dialysis (“Hyperphosphatemia Indication”) and the inability to access necessary capital when needed on acceptable terms, or at all, could force us to limit, reduce or terminate our efforts to commercialize IBSRELA or to seek and obtain approval for XPHOZAH for the Hyperphosphatemia Indication.</w:t>
      </w:r>
    </w:p>
    <w:p>
      <w:pPr>
        <w:spacing w:after="0" w:line="86"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failure to meet the continued listing requirements of The Nasdaq Global Market ("Nasdaq") could result in a de-listing of our common stock.</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generated limited revenue from product sales and may never be profitable.</w:t>
      </w:r>
    </w:p>
    <w:p>
      <w:pPr>
        <w:spacing w:after="0" w:line="117"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substantially dependent on the successful launch and commercialization of IBSRELA for IBS-C, and there is no guarantee that we will achieve sufficient market acceptance for IBSRELA; secure adequate coverage and reimbursement for IBSRELA; or generate sufficient revenue from product sales of IBSRELA.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hanging="332"/>
        <w:spacing w:after="0" w:line="27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pursuing regulatory approval for XPHOZAH for the Hyperphosphatemia Indication, and there can be no assurances that we will be successful in obtaining such regulatory approval.</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Even if we are successful in obtaining regulatory approval for XPHOZAH for the Hyperphosphatemia Indication, the expense and time required to do so could adversely impact our ability to successfully commercialize XPHOZAH for such indication.</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IBSRELA, and/or, if approved and commercialized, XPHOZAH, may cause undesirable side effects or have other properties that could limit the commercial success of the product.</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 company, we have no prior experience in the marketing, sale and distribution of pharmaceutical products; and there are significant risks in building and managing a commercial organization.</w:t>
      </w:r>
    </w:p>
    <w:p>
      <w:pPr>
        <w:spacing w:after="0" w:line="62" w:lineRule="exact"/>
        <w:rPr>
          <w:rFonts w:ascii="Arial" w:cs="Arial" w:eastAsia="Arial" w:hAnsi="Arial"/>
          <w:sz w:val="18"/>
          <w:szCs w:val="18"/>
          <w:color w:val="auto"/>
        </w:rPr>
      </w:pPr>
    </w:p>
    <w:p>
      <w:pPr>
        <w:jc w:val="both"/>
        <w:ind w:left="340" w:right="20" w:hanging="332"/>
        <w:spacing w:after="0" w:line="263"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Third-party payor coverage and reimbursement status of newly-commercialized products are uncertain. Failure to obtain or maintain adequate coverage and reimbursement for IBSRELA and, if approved, for XPHOZAH could limit our ability to market those products and decrease our ability to generate revenue.</w:t>
      </w:r>
    </w:p>
    <w:p>
      <w:pPr>
        <w:spacing w:after="0" w:line="75"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completely on third parties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if approved and commercialized of XPHOZAH, and our future development efforts for tenapanor may be materially harmed.</w:t>
      </w:r>
    </w:p>
    <w:p>
      <w:pPr>
        <w:spacing w:after="0" w:line="78"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w:t>
      </w:r>
    </w:p>
    <w:p>
      <w:pPr>
        <w:spacing w:after="0" w:line="249" w:lineRule="exact"/>
        <w:rPr>
          <w:sz w:val="20"/>
          <w:szCs w:val="20"/>
          <w:color w:val="auto"/>
        </w:rPr>
      </w:pPr>
    </w:p>
    <w:p>
      <w:pPr>
        <w:ind w:right="260"/>
        <w:spacing w:after="0" w:line="230" w:lineRule="auto"/>
        <w:rPr>
          <w:sz w:val="20"/>
          <w:szCs w:val="20"/>
          <w:color w:val="auto"/>
        </w:rPr>
      </w:pPr>
      <w:r>
        <w:rPr>
          <w:rFonts w:ascii="Arial" w:cs="Arial" w:eastAsia="Arial" w:hAnsi="Arial"/>
          <w:sz w:val="18"/>
          <w:szCs w:val="18"/>
          <w:color w:val="auto"/>
        </w:rPr>
        <w:t>ARDELYX</w:t>
      </w:r>
      <w:r>
        <w:rPr>
          <w:rFonts w:ascii="Arial" w:cs="Arial" w:eastAsia="Arial" w:hAnsi="Arial"/>
          <w:sz w:val="23"/>
          <w:szCs w:val="23"/>
          <w:color w:val="auto"/>
          <w:vertAlign w:val="superscript"/>
        </w:rPr>
        <w:t>®</w:t>
      </w:r>
      <w:r>
        <w:rPr>
          <w:rFonts w:ascii="Arial" w:cs="Arial" w:eastAsia="Arial" w:hAnsi="Arial"/>
          <w:sz w:val="18"/>
          <w:szCs w:val="18"/>
          <w:color w:val="auto"/>
        </w:rPr>
        <w:t>, IBSRELA</w:t>
      </w:r>
      <w:r>
        <w:rPr>
          <w:rFonts w:ascii="Arial" w:cs="Arial" w:eastAsia="Arial" w:hAnsi="Arial"/>
          <w:sz w:val="23"/>
          <w:szCs w:val="23"/>
          <w:color w:val="auto"/>
          <w:vertAlign w:val="superscript"/>
        </w:rPr>
        <w:t>®</w:t>
      </w:r>
      <w:r>
        <w:rPr>
          <w:rFonts w:ascii="Arial" w:cs="Arial" w:eastAsia="Arial" w:hAnsi="Arial"/>
          <w:sz w:val="18"/>
          <w:szCs w:val="18"/>
          <w:color w:val="auto"/>
        </w:rPr>
        <w:t>, and XPHOZAH</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xml:space="preserve"> are trademarks of Ardelyx. All other trademarks, trade names and service marks appearing in this Quarterly Report on Form 10-Q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175"/>
        </w:trPr>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80" w:type="dxa"/>
            <w:vAlign w:val="bottom"/>
            <w:tcBorders>
              <w:bottom w:val="single" w:sz="8" w:color="0000FF"/>
            </w:tcBorders>
            <w:gridSpan w:val="8"/>
          </w:tcPr>
          <w:p>
            <w:pPr>
              <w:jc w:val="center"/>
              <w:spacing w:after="0" w:line="176" w:lineRule="exact"/>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FINANCIAL INFORMATION</w:t>
              </w:r>
            </w:hyperlink>
          </w:p>
        </w:tc>
        <w:tc>
          <w:tcPr>
            <w:tcW w:w="356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r>
      <w:tr>
        <w:trPr>
          <w:trHeight w:val="466"/>
        </w:trPr>
        <w:tc>
          <w:tcPr>
            <w:tcW w:w="212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Item 1. Financial Statements:</w:t>
              </w:r>
            </w:hyperlink>
          </w:p>
        </w:tc>
        <w:tc>
          <w:tcPr>
            <w:tcW w:w="8080" w:type="dxa"/>
            <w:vAlign w:val="bottom"/>
            <w:gridSpan w:val="14"/>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9"/>
        </w:trPr>
        <w:tc>
          <w:tcPr>
            <w:tcW w:w="560" w:type="dxa"/>
            <w:vAlign w:val="bottom"/>
          </w:tcPr>
          <w:p>
            <w:pPr>
              <w:spacing w:after="0"/>
              <w:rPr>
                <w:sz w:val="18"/>
                <w:szCs w:val="18"/>
                <w:color w:val="auto"/>
              </w:rPr>
            </w:pPr>
          </w:p>
        </w:tc>
        <w:tc>
          <w:tcPr>
            <w:tcW w:w="9640" w:type="dxa"/>
            <w:vAlign w:val="bottom"/>
            <w:gridSpan w:val="20"/>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Balance Sheets (unaudited)</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6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5380" w:type="dxa"/>
            <w:vAlign w:val="bottom"/>
            <w:tcBorders>
              <w:bottom w:val="single" w:sz="8" w:color="0000FF"/>
            </w:tcBorders>
            <w:gridSpan w:val="16"/>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Statements of Operations and Comprehensive Loss (unaudited)</w:t>
              </w:r>
            </w:hyperlink>
          </w:p>
        </w:tc>
        <w:tc>
          <w:tcPr>
            <w:tcW w:w="4260" w:type="dxa"/>
            <w:vAlign w:val="bottom"/>
            <w:gridSpan w:val="4"/>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560" w:type="dxa"/>
            <w:vAlign w:val="bottom"/>
          </w:tcPr>
          <w:p>
            <w:pPr>
              <w:spacing w:after="0"/>
              <w:rPr>
                <w:sz w:val="18"/>
                <w:szCs w:val="18"/>
                <w:color w:val="auto"/>
              </w:rPr>
            </w:pPr>
          </w:p>
        </w:tc>
        <w:tc>
          <w:tcPr>
            <w:tcW w:w="9640" w:type="dxa"/>
            <w:vAlign w:val="bottom"/>
            <w:gridSpan w:val="20"/>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Statements of Changes in Stockholders' Equity (unaudited)</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9"/>
        </w:trPr>
        <w:tc>
          <w:tcPr>
            <w:tcW w:w="560" w:type="dxa"/>
            <w:vAlign w:val="bottom"/>
          </w:tcPr>
          <w:p>
            <w:pPr>
              <w:spacing w:after="0"/>
              <w:rPr>
                <w:sz w:val="18"/>
                <w:szCs w:val="18"/>
                <w:color w:val="auto"/>
              </w:rPr>
            </w:pPr>
          </w:p>
        </w:tc>
        <w:tc>
          <w:tcPr>
            <w:tcW w:w="5060" w:type="dxa"/>
            <w:vAlign w:val="bottom"/>
            <w:tcBorders>
              <w:top w:val="single" w:sz="8" w:color="0000FF"/>
            </w:tcBorders>
            <w:gridSpan w:val="15"/>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Statements of Cash Flows (unaudited)</w:t>
              </w:r>
            </w:hyperlink>
          </w:p>
        </w:tc>
        <w:tc>
          <w:tcPr>
            <w:tcW w:w="4580" w:type="dxa"/>
            <w:vAlign w:val="bottom"/>
            <w:gridSpan w:val="5"/>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56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9640" w:type="dxa"/>
            <w:vAlign w:val="bottom"/>
            <w:gridSpan w:val="20"/>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Condensed Financial Statements (unaudited)</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5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7020" w:type="dxa"/>
            <w:vAlign w:val="bottom"/>
            <w:tcBorders>
              <w:bottom w:val="single" w:sz="8" w:color="0000FF"/>
            </w:tcBorders>
            <w:gridSpan w:val="20"/>
          </w:tcPr>
          <w:p>
            <w:pPr>
              <w:spacing w:after="0"/>
              <w:rPr>
                <w:rFonts w:ascii="Arial" w:cs="Arial" w:eastAsia="Arial" w:hAnsi="Arial"/>
                <w:sz w:val="18"/>
                <w:szCs w:val="18"/>
                <w:color w:val="0000FF"/>
                <w:w w:val="91"/>
              </w:rPr>
            </w:pPr>
            <w:hyperlink w:anchor="page24">
              <w:r>
                <w:rPr>
                  <w:rFonts w:ascii="Arial" w:cs="Arial" w:eastAsia="Arial" w:hAnsi="Arial"/>
                  <w:sz w:val="18"/>
                  <w:szCs w:val="18"/>
                  <w:color w:val="0000FF"/>
                  <w:w w:val="91"/>
                </w:rPr>
                <w:t>Item 2. Management’s Discussion and Analysis of Financial Condition and Results of Operations</w:t>
              </w:r>
            </w:hyperlink>
          </w:p>
        </w:tc>
        <w:tc>
          <w:tcPr>
            <w:tcW w:w="3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9"/>
        </w:trPr>
        <w:tc>
          <w:tcPr>
            <w:tcW w:w="10200" w:type="dxa"/>
            <w:vAlign w:val="bottom"/>
            <w:gridSpan w:val="21"/>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3. Quantitative and Qualitative Disclosures About Market Risk</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0200" w:type="dxa"/>
            <w:vAlign w:val="bottom"/>
            <w:gridSpan w:val="21"/>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4. Controls and Procedures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46"/>
        </w:trPr>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40" w:type="dxa"/>
            <w:vAlign w:val="bottom"/>
            <w:gridSpan w:val="10"/>
          </w:tcPr>
          <w:p>
            <w:pPr>
              <w:jc w:val="center"/>
              <w:ind w:right="3560"/>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PART II. OTHER INFORMATION</w:t>
              </w:r>
            </w:hyperlink>
          </w:p>
        </w:tc>
        <w:tc>
          <w:tcPr>
            <w:tcW w:w="1000" w:type="dxa"/>
            <w:vAlign w:val="bottom"/>
          </w:tcPr>
          <w:p>
            <w:pPr>
              <w:spacing w:after="0"/>
              <w:rPr>
                <w:sz w:val="24"/>
                <w:szCs w:val="24"/>
                <w:color w:val="auto"/>
              </w:rPr>
            </w:pPr>
          </w:p>
        </w:tc>
      </w:tr>
      <w:tr>
        <w:trPr>
          <w:trHeight w:val="466"/>
        </w:trPr>
        <w:tc>
          <w:tcPr>
            <w:tcW w:w="190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Item 1. Legal Proceedings</w:t>
              </w:r>
            </w:hyperlink>
          </w:p>
        </w:tc>
        <w:tc>
          <w:tcPr>
            <w:tcW w:w="1820" w:type="dxa"/>
            <w:vAlign w:val="bottom"/>
            <w:gridSpan w:val="6"/>
          </w:tcPr>
          <w:p>
            <w:pPr>
              <w:spacing w:after="0"/>
              <w:rPr>
                <w:sz w:val="24"/>
                <w:szCs w:val="24"/>
                <w:color w:val="auto"/>
              </w:rPr>
            </w:pPr>
          </w:p>
        </w:tc>
        <w:tc>
          <w:tcPr>
            <w:tcW w:w="2760" w:type="dxa"/>
            <w:vAlign w:val="bottom"/>
            <w:tcBorders>
              <w:top w:val="single" w:sz="8" w:color="0000FF"/>
            </w:tcBorders>
            <w:gridSpan w:val="6"/>
          </w:tcPr>
          <w:p>
            <w:pPr>
              <w:spacing w:after="0"/>
              <w:rPr>
                <w:sz w:val="24"/>
                <w:szCs w:val="24"/>
                <w:color w:val="auto"/>
              </w:rPr>
            </w:pPr>
          </w:p>
        </w:tc>
        <w:tc>
          <w:tcPr>
            <w:tcW w:w="3720" w:type="dxa"/>
            <w:vAlign w:val="bottom"/>
            <w:gridSpan w:val="3"/>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9"/>
        </w:trPr>
        <w:tc>
          <w:tcPr>
            <w:tcW w:w="160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36">
              <w:r>
                <w:rPr>
                  <w:rFonts w:ascii="Arial" w:cs="Arial" w:eastAsia="Arial" w:hAnsi="Arial"/>
                  <w:sz w:val="18"/>
                  <w:szCs w:val="18"/>
                  <w:color w:val="0000FF"/>
                  <w:w w:val="91"/>
                </w:rPr>
                <w:t>Item 1A. Risk Factors</w:t>
              </w:r>
            </w:hyperlink>
          </w:p>
        </w:tc>
        <w:tc>
          <w:tcPr>
            <w:tcW w:w="8600" w:type="dxa"/>
            <w:vAlign w:val="bottom"/>
            <w:gridSpan w:val="17"/>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9"/>
        </w:trPr>
        <w:tc>
          <w:tcPr>
            <w:tcW w:w="10200" w:type="dxa"/>
            <w:vAlign w:val="bottom"/>
            <w:gridSpan w:val="21"/>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Item 2. Unregistered Sales of Equity Securities and Use of Proceeds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9"/>
        </w:trPr>
        <w:tc>
          <w:tcPr>
            <w:tcW w:w="4900" w:type="dxa"/>
            <w:vAlign w:val="bottom"/>
            <w:tcBorders>
              <w:top w:val="single" w:sz="8" w:color="0000FF"/>
            </w:tcBorders>
            <w:gridSpan w:val="15"/>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Item 3. Defaults Upon Senior Securities</w:t>
              </w:r>
            </w:hyperlink>
          </w:p>
        </w:tc>
        <w:tc>
          <w:tcPr>
            <w:tcW w:w="5300" w:type="dxa"/>
            <w:vAlign w:val="bottom"/>
            <w:gridSpan w:val="6"/>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9"/>
        </w:trPr>
        <w:tc>
          <w:tcPr>
            <w:tcW w:w="2880" w:type="dxa"/>
            <w:vAlign w:val="bottom"/>
            <w:tcBorders>
              <w:top w:val="single" w:sz="8" w:color="0000FF"/>
            </w:tcBorders>
            <w:gridSpan w:val="9"/>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Item 4. Mine Safety Disclosures</w:t>
              </w:r>
            </w:hyperlink>
          </w:p>
        </w:tc>
        <w:tc>
          <w:tcPr>
            <w:tcW w:w="7320" w:type="dxa"/>
            <w:vAlign w:val="bottom"/>
            <w:gridSpan w:val="12"/>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0"/>
        </w:trPr>
        <w:tc>
          <w:tcPr>
            <w:tcW w:w="188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2"/>
              </w:rPr>
            </w:pPr>
            <w:hyperlink w:anchor="page69">
              <w:r>
                <w:rPr>
                  <w:rFonts w:ascii="Arial" w:cs="Arial" w:eastAsia="Arial" w:hAnsi="Arial"/>
                  <w:sz w:val="18"/>
                  <w:szCs w:val="18"/>
                  <w:color w:val="0000FF"/>
                  <w:w w:val="92"/>
                </w:rPr>
                <w:t>Item 5. Other Information</w:t>
              </w:r>
            </w:hyperlink>
          </w:p>
        </w:tc>
        <w:tc>
          <w:tcPr>
            <w:tcW w:w="440" w:type="dxa"/>
            <w:vAlign w:val="bottom"/>
            <w:tcBorders>
              <w:top w:val="single" w:sz="8" w:color="0000FF"/>
            </w:tcBorders>
            <w:gridSpan w:val="3"/>
          </w:tcPr>
          <w:p>
            <w:pPr>
              <w:spacing w:after="0"/>
              <w:rPr>
                <w:sz w:val="18"/>
                <w:szCs w:val="18"/>
                <w:color w:val="auto"/>
              </w:rPr>
            </w:pPr>
          </w:p>
        </w:tc>
        <w:tc>
          <w:tcPr>
            <w:tcW w:w="7880" w:type="dxa"/>
            <w:vAlign w:val="bottom"/>
            <w:gridSpan w:val="13"/>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9"/>
        </w:trPr>
        <w:tc>
          <w:tcPr>
            <w:tcW w:w="10200" w:type="dxa"/>
            <w:vAlign w:val="bottom"/>
            <w:gridSpan w:val="21"/>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Item 6. Exhibits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0"/>
        </w:trPr>
        <w:tc>
          <w:tcPr>
            <w:tcW w:w="1160" w:type="dxa"/>
            <w:vAlign w:val="bottom"/>
            <w:tcBorders>
              <w:top w:val="single" w:sz="8" w:color="0000FF"/>
            </w:tcBorders>
            <w:gridSpan w:val="3"/>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Signatures</w:t>
              </w:r>
            </w:hyperlink>
          </w:p>
        </w:tc>
        <w:tc>
          <w:tcPr>
            <w:tcW w:w="9040" w:type="dxa"/>
            <w:vAlign w:val="bottom"/>
            <w:gridSpan w:val="18"/>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5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FINANCIAL INFORMATION</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0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140" w:type="dxa"/>
            <w:vAlign w:val="bottom"/>
          </w:tcPr>
          <w:p>
            <w:pPr>
              <w:spacing w:after="0"/>
              <w:rPr>
                <w:sz w:val="24"/>
                <w:szCs w:val="24"/>
                <w:color w:val="auto"/>
              </w:rPr>
            </w:pPr>
          </w:p>
        </w:tc>
        <w:tc>
          <w:tcPr>
            <w:tcW w:w="7100" w:type="dxa"/>
            <w:vAlign w:val="bottom"/>
          </w:tcPr>
          <w:p>
            <w:pPr>
              <w:jc w:val="center"/>
              <w:ind w:left="1790"/>
              <w:spacing w:after="0"/>
              <w:rPr>
                <w:sz w:val="20"/>
                <w:szCs w:val="20"/>
                <w:color w:val="auto"/>
              </w:rPr>
            </w:pPr>
            <w:r>
              <w:rPr>
                <w:rFonts w:ascii="Arial" w:cs="Arial" w:eastAsia="Arial" w:hAnsi="Arial"/>
                <w:sz w:val="18"/>
                <w:szCs w:val="18"/>
                <w:b w:val="1"/>
                <w:bCs w:val="1"/>
                <w:color w:val="auto"/>
              </w:rPr>
              <w:t>ARDELYX, INC.</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100" w:type="dxa"/>
            <w:vAlign w:val="bottom"/>
          </w:tcPr>
          <w:p>
            <w:pPr>
              <w:jc w:val="center"/>
              <w:ind w:left="1770"/>
              <w:spacing w:after="0"/>
              <w:rPr>
                <w:sz w:val="20"/>
                <w:szCs w:val="20"/>
                <w:color w:val="auto"/>
              </w:rPr>
            </w:pPr>
            <w:r>
              <w:rPr>
                <w:rFonts w:ascii="Arial" w:cs="Arial" w:eastAsia="Arial" w:hAnsi="Arial"/>
                <w:sz w:val="18"/>
                <w:szCs w:val="18"/>
                <w:b w:val="1"/>
                <w:bCs w:val="1"/>
                <w:color w:val="auto"/>
                <w:w w:val="98"/>
              </w:rPr>
              <w:t>CONDENSED BALANCE SHEETS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7100" w:type="dxa"/>
            <w:vAlign w:val="bottom"/>
          </w:tcPr>
          <w:p>
            <w:pPr>
              <w:jc w:val="center"/>
              <w:ind w:left="179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1240" w:type="dxa"/>
            <w:vAlign w:val="bottom"/>
          </w:tcPr>
          <w:p>
            <w:pPr>
              <w:jc w:val="right"/>
              <w:ind w:right="2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1140" w:type="dxa"/>
            <w:vAlign w:val="bottom"/>
            <w:tcBorders>
              <w:bottom w:val="single" w:sz="8" w:color="CCEEFF"/>
            </w:tcBorders>
          </w:tcPr>
          <w:p>
            <w:pPr>
              <w:spacing w:after="0"/>
              <w:rPr>
                <w:sz w:val="16"/>
                <w:szCs w:val="16"/>
                <w:color w:val="auto"/>
              </w:rPr>
            </w:pPr>
          </w:p>
        </w:tc>
        <w:tc>
          <w:tcPr>
            <w:tcW w:w="7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1140" w:type="dxa"/>
            <w:vAlign w:val="bottom"/>
            <w:shd w:val="clear" w:color="auto" w:fill="CCEEFF"/>
          </w:tcPr>
          <w:p>
            <w:pPr>
              <w:spacing w:after="0"/>
              <w:rPr>
                <w:sz w:val="19"/>
                <w:szCs w:val="19"/>
                <w:color w:val="auto"/>
              </w:rPr>
            </w:pPr>
          </w:p>
        </w:tc>
        <w:tc>
          <w:tcPr>
            <w:tcW w:w="7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right="111"/>
              <w:spacing w:after="0"/>
              <w:rPr>
                <w:sz w:val="20"/>
                <w:szCs w:val="20"/>
                <w:color w:val="auto"/>
              </w:rPr>
            </w:pPr>
            <w:r>
              <w:rPr>
                <w:rFonts w:ascii="Arial" w:cs="Arial" w:eastAsia="Arial" w:hAnsi="Arial"/>
                <w:sz w:val="18"/>
                <w:szCs w:val="18"/>
                <w:color w:val="auto"/>
                <w:w w:val="93"/>
              </w:rPr>
              <w:t>(Unaudited)</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7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Current assets:</w:t>
            </w:r>
          </w:p>
        </w:tc>
        <w:tc>
          <w:tcPr>
            <w:tcW w:w="7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47,077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72,428</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44,261</w:t>
            </w:r>
          </w:p>
        </w:tc>
        <w:tc>
          <w:tcPr>
            <w:tcW w:w="0" w:type="dxa"/>
            <w:vAlign w:val="bottom"/>
          </w:tcPr>
          <w:p>
            <w:pPr>
              <w:spacing w:after="0"/>
              <w:rPr>
                <w:sz w:val="1"/>
                <w:szCs w:val="1"/>
                <w:color w:val="auto"/>
              </w:rPr>
            </w:pPr>
          </w:p>
        </w:tc>
      </w:tr>
      <w:tr>
        <w:trPr>
          <w:trHeight w:val="229"/>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9"/>
        </w:trPr>
        <w:tc>
          <w:tcPr>
            <w:tcW w:w="1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7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16,458</w:t>
            </w:r>
          </w:p>
        </w:tc>
        <w:tc>
          <w:tcPr>
            <w:tcW w:w="0" w:type="dxa"/>
            <w:vAlign w:val="bottom"/>
          </w:tcPr>
          <w:p>
            <w:pPr>
              <w:spacing w:after="0"/>
              <w:rPr>
                <w:sz w:val="1"/>
                <w:szCs w:val="1"/>
                <w:color w:val="auto"/>
              </w:rPr>
            </w:pPr>
          </w:p>
        </w:tc>
      </w:tr>
      <w:tr>
        <w:trPr>
          <w:trHeight w:val="223"/>
        </w:trPr>
        <w:tc>
          <w:tcPr>
            <w:tcW w:w="8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133,649</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Right-of-use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12,752</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29"/>
        </w:trPr>
        <w:tc>
          <w:tcPr>
            <w:tcW w:w="1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7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149,913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5,030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4,277</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0" w:type="dxa"/>
            <w:vAlign w:val="bottom"/>
          </w:tcPr>
          <w:p>
            <w:pPr>
              <w:spacing w:after="0"/>
              <w:rPr>
                <w:sz w:val="1"/>
                <w:szCs w:val="1"/>
                <w:color w:val="auto"/>
              </w:rPr>
            </w:pPr>
          </w:p>
        </w:tc>
      </w:tr>
      <w:tr>
        <w:trPr>
          <w:trHeight w:val="230"/>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26,139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32,264</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Current portion of operating lease liability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7,366</w:t>
            </w:r>
          </w:p>
        </w:tc>
        <w:tc>
          <w:tcPr>
            <w:tcW w:w="0" w:type="dxa"/>
            <w:vAlign w:val="bottom"/>
          </w:tcPr>
          <w:p>
            <w:pPr>
              <w:spacing w:after="0"/>
              <w:rPr>
                <w:sz w:val="1"/>
                <w:szCs w:val="1"/>
                <w:color w:val="auto"/>
              </w:rPr>
            </w:pPr>
          </w:p>
        </w:tc>
      </w:tr>
      <w:tr>
        <w:trPr>
          <w:trHeight w:val="223"/>
        </w:trPr>
        <w:tc>
          <w:tcPr>
            <w:tcW w:w="8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52,821</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liability, net of current portion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9,748</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67,296</w:t>
            </w:r>
          </w:p>
        </w:tc>
        <w:tc>
          <w:tcPr>
            <w:tcW w:w="0" w:type="dxa"/>
            <w:vAlign w:val="bottom"/>
          </w:tcPr>
          <w:p>
            <w:pPr>
              <w:spacing w:after="0"/>
              <w:rPr>
                <w:sz w:val="1"/>
                <w:szCs w:val="1"/>
                <w:color w:val="auto"/>
              </w:rPr>
            </w:pPr>
          </w:p>
        </w:tc>
      </w:tr>
      <w:tr>
        <w:trPr>
          <w:trHeight w:val="21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13)</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gridSpan w:val="2"/>
            <w:shd w:val="clear" w:color="auto" w:fill="CCEEFF"/>
          </w:tcPr>
          <w:p>
            <w:pPr>
              <w:ind w:left="40"/>
              <w:spacing w:after="0" w:line="176" w:lineRule="exact"/>
              <w:rPr>
                <w:sz w:val="20"/>
                <w:szCs w:val="20"/>
                <w:color w:val="auto"/>
              </w:rPr>
            </w:pPr>
            <w:r>
              <w:rPr>
                <w:rFonts w:ascii="Arial" w:cs="Arial" w:eastAsia="Arial" w:hAnsi="Arial"/>
                <w:sz w:val="18"/>
                <w:szCs w:val="18"/>
                <w:color w:val="auto"/>
                <w:w w:val="97"/>
              </w:rPr>
              <w:t>Preferred stock, $0.0001 par value; 5,000,000 shares authorized; no shares issued and outstanding as of</w:t>
            </w:r>
          </w:p>
        </w:tc>
        <w:tc>
          <w:tcPr>
            <w:tcW w:w="20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March 31, 2022 and December 31, 2021, respectively.</w:t>
            </w:r>
          </w:p>
        </w:tc>
        <w:tc>
          <w:tcPr>
            <w:tcW w:w="20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40" w:type="dxa"/>
            <w:vAlign w:val="bottom"/>
            <w:gridSpan w:val="2"/>
          </w:tcPr>
          <w:p>
            <w:pPr>
              <w:ind w:left="40"/>
              <w:spacing w:after="0" w:line="176" w:lineRule="exact"/>
              <w:rPr>
                <w:sz w:val="20"/>
                <w:szCs w:val="20"/>
                <w:color w:val="auto"/>
              </w:rPr>
            </w:pPr>
            <w:r>
              <w:rPr>
                <w:rFonts w:ascii="Arial" w:cs="Arial" w:eastAsia="Arial" w:hAnsi="Arial"/>
                <w:sz w:val="18"/>
                <w:szCs w:val="18"/>
                <w:color w:val="auto"/>
                <w:w w:val="91"/>
              </w:rPr>
              <w:t>Common stock, $0.0001 par value; 300,000,000 shares authorized; 136,330,360 and 130,182,535 shares issued</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and outstanding as of March 31, 2022 and December 31, 2021, respectively.</w:t>
            </w: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805,265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795,540</w:t>
            </w:r>
          </w:p>
        </w:tc>
        <w:tc>
          <w:tcPr>
            <w:tcW w:w="0" w:type="dxa"/>
            <w:vAlign w:val="bottom"/>
          </w:tcPr>
          <w:p>
            <w:pPr>
              <w:spacing w:after="0"/>
              <w:rPr>
                <w:sz w:val="1"/>
                <w:szCs w:val="1"/>
                <w:color w:val="auto"/>
              </w:rPr>
            </w:pPr>
          </w:p>
        </w:tc>
      </w:tr>
      <w:tr>
        <w:trPr>
          <w:trHeight w:val="230"/>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(741,001)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(712,930)</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82,617</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149,913</w:t>
            </w: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7"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6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supply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6140" w:type="dxa"/>
            <w:vAlign w:val="bottom"/>
          </w:tcPr>
          <w:p>
            <w:pPr>
              <w:ind w:left="140"/>
              <w:spacing w:after="0"/>
              <w:rPr>
                <w:sz w:val="20"/>
                <w:szCs w:val="20"/>
                <w:color w:val="auto"/>
              </w:rPr>
            </w:pPr>
            <w:r>
              <w:rPr>
                <w:rFonts w:ascii="Arial" w:cs="Arial" w:eastAsia="Arial" w:hAnsi="Arial"/>
                <w:sz w:val="18"/>
                <w:szCs w:val="18"/>
                <w:color w:val="auto"/>
              </w:rPr>
              <w:t>Licensing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Collaborative development revenue</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23"/>
        </w:trPr>
        <w:tc>
          <w:tcPr>
            <w:tcW w:w="61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6,582</w:t>
            </w: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20,456</w:t>
            </w:r>
          </w:p>
        </w:tc>
        <w:tc>
          <w:tcPr>
            <w:tcW w:w="0" w:type="dxa"/>
            <w:vAlign w:val="bottom"/>
          </w:tcPr>
          <w:p>
            <w:pPr>
              <w:spacing w:after="0"/>
              <w:rPr>
                <w:sz w:val="1"/>
                <w:szCs w:val="1"/>
                <w:color w:val="auto"/>
              </w:rPr>
            </w:pPr>
          </w:p>
        </w:tc>
      </w:tr>
      <w:tr>
        <w:trPr>
          <w:trHeight w:val="229"/>
        </w:trPr>
        <w:tc>
          <w:tcPr>
            <w:tcW w:w="6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17,131</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38,587</w:t>
            </w:r>
          </w:p>
        </w:tc>
        <w:tc>
          <w:tcPr>
            <w:tcW w:w="0" w:type="dxa"/>
            <w:vAlign w:val="bottom"/>
          </w:tcPr>
          <w:p>
            <w:pPr>
              <w:spacing w:after="0"/>
              <w:rPr>
                <w:sz w:val="1"/>
                <w:szCs w:val="1"/>
                <w:color w:val="auto"/>
              </w:rPr>
            </w:pPr>
          </w:p>
        </w:tc>
      </w:tr>
      <w:tr>
        <w:trPr>
          <w:trHeight w:val="223"/>
        </w:trPr>
        <w:tc>
          <w:tcPr>
            <w:tcW w:w="6140" w:type="dxa"/>
            <w:vAlign w:val="bottom"/>
          </w:tcPr>
          <w:p>
            <w:pPr>
              <w:ind w:left="140"/>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(32,005)</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29"/>
        </w:trPr>
        <w:tc>
          <w:tcPr>
            <w:tcW w:w="6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(33,154)</w:t>
            </w:r>
          </w:p>
        </w:tc>
        <w:tc>
          <w:tcPr>
            <w:tcW w:w="0" w:type="dxa"/>
            <w:vAlign w:val="bottom"/>
          </w:tcPr>
          <w:p>
            <w:pPr>
              <w:spacing w:after="0"/>
              <w:rPr>
                <w:sz w:val="1"/>
                <w:szCs w:val="1"/>
                <w:color w:val="auto"/>
              </w:rPr>
            </w:pPr>
          </w:p>
        </w:tc>
      </w:tr>
      <w:tr>
        <w:trPr>
          <w:trHeight w:val="229"/>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(33,155)</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40" w:type="dxa"/>
            <w:vAlign w:val="bottom"/>
          </w:tcPr>
          <w:p>
            <w:pPr>
              <w:ind w:left="20"/>
              <w:spacing w:after="0" w:line="203" w:lineRule="exact"/>
              <w:rPr>
                <w:sz w:val="20"/>
                <w:szCs w:val="20"/>
                <w:color w:val="auto"/>
              </w:rPr>
            </w:pPr>
            <w:r>
              <w:rPr>
                <w:rFonts w:ascii="Arial" w:cs="Arial" w:eastAsia="Arial" w:hAnsi="Arial"/>
                <w:sz w:val="18"/>
                <w:szCs w:val="18"/>
                <w:color w:val="auto"/>
              </w:rPr>
              <w:t>Net loss per common share, basic and diluted</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used in computing net loss per share - basic and diluted</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130,934,795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97,179,241</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Comprehensive loss: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(33,155)</w:t>
            </w:r>
          </w:p>
        </w:tc>
        <w:tc>
          <w:tcPr>
            <w:tcW w:w="0" w:type="dxa"/>
            <w:vAlign w:val="bottom"/>
          </w:tcPr>
          <w:p>
            <w:pPr>
              <w:spacing w:after="0"/>
              <w:rPr>
                <w:sz w:val="1"/>
                <w:szCs w:val="1"/>
                <w:color w:val="auto"/>
              </w:rPr>
            </w:pPr>
          </w:p>
        </w:tc>
      </w:tr>
      <w:tr>
        <w:trPr>
          <w:trHeight w:val="230"/>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Unrealized losses on available-for-sale securities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(33,158)</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341" w:right="13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STATEMENTS OF CHANGES IN STOCKHOLDERS’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Months ended March 31, 2022 and 2021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5"/>
              </w:rPr>
              <w:t>Three Months Ended March 31, 2022</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2200" w:type="dxa"/>
            <w:vAlign w:val="bottom"/>
            <w:gridSpan w:val="3"/>
          </w:tcPr>
          <w:p>
            <w:pPr>
              <w:jc w:val="right"/>
              <w:ind w:right="396"/>
              <w:spacing w:after="0" w:line="148" w:lineRule="exact"/>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14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gridSpan w:val="2"/>
            <w:vMerge w:val="restart"/>
          </w:tcPr>
          <w:p>
            <w:pPr>
              <w:jc w:val="center"/>
              <w:ind w:right="280"/>
              <w:spacing w:after="0" w:line="122"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4"/>
                <w:szCs w:val="4"/>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4"/>
                <w:szCs w:val="4"/>
                <w:color w:val="auto"/>
              </w:rPr>
            </w:pPr>
          </w:p>
        </w:tc>
        <w:tc>
          <w:tcPr>
            <w:tcW w:w="1420" w:type="dxa"/>
            <w:vAlign w:val="bottom"/>
            <w:gridSpan w:val="2"/>
            <w:vMerge w:val="restart"/>
          </w:tcPr>
          <w:p>
            <w:pPr>
              <w:jc w:val="center"/>
              <w:ind w:right="280"/>
              <w:spacing w:after="0" w:line="122"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4"/>
                <w:szCs w:val="4"/>
                <w:color w:val="auto"/>
              </w:rPr>
            </w:pPr>
          </w:p>
        </w:tc>
        <w:tc>
          <w:tcPr>
            <w:tcW w:w="1060" w:type="dxa"/>
            <w:vAlign w:val="bottom"/>
            <w:vMerge w:val="restart"/>
          </w:tcPr>
          <w:p>
            <w:pPr>
              <w:jc w:val="center"/>
              <w:ind w:right="55"/>
              <w:spacing w:after="0" w:line="122"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48"/>
        </w:trPr>
        <w:tc>
          <w:tcPr>
            <w:tcW w:w="3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13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106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8"/>
        </w:trPr>
        <w:tc>
          <w:tcPr>
            <w:tcW w:w="3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6"/>
                <w:szCs w:val="16"/>
                <w:color w:val="auto"/>
              </w:rPr>
            </w:pPr>
          </w:p>
        </w:tc>
        <w:tc>
          <w:tcPr>
            <w:tcW w:w="1060" w:type="dxa"/>
            <w:vAlign w:val="bottom"/>
          </w:tcPr>
          <w:p>
            <w:pPr>
              <w:jc w:val="center"/>
              <w:ind w:right="3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4"/>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130,182,535</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795,540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(712,930)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82,617</w:t>
            </w:r>
          </w:p>
        </w:tc>
        <w:tc>
          <w:tcPr>
            <w:tcW w:w="0" w:type="dxa"/>
            <w:vAlign w:val="bottom"/>
          </w:tcPr>
          <w:p>
            <w:pPr>
              <w:spacing w:after="0"/>
              <w:rPr>
                <w:sz w:val="1"/>
                <w:szCs w:val="1"/>
                <w:color w:val="auto"/>
              </w:rPr>
            </w:pPr>
          </w:p>
        </w:tc>
      </w:tr>
      <w:tr>
        <w:trPr>
          <w:trHeight w:val="176"/>
        </w:trPr>
        <w:tc>
          <w:tcPr>
            <w:tcW w:w="3140" w:type="dxa"/>
            <w:vAlign w:val="bottom"/>
          </w:tcPr>
          <w:p>
            <w:pPr>
              <w:ind w:left="140"/>
              <w:spacing w:after="0" w:line="176" w:lineRule="exact"/>
              <w:rPr>
                <w:sz w:val="20"/>
                <w:szCs w:val="20"/>
                <w:color w:val="auto"/>
              </w:rPr>
            </w:pPr>
            <w:r>
              <w:rPr>
                <w:rFonts w:ascii="Arial" w:cs="Arial" w:eastAsia="Arial" w:hAnsi="Arial"/>
                <w:sz w:val="18"/>
                <w:szCs w:val="18"/>
                <w:color w:val="auto"/>
              </w:rPr>
              <w:t>Issuance of common stock under</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127,100</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420" w:type="dxa"/>
            <w:vAlign w:val="bottom"/>
            <w:gridSpan w:val="2"/>
            <w:vMerge w:val="restart"/>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3140" w:type="dxa"/>
            <w:vAlign w:val="bottom"/>
          </w:tcPr>
          <w:p>
            <w:pPr>
              <w:ind w:left="140"/>
              <w:spacing w:after="0"/>
              <w:rPr>
                <w:sz w:val="20"/>
                <w:szCs w:val="20"/>
                <w:color w:val="auto"/>
              </w:rPr>
            </w:pPr>
            <w:r>
              <w:rPr>
                <w:rFonts w:ascii="Arial" w:cs="Arial" w:eastAsia="Arial" w:hAnsi="Arial"/>
                <w:sz w:val="18"/>
                <w:szCs w:val="18"/>
                <w:color w:val="auto"/>
              </w:rPr>
              <w:t>employee stock purchase plan</w:t>
            </w: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Issuance of common stock upon vesting</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113,469</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restricted stock units</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40" w:type="dxa"/>
            <w:vAlign w:val="bottom"/>
          </w:tcPr>
          <w:p>
            <w:pPr>
              <w:ind w:left="140"/>
              <w:spacing w:after="0" w:line="176" w:lineRule="exact"/>
              <w:rPr>
                <w:sz w:val="20"/>
                <w:szCs w:val="20"/>
                <w:color w:val="auto"/>
              </w:rPr>
            </w:pPr>
            <w:r>
              <w:rPr>
                <w:rFonts w:ascii="Arial" w:cs="Arial" w:eastAsia="Arial" w:hAnsi="Arial"/>
                <w:sz w:val="18"/>
                <w:szCs w:val="18"/>
                <w:color w:val="auto"/>
              </w:rPr>
              <w:t>Issuance of common stock in at the</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5,907,256</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5,920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420" w:type="dxa"/>
            <w:vAlign w:val="bottom"/>
            <w:gridSpan w:val="2"/>
            <w:vMerge w:val="restart"/>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5,921</w:t>
            </w:r>
          </w:p>
        </w:tc>
        <w:tc>
          <w:tcPr>
            <w:tcW w:w="0" w:type="dxa"/>
            <w:vAlign w:val="bottom"/>
          </w:tcPr>
          <w:p>
            <w:pPr>
              <w:spacing w:after="0"/>
              <w:rPr>
                <w:sz w:val="1"/>
                <w:szCs w:val="1"/>
                <w:color w:val="auto"/>
              </w:rPr>
            </w:pPr>
          </w:p>
        </w:tc>
      </w:tr>
      <w:tr>
        <w:trPr>
          <w:trHeight w:val="229"/>
        </w:trPr>
        <w:tc>
          <w:tcPr>
            <w:tcW w:w="3140" w:type="dxa"/>
            <w:vAlign w:val="bottom"/>
          </w:tcPr>
          <w:p>
            <w:pPr>
              <w:ind w:left="140"/>
              <w:spacing w:after="0"/>
              <w:rPr>
                <w:sz w:val="20"/>
                <w:szCs w:val="20"/>
                <w:color w:val="auto"/>
              </w:rPr>
            </w:pPr>
            <w:r>
              <w:rPr>
                <w:rFonts w:ascii="Arial" w:cs="Arial" w:eastAsia="Arial" w:hAnsi="Arial"/>
                <w:sz w:val="18"/>
                <w:szCs w:val="18"/>
                <w:color w:val="auto"/>
              </w:rPr>
              <w:t>market offering</w:t>
            </w: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176"/>
        </w:trPr>
        <w:tc>
          <w:tcPr>
            <w:tcW w:w="3140" w:type="dxa"/>
            <w:vAlign w:val="bottom"/>
          </w:tcPr>
          <w:p>
            <w:pPr>
              <w:ind w:left="140"/>
              <w:spacing w:after="0" w:line="176" w:lineRule="exact"/>
              <w:rPr>
                <w:sz w:val="20"/>
                <w:szCs w:val="20"/>
                <w:color w:val="auto"/>
              </w:rPr>
            </w:pPr>
            <w:r>
              <w:rPr>
                <w:rFonts w:ascii="Arial" w:cs="Arial" w:eastAsia="Arial" w:hAnsi="Arial"/>
                <w:sz w:val="18"/>
                <w:szCs w:val="18"/>
                <w:color w:val="auto"/>
                <w:w w:val="96"/>
              </w:rPr>
              <w:t>Unrealized losses on available-for-sale</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5"/>
                <w:szCs w:val="15"/>
                <w:color w:val="auto"/>
              </w:rPr>
            </w:pP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60" w:type="dxa"/>
            <w:vAlign w:val="bottom"/>
            <w:gridSpan w:val="2"/>
            <w:vMerge w:val="restart"/>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314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130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(28,071)</w:t>
            </w:r>
          </w:p>
        </w:tc>
        <w:tc>
          <w:tcPr>
            <w:tcW w:w="0" w:type="dxa"/>
            <w:vAlign w:val="bottom"/>
          </w:tcPr>
          <w:p>
            <w:pPr>
              <w:spacing w:after="0"/>
              <w:rPr>
                <w:sz w:val="1"/>
                <w:szCs w:val="1"/>
                <w:color w:val="auto"/>
              </w:rPr>
            </w:pPr>
          </w:p>
        </w:tc>
      </w:tr>
      <w:tr>
        <w:trPr>
          <w:trHeight w:val="223"/>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Balance as of March 31, 2022</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136,330,360</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805,265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(741,001)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64,190</w:t>
            </w: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9"/>
              </w:rPr>
              <w:t>Three Months Ended March 31, 2021</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2200" w:type="dxa"/>
            <w:vAlign w:val="bottom"/>
            <w:gridSpan w:val="3"/>
          </w:tcPr>
          <w:p>
            <w:pPr>
              <w:jc w:val="right"/>
              <w:ind w:right="396"/>
              <w:spacing w:after="0" w:line="148" w:lineRule="exact"/>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gridSpan w:val="2"/>
            <w:vMerge w:val="restart"/>
          </w:tcPr>
          <w:p>
            <w:pPr>
              <w:jc w:val="center"/>
              <w:ind w:right="340"/>
              <w:spacing w:after="0" w:line="122"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4"/>
                <w:szCs w:val="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4"/>
                <w:szCs w:val="4"/>
                <w:color w:val="auto"/>
              </w:rPr>
            </w:pPr>
          </w:p>
        </w:tc>
        <w:tc>
          <w:tcPr>
            <w:tcW w:w="1460" w:type="dxa"/>
            <w:vAlign w:val="bottom"/>
            <w:gridSpan w:val="2"/>
            <w:vMerge w:val="restart"/>
          </w:tcPr>
          <w:p>
            <w:pPr>
              <w:jc w:val="center"/>
              <w:ind w:right="340"/>
              <w:spacing w:after="0" w:line="122"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4"/>
                <w:szCs w:val="4"/>
                <w:color w:val="auto"/>
              </w:rPr>
            </w:pPr>
          </w:p>
        </w:tc>
        <w:tc>
          <w:tcPr>
            <w:tcW w:w="1040" w:type="dxa"/>
            <w:vAlign w:val="bottom"/>
            <w:vMerge w:val="restart"/>
          </w:tcPr>
          <w:p>
            <w:pPr>
              <w:jc w:val="center"/>
              <w:ind w:right="75"/>
              <w:spacing w:after="0" w:line="122"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48"/>
        </w:trPr>
        <w:tc>
          <w:tcPr>
            <w:tcW w:w="30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3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104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6"/>
                <w:szCs w:val="16"/>
                <w:color w:val="auto"/>
              </w:rPr>
            </w:pPr>
          </w:p>
        </w:tc>
        <w:tc>
          <w:tcPr>
            <w:tcW w:w="1040" w:type="dxa"/>
            <w:vAlign w:val="bottom"/>
          </w:tcPr>
          <w:p>
            <w:pPr>
              <w:jc w:val="center"/>
              <w:ind w:right="5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4"/>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93,599,975</w:t>
            </w:r>
          </w:p>
        </w:tc>
        <w:tc>
          <w:tcPr>
            <w:tcW w:w="16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680,872</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(554,765)</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99"/>
              </w:rPr>
              <w:t>(4)</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126,112</w:t>
            </w:r>
          </w:p>
        </w:tc>
        <w:tc>
          <w:tcPr>
            <w:tcW w:w="0" w:type="dxa"/>
            <w:vAlign w:val="bottom"/>
          </w:tcPr>
          <w:p>
            <w:pPr>
              <w:spacing w:after="0"/>
              <w:rPr>
                <w:sz w:val="1"/>
                <w:szCs w:val="1"/>
                <w:color w:val="auto"/>
              </w:rPr>
            </w:pPr>
          </w:p>
        </w:tc>
      </w:tr>
      <w:tr>
        <w:trPr>
          <w:trHeight w:val="175"/>
        </w:trPr>
        <w:tc>
          <w:tcPr>
            <w:tcW w:w="3020" w:type="dxa"/>
            <w:vAlign w:val="bottom"/>
          </w:tcPr>
          <w:p>
            <w:pPr>
              <w:ind w:left="140"/>
              <w:spacing w:after="0" w:line="176" w:lineRule="exact"/>
              <w:rPr>
                <w:sz w:val="20"/>
                <w:szCs w:val="20"/>
                <w:color w:val="auto"/>
              </w:rPr>
            </w:pPr>
            <w:r>
              <w:rPr>
                <w:rFonts w:ascii="Arial" w:cs="Arial" w:eastAsia="Arial" w:hAnsi="Arial"/>
                <w:sz w:val="18"/>
                <w:szCs w:val="18"/>
                <w:color w:val="auto"/>
              </w:rPr>
              <w:t>Issuance of common stock under</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102,208</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478</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460" w:type="dxa"/>
            <w:vAlign w:val="bottom"/>
            <w:gridSpan w:val="2"/>
            <w:vMerge w:val="restart"/>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30"/>
        </w:trPr>
        <w:tc>
          <w:tcPr>
            <w:tcW w:w="3020" w:type="dxa"/>
            <w:vAlign w:val="bottom"/>
          </w:tcPr>
          <w:p>
            <w:pPr>
              <w:ind w:left="140"/>
              <w:spacing w:after="0"/>
              <w:rPr>
                <w:sz w:val="20"/>
                <w:szCs w:val="20"/>
                <w:color w:val="auto"/>
              </w:rPr>
            </w:pPr>
            <w:r>
              <w:rPr>
                <w:rFonts w:ascii="Arial" w:cs="Arial" w:eastAsia="Arial" w:hAnsi="Arial"/>
                <w:sz w:val="18"/>
                <w:szCs w:val="18"/>
                <w:color w:val="auto"/>
              </w:rPr>
              <w:t>employee stock purchase plan</w:t>
            </w:r>
          </w:p>
        </w:tc>
        <w:tc>
          <w:tcPr>
            <w:tcW w:w="11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Issuance of common stock upon</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10,507</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60" w:type="dxa"/>
            <w:vAlign w:val="bottom"/>
            <w:gridSpan w:val="2"/>
            <w:vMerge w:val="restart"/>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 of options</w:t>
            </w:r>
          </w:p>
        </w:tc>
        <w:tc>
          <w:tcPr>
            <w:tcW w:w="11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20" w:type="dxa"/>
            <w:vAlign w:val="bottom"/>
          </w:tcPr>
          <w:p>
            <w:pPr>
              <w:ind w:left="140"/>
              <w:spacing w:after="0" w:line="176" w:lineRule="exact"/>
              <w:rPr>
                <w:sz w:val="20"/>
                <w:szCs w:val="20"/>
                <w:color w:val="auto"/>
              </w:rPr>
            </w:pPr>
            <w:r>
              <w:rPr>
                <w:rFonts w:ascii="Arial" w:cs="Arial" w:eastAsia="Arial" w:hAnsi="Arial"/>
                <w:sz w:val="18"/>
                <w:szCs w:val="18"/>
                <w:color w:val="auto"/>
              </w:rPr>
              <w:t>Issuance of common stock upon</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35,100</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00" w:type="dxa"/>
            <w:vAlign w:val="bottom"/>
            <w:gridSpan w:val="2"/>
            <w:vMerge w:val="restart"/>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460" w:type="dxa"/>
            <w:vAlign w:val="bottom"/>
            <w:gridSpan w:val="2"/>
            <w:vMerge w:val="restart"/>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20" w:type="dxa"/>
            <w:vAlign w:val="bottom"/>
          </w:tcPr>
          <w:p>
            <w:pPr>
              <w:ind w:left="140"/>
              <w:spacing w:after="0"/>
              <w:rPr>
                <w:sz w:val="20"/>
                <w:szCs w:val="20"/>
                <w:color w:val="auto"/>
              </w:rPr>
            </w:pPr>
            <w:r>
              <w:rPr>
                <w:rFonts w:ascii="Arial" w:cs="Arial" w:eastAsia="Arial" w:hAnsi="Arial"/>
                <w:sz w:val="18"/>
                <w:szCs w:val="18"/>
                <w:color w:val="auto"/>
              </w:rPr>
              <w:t>vesting of restricted stock units</w:t>
            </w:r>
          </w:p>
        </w:tc>
        <w:tc>
          <w:tcPr>
            <w:tcW w:w="11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Issuance of common stock in at the</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4,940,787</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34,271</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34,272</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 offering</w:t>
            </w:r>
          </w:p>
        </w:tc>
        <w:tc>
          <w:tcPr>
            <w:tcW w:w="11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176"/>
        </w:trPr>
        <w:tc>
          <w:tcPr>
            <w:tcW w:w="30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Unrealized losses on available-for-sale</w:t>
            </w: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ind w:left="1060"/>
              <w:spacing w:after="0"/>
              <w:rPr>
                <w:sz w:val="20"/>
                <w:szCs w:val="20"/>
                <w:color w:val="auto"/>
              </w:rPr>
            </w:pPr>
            <w:r>
              <w:rPr>
                <w:rFonts w:ascii="Arial" w:cs="Arial" w:eastAsia="Arial" w:hAnsi="Arial"/>
                <w:sz w:val="18"/>
                <w:szCs w:val="18"/>
                <w:color w:val="auto"/>
                <w:w w:val="99"/>
              </w:rPr>
              <w:t>(3)</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w:t>
            </w:r>
          </w:p>
        </w:tc>
        <w:tc>
          <w:tcPr>
            <w:tcW w:w="1340" w:type="dxa"/>
            <w:vAlign w:val="bottom"/>
            <w:gridSpan w:val="2"/>
            <w:vMerge w:val="continue"/>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(33,155)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(33,155)</w:t>
            </w:r>
          </w:p>
        </w:tc>
        <w:tc>
          <w:tcPr>
            <w:tcW w:w="0" w:type="dxa"/>
            <w:vAlign w:val="bottom"/>
          </w:tcPr>
          <w:p>
            <w:pPr>
              <w:spacing w:after="0"/>
              <w:rPr>
                <w:sz w:val="1"/>
                <w:szCs w:val="1"/>
                <w:color w:val="auto"/>
              </w:rPr>
            </w:pPr>
          </w:p>
        </w:tc>
      </w:tr>
      <w:tr>
        <w:trPr>
          <w:trHeight w:val="248"/>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2021</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98,688,577</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718,728</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(587,920)</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99"/>
              </w:rPr>
              <w:t>(7)</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130,811</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(28,071)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(33,155)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Depreciation expense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rPr>
                <w:sz w:val="20"/>
                <w:szCs w:val="20"/>
                <w:color w:val="auto"/>
              </w:rPr>
            </w:pPr>
            <w:r>
              <w:rPr>
                <w:rFonts w:ascii="Arial" w:cs="Arial" w:eastAsia="Arial" w:hAnsi="Arial"/>
                <w:sz w:val="18"/>
                <w:szCs w:val="18"/>
                <w:color w:val="auto"/>
              </w:rPr>
              <w:t>Amortization of deferred compensation for services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(discount) premium on investment securities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rPr>
                <w:sz w:val="20"/>
                <w:szCs w:val="20"/>
                <w:color w:val="auto"/>
              </w:rPr>
            </w:pPr>
            <w:r>
              <w:rPr>
                <w:rFonts w:ascii="Arial" w:cs="Arial" w:eastAsia="Arial" w:hAnsi="Arial"/>
                <w:sz w:val="18"/>
                <w:szCs w:val="18"/>
                <w:color w:val="auto"/>
              </w:rPr>
              <w:t>Non-cash lease expense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rPr>
                <w:sz w:val="20"/>
                <w:szCs w:val="20"/>
                <w:color w:val="auto"/>
              </w:rPr>
            </w:pPr>
            <w:r>
              <w:rPr>
                <w:rFonts w:ascii="Arial" w:cs="Arial" w:eastAsia="Arial" w:hAnsi="Arial"/>
                <w:sz w:val="18"/>
                <w:szCs w:val="18"/>
                <w:color w:val="auto"/>
              </w:rPr>
              <w:t>Change in derivative liabilities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Debt refinancing costs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Gain on sale of equipment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Non-cash interest associated with debt discount accretion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(13,662)</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compensation and benefits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and other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(44,217)</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maturities and redemptions of investments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35,370</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Purchases of investments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(32,107)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 of equipment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2022 Loan, net of issuance costs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Repayment of 2018 Loan, net of settlement costs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common stock in at the market offering, net of issuance costs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Proceeds from issuance of common stock under equity incentive and stock purchase plans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34,770</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(6,962)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91,032</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84,070</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Supplementary disclosure of cash flow information:</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Cash paid for interest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paid for income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Supplementary disclosure of non-cash activities: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Right-of-use assets obtained in exchange for lease obligations</w:t>
            </w:r>
          </w:p>
        </w:tc>
        <w:tc>
          <w:tcPr>
            <w:tcW w:w="3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40" w:type="dxa"/>
            <w:vAlign w:val="bottom"/>
          </w:tcPr>
          <w:p>
            <w:pPr>
              <w:ind w:left="140"/>
              <w:spacing w:after="0" w:line="203" w:lineRule="exact"/>
              <w:rPr>
                <w:sz w:val="20"/>
                <w:szCs w:val="20"/>
                <w:color w:val="auto"/>
              </w:rPr>
            </w:pPr>
            <w:r>
              <w:rPr>
                <w:rFonts w:ascii="Arial" w:cs="Arial" w:eastAsia="Arial" w:hAnsi="Arial"/>
                <w:sz w:val="18"/>
                <w:szCs w:val="18"/>
                <w:color w:val="auto"/>
              </w:rPr>
              <w:t>Issuance of derivative in connection with issuance of loan payable</w:t>
            </w: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41" w:right="35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143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3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r>
        <w:rPr>
          <w:rFonts w:ascii="Arial" w:cs="Arial" w:eastAsia="Arial" w:hAnsi="Arial"/>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amounts and where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Ardelyx, Inc. (the “Company,” “we,” “us” or “our”) is a biopharmaceutical company founded with a mission to discover, develop and commercialize innovative first-in-class medicines that meet significant unmet medical needs.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operate in one business segment, which is the development and commercialization of biopharmaceutical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condensed financial statements have been prepared in accordance with accounting principles generally accepted in the United States of America (“U.S. GAAP”) and pursuant to the requirements of the Securities and Exchange Commission (“SEC”) for interim reporting. As permitted under those rules and regulations, certain footnotes or other financial information that are normally required by U.S. GAAP have been condensed or omitted. These condensed financial statements have been prepared on the same basis as our most recent annual financial statements and, in the opinion of management, reflect all adjustments, which include only normal recurring adjustments necessary to present fairly our financial position, results of operations, changes in stockholders’ equity, and cash flows for the interim periods presented.</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condensed financial statements and related financial information should be read in conjunction with the audited financial statements and the related notes thereto included in our Annual Report on Form 10-K for the year ended December 31, 2021. The results for the three months ended March 31, 2022 are not necessarily indicative of results to be expected for the entire year ending December 31, 2022, or for any other interim period or future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judgments that affect the amounts reported in the financial statements and accompanying notes thereto. On an ongoing basis, management evaluates its estimates, including those related to recognition of revenue, clinical trial accruals, contract manufacturing accruals, the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March 31, 2022, we had cash and investments of approximately $89.7 million. We have incurred operating losses since inception and our accumulated deficit as of March 31, 2022 is $741.0 million. Our current level of cash and investments alone is not sufficient to meet our plans for the next twelve months following the issuance of these financial statements. These factors raise substantial doubt regarding our ability to continue as a going concern for a period of one year from the issuance of these financial statements. We plan to address our operating cash flow requirements with our current cash and investments, cash generated from sales of IBSRELA, our potential receipt of anticipated milestones from our collaboration partners, our ability to access the capital markets, as well as through the implementation of cash preservation activities to reduce or defer discretionary spending.</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are no assurances that our efforts to meet our operating cash flow requirements will be successful. If our current cash and investments as well as our plans to meet our operating cash flow requirements are not sufficient to fund necessary expenditures and meet our obligations for at least the next twelve months following the issuance of these financial statements, our liquidity, financial condition and business prospects will be materially affected. These financial statements have been prepared on a going concern basis and do not include any adjustments to the amounts and classification of assets and liabilities that may be necessary in the event that we can no longer continue as a going concern.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significant accounting policies are described in Note 1 to our audited financial statements for the fiscal year ended December 31, 2021, included in our Annual Report on Form 10-K. Our significant accounting policies for the three months ended March 31, 2022 also included the policies discussed below related to accounts receivable, inventory, revenue and cost of</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for commercial product sales. With the exception of those noted below, there have been no material changes in our significant accounting policies as previously disclosed in our Annual Report on Form 10-K for the fiscal year ended December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Accounts receivable is reported net of allowances for returns, chargebacks and contractual discounts offered to our customers. Our estimate of the allowance for doubtful accounts is based on an evaluation of the aging of our receivables. Trade receivable balances are written off against the allowance when it is probable that the receivable will not be collected. To date, we have determined that an allowance for doubtful accounts is not required. As of March 31, 2022 our accounts receivable balance is comprised of $3.8 million from our collaborators and $0.6 million from commercial customers. As of December 31, 2021 our accounts receivable balance was comprised of $0.5 million from our collaborators.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regulatory approval of drug product candidates, we incurred expenses for the manufacture of drug product that could potentially be available to support the commercial launch of our products. We began to capitalize inventory costs associated with IBSRELA during the fourth quarter of 2021, when our intent to commercialize IBSRELA was established and we commenced preparation for the commercial launch of IBSRELA, which was when it was determined that the inventory had a probable future economic benefit.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Inventory is stated at the lower of cost or estimated net realizable value with cost determined under the first-in first-out method. Inventory costs include third-party contract manufacturing, third-party packaging services, freight, labor costs for personnel involved in the manufacturing process, and indirect overhead costs. We primarily use actual costs to determine the cost basis for inventory. The determination of whether inventory costs will be realizable requires management review of the expiration dates of IBSRELA compared to our forecasted sales. If actual market conditions are less favorable than projected by management, write-downs of inventory may be required, which would be recorded as cost of goods sold in the condensed statement of operations and comprehensive loss.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Sales, Net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We account for our commercial product sales, net in accordance with Topic 606 -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We received approval from the U.S. Food and Drug Administration (“FDA”) in September 2019 to market IBSRELA, the first and only sodium hydrogen exchanger 3 (“NHE3”) inhibitor for the treatment of irritable bowel syndrome with constipation ("IBS-C") in adults, in the United States ("U.S."). We began selling IBSRELA in the U.S. in March 2022. We distribute our products principally through a limited number of distributors and specialty pharmacy providers (collectively, our "Customers"). Our Customers subsequently sell our products to pharmacies and patients. Separately, we enter into arrangements with third parties that provide for government-mandated and privately-negotiated rebates, chargebacks and discounts. Revenue from product sales is recognized when our performance obligations are satisfied, which is when Customers obtain control of our product and occurs upon delivery.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 for Variable Consideration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Revenues from product sales are recorded at the net sales price (transaction price), which includes estimates of variable consideration, including rebates, discounts, patient copay assistance programs, and estimated product returns. These estimates are based on the amounts earned or to be claimed for related sales and are classified as reductions of accounts receivable if the amount is payable to our Customers or a current liability if the amount is payable to a party other than a Customer. Where appropriate, these estimates are based on factors such as industry data and forecasted customer buying and payment patterns, our historical experience, current contractual and statutory requirements, specific known market events and trends. Overall, these reductions to gross sales reflect our best estimates of the amount of consideration to which we are entitled based on the terms of the contract. Variable consideration is included in the transaction price only to the extent that it is probable that a significant reversal in the amount of cumulative revenue recognized will not occur when the uncertainty associated with the variable consideration is subsequently resolved. Actual amounts of consideration ultimately received may differ from our estimates. If actual results in the future vary from our estimates, we adjust these estimates, which would affect product revenue and earnings in the period such variances become known. As we gain more historical experience, estimates will be more heavily based on the expected utilization from historical data we have accumulated since the IBSRELA product launch.</w:t>
      </w:r>
    </w:p>
    <w:p>
      <w:pPr>
        <w:spacing w:after="0" w:line="16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Rebates: Rebates include mandated discounts under the Medicaid Drug Rebate Program ("Medicaid") and the Medicare Coverage Gap Program ("Medicare"). Rebates are amounts owed after the final dispensing of products to a benefit plan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participant and are based upon contractual agreements or legal requirements with the public-sector benefit providers. These estimates for rebates are recorded in the same period the related gross revenue is recognized, resulting in a reduction of product revenue and the establishment of a current liability which is included in accrued expenses on the condensed balance sheets. We estimate our Medicaid and Medicare rebates based upon the estimated payor mix, and statutory discount rates. Our estimates for payor mix are guided by payor information received from specialty pharmacies, expected utilization for specialty distributor sales to pharmacies, and available industry payor information.</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Chargebacks: Chargebacks are discounts that occur when contracted purchasers purchase directly from our specialty distributors at a discounted price. The specialty distributor, in turn, charges back the difference between the price initially paid to us by the specialty distributor and the discounted price paid to the specialty distributor by the contracted purchaser. Amounts for estimated chargebacks are established in the same period that the related gross revenue is recognized, resulting in a reduction of product revenue and accounts receivable. The accrual for specialty distributor chargebacks is estimated based on known chargeback rates, known sales to specialty distributors, and estimated utilization by types of contracted purchasers.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Discounts and Fees: Our payment terms are generally 30 to 60 days. Specialty distributors and specialty pharmacies are offered various forms of consideration, including service fees and prompt pay discounts for payment within a specified period. We expect these Customers will earn prompt pay discounts and therefore, we deduct the full amount of these discounts and service fees from product sales when revenue is recognized, resulting in a reduction of product revenue and accounts receivable.</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Other Reserves: Patients who have commercial insurance may receive co-pay assistance when product is dispensed by pharmacies to patients. We estimate the amount of co-pay assistance provided to eligible patients based on the terms of the program and redemption information provided by third-party claims processing organizations and are recorded in accounts payable, accrued expenses and other current liabilities on the condensed balance sheets.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revenue consists of the cost of commercial goods sold to our Customers, international partners under product supply agreements, and royalty expense based on sales of tenapanor. We capitalize inventory costs associated with the production of our products after regulatory approval or when, based on management’s judgment, future commercialization is considered probable and the future economic benefit is expected to be realized. Otherwise, such costs are expensed as research and development. A portion of the costs of IBSRELA units recognized as revenue during the three months ended March 31, 2022 were expensed prior to the fourth quarter of 2021, at which time our intent to commercialize IBSRELA was established and we commenced preparation for the commercial launch of IBSRELA.</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revenue includes payments due to AstraZeneca, which under the terms of a termination agreement entered into in 2015 (the "AZ Termination Agreement") is entitled to (i) future royalties at a rate of 10% of net sales of tenapanor or other NHE3 products by us or our licensees, and (ii) 20% of non-royalty revenue received from our collaboration partners as a result of the development and commercialization of tenapanor or certain other NHE3 inhibitors. We have agreed to pay AstraZeneca up to a maximum of $75.0 million in the aggregate for (i) and (ii). We recognize these expenses as cost of revenue when we recognize the corresponding revenue that gives rise to payments due to AstraZeneca. To date, we have recognized an aggregate of $11.7 million as cost of revenue under the AZ Termination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 Recently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adopted no new accounting pronouncements other than those disclosed in our most recent Annual Report on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various accounting standards and interpretations issued recently, none of which are expected to a have a material impact on our financial position, operations or cash flows.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Securities classified as cash, cash equivalents and investments as of March 31, 2022 and December 31, 2021 are summarized below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rPr>
              <w:t>March 31, 2022</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23"/>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rPr>
              <w:t>Gross Unrealized</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Amortized Cost</w:t>
            </w:r>
          </w:p>
        </w:tc>
        <w:tc>
          <w:tcPr>
            <w:tcW w:w="300" w:type="dxa"/>
            <w:vAlign w:val="bottom"/>
          </w:tcPr>
          <w:p>
            <w:pPr>
              <w:spacing w:after="0"/>
              <w:rPr>
                <w:sz w:val="19"/>
                <w:szCs w:val="19"/>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Gains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Losses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Cash</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7,555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7,555</w:t>
            </w: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34,524</w:t>
            </w: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4,998</w:t>
            </w:r>
          </w:p>
        </w:tc>
      </w:tr>
      <w:tr>
        <w:trPr>
          <w:trHeight w:val="223"/>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cash equivalents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47,077</w:t>
            </w:r>
          </w:p>
        </w:tc>
      </w:tr>
      <w:tr>
        <w:trPr>
          <w:trHeight w:val="209"/>
        </w:trPr>
        <w:tc>
          <w:tcPr>
            <w:tcW w:w="498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28,357</w:t>
            </w: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U.S. government-sponsored agency bonds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10,777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10,755</w:t>
            </w: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1,004</w:t>
            </w:r>
          </w:p>
        </w:tc>
      </w:tr>
      <w:tr>
        <w:trPr>
          <w:trHeight w:val="223"/>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42,627</w:t>
            </w: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Total cash equivalents and investments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89,792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89,704</w:t>
            </w: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December 31, 2021</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23"/>
        </w:trPr>
        <w:tc>
          <w:tcPr>
            <w:tcW w:w="5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Gross Unrealized</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5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 Cost</w:t>
            </w:r>
          </w:p>
        </w:tc>
        <w:tc>
          <w:tcPr>
            <w:tcW w:w="300" w:type="dxa"/>
            <w:vAlign w:val="bottom"/>
          </w:tcPr>
          <w:p>
            <w:pPr>
              <w:spacing w:after="0"/>
              <w:rPr>
                <w:sz w:val="19"/>
                <w:szCs w:val="19"/>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Gains</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Losses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0"/>
        </w:trPr>
        <w:tc>
          <w:tcPr>
            <w:tcW w:w="5000" w:type="dxa"/>
            <w:vAlign w:val="bottom"/>
          </w:tcPr>
          <w:p>
            <w:pPr>
              <w:ind w:left="140"/>
              <w:spacing w:after="0"/>
              <w:rPr>
                <w:sz w:val="20"/>
                <w:szCs w:val="20"/>
                <w:color w:val="auto"/>
              </w:rPr>
            </w:pPr>
            <w:r>
              <w:rPr>
                <w:rFonts w:ascii="Arial" w:cs="Arial" w:eastAsia="Arial" w:hAnsi="Arial"/>
                <w:sz w:val="18"/>
                <w:szCs w:val="18"/>
                <w:color w:val="auto"/>
              </w:rPr>
              <w:t>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1,253</w:t>
            </w:r>
          </w:p>
        </w:tc>
      </w:tr>
      <w:tr>
        <w:trPr>
          <w:trHeight w:val="230"/>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71,175</w:t>
            </w:r>
          </w:p>
        </w:tc>
      </w:tr>
      <w:tr>
        <w:trPr>
          <w:trHeight w:val="22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cash and cash equivalents</w:t>
            </w:r>
          </w:p>
        </w:tc>
        <w:tc>
          <w:tcPr>
            <w:tcW w:w="1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72,428</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72,428</w:t>
            </w:r>
          </w:p>
        </w:tc>
      </w:tr>
      <w:tr>
        <w:trPr>
          <w:trHeight w:val="21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500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31,936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360" w:type="dxa"/>
            <w:vAlign w:val="bottom"/>
          </w:tcPr>
          <w:p>
            <w:pPr>
              <w:ind w:left="12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31,935</w:t>
            </w:r>
          </w:p>
        </w:tc>
      </w:tr>
      <w:tr>
        <w:trPr>
          <w:trHeight w:val="229"/>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w:t>
            </w:r>
          </w:p>
        </w:tc>
      </w:tr>
      <w:tr>
        <w:trPr>
          <w:trHeight w:val="230"/>
        </w:trPr>
        <w:tc>
          <w:tcPr>
            <w:tcW w:w="5000" w:type="dxa"/>
            <w:vAlign w:val="bottom"/>
          </w:tcPr>
          <w:p>
            <w:pPr>
              <w:ind w:left="140"/>
              <w:spacing w:after="0"/>
              <w:rPr>
                <w:sz w:val="20"/>
                <w:szCs w:val="20"/>
                <w:color w:val="auto"/>
              </w:rPr>
            </w:pPr>
            <w:r>
              <w:rPr>
                <w:rFonts w:ascii="Arial" w:cs="Arial" w:eastAsia="Arial" w:hAnsi="Arial"/>
                <w:sz w:val="18"/>
                <w:szCs w:val="18"/>
                <w:color w:val="auto"/>
              </w:rPr>
              <w:t>Asset backed securities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5,304</w:t>
            </w:r>
          </w:p>
        </w:tc>
      </w:tr>
      <w:tr>
        <w:trPr>
          <w:trHeight w:val="223"/>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9"/>
              </w:rPr>
              <w:t>(7)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44,261</w:t>
            </w: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Total cash equivalents and investments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116,695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116,689</w:t>
            </w:r>
          </w:p>
        </w:tc>
      </w:tr>
      <w:tr>
        <w:trPr>
          <w:trHeight w:val="21"/>
        </w:trPr>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equivalents consist of money market funds and other debt securities with original maturities of three months or less at the time of purchase, and the carrying amount is a reasonable approximation of fair value. We invest our cash in high quality securities of financial and commercial institutions. These securities are carried at fair value, which is based on readily available market information, with unrealized gains and losses included in accumulated other comprehensive income (loss) within stockholders’ equity on our balance sheets. We use the specific identification method to determine the amount of realized gains or losses on sales of marketable securities. Realized gains or losses have been insignificant and are included in other income (expense), net, in the statement of operations and comprehensive loss.</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All short-term available-for-sale securities held as of March 31, 2022 had contractual maturities of less than one year. Our available-for-sale securities are subject to a periodic impairment review. We consider a debt security to be impaired when its fair value is less than its carrying cost, in which case we would further review the investment to determine whether it is other-than-temporarily impaired. When we evaluate an investment for other-than-temporary impairment, we review factors such as the length of time and extent to which fair value has been below cost basis, the financial condition of the issuer and any changes thereto, intent to sell, and whether it is more likely than not we will be required to sell the investment before the recovery of its cost basis. If an investment is other-than-temporarily impaired, we write it down through the statement of operations and comprehensive loss to its fair value and establishes that value as a new cost basis for the investment. We did not identify any of our available-for-sale securities as other-than-temporarily impaired in any of the periods presented. As of March 31, 2022 no</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 was in a continuous unrealized loss position for more than one year and we believe that it is more likely than not that the investments will be held until maturity or a forecasted recovery of fair value.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for the inputs to valuation techniques is briefly summarized as follows:</w:t>
      </w:r>
    </w:p>
    <w:p>
      <w:pPr>
        <w:spacing w:after="0" w:line="293" w:lineRule="exact"/>
        <w:rPr>
          <w:sz w:val="20"/>
          <w:szCs w:val="20"/>
          <w:color w:val="auto"/>
        </w:rPr>
      </w:pPr>
    </w:p>
    <w:p>
      <w:pPr>
        <w:jc w:val="both"/>
        <w:ind w:left="1440" w:right="40" w:hanging="1092"/>
        <w:spacing w:after="0" w:line="235" w:lineRule="auto"/>
        <w:tabs>
          <w:tab w:leader="none" w:pos="142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8"/>
          <w:szCs w:val="18"/>
          <w:color w:val="auto"/>
        </w:rPr>
        <w:t>Valuations are based on quoted prices in active markets for identical assets or liabilities and readily accessible by us at the reporting date.</w:t>
      </w:r>
    </w:p>
    <w:p>
      <w:pPr>
        <w:spacing w:after="0" w:line="54" w:lineRule="exact"/>
        <w:rPr>
          <w:sz w:val="20"/>
          <w:szCs w:val="20"/>
          <w:color w:val="auto"/>
        </w:rPr>
      </w:pPr>
    </w:p>
    <w:p>
      <w:pPr>
        <w:jc w:val="both"/>
        <w:ind w:left="1440" w:right="40" w:hanging="1092"/>
        <w:spacing w:after="0" w:line="224" w:lineRule="auto"/>
        <w:tabs>
          <w:tab w:leader="none" w:pos="142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8"/>
          <w:szCs w:val="18"/>
          <w:color w:val="auto"/>
        </w:rPr>
        <w:t>Valuations based 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55"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6"/>
          <w:szCs w:val="16"/>
          <w:color w:val="auto"/>
        </w:rPr>
        <w:t>Valuations based on unobservable inputs for which there is little or no market data, which require us to develop our own assumptions.</w:t>
      </w:r>
    </w:p>
    <w:p>
      <w:pPr>
        <w:spacing w:after="0" w:line="34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table sets forth the fair value of our financial assets and liabilities that are measured or disclosed on a recurring basis by level within the fair value hierarchy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ind w:left="620"/>
              <w:spacing w:after="0"/>
              <w:rPr>
                <w:sz w:val="20"/>
                <w:szCs w:val="20"/>
                <w:color w:val="auto"/>
              </w:rPr>
            </w:pPr>
            <w:r>
              <w:rPr>
                <w:rFonts w:ascii="Arial" w:cs="Arial" w:eastAsia="Arial" w:hAnsi="Arial"/>
                <w:sz w:val="18"/>
                <w:szCs w:val="18"/>
                <w:b w:val="1"/>
                <w:bCs w:val="1"/>
                <w:color w:val="auto"/>
              </w:rPr>
              <w:t>March 31, 2022</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2"/>
              </w:rPr>
              <w:t>Total</w:t>
            </w:r>
          </w:p>
        </w:tc>
        <w:tc>
          <w:tcPr>
            <w:tcW w:w="280" w:type="dxa"/>
            <w:vAlign w:val="bottom"/>
          </w:tcPr>
          <w:p>
            <w:pPr>
              <w:spacing w:after="0"/>
              <w:rPr>
                <w:sz w:val="14"/>
                <w:szCs w:val="14"/>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4"/>
                <w:szCs w:val="14"/>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14"/>
                <w:szCs w:val="14"/>
                <w:color w:val="auto"/>
              </w:rPr>
            </w:pPr>
          </w:p>
        </w:tc>
        <w:tc>
          <w:tcPr>
            <w:tcW w:w="116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34,524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34,524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tcPr>
          <w:p>
            <w:pPr>
              <w:ind w:left="120"/>
              <w:spacing w:after="0"/>
              <w:rPr>
                <w:sz w:val="20"/>
                <w:szCs w:val="20"/>
                <w:color w:val="auto"/>
              </w:rPr>
            </w:pPr>
            <w:r>
              <w:rPr>
                <w:rFonts w:ascii="Arial" w:cs="Arial" w:eastAsia="Arial" w:hAnsi="Arial"/>
                <w:sz w:val="18"/>
                <w:szCs w:val="18"/>
                <w:color w:val="auto"/>
              </w:rPr>
              <w:t>U.S. government-sponsored agency bonds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tcPr>
          <w:p>
            <w:pPr>
              <w:ind w:left="12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20"/>
              <w:spacing w:after="0"/>
              <w:rPr>
                <w:sz w:val="20"/>
                <w:szCs w:val="20"/>
                <w:color w:val="auto"/>
              </w:rPr>
            </w:pPr>
            <w:r>
              <w:rPr>
                <w:rFonts w:ascii="Arial" w:cs="Arial" w:eastAsia="Arial" w:hAnsi="Arial"/>
                <w:sz w:val="18"/>
                <w:szCs w:val="18"/>
                <w:color w:val="auto"/>
              </w:rPr>
              <w:t>Derivative liability for exit fees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December 31, 2021</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2"/>
              </w:rPr>
              <w:t>Total</w:t>
            </w:r>
          </w:p>
        </w:tc>
        <w:tc>
          <w:tcPr>
            <w:tcW w:w="280" w:type="dxa"/>
            <w:vAlign w:val="bottom"/>
          </w:tcPr>
          <w:p>
            <w:pPr>
              <w:spacing w:after="0"/>
              <w:rPr>
                <w:sz w:val="14"/>
                <w:szCs w:val="14"/>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14"/>
                <w:szCs w:val="14"/>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14"/>
                <w:szCs w:val="14"/>
                <w:color w:val="auto"/>
              </w:rPr>
            </w:pPr>
          </w:p>
        </w:tc>
        <w:tc>
          <w:tcPr>
            <w:tcW w:w="116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71,175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71,175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115,436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71,175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44,261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liability for exit fee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Where quoted prices are available in an active market, securities are classified as Level 1. We classify money market funds as Level 1. When quoted market prices are not available for the specific security, we estimate fair value by using benchmark yields, reported trades, broker/dealer quotes and issuer spreads. We classify U.S. government-sponsored agency bonds, U.S. treasury notes, corporate bonds, commercial paper, and asset-backed securities as Level 2. In certain cases, where there is limited activity or less transparency around inputs to valuation, securities or derivative liabilities, such as the Exit Fee, as defined and discussed in Note 8, are classified as Level 3.</w:t>
      </w:r>
    </w:p>
    <w:p>
      <w:pPr>
        <w:spacing w:after="0" w:line="21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carrying amounts reflected in the balance sheets for cash equivalents, short-term investments, accounts receivable, prepaid expenses and other current assets, accounts payable and accrued expenses approximate their fair values at both March 31, 2022 and December 31, 2021, due to their short-term nature.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interest rate of our term loan facility approximates the rate at which we could obtain alternative financing. Therefore, the carrying amount of the term loan facility approximated its fair value at March 31, 2022 and December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began capitalizing inventory during the fourth quarter of 2021, at which time our intent to commercialize IBSRELA was established and we commenced preparation for the commercial launch of IBSRELA. Inventory consisted of the following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March 31, 2022</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2,507</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23"/>
        </w:trPr>
        <w:tc>
          <w:tcPr>
            <w:tcW w:w="9480" w:type="dxa"/>
            <w:vAlign w:val="bottom"/>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w:t>
            </w:r>
          </w:p>
        </w:tc>
      </w:tr>
      <w:tr>
        <w:trPr>
          <w:trHeight w:val="20"/>
        </w:trPr>
        <w:tc>
          <w:tcPr>
            <w:tcW w:w="9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PRODUCT REVENUE, NET</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received approval from the FDA in September 2019 to market IBSRELA, the first and only sodium hydrogen exchanger 3 (“NHE3”) inhibitor for the treatment of irritable bowel syndrome with constipation ("IBS-C") in adults, in the U.S. We began selling IBSRELA in the U.S. in March 2022. We recorded net revenue for IBSRELA of $0.5 million during the three months ended March 31, 2022.</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to Cardinal Health, AmerisourceBergen Drug Corporation, and McKesson Corporation made up 17.9%, 17.1%, and 15.4% of our gross product revenue during the three months ended March 31,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activities and ending reserve balances for each significant category of discounts and allowances, which constitute variable consideration, were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7"/>
              </w:rPr>
              <w:t>Discounts and</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Other Fees,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Rebates</w:t>
            </w:r>
          </w:p>
        </w:tc>
        <w:tc>
          <w:tcPr>
            <w:tcW w:w="200" w:type="dxa"/>
            <w:vAlign w:val="bottom"/>
          </w:tcPr>
          <w:p>
            <w:pPr>
              <w:spacing w:after="0"/>
              <w:rPr>
                <w:sz w:val="15"/>
                <w:szCs w:val="15"/>
                <w:color w:val="auto"/>
              </w:rPr>
            </w:pPr>
          </w:p>
        </w:tc>
        <w:tc>
          <w:tcPr>
            <w:tcW w:w="134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1"/>
              </w:rPr>
              <w:t>Copay and</w:t>
            </w:r>
          </w:p>
        </w:tc>
        <w:tc>
          <w:tcPr>
            <w:tcW w:w="320" w:type="dxa"/>
            <w:vAlign w:val="bottom"/>
          </w:tcPr>
          <w:p>
            <w:pPr>
              <w:spacing w:after="0"/>
              <w:rPr>
                <w:sz w:val="15"/>
                <w:szCs w:val="15"/>
                <w:color w:val="auto"/>
              </w:rPr>
            </w:pPr>
          </w:p>
        </w:tc>
        <w:tc>
          <w:tcPr>
            <w:tcW w:w="11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Chargebacks</w:t>
            </w:r>
          </w:p>
        </w:tc>
        <w:tc>
          <w:tcPr>
            <w:tcW w:w="26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Returns</w:t>
            </w: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Activity related to 2022 sales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product sales or gross-to-net accruals during the three months ended March 31, 2021.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6</w:t>
        <w:tab/>
        <w:t>. COLLABORATION AND LICENSING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Kyowa Kirin Co., Ltd. (“KKC”)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KKC Agreement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November 2019, we entered into a research collaboration and option agreement with KKC (the “2019 KKC Agreement”) for research associated with identifying two preclinical compounds that are ready for designation as development compounds (“DCs”), with one compound inhibiting the first undisclosed target (“Program 1”), and a second inhibiting the second undisclosed target (“Program 2”). Pursuant to the 2019 KKC Agreement, upon completion of the research and designation by the research steering committee of one or more DCs, KKC has the right to execute one or more separate collaborative agreements relating to the development and commercialization of one or both DCs in certain specified territories.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terms of the 2019 KKC Agreement, KKC paid us a non-refundable, non-creditable upfront fee of $10.0 million in two installments as follows: the first installment of $5.0 million within 30 days of November 11, 2019 (the “Effective Date”), and the second installment of $5.0 million on the first anniversary of the Effective Date. The term of the 2019 KKC Agreement commenced on the Effective Date and ends on the earliest of: (i) 2 years following the Effective Date, (ii) the nomination of a program DC for both programs, (iii) the nomination of one program DC and the decision by the parties to cease research for the other program, or (iv) the decision by the parties to cease research for both programs.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 material future obligations under the 2019 KKC Agreement and recorded no revenue under the 2019 KKC Agreement during the three months ended March 31, 2022. During the three months ended March 31, 2021, we recognized $1.5 million as collaborative development revenue under the 2019 KKC Agreement in the accompanying condensed statement of operations and comprehensive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KKC Agreement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November 2017, we entered into an exclusive license agreement with KKC (the “2017 KKC Agreement”), for the development, commercialization, and distribution of tenapanor in Japan for cardiorenal indications. We granted KKC an exclusive license to develop and commercialize certain NHE3 inhibitors including tenapanor in Japan for the treatment of cardiorenal diseases and conditions, excluding cancer. We retained the rights to tenapanor outside of Japan, and also retained the rights to tenapanor in Japan for indications other than those stated above. Pursuant to the 2017 KKC Agreement, KKC is responsible for all costs and expenses incurred in the development and commercialization of tenapanor for all licensed indications in Japan. We are responsible for supplying the tenapanor drug substance for KKC’s use in development and commercialization throughout the term of the 2017 KKC Agreement, provided that KKC may exercise an option to manufacture the tenapanor drug substance under certain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assessed these arrangements in accordance with Accounting Standards Update (“ASU”) No. 2014-09, </w:t>
      </w:r>
      <w:r>
        <w:rPr>
          <w:rFonts w:ascii="Arial" w:cs="Arial" w:eastAsia="Arial" w:hAnsi="Arial"/>
          <w:sz w:val="16"/>
          <w:szCs w:val="16"/>
          <w:i w:val="1"/>
          <w:iCs w:val="1"/>
          <w:color w:val="auto"/>
        </w:rPr>
        <w:t>Revenue from Contracts with Customers (Topic</w:t>
      </w:r>
    </w:p>
    <w:p>
      <w:pPr>
        <w:spacing w:after="0" w:line="46" w:lineRule="exact"/>
        <w:rPr>
          <w:sz w:val="20"/>
          <w:szCs w:val="20"/>
          <w:color w:val="auto"/>
        </w:rPr>
      </w:pPr>
    </w:p>
    <w:p>
      <w:pPr>
        <w:jc w:val="both"/>
        <w:ind w:firstLine="8"/>
        <w:spacing w:after="0" w:line="253" w:lineRule="auto"/>
        <w:tabs>
          <w:tab w:leader="none" w:pos="411"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and related amendments (“ASC 606”) </w:t>
      </w:r>
      <w:r>
        <w:rPr>
          <w:rFonts w:ascii="Arial" w:cs="Arial" w:eastAsia="Arial" w:hAnsi="Arial"/>
          <w:sz w:val="18"/>
          <w:szCs w:val="18"/>
          <w:color w:val="auto"/>
        </w:rPr>
        <w:t>and concluded that the contract counterparty, KKC, is a customer. Under the terms of the 2017 KKC</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we received $30.0 million in upfront license fees, which was recognized as revenue when the agreement was executed. Based on our assessment, management determined that the license and the manufacturing supply services were its material performance obligations at the inception of the 2017 KKC Agreement, and as such, each of the performance obligations is distinct.</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to the up-front license fee received of $30.0 million, we may be entitled to receive up to $55.0 million in total development milestones, of which $10.0 million has been received and recognized as revenue as of March 31, 2022, and approximately ¥8.5 billion for commercialization milestones, or approximately $69.7 million at the currency exchange rate on March 31, 2022, as well as reimbursement of costs plus a reasonable overhead for the supply of product and royalties on net sales throughout the term of the agreement. The variable consideration related to the remaining development milestone payments has not been included in the transaction price as these were fully constrained at March 31, 2022.</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i w:val="1"/>
          <w:iCs w:val="1"/>
          <w:color w:val="auto"/>
        </w:rPr>
        <w:t>Note 14 - Subsequent events</w:t>
      </w:r>
      <w:r>
        <w:rPr>
          <w:rFonts w:ascii="Arial" w:cs="Arial" w:eastAsia="Arial" w:hAnsi="Arial"/>
          <w:sz w:val="18"/>
          <w:szCs w:val="18"/>
          <w:color w:val="auto"/>
        </w:rPr>
        <w:t>, on April 11, 2022, we entered into a second amendment (the "Amendment") to the 2017 KKC Agreement. Under the terms of the Amendment, the parties have agreed to a reduction in the royalty rate payable to us by KKC upon net sales of tenapanor in Japan. The royalty rate will be reduced from the high teens to low double digits for a two-year period of time following the first commercial sale in Japan, and then to mid-single digits for the remainder of the royalty term. As consideration for the reduction in the royalty rate, KKC has agreed to pay us up to an additional U.S. $40.0 million payable in two tranches, with the first payment due following KKC's filing with the Japanese Ministry Health, Labour and Welfare (MHLW) of its application for marketing approval for tenapanor and the second payment due following KKC’s receipt of regulatory approval to market tenapanor for hyperphosphatemia in Japan.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three months ended March 31, 2022 we recognized no licensing revenue upon the achievement of development milestones. During the three months ended March 31, 2021, we recognized $5.0 million licensing revenue upon the initiation of phase 3 clinical studies by KKC in Japan to evaluate tenapanor for hyperphosphatemia. During the three months ended March 31, 2022, we recognized $14 thousand as product supply revenue related to the manufacturing supply of tenapanor and other materials to KKC pursuant to the 2017 KKC Agreement. During the three months ended March 31, 2021, we recognized $0.1 million as product supply revenue pursuant to the 2017 KKC Agreement.</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 detailed below under the heading </w:t>
      </w:r>
      <w:r>
        <w:rPr>
          <w:rFonts w:ascii="Arial" w:cs="Arial" w:eastAsia="Arial" w:hAnsi="Arial"/>
          <w:sz w:val="18"/>
          <w:szCs w:val="18"/>
          <w:i w:val="1"/>
          <w:iCs w:val="1"/>
          <w:color w:val="auto"/>
        </w:rPr>
        <w:t>Deferred revenue - non-current</w:t>
      </w:r>
      <w:r>
        <w:rPr>
          <w:rFonts w:ascii="Arial" w:cs="Arial" w:eastAsia="Arial" w:hAnsi="Arial"/>
          <w:sz w:val="18"/>
          <w:szCs w:val="18"/>
          <w:color w:val="auto"/>
        </w:rPr>
        <w:t>, we have received prepayments from KKC for the manufacturing of tenapanor drug substance that will be used to satisfy KKC needs. We also have recorded certain unbilled prepayments from KKC for the manufacturing of tenapanor drug product reflected within prepaid and other current assets. Both amounts are reflected within our deferred revenue, non-current on our condensed balance sheet as of March 31, 2022. The prepayment is reflected within prepaid and other current assets and deferred revenue, non-current on our condensed balance sheet as of March 31,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Shanghai Fosun Pharmaceutical Industrial Development Co. Ltd. (“Fosun Pharma”)</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2017, we entered into an exclusive license agreement with Fosun Pharma (the “Fosun Agreement”), for the development, commercialization and distribution of tenapanor in China for both hyperphosphatemia and IBS-C. We assessed these arrangements in accordance with ASC 606 and concluded that the contract counterparty, Fosun Pharma, is a customer. Under the terms of the Fosun Agreement, we received $12.0 million in upfront license fees which was recognized as revenue when the agreement was executed. Based on management’s assessment, we determined that the license and the manufacturing supply services represented the material performance obligations at the inception of the agreement, and as such, each of the performance obligations is distinct.</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be entitled to additional development and commercialization milestones of up to $110.0 million, as well as reimbursement of cost plus a reasonable overhead for the supply of product and tiered royalties on net sales ranging from the mid-teens to 20%. The variable consideration related to the remaining development milestone payments has not been included in the transaction price as these were fully constrained at March 31,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have recorded no revenue during the three months ended March 31, 2022 or 2021 related to the Fosun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Knight Therapeutics, Inc. (“Knight“)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March 2018, we entered into an exclusive license agreement with Knight (the “Knight Agreement”) for the development, commercialization and distribution of tenapanor in Canada for hyperphosphatemia and IBS-C. We assessed this arrangement in accordance with ASC 606 and concluded that the contract counterparty, Knight, is a customer. Based on management’s assessment, we determined that the license and the manufacturing supply services represented the material performance obligations at the inception of the agreement, and as such, each of the performance obligations is distinct. Under the terms of the agreement, we received a $2.3 million nonrefundable, one-time upfront payment in March 2018 and are eligible to receive additional development and commercialization milestone payments worth up to $17.8 million. We are also eligible to receive royalties throughout the term of the agreement, and a transfer price for manufacturing services. The variable consideration related to the remaining development milestone payments has not been included in the transaction price as they were fully constrained at March 31,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 AB (“AstraZeneca”)</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2015, we entered into a termination agreement with AstraZeneca (the “AstraZeneca Termination Agreement”) pursuant to which we have agreed to pay AstraZeneca (i) future royalties at a royalty rate of 10% of net sales of tenapanor or other NHE3 products by us or our licensees, and (ii) 20% of non-royalty revenue received from a licensee of tenapanor or another NHE3 inhibitor, up to a maximum of $75.0 million in aggregate for (i) and (ii). As of March 31, 2022, to date in aggregate, we have recognized $11.7 million of the $75.0 million, which has been recorded as cost of revenue, and have paid AstraZeneca $11.6 million. During the three months ended March 31, 2022 we recognized and recorded as cost of revenue $0.1 million related to the AstraZeneca Termination Agreement. During the three months ended March 31, 2021 we recognized $1.0 million cost of revenue related to the AstraZeneca Termination Agreement.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tables present changes in our current and non-current deferred revenue balances during the reporting period. The March 31, 2021 current deferred revenue balance is attributable entirely to the 2019 KKC Agreement and the non-current deferred revenue balances at March 31, 2022 and 2021 are attributable entirely to the 2017 KKC Agreement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Deferred revenue - current</w:t>
            </w: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88"/>
              </w:rPr>
              <w:t>4,177</w:t>
            </w:r>
          </w:p>
        </w:tc>
      </w:tr>
      <w:tr>
        <w:trPr>
          <w:trHeight w:val="229"/>
        </w:trPr>
        <w:tc>
          <w:tcPr>
            <w:tcW w:w="7240" w:type="dxa"/>
            <w:vAlign w:val="bottom"/>
          </w:tcPr>
          <w:p>
            <w:pPr>
              <w:ind w:left="220"/>
              <w:spacing w:after="0"/>
              <w:rPr>
                <w:sz w:val="20"/>
                <w:szCs w:val="20"/>
                <w:color w:val="auto"/>
              </w:rPr>
            </w:pPr>
            <w:r>
              <w:rPr>
                <w:rFonts w:ascii="Arial" w:cs="Arial" w:eastAsia="Arial" w:hAnsi="Arial"/>
                <w:sz w:val="18"/>
                <w:szCs w:val="18"/>
                <w:color w:val="auto"/>
              </w:rPr>
              <w:t>Decreases due to revenue recognized in the period for which cash has been received</w:t>
            </w:r>
          </w:p>
        </w:tc>
        <w:tc>
          <w:tcPr>
            <w:tcW w:w="440" w:type="dxa"/>
            <w:vAlign w:val="bottom"/>
          </w:tcPr>
          <w:p>
            <w:pPr>
              <w:spacing w:after="0"/>
              <w:rPr>
                <w:sz w:val="19"/>
                <w:szCs w:val="19"/>
                <w:color w:val="auto"/>
              </w:rPr>
            </w:pPr>
          </w:p>
        </w:tc>
        <w:tc>
          <w:tcPr>
            <w:tcW w:w="160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00" w:type="dxa"/>
            <w:vAlign w:val="bottom"/>
          </w:tcPr>
          <w:p>
            <w:pPr>
              <w:jc w:val="center"/>
              <w:ind w:left="830"/>
              <w:spacing w:after="0"/>
              <w:rPr>
                <w:sz w:val="20"/>
                <w:szCs w:val="20"/>
                <w:color w:val="auto"/>
              </w:rPr>
            </w:pPr>
            <w:r>
              <w:rPr>
                <w:rFonts w:ascii="Arial" w:cs="Arial" w:eastAsia="Arial" w:hAnsi="Arial"/>
                <w:sz w:val="18"/>
                <w:szCs w:val="18"/>
                <w:color w:val="auto"/>
                <w:w w:val="94"/>
              </w:rPr>
              <w:t>(1,454)</w:t>
            </w:r>
          </w:p>
        </w:tc>
      </w:tr>
      <w:tr>
        <w:trPr>
          <w:trHeight w:val="248"/>
        </w:trPr>
        <w:tc>
          <w:tcPr>
            <w:tcW w:w="7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center"/>
              <w:ind w:left="850"/>
              <w:spacing w:after="0"/>
              <w:rPr>
                <w:sz w:val="20"/>
                <w:szCs w:val="20"/>
                <w:color w:val="auto"/>
              </w:rPr>
            </w:pPr>
            <w:r>
              <w:rPr>
                <w:rFonts w:ascii="Arial" w:cs="Arial" w:eastAsia="Arial" w:hAnsi="Arial"/>
                <w:sz w:val="18"/>
                <w:szCs w:val="18"/>
                <w:color w:val="auto"/>
                <w:w w:val="88"/>
              </w:rPr>
              <w:t>2,723</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Deferred revenue - non-current</w:t>
            </w: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tcPr>
          <w:p>
            <w:pPr>
              <w:ind w:left="220"/>
              <w:spacing w:after="0"/>
              <w:rPr>
                <w:sz w:val="20"/>
                <w:szCs w:val="20"/>
                <w:color w:val="auto"/>
              </w:rPr>
            </w:pPr>
            <w:r>
              <w:rPr>
                <w:rFonts w:ascii="Arial" w:cs="Arial" w:eastAsia="Arial" w:hAnsi="Arial"/>
                <w:sz w:val="18"/>
                <w:szCs w:val="18"/>
                <w:color w:val="auto"/>
              </w:rPr>
              <w:t>Increases to amounts invoiced, for which cash has not yet been received</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2,947</w:t>
            </w:r>
          </w:p>
        </w:tc>
      </w:tr>
      <w:tr>
        <w:trPr>
          <w:trHeight w:val="229"/>
        </w:trPr>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due to unbilled prepayments recorded during the period</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color w:val="auto"/>
              </w:rPr>
              <w:t>Balance at March 31,</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w:t>
            </w:r>
          </w:p>
        </w:tc>
      </w:tr>
      <w:tr>
        <w:trPr>
          <w:trHeight w:val="20"/>
        </w:trPr>
        <w:tc>
          <w:tcPr>
            <w:tcW w:w="7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BORROWING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Solar Capital and Western Alliance Bank Loan Agreement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16, 2018, we entered into a loan and security agreement (as amended on October 9, 2020, March 1, 2021, May 5, 2021, and July 29, 2021) (the "2018 Loan Agreement") with Solar Capital Ltd. and Western Alliance Bank (collectively the “2018 Lenders”). The 2018 Loan Agreement provided for a $50.0 million loan facility with a maturity date of November 1, 2022 (the “2018 Loan”). As of the Closing Date for the 2022 Loan, as discussed below, we owed $25.0 million in principal payments from the 2018 Loan, which we repaid in full at that time.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i w:val="1"/>
          <w:iCs w:val="1"/>
          <w:color w:val="auto"/>
        </w:rPr>
        <w:t>Note 8. Derivative Liability</w:t>
      </w:r>
      <w:r>
        <w:rPr>
          <w:rFonts w:ascii="Arial" w:cs="Arial" w:eastAsia="Arial" w:hAnsi="Arial"/>
          <w:sz w:val="18"/>
          <w:szCs w:val="18"/>
          <w:color w:val="auto"/>
        </w:rPr>
        <w:t>, in connection with entering into the 2018 Loan Agreement, we entered into an agreement pursuant to which we agreed to pay $1.5 million in cash upon the occurrence of certain conditions (the "2018 Exit Fee"). Our obligations for the 2018 Exit Fee remain outstanding following the full repayment of the 2018 Loan in February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SLR Investments Loan Agreement</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23, 2022 (the “Closing Date”), we entered into a loan and security agreement (the “2022 Loan Agreement”) with SLR Investment Corp. as collateral agent (the “Agent”), and the lenders listed in the 2022 Loan Agreement (collectively the “2022 Lenders”). The 2022 Loan Agreement provides for a senior secured loan facility, with $27.5 million (the “Term A Loan”) funded on the Closing Date and an additional $22.5 million that we may borrow on or prior to July 25, 2023; provided that (i) we have received approval by the FDA for our NDA for the control of serum phosphorus in chronic kidney disease patients on dialysis by December 31, 2022, and (ii) we have achieved certain product revenue milestone targets described in the 2022 Loan Agreement (the “Term B Loan”, and collectively, the Term A Loan and the Term B Loan, the “2022 Loan”). The 2022 Term A Loan funds were used to repay the 2018 Loan with the 2018 Lenders. The 2022 Loan has a maturity date of March 1, 2027.</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Borrowings under the 2022 Loan bear interest at a floating per annum rate equal to 7.95% plus the greater of (i) one tenth percent (0.10%) and (ii) the one-month rate published by the Intercontinental Exchange Benchmark Administration Ltd or its successor. We are permitted to make interest-only payments on the 2022 Loan through March 31, 2024. Accordingly, beginning on April 1, 2024, we will be required to make monthly payments of interest plus repay the 2022 Loan in consecutive equal monthly installments of principal. We were obligated to pay $0.2 million, upon the closing of the Term A Loan, and we are obligated to pay $0.1 million on the earliest of (i) the funding date of the Term B Loan, (ii) July 25, 2023, and (iii) the prepayment, refinancing, substitution, or replacement of the Term A Loan on or prior to July 25, 2023. We are obligated to pay a final fee equal to 4.95% of the aggregate original principal amount of the 2022 Loan funded upon the earliest to occur of the maturity date, the acceleration of the 2022 Loan, and the prepayment, refinancing, substitution, or replacement of the 2022 Loan. We may voluntarily prepay the outstanding 2022 Loan balance, subject to a prepayment premium of (i) 3% of the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outstanding principal amount of the 2022 Loan if prepaid prior to or on the first anniversary of the Closing Date, (ii) 2% of the outstanding principal amount of the 2022 Loan if prepaid after the first anniversary of the Closing Date through and including the second anniversary of the Closing Date, or (iii) 1% of the outstanding principal amount of the 2022 Loan if prepaid after the second anniversary of the Closing Date and prior to the maturity date. The 2022 Loan is secured by substantially all of our assets, except for our intellectual property and certain other customary exclusions. Additionally, in connection with the 2022 Loan, we entered into an agreement, whereby we agreed to pay an exit fee in the amount 2% of the 2022 Loan funded (the “2022 Exit Fee”) upon (i) any change of control transaction or (ii) our achievement of net revenue from the sale of any products equal to or greater than $100.0 million, measured on a six (6) months basis, tested monthly at the end of each month. Notwithstanding the prepayment or termination of the 2022 Loan, the 2022 Exit Fee will expire 10 years from the Closing Date.</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2022 Loan Agreement contains customary representations and warranties and customary affirmative and negative covenants, including, among others,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or to redeem capital stock. We have agreed to not allow our cash and cash equivalents to be less than the eighty percent (80%) of the outstanding 2022 Term Loan balance for any period in which our net revenue from the sale of any products, calculated on a trailing six (6) month basis and tested monthly, is less than sixty percent (60%) of the outstanding 2022 Loan balance.</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addition, the 2022 Loan Agreement contains customary events of default that entitle the Agent to cause our indebtedness under the 2022 Loan Agreement to become immediately due and payable, and to exercise remedies against us and the collateral securing the 2022 Term Loan, including our cash. Under the 2022 Loan Agreement, an event of default will occur if, among other things, we fail to make payments under the 2022 Loan Agreement, we breach any of our covenants under the 2022 Loan Agreement, subject to specified cure periods with respect to certain breaches, certain Lenders determine that a material adverse change has occurred, we or our assets become subject to certain legal proceedings, such as bankruptcy proceedings, we are unable to pay our debts as they become due or we default on contracts with third parties which would permit the holder of indebtedness to accelerate the maturity of such indebtedness or that could have a material adverse change on us. Upon the occurrence and for the duration of an event of default, an additional default interest rate equal to 4% per annum will apply to all obligations owed under the 2022 Loan Agreement. We have classified the 2022 Loan balance as a current liability as of March 31, 2022 due to the determination of the existence of substantial doubt about our ability to continue operating as a going concern discussed in </w:t>
      </w:r>
      <w:r>
        <w:rPr>
          <w:rFonts w:ascii="Arial" w:cs="Arial" w:eastAsia="Arial" w:hAnsi="Arial"/>
          <w:sz w:val="17"/>
          <w:szCs w:val="17"/>
          <w:i w:val="1"/>
          <w:iCs w:val="1"/>
          <w:color w:val="auto"/>
        </w:rPr>
        <w:t>Note 1. Organization and Basis of Presentation: Liquidity</w:t>
      </w:r>
      <w:r>
        <w:rPr>
          <w:rFonts w:ascii="Arial" w:cs="Arial" w:eastAsia="Arial" w:hAnsi="Arial"/>
          <w:sz w:val="17"/>
          <w:szCs w:val="17"/>
          <w:color w:val="auto"/>
        </w:rPr>
        <w:t xml:space="preserve"> and our assessment that the material adverse change clause under the 2022 Loan Agreement is not within our control. The lenders have not invoked the material adverse change clause as of the date of issuance of these financial statements.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2022, our future payment obligations related to the 2022 Loan, excluding interest payments and the 2022 final fee,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repayment obligations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28,862</w:t>
            </w:r>
          </w:p>
        </w:tc>
      </w:tr>
      <w:tr>
        <w:trPr>
          <w:trHeight w:val="230"/>
        </w:trPr>
        <w:tc>
          <w:tcPr>
            <w:tcW w:w="9780" w:type="dxa"/>
            <w:vAlign w:val="bottom"/>
          </w:tcPr>
          <w:p>
            <w:pPr>
              <w:ind w:left="140"/>
              <w:spacing w:after="0"/>
              <w:rPr>
                <w:sz w:val="20"/>
                <w:szCs w:val="20"/>
                <w:color w:val="auto"/>
              </w:rPr>
            </w:pPr>
            <w:r>
              <w:rPr>
                <w:rFonts w:ascii="Arial" w:cs="Arial" w:eastAsia="Arial" w:hAnsi="Arial"/>
                <w:sz w:val="18"/>
                <w:szCs w:val="18"/>
                <w:color w:val="auto"/>
              </w:rPr>
              <w:t>Less: Unamortized discount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(1,399)</w:t>
            </w:r>
          </w:p>
        </w:tc>
      </w:tr>
      <w:tr>
        <w:trPr>
          <w:trHeight w:val="229"/>
        </w:trPr>
        <w:tc>
          <w:tcPr>
            <w:tcW w:w="9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Unaccreted value of final fee</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r>
      <w:tr>
        <w:trPr>
          <w:trHeight w:val="223"/>
        </w:trPr>
        <w:tc>
          <w:tcPr>
            <w:tcW w:w="97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26,139</w:t>
            </w:r>
          </w:p>
        </w:tc>
      </w:tr>
      <w:tr>
        <w:trPr>
          <w:trHeight w:val="229"/>
        </w:trPr>
        <w:tc>
          <w:tcPr>
            <w:tcW w:w="9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Current portion of long-term debt</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(26,139)</w:t>
            </w:r>
          </w:p>
        </w:tc>
      </w:tr>
      <w:tr>
        <w:trPr>
          <w:trHeight w:val="223"/>
        </w:trPr>
        <w:tc>
          <w:tcPr>
            <w:tcW w:w="978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9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DERIVATIVE LIABILITY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Exit Fee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May 2018, in connection with entering into the 2018 Loan Agreement, we entered into an agreement pursuant to which we agreed to pay $1.5 million in cash (the “2018 Exit Fee”) upon any change of control transaction in respect of the Company or if we obtain both (i) FDA approval of tenapanor for the control of serum phosphorus in adult patients with CKD on dialysis and (ii) FDA approval of tenapanor for the treatment of patients with IBS-C, which was obtained on September 12, 2019 when the FDA approved IBSRELA® (tenapanor), a 50 milligram, twice daily oral pill for the treatment of IBS-C in adults (the “2018 Exit Fee Agreement”). Notwithstanding the February 2022 prepayment of the 2018 Loan our obligation to pay the 2018 Exit Fee will expire on May 16, 2028. We concluded that the 2018 Exit Fee is a freestanding derivative which should be accounted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at fair value on a recurring basis. The estimated fair value of the 2018 Exit Fee is recorded as a derivative liability and included in accrued expenses and other current liabilities on the accompanying condensed balance sheets.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 of the derivative liability was determined using a discounted cash flow analysis and is classified as a Level 3 measurement within the fair value hierarchy since our valuation utilized significant unobservable inputs. Specifically, the key assumptions included in the calculation of the estimated fair value of the 2018 derivative liability include: (i) our estimates of both the probability and timing of a potential $1.5 million payment to the 2018 Lenders as a result of the FDA approvals and (ii) a discount rate which was derived from our estimated cost of debt, adjusted with current LIBOR (or a comparable successor rate if LIBOR no longer exists). Generally, increases or decreases in the probability of occurrence would result in a directionally similar impact in the fair value measurement of the derivative liability and it is estimated that a 10.0% increase (decrease), not to exceed 100%, in the probability of occurrence would result in a fair value fluctuation of no more than $0.1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Exit Fee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23, 2022, in connection with entering into the 2022 Loan Agreement, we entered into an agreement, whereby we agreed to pay an exit fee in the amount of 2% of the 2022 Loan funded (the “2022 Exit Fee”) upon (i) any change of control transaction or (ii) our achievement of net revenue from the sale of any products equal to or greater than $100.0 million, measured on a six (6) months basis (the "Revenue Milestone"), tested monthly at the end of each month. Notwithstanding the prepayment or termination of the 2022 Loan, the 2022 Exit Fee will expire on February 23, 2032. We concluded that the 2022 Exit Fee is a freestanding derivative which should be accounted for at fair value on a recurring basis. The estimated fair value of the 2022 Exit Fee is recorded as a derivative liability and included in accrued expenses and other current liabilities on the accompanying condensed balance sheets.</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 of the derivative liability was determined using a discounted cash flow analysis and is classified as a Level 3 measurement within the fair value hierarchy since our valuation utilized significant unobservable inputs. Specifically, the key assumptions included in the calculation of the estimated fair value of the 2022 derivative liability include: (i) our estimates of both the probability and timing of achieving the Revenue Milestone and (ii) the probability and timing of funding the Term B Loan, which is dependent upon (a) approval by the FDA for our NDA for the control of serum phosphorus in chronic kidney disease patients on dialysis by December 31, 2022, and (b) achievement of certain product revenue milestone targets. Generally, increases or decreases in the probability of occurrence would result in a directionally similar impact in the fair value measurement of the derivative liability and it is estimated that a 10.0% increase (decrease) in the probability of occurrence would not result in a material fair value fluctuation.</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Changes in the fair value of our exit fee derivative liabilities recurring measurements included in Level 3 of the fair value hierarchy are presented as other income, net in our statements of operations and were as follows for the three months ended March 31, 2022 and 2021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3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520" w:type="dxa"/>
            <w:vAlign w:val="bottom"/>
            <w:tcBorders>
              <w:bottom w:val="single" w:sz="8" w:color="auto"/>
            </w:tcBorders>
          </w:tcPr>
          <w:p>
            <w:pPr>
              <w:spacing w:after="0"/>
              <w:rPr>
                <w:sz w:val="20"/>
                <w:szCs w:val="20"/>
                <w:color w:val="auto"/>
              </w:rPr>
            </w:pPr>
          </w:p>
        </w:tc>
      </w:tr>
      <w:tr>
        <w:trPr>
          <w:trHeight w:val="223"/>
        </w:trPr>
        <w:tc>
          <w:tcPr>
            <w:tcW w:w="76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1,376</w:t>
            </w:r>
          </w:p>
        </w:tc>
      </w:tr>
      <w:tr>
        <w:trPr>
          <w:trHeight w:val="229"/>
        </w:trPr>
        <w:tc>
          <w:tcPr>
            <w:tcW w:w="7620" w:type="dxa"/>
            <w:vAlign w:val="bottom"/>
          </w:tcPr>
          <w:p>
            <w:pPr>
              <w:ind w:left="140"/>
              <w:spacing w:after="0"/>
              <w:rPr>
                <w:sz w:val="20"/>
                <w:szCs w:val="20"/>
                <w:color w:val="auto"/>
              </w:rPr>
            </w:pPr>
            <w:r>
              <w:rPr>
                <w:rFonts w:ascii="Arial" w:cs="Arial" w:eastAsia="Arial" w:hAnsi="Arial"/>
                <w:sz w:val="18"/>
                <w:szCs w:val="18"/>
                <w:color w:val="auto"/>
              </w:rPr>
              <w:t>2022 Exit Fee addition at fair value</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estimated fair value</w:t>
            </w:r>
          </w:p>
        </w:tc>
        <w:tc>
          <w:tcPr>
            <w:tcW w:w="1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1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1,412</w:t>
            </w:r>
          </w:p>
        </w:tc>
      </w:tr>
      <w:tr>
        <w:trPr>
          <w:trHeight w:val="21"/>
        </w:trPr>
        <w:tc>
          <w:tcPr>
            <w:tcW w:w="7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our leases are operating leases and each contain customary rent escalation clauses. Certain of the leases have both lease and non-lease components. We have elected to account for each separate lease component and the non-lease components associated with that lease component as a single lease component for all classes of underlying assets.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provides additional details of our facility leases presented in our condensed balance sheets as of March 31, 2022 and December 31, 2021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Facilities</w:t>
            </w:r>
          </w:p>
        </w:tc>
        <w:tc>
          <w:tcPr>
            <w:tcW w:w="2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March 31, 2022</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2"/>
              </w:rPr>
              <w:t>December 31, 2021</w:t>
            </w:r>
          </w:p>
        </w:tc>
      </w:tr>
      <w:tr>
        <w:trPr>
          <w:trHeight w:val="223"/>
        </w:trPr>
        <w:tc>
          <w:tcPr>
            <w:tcW w:w="7220" w:type="dxa"/>
            <w:vAlign w:val="bottom"/>
          </w:tcPr>
          <w:p>
            <w:pPr>
              <w:ind w:left="220"/>
              <w:spacing w:after="0"/>
              <w:rPr>
                <w:sz w:val="20"/>
                <w:szCs w:val="20"/>
                <w:color w:val="auto"/>
              </w:rPr>
            </w:pPr>
            <w:r>
              <w:rPr>
                <w:rFonts w:ascii="Arial" w:cs="Arial" w:eastAsia="Arial" w:hAnsi="Arial"/>
                <w:sz w:val="18"/>
                <w:szCs w:val="18"/>
                <w:color w:val="auto"/>
              </w:rPr>
              <w:t>Right-of-use assets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11,910</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12,752</w:t>
            </w:r>
          </w:p>
        </w:tc>
      </w:tr>
      <w:tr>
        <w:trPr>
          <w:trHeight w:val="257"/>
        </w:trPr>
        <w:tc>
          <w:tcPr>
            <w:tcW w:w="7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r>
      <w:tr>
        <w:trPr>
          <w:trHeight w:val="229"/>
        </w:trPr>
        <w:tc>
          <w:tcPr>
            <w:tcW w:w="7220" w:type="dxa"/>
            <w:vAlign w:val="bottom"/>
          </w:tcPr>
          <w:p>
            <w:pPr>
              <w:ind w:left="220"/>
              <w:spacing w:after="0"/>
              <w:rPr>
                <w:sz w:val="20"/>
                <w:szCs w:val="20"/>
                <w:color w:val="auto"/>
              </w:rPr>
            </w:pPr>
            <w:r>
              <w:rPr>
                <w:rFonts w:ascii="Arial" w:cs="Arial" w:eastAsia="Arial" w:hAnsi="Arial"/>
                <w:sz w:val="18"/>
                <w:szCs w:val="18"/>
                <w:color w:val="auto"/>
              </w:rPr>
              <w:t>Current portion of lease liabilities</w:t>
            </w:r>
          </w:p>
        </w:tc>
        <w:tc>
          <w:tcPr>
            <w:tcW w:w="240" w:type="dxa"/>
            <w:vAlign w:val="bottom"/>
          </w:tcPr>
          <w:p>
            <w:pPr>
              <w:spacing w:after="0"/>
              <w:rPr>
                <w:sz w:val="19"/>
                <w:szCs w:val="19"/>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3,592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3,492</w:t>
            </w:r>
          </w:p>
        </w:tc>
      </w:tr>
      <w:tr>
        <w:trPr>
          <w:trHeight w:val="230"/>
        </w:trPr>
        <w:tc>
          <w:tcPr>
            <w:tcW w:w="7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liability, net of current portion</w:t>
            </w: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9,748</w:t>
            </w:r>
          </w:p>
        </w:tc>
      </w:tr>
      <w:tr>
        <w:trPr>
          <w:trHeight w:val="223"/>
        </w:trPr>
        <w:tc>
          <w:tcPr>
            <w:tcW w:w="7220" w:type="dxa"/>
            <w:vAlign w:val="bottom"/>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12,404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13,240</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24"/>
        </w:trPr>
        <w:tc>
          <w:tcPr>
            <w:tcW w:w="7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Weighted-average remaining life (years)</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Lease costs, which are included in operating expenses in our statements of operations, were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7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Cash paid for operating lease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1,058</w:t>
            </w:r>
          </w:p>
        </w:tc>
        <w:tc>
          <w:tcPr>
            <w:tcW w:w="1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1,565</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undiscounted cash payment obligations for our operating lease liabilities as of March 31, 2022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2023</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4,440</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2025</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1,321</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23"/>
        </w:trPr>
        <w:tc>
          <w:tcPr>
            <w:tcW w:w="9600" w:type="dxa"/>
            <w:vAlign w:val="bottom"/>
          </w:tcPr>
          <w:p>
            <w:pPr>
              <w:ind w:left="20"/>
              <w:spacing w:after="0"/>
              <w:rPr>
                <w:sz w:val="20"/>
                <w:szCs w:val="20"/>
                <w:color w:val="auto"/>
              </w:rPr>
            </w:pPr>
            <w:r>
              <w:rPr>
                <w:rFonts w:ascii="Arial" w:cs="Arial" w:eastAsia="Arial" w:hAnsi="Arial"/>
                <w:sz w:val="18"/>
                <w:szCs w:val="18"/>
                <w:color w:val="auto"/>
              </w:rPr>
              <w:t>Total undiscounted operating lease payments</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13,836</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Imputed interest expenses</w:t>
            </w: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r>
      <w:tr>
        <w:trPr>
          <w:trHeight w:val="223"/>
        </w:trPr>
        <w:tc>
          <w:tcPr>
            <w:tcW w:w="9600" w:type="dxa"/>
            <w:vAlign w:val="bottom"/>
          </w:tcPr>
          <w:p>
            <w:pPr>
              <w:ind w:left="140"/>
              <w:spacing w:after="0"/>
              <w:rPr>
                <w:sz w:val="20"/>
                <w:szCs w:val="20"/>
                <w:color w:val="auto"/>
              </w:rPr>
            </w:pPr>
            <w:r>
              <w:rPr>
                <w:rFonts w:ascii="Arial" w:cs="Arial" w:eastAsia="Arial" w:hAnsi="Arial"/>
                <w:sz w:val="18"/>
                <w:szCs w:val="18"/>
                <w:color w:val="auto"/>
              </w:rPr>
              <w:t>Total operating lease liabilities</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12,404</w:t>
            </w:r>
          </w:p>
        </w:tc>
      </w:tr>
      <w:tr>
        <w:trPr>
          <w:trHeight w:val="229"/>
        </w:trPr>
        <w:tc>
          <w:tcPr>
            <w:tcW w:w="9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Current portion of operating lease liability</w:t>
            </w: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(3,592)</w:t>
            </w:r>
          </w:p>
        </w:tc>
      </w:tr>
      <w:tr>
        <w:trPr>
          <w:trHeight w:val="230"/>
        </w:trPr>
        <w:tc>
          <w:tcPr>
            <w:tcW w:w="9600" w:type="dxa"/>
            <w:vAlign w:val="bottom"/>
          </w:tcPr>
          <w:p>
            <w:pPr>
              <w:ind w:left="360"/>
              <w:spacing w:after="0"/>
              <w:rPr>
                <w:sz w:val="20"/>
                <w:szCs w:val="20"/>
                <w:color w:val="auto"/>
              </w:rPr>
            </w:pPr>
            <w:r>
              <w:rPr>
                <w:rFonts w:ascii="Arial" w:cs="Arial" w:eastAsia="Arial" w:hAnsi="Arial"/>
                <w:sz w:val="18"/>
                <w:szCs w:val="18"/>
                <w:color w:val="auto"/>
              </w:rPr>
              <w:t>Operating lease liability, net of current portion</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8,812</w:t>
            </w:r>
          </w:p>
        </w:tc>
      </w:tr>
      <w:tr>
        <w:trPr>
          <w:trHeight w:val="34"/>
        </w:trPr>
        <w:tc>
          <w:tcPr>
            <w:tcW w:w="96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 the Market Offerings Agreement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July 2020, we filed a Form S-3 registration statement, which became effective in August 2020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$100.0 million of our common stock that may be issued and sold, from time to time, under a sales agreement with Jefferies LLC ("Jefferies"), deemed to be “at the market offerings” (the "2020 Open Market Sales Agreement"). The 2020 Open Market Sales Agreement was fully utilized as of December 31, 2021. During the three months ended March 31, 2021 we sold 4.9 million shares and received gross proceeds of $35.0 million at a weighted average sales price of approximately $7.09 per share under the 2020 Open Market Sales Agreement.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2021, we filed an additional prospectus supplement under the Registration Statement for the offering, issuance and sale by us of up to a maximum aggregate offering price of $150.0 million of our common stock that may be issued and sold, from time to time, under an additional sales agreement we entered into with Jefferies (the "2021 Open Market Sales Agreement"), pursuant to which we may, from time to time, sell up to $150.0 million in shares of our common stock through Jefferies. We are not required to sell shares under the 2021 Open Market Sales Agreement. Pursuant to the 2021 Open Market</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Sales Agreement, Jefferies, as our sales agent, receives a commission of up to 3% of the gross sales price for shares of common stock sold under the 2021 Open Market Sales Agreement. During the three months ended March 31, 2022 we sold 5.9 million shares and received gross proceeds of $6.0 million at a weighted average sales price of approximately $1.02 per share under the 2021 Open Market Sales Agreement.</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sold 8.3 million shares of our common stock pursuant to the 2021 Open Market Sales Agreement which were settled between the dates of April 1, 2022 through April 27, 2022 for gross proceeds of $9.0 million at a weighted average sales price of approximately $1.09 per share. We did not sell any additional shares of our common stock after April 25, 2022 and through the date of filing this Quarterly Report on Form 10-Q.</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EQUITY INCENTIVE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Stock-based compensation expense recognized for stock options, restricted stock units ("RSUs"), performance-based restricted stock units ("PRSUs") and our employee stock purchase program (the "ESPP") are recorded as operating expenses in our condensed statements of operations and comprehensive loss,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20" w:type="dxa"/>
            <w:vAlign w:val="bottom"/>
          </w:tcPr>
          <w:p>
            <w:pPr>
              <w:spacing w:after="0"/>
              <w:rPr>
                <w:sz w:val="20"/>
                <w:szCs w:val="20"/>
                <w:color w:val="auto"/>
              </w:rPr>
            </w:pPr>
          </w:p>
        </w:tc>
        <w:tc>
          <w:tcPr>
            <w:tcW w:w="272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23"/>
        </w:trPr>
        <w:tc>
          <w:tcPr>
            <w:tcW w:w="85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r>
      <w:tr>
        <w:trPr>
          <w:trHeight w:val="230"/>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2,508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w:t>
            </w:r>
          </w:p>
        </w:tc>
      </w:tr>
      <w:tr>
        <w:trPr>
          <w:trHeight w:val="248"/>
        </w:trPr>
        <w:tc>
          <w:tcPr>
            <w:tcW w:w="8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3,722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2022, our total unrecognized stock-based compensation expense, net of estimated forfeitures, and average remaining vesting period, included the following (dollars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Unrecognized</w:t>
            </w:r>
          </w:p>
        </w:tc>
        <w:tc>
          <w:tcPr>
            <w:tcW w:w="2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Average Remaining</w:t>
            </w:r>
          </w:p>
        </w:tc>
        <w:tc>
          <w:tcPr>
            <w:tcW w:w="0" w:type="dxa"/>
            <w:vAlign w:val="bottom"/>
          </w:tcPr>
          <w:p>
            <w:pPr>
              <w:spacing w:after="0"/>
              <w:rPr>
                <w:sz w:val="1"/>
                <w:szCs w:val="1"/>
                <w:color w:val="auto"/>
              </w:rPr>
            </w:pPr>
          </w:p>
        </w:tc>
      </w:tr>
      <w:tr>
        <w:trPr>
          <w:trHeight w:val="175"/>
        </w:trPr>
        <w:tc>
          <w:tcPr>
            <w:tcW w:w="7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89"/>
              </w:rPr>
              <w:t>Compensation</w:t>
            </w:r>
          </w:p>
        </w:tc>
        <w:tc>
          <w:tcPr>
            <w:tcW w:w="2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Expense</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9"/>
              </w:rPr>
              <w:t>Vesting Period (Years)</w:t>
            </w:r>
          </w:p>
        </w:tc>
        <w:tc>
          <w:tcPr>
            <w:tcW w:w="0" w:type="dxa"/>
            <w:vAlign w:val="bottom"/>
          </w:tcPr>
          <w:p>
            <w:pPr>
              <w:spacing w:after="0"/>
              <w:rPr>
                <w:sz w:val="1"/>
                <w:szCs w:val="1"/>
                <w:color w:val="auto"/>
              </w:rPr>
            </w:pPr>
          </w:p>
        </w:tc>
      </w:tr>
      <w:tr>
        <w:trPr>
          <w:trHeight w:val="223"/>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 grants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14,865</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3.0</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RSU grants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4,894</w:t>
            </w:r>
          </w:p>
        </w:tc>
        <w:tc>
          <w:tcPr>
            <w:tcW w:w="10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5"/>
              </w:rPr>
              <w:t>1.3</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0.8</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our stock option activity and related information for the three months ended March 31, 2022 is as follows (in thousands, except dollar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75"/>
        </w:trPr>
        <w:tc>
          <w:tcPr>
            <w:tcW w:w="38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96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Number of Shares</w:t>
            </w:r>
          </w:p>
        </w:tc>
        <w:tc>
          <w:tcPr>
            <w:tcW w:w="280" w:type="dxa"/>
            <w:vAlign w:val="bottom"/>
          </w:tcPr>
          <w:p>
            <w:pPr>
              <w:spacing w:after="0"/>
              <w:rPr>
                <w:sz w:val="15"/>
                <w:szCs w:val="15"/>
                <w:color w:val="auto"/>
              </w:rPr>
            </w:pPr>
          </w:p>
        </w:tc>
        <w:tc>
          <w:tcPr>
            <w:tcW w:w="2740" w:type="dxa"/>
            <w:vAlign w:val="bottom"/>
            <w:gridSpan w:val="2"/>
          </w:tcPr>
          <w:p>
            <w:pPr>
              <w:jc w:val="center"/>
              <w:ind w:right="940"/>
              <w:spacing w:after="0" w:line="176" w:lineRule="exact"/>
              <w:rPr>
                <w:sz w:val="20"/>
                <w:szCs w:val="20"/>
                <w:color w:val="auto"/>
              </w:rPr>
            </w:pPr>
            <w:r>
              <w:rPr>
                <w:rFonts w:ascii="Arial" w:cs="Arial" w:eastAsia="Arial" w:hAnsi="Arial"/>
                <w:sz w:val="18"/>
                <w:szCs w:val="18"/>
                <w:b w:val="1"/>
                <w:bCs w:val="1"/>
                <w:color w:val="auto"/>
                <w:w w:val="89"/>
              </w:rPr>
              <w:t>Exercise Price per</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9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274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7"/>
              </w:rPr>
              <w:t>Share</w:t>
            </w:r>
          </w:p>
        </w:tc>
        <w:tc>
          <w:tcPr>
            <w:tcW w:w="0" w:type="dxa"/>
            <w:vAlign w:val="bottom"/>
          </w:tcPr>
          <w:p>
            <w:pPr>
              <w:spacing w:after="0"/>
              <w:rPr>
                <w:sz w:val="1"/>
                <w:szCs w:val="1"/>
                <w:color w:val="auto"/>
              </w:rPr>
            </w:pP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38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10,417</w:t>
            </w:r>
          </w:p>
        </w:tc>
        <w:tc>
          <w:tcPr>
            <w:tcW w:w="1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40"/>
              <w:spacing w:after="0"/>
              <w:rPr>
                <w:sz w:val="20"/>
                <w:szCs w:val="20"/>
                <w:color w:val="auto"/>
              </w:rPr>
            </w:pPr>
            <w:r>
              <w:rPr>
                <w:rFonts w:ascii="Arial" w:cs="Arial" w:eastAsia="Arial" w:hAnsi="Arial"/>
                <w:sz w:val="18"/>
                <w:szCs w:val="18"/>
                <w:color w:val="auto"/>
              </w:rPr>
              <w:t>Options granted</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3,535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0.98</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 exercised</w:t>
            </w:r>
          </w:p>
        </w:tc>
        <w:tc>
          <w:tcPr>
            <w:tcW w:w="23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40"/>
              <w:spacing w:after="0"/>
              <w:rPr>
                <w:sz w:val="20"/>
                <w:szCs w:val="20"/>
                <w:color w:val="auto"/>
              </w:rPr>
            </w:pPr>
            <w:r>
              <w:rPr>
                <w:rFonts w:ascii="Arial" w:cs="Arial" w:eastAsia="Arial" w:hAnsi="Arial"/>
                <w:sz w:val="18"/>
                <w:szCs w:val="18"/>
                <w:color w:val="auto"/>
              </w:rPr>
              <w:t>Options forfeited or canceled</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7.18</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238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80" w:type="dxa"/>
            <w:vAlign w:val="bottom"/>
          </w:tcPr>
          <w:p>
            <w:pPr>
              <w:ind w:left="20"/>
              <w:spacing w:after="0" w:line="203" w:lineRule="exact"/>
              <w:rPr>
                <w:sz w:val="20"/>
                <w:szCs w:val="20"/>
                <w:color w:val="auto"/>
              </w:rPr>
            </w:pPr>
            <w:r>
              <w:rPr>
                <w:rFonts w:ascii="Arial" w:cs="Arial" w:eastAsia="Arial" w:hAnsi="Arial"/>
                <w:sz w:val="18"/>
                <w:szCs w:val="18"/>
                <w:color w:val="auto"/>
              </w:rPr>
              <w:t>Exercisable at March 31, 2022</w:t>
            </w:r>
          </w:p>
        </w:tc>
        <w:tc>
          <w:tcPr>
            <w:tcW w:w="2380" w:type="dxa"/>
            <w:vAlign w:val="bottom"/>
          </w:tcPr>
          <w:p>
            <w:pPr>
              <w:spacing w:after="0"/>
              <w:rPr>
                <w:sz w:val="17"/>
                <w:szCs w:val="17"/>
                <w:color w:val="auto"/>
              </w:rPr>
            </w:pPr>
          </w:p>
        </w:tc>
        <w:tc>
          <w:tcPr>
            <w:tcW w:w="1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6,476</w:t>
            </w:r>
          </w:p>
        </w:tc>
        <w:tc>
          <w:tcPr>
            <w:tcW w:w="12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7.16</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380" w:type="dxa"/>
            <w:vAlign w:val="bottom"/>
            <w:vMerge w:val="restart"/>
          </w:tcPr>
          <w:p>
            <w:pPr>
              <w:jc w:val="right"/>
              <w:ind w:right="450"/>
              <w:spacing w:after="0"/>
              <w:rPr>
                <w:sz w:val="20"/>
                <w:szCs w:val="20"/>
                <w:color w:val="auto"/>
              </w:rPr>
            </w:pPr>
            <w:r>
              <w:rPr>
                <w:rFonts w:ascii="Arial" w:cs="Arial" w:eastAsia="Arial" w:hAnsi="Arial"/>
                <w:sz w:val="18"/>
                <w:szCs w:val="18"/>
                <w:color w:val="auto"/>
              </w:rPr>
              <w:t>19</w:t>
            </w: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38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RSUs activity and related information for the three months ended March 31, 2022 is as follows (in thousands, except dollar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17"/>
                <w:szCs w:val="17"/>
                <w:color w:val="auto"/>
              </w:rPr>
            </w:pPr>
          </w:p>
        </w:tc>
        <w:tc>
          <w:tcPr>
            <w:tcW w:w="1660" w:type="dxa"/>
            <w:vAlign w:val="bottom"/>
            <w:vMerge w:val="restart"/>
          </w:tcPr>
          <w:p>
            <w:pPr>
              <w:jc w:val="center"/>
              <w:ind w:left="490"/>
              <w:spacing w:after="0"/>
              <w:rPr>
                <w:sz w:val="20"/>
                <w:szCs w:val="20"/>
                <w:color w:val="auto"/>
              </w:rPr>
            </w:pPr>
            <w:r>
              <w:rPr>
                <w:rFonts w:ascii="Arial" w:cs="Arial" w:eastAsia="Arial" w:hAnsi="Arial"/>
                <w:sz w:val="18"/>
                <w:szCs w:val="18"/>
                <w:b w:val="1"/>
                <w:bCs w:val="1"/>
                <w:color w:val="auto"/>
                <w:w w:val="93"/>
              </w:rPr>
              <w:t>Number of</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Weighted-Average</w:t>
            </w:r>
          </w:p>
        </w:tc>
        <w:tc>
          <w:tcPr>
            <w:tcW w:w="0" w:type="dxa"/>
            <w:vAlign w:val="bottom"/>
          </w:tcPr>
          <w:p>
            <w:pPr>
              <w:spacing w:after="0"/>
              <w:rPr>
                <w:sz w:val="1"/>
                <w:szCs w:val="1"/>
                <w:color w:val="auto"/>
              </w:rPr>
            </w:pPr>
          </w:p>
        </w:tc>
      </w:tr>
      <w:tr>
        <w:trPr>
          <w:trHeight w:val="176"/>
        </w:trPr>
        <w:tc>
          <w:tcPr>
            <w:tcW w:w="686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tcPr>
          <w:p>
            <w:pPr>
              <w:jc w:val="right"/>
              <w:ind w:right="290"/>
              <w:spacing w:after="0" w:line="176" w:lineRule="exact"/>
              <w:rPr>
                <w:sz w:val="20"/>
                <w:szCs w:val="20"/>
                <w:color w:val="auto"/>
              </w:rPr>
            </w:pPr>
            <w:r>
              <w:rPr>
                <w:rFonts w:ascii="Arial" w:cs="Arial" w:eastAsia="Arial" w:hAnsi="Arial"/>
                <w:sz w:val="18"/>
                <w:szCs w:val="18"/>
                <w:b w:val="1"/>
                <w:bCs w:val="1"/>
                <w:color w:val="auto"/>
              </w:rPr>
              <w:t>Grant Date Fair</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91"/>
              </w:rPr>
              <w:t>RSUs</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Value Per Share</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at December 31, 2021</w:t>
            </w:r>
          </w:p>
        </w:tc>
        <w:tc>
          <w:tcPr>
            <w:tcW w:w="1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9"/>
        </w:trPr>
        <w:tc>
          <w:tcPr>
            <w:tcW w:w="852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29"/>
        </w:trPr>
        <w:tc>
          <w:tcPr>
            <w:tcW w:w="8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8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at March 31, 2022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February 2022, we sold approximately 0.1 million shares of our common stock under the ESPP. The shares were purchased by employees at a purchase price of $0.65 per share resulting in proceeds to us of approximately $0.1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for Services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Our Amended and Restated Non-Employee Director Compensation Program, members of our board of directors may elect to receive shares of our stock in lieu of their cash fees. During the three months ended March 31, 2022, we issued no shares of our common stock to members of the board of directors in accordance with the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NET LOSS PER SHARE</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net loss per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 dilutive common shares, including common stock issuable upon exercise of stock options, and unvested restricted common stock and stock units. As we had net losses for the three months ended March 31, 2022 and 2021, all potential common shares were determined to be anti-dilutive.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net loss per common share (in thousands, except per share amounts):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2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Numerator:</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23"/>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(33,155)</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 basic and diluted</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97,179</w:t>
            </w:r>
          </w:p>
        </w:tc>
      </w:tr>
      <w:tr>
        <w:trPr>
          <w:trHeight w:val="223"/>
        </w:trPr>
        <w:tc>
          <w:tcPr>
            <w:tcW w:w="7840" w:type="dxa"/>
            <w:vAlign w:val="bottom"/>
          </w:tcPr>
          <w:p>
            <w:pPr>
              <w:ind w:left="140"/>
              <w:spacing w:after="0"/>
              <w:rPr>
                <w:sz w:val="20"/>
                <w:szCs w:val="20"/>
                <w:color w:val="auto"/>
              </w:rPr>
            </w:pPr>
            <w:r>
              <w:rPr>
                <w:rFonts w:ascii="Arial" w:cs="Arial" w:eastAsia="Arial" w:hAnsi="Arial"/>
                <w:sz w:val="18"/>
                <w:szCs w:val="18"/>
                <w:color w:val="auto"/>
              </w:rPr>
              <w:t>Net loss per share - basic and diluted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r>
      <w:tr>
        <w:trPr>
          <w:trHeight w:val="20"/>
        </w:trPr>
        <w:tc>
          <w:tcPr>
            <w:tcW w:w="7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2022, the total number of securities that could potentially dilute basic net loss per share in the future that were not included in the computation of diluted net loss per share because the effect would have been antidilutive was 13.3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2021, the total number of securities that could potentially dilute basic net loss per share in the future that were not included in the computation of diluted net loss per share because the effect would have been antidilutive was 13.0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CONTINGENCIES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may be involved in claims arising in connection with our business. Based on information currently available, management believes that the amount, or range, of reasonably possible losses in connection with any pending actions against us will not be material to our financial condition or cash flows, and no contingent liabilities were accrued as of March 31, 2022 or 2021.</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11, 2022, we entered into a second amendment (the "Amendment") to the 2017 KKC Agreement. Under the terms of the Amendment, the parties have agreed to a reduction in the royalty rate payable to us by KKC upon net sales of tenapanor in Japan. The royalty rate will be reduced from the high teens to low double digits for a two-year period of time following the first commercial sale in Japan, and then to mid-single digits for the remainder of the royalty term. As consideration for the reduction in the royalty rate, KKC has agreed to pay us up to an additional U.S. $40.0 million payable in two tranches, with the first payment due following KKC's filing with the Japanese Ministry Health, Labour and Welfare (MHLW) of its application for marketing approval for tenapanor and the second payment due following KKC's receipt of regulatory approval to market tenapanor for hyperphosphatemia in Japan.</w:t>
      </w:r>
    </w:p>
    <w:p>
      <w:pPr>
        <w:spacing w:after="0" w:line="1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condensed financial statements and notes thereto included elsewhere in this report and with the audited financial statements and related notes thereto included as part of our Annual Report on Form 10-K for the year ended December 31, 2021. This discussion and analysis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biopharmaceutical company founded with a mission to discover, develop and commercialize innovative first-in-class medicines that meet significant unmet medical needs.</w:t>
      </w:r>
    </w:p>
    <w:p>
      <w:pPr>
        <w:spacing w:after="0" w:line="19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Since commencing operations in October 2007, substantially all our efforts have been dedicated to our research and development (“R&amp;D”) activities, including developing tenapanor and developing our proprietary drug discovery and design platform. We realized our first product sales of IBSRELA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(tenapanor) in March 2022. As of March 31, 2022, we had an accumulated deficit of $741.0 million.</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expect to continue to incur substantial operating losses for the foreseeable future as we commercialize IBSRELA, seek to gain approval for XPHOZAH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(tenapanor) for the control of serum phosphorus in adult patients with CKD on dialysis; prepare for the potential commercialization of XPHOZAH, if approved; and incur manufacturing and development cost for, tenapanor. To date, we have funded our operations from the sale and issuance of common stock and convertible preferred stock, funds from our collaboration partnerships, which includes license fees, milestones and product supply revenue, as well as funds from our loan agreements with our lenders.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IBSRELA for IBS-C</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unique discovery platform and deep understanding of the primary mechanism of sodium transport in the intestine resulted in our discovery and development of IBSRELA, a first-in-class, U.S. Food and Drug Administration (“FDA”) approved, sodium hydrogen exchanger 3 ("NHE3") inhibitor for the treatment of IBS-C in adults. IBSRELA acts locally in the gut and is minimally absorbed. IBS-C is a gastrointestinal disorder characterized by both abdominal pain and altered bowel movements, estimated to affect 11 million people in the U.S. IBS-C is associated with significantly impaired quality of life, reduced productivity, and substantial economic burden.</w:t>
      </w:r>
    </w:p>
    <w:p>
      <w:pPr>
        <w:spacing w:after="0" w:line="21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preparation for our commercial launch of IBSRELA, we have built a commercial organization highly experienced in launching novel therapies into specialty areas. We recognized our first sales of IBSRELA in the U.S. in March 2022.</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established commercial agreements with Shanghai Fosun Pharmaceutical Industrial Development Co. Ltd. (“Fosun Pharma”) in China and Knight Therapeutics, Inc. (“Knight”) in Canada for IBSRELA for IBS-C. Knight is currently marketing IBSRELA in Canada.</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Candidate XPHOZAH for The Control of Serum Phosphorus in Adult Patients with CKD on Dialysis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XPHOZAH is a first-in-class medicine being developed for the control of serum phosphorus in adult patients with CKD on dialysis. XPHOZAH has a unique mechanism of action and acts locally in the gut to inhibit NHE3. This results in the tightening of the epithelial cell junctions, thereby significantly reducing paracellular uptake of phosphate, the primary pathway of phosphate absorption. If approved, XPHOZAH would be the first therapy for phosphate management that blocks phosphorus absorption at the primary site of uptake. It is not a phosphate binder.</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2020, we submitted a new drug application ("NDA") to the FDA for XPHOZAH for the control of serum phosphorus in adult patients with CKD on dialysis. The NDA was supported by three Phase 3 trials involving over 1,000 adult patients that evaluated the use of tenapanor for the control of serum phosphorus in adult patients with CKD on dialysis, with two trials evaluating tenapanor as monotherapy and one trial evaluating tenapanor as part of a dual mechanism approach with phosphate binders. All three Phase 3 trials met their primary and key secondary endpoints.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July 28, 2021, we received a Complete Response Letter ("CRL") from the FDA regarding our NDA for tenapanor for the control of serum phosphorus in adult patients with CKD on dialysis. According to the CRL, while the FDA agrees “that the submitted data provide substantial evidence that tenapanor is effective in reducing serum phosphorus in adult patients with CKD on dialysis,” the FDA characterizes the magnitude of the treatment effect as “small and of unclear clinical significance.” In December 2021, we submitted a Formal Dispute Resolution Request (“FDRR”). The FDRR was focused on demonstrating that the data submitted in the NDA supported the clinical significance of the treatment effect of tenapanor.</w:t>
      </w:r>
    </w:p>
    <w:p>
      <w:pPr>
        <w:spacing w:after="0" w:line="20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February 4, 2022, we received an Appeal Denied Letter (“ADL”) from the FDA’s Office of Cardiology, Hematology, Endocrinology and Nephrology (“OCHEN”). On February 18, 2022, we submitted an appeal of the ADL to the FDA’s Center for Drug Evaluation and Research, Office of New Drugs (“OND”).</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25, 2022, we announced that OND has provided an interim response to our second level of appeal of the CRL. The OND noted that additional input from the Cardiovascular and Renal Drug Advisory Committee (“Advisory Committee”) in general, and specifically, from experts, including expert clinicians, would be valuable in further considering the clinical meaningfulness of the phosphate lowering effect observed in our phase 3 clinical program for XPHOZAH. Accordingly, the OND intends to direct the Division of Cardiology and Nephrology to bring the XPHOZAH NDA to the Advisory Committee, and to provide a response to our appeal within thirty (30) days after the conclusion of the Advisory Committee meeting. There can be no assurances that the Advisory Committee will recommend approval of our NDA for XPHOZAH, or that if approval is recommended, that such approval will ultimately be granted by the FDA.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RDX013 Program: Small Molecule for Treating Hyperkalemia</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small molecule potassium secretagogue program, RDX013, is focused on the development of a potential treatment for hyperkalemia. Hyperkalemia is a common problem in patients with heart and kidney disease, particularly in patients taking customary blood pressure medications known as renin-angiotensin-aldosterone system (“RAAS”) inhibitors. RDX013 is a novel mechanism agent designed to target the underlying biological mechanisms of potassium secretion to lower elevated potassium.</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April 25, 2022, we reported that we have completed our data analyses of the Phase 2 dose ranging clinical trial for RDX013 evaluating the safety and efficacy of our potassium secretagogue for the treatment of hyperkalemia, or elevated potassium, in chronic kidney disease patients who are not on dialysis. While the results of the study demonstrated an acceptable safety and tolerability profile for RDX013 and supported proof of concept in its ability to lower serum potassium levels, with statistically significant reductions compared to placebo after eight days of treatment, the study did not meet its primary endpoint of significantly reducing serum potassium levels compared to placebo after four weeks of treatment. We currently expect that the next steps for the program will be to evaluate a new formulation that potentially enhances subject compliance and the efficacy of RDX013 in an additional Phase 2 clinical study at such time as we have determined our available resources support conducting such an additional clinical study after prioritization of our launch of IBSRELA and preparations for the Advisory Committee for XPHOZAH.</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RDX020 Program: Small molecule for Treating Metabolic Acidosis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an ongoing discovery program targeting the inhibition of bicarbonate exchange inhibitor for the treatment of metabolic acidosis, a highly prevalent comorbidity in CKD patients that is strongly correlated with disease progression and adverse outcomes. We have identified lead compounds that are potent, selective and proprietary inhibitors of bicarbonate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secretion. Our research organization was eliminated as part of our October 2021 restructuring, and therefore, we currently expect to continue to advance this discovery program utilizing third-party resources managed by internal non-clinical expertise.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exclusive rights to tenapanor in the U.S. and we have established agreements with Kyowa Kirin Co., Ltd. (“KKC”) in Japan, Shanghai Fosun Pharmaceutical Industrial Development Co. Ltd. (“Fosun Pharma”) in China and Knight Therapeutics, Inc. (“Knight“) in Canada for the development and commercialization of tenapanor for certain indications in their respective territories.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Knight has exclusive rights for the development, commercialization and distribution of tenapanor in Canada for hyperphosphatemia and IBS-C. In March 2021, Knight announced the commercial availability of IBSRELA in Canada, following its approval by Health Canada in April 2020. Under the terms of the agreement with Knight, we received a $2.3 million nonrefundable, one-time upfront payment in March 2018 and are eligible to receive additional development and commercialization milestone payments worth up to $17.8 million. We are also eligible to receive royalties throughout the term of the agreement, and a transfer price for manufacturing services.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KKC has exclusive rights for the development, commercialization and distribution of tenapanor in Japan for cardiorenal indications. In April 2021, we announced that KKC had commenced four phase 3 clinical trials in Japan evaluating tenapanor for hyperphosphatemia. The phase 3 clinical trials consist of a multi-center, randomized, double-blind, placebo-controlled, parallel-group comparative study; a phosphate binder-combination parallel-group comparative study; an open-label, single-arm study evaluating hyperphosphatemia patients on peritoneal dialysis; and a long-term study evaluating serum phosphorus in patients who switch from one or more phosphate binders to tenapanor. Under the terms of the agreement with KKC, we received a $30.0 million upfront payment from KKC, and we may be entitled to receive up to $55.0 million in total development milestones, of which $10.0 million has been received and recognized as revenue as of March 31, 2022, and approximately ¥8.5 billion for commercialization milestones, or approximately $69.7 million at the currency exchange rate on March 31, 2022, as well as royalties on net sales throughout the term of the agreement.</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i w:val="1"/>
          <w:iCs w:val="1"/>
          <w:color w:val="auto"/>
        </w:rPr>
        <w:t>Note 14 - Subsequent events</w:t>
      </w:r>
      <w:r>
        <w:rPr>
          <w:rFonts w:ascii="Arial" w:cs="Arial" w:eastAsia="Arial" w:hAnsi="Arial"/>
          <w:sz w:val="18"/>
          <w:szCs w:val="18"/>
          <w:color w:val="auto"/>
        </w:rPr>
        <w:t>, on April 11, 2022, we entered into a second amendment (the "Amendment") to the 2017 KKC Agreement. Under the terms of the Amendment, the parties have agreed to a reduction in the royalty rate payable to us by KKC upon net sales of tenapanor in Japan. The royalty rate will be reduced from the high teens to low double digits for a two-year period of time following the first commercial sale in Japan, and then to mid-single digits for the remainder of the royalty term. As consideration for the reduction in the royalty rate, KKC has agreed to pay us up to an additional U.S. $40.0 million payable in two tranches, with the first payment due following KKC's filing with the Japanese Ministry Health, Labour and Welfare (MHLW) of its application for marketing approval for tenapanor and the second payment due following KKC's receipt of regulatory approval to market tenapanor for hyperphosphatemia in Japan.</w:t>
      </w:r>
    </w:p>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Fosun Pharma has exclusive rights for the development and commercialization for the development, commercialization and distribution of tenapanor in China for both hyperphosphatemia and IBS-C. Under the terms of the Fosun Agreement, we received $12.0 million in upfront license, and we may be entitled to additional development and commercialization milestones of up to $110.0 million, as well as reimbursement of cost plus a reasonable overhead for the supply of product and tiered royalties on net sales ranging from the mid-teens to 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global COVID-19 pandemic has impacted the operational decisions of companies worldwide. It also has created and may continue to create significant uncertainty in the global economy. We have undertaken measures to protect our employees, partners, collaborators, and vendors, some of which impact our normal operations. To date, we have been able to continue our operations with our workforce, most of whom are working remotely, and our pre-existing infrastructure that supports secure access to our internal systems. If, however, the COVID-19 pandemic has a substantial impact on the productivity of our employees, the results of our operations and overall financial performance may be adversely impacted. The extent of the impact from the COVID-19 pandemic on our business will depend largely on future developments that are highly uncertain and cannot be predicted. For a discussion of risks of COVID-19 relating to our business, see “Part II: Other Information-Item 1A.- Risk Factors- Risks Related to Our Business- </w:t>
      </w:r>
      <w:r>
        <w:rPr>
          <w:rFonts w:ascii="Arial" w:cs="Arial" w:eastAsia="Arial" w:hAnsi="Arial"/>
          <w:sz w:val="17"/>
          <w:szCs w:val="17"/>
          <w:i w:val="1"/>
          <w:iCs w:val="1"/>
          <w:color w:val="auto"/>
        </w:rPr>
        <w:t>The ongoing effects of the</w:t>
      </w:r>
      <w:r>
        <w:rPr>
          <w:rFonts w:ascii="Arial" w:cs="Arial" w:eastAsia="Arial" w:hAnsi="Arial"/>
          <w:sz w:val="17"/>
          <w:szCs w:val="17"/>
          <w:color w:val="auto"/>
        </w:rPr>
        <w:t xml:space="preserve"> </w:t>
      </w:r>
      <w:r>
        <w:rPr>
          <w:rFonts w:ascii="Arial" w:cs="Arial" w:eastAsia="Arial" w:hAnsi="Arial"/>
          <w:sz w:val="17"/>
          <w:szCs w:val="17"/>
          <w:i w:val="1"/>
          <w:iCs w:val="1"/>
          <w:color w:val="auto"/>
        </w:rPr>
        <w:t>COVID-19 pandemic, or any other outbreak of epidemic diseases, or the perception of their effects, could have a material adverse effect on our business, financial condition, results of operations or cash flows</w:t>
      </w:r>
      <w:r>
        <w:rPr>
          <w:rFonts w:ascii="Arial" w:cs="Arial" w:eastAsia="Arial" w:hAnsi="Arial"/>
          <w:sz w:val="17"/>
          <w:szCs w:val="17"/>
          <w:color w:val="auto"/>
        </w:rPr>
        <w:t>.” As of the date of issuance of this financial report, we are not aware of any specific event or</w:t>
      </w:r>
      <w:r>
        <w:rPr>
          <w:rFonts w:ascii="Arial" w:cs="Arial" w:eastAsia="Arial" w:hAnsi="Arial"/>
          <w:sz w:val="17"/>
          <w:szCs w:val="17"/>
          <w:i w:val="1"/>
          <w:iCs w:val="1"/>
          <w:color w:val="auto"/>
        </w:rPr>
        <w:t xml:space="preserve"> </w:t>
      </w:r>
      <w:r>
        <w:rPr>
          <w:rFonts w:ascii="Arial" w:cs="Arial" w:eastAsia="Arial" w:hAnsi="Arial"/>
          <w:sz w:val="17"/>
          <w:szCs w:val="17"/>
          <w:color w:val="auto"/>
        </w:rPr>
        <w:t>circumstance that would require updates to our estimates and judgments or revisions to the carrying value of our assets or liabilities. These estimates may change as new events occur and additional information is obtained.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discussion and analysis of financial condition and results of operations is based on our condensed financial statements, which have been prepared in accordance with accounting principles generally accepted in the United States.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Critical accounting policies are those that require significant judgment and/or estimates by management at the time that financial statements are prepared such that materially different results might have been reported if other assumptions had been made. These estimates form the basis for making judgments about the carrying values of assets and liabilities. We base our estimates and judgments on historical experience and on various other assumptions that we believe to be reasonable under the circumstances. Actual results could differ materially from these estimates.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critical accounting policies that we believe impact significant judgments and estimates used in the preparation of our condensed financial statements presented in this report are described in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our Annual Report on Form 10-K filed with the SEC on February 28, 2022.</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March 31, 2022, we adopted the following critical accounting policies and significant judgements and estimates: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Sales, Net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account for our commercial product sales, net in accordance with Topic 606 -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We received approval from the U.S. Food and Drug Administration (“FDA”) in September 2019 to market IBSRELA, the first and only sodium hydrogen exchanger 3 (“NHE3”) inhibitor for the treatment of irritable bowel syndrome with constipation ("IBS-C") in adults, in the United States (the "U.S."). We began selling IBSRELA in the U.S. in March 2022. We distribute our products principally through a limited number of distributors and specialty pharmacy providers (collectively, our "Customers"). Our Customers subsequently sell our products to pharmacies and patients. Separately, we enter into arrangements with third parties that provide for government-mandated and privately-negotiated rebates, chargebacks and discounts. Revenue from product sales is recognized when our performance obligations are satisfied, which is when Customers obtain control of our product and occurs upon delivery.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 for Variable Consideration</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Revenues from product sales are recorded at the net sales price (transaction price), which includes estimates of variable consideration, including rebates, discounts, patient copay assistance programs, and estimated product returns. These estimates are based on the amounts earned or to be claimed for related sales and are classified as reductions of accounts receivable if the amount is payable to our Customers or a current liability if the amount is payable to a party other than a Customer. Where appropriate, these estimates are based on factors such as industry data and forecasted customer buying and payment patterns, our historical experience, current contractual and statutory requirements, specific known market events and trends. Overall, these reductions to gross sales reflect our best estimates of the amount of consideration to which we are entitled based on the terms of the contract. Variable consideration is included in the transaction price only to the extent that it is probable that a significant reversal in the amount of cumulative revenue recognized will not occur when the uncertainty associated with the variable consideration is subsequently resolved. Actual amounts of consideration ultimately received may differ from our estimates. If actual results in the future vary from our estimates, we adjust these estimates, which would affect product revenue and earnings in the period such variances become known. As we gain more historical experience, estimates will be more heavily based on the expected utilization from historical data we have accumulated since the IBSRELA product launch. Rebates are generally invoiced and paid quarterly in arrears.</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Rebates: Rebates include mandated discounts under the Medicaid Drug Rebate Program ("Medicaid") and the Medicare Coverage Gap Program ("Medicare"). Rebates are amounts owed after the final dispensing of products to a benefit plan participant and are based upon contractual agreements or legal requirements with the public-sector benefit providers. These estimates for rebates are recorded in the same period the related gross revenue is recognized, resulting in a reduction of product revenue and the establishment of a current liability which is included in accrued expenses on the condensed balance sheets. We estimate our Medicaid and Medicare rebates based upon the estimated payor mix, and statutory discount rates. Our Our estimates for payor mix are guided by payor information received from specialty pharmacies, expected utilization for specialty distributor sales to pharmacies, and available industry payor information.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Chargebacks: Chargebacks are discounts that occur when contracted purchasers purchase directly from our specialty distributors at a discounted price. The specialty distributor, in turn, charges back the difference between the price initially paid to us by the specialty distributor and the discounted price paid to the specialty distributor by the contracted purchaser. Amounts for estimated chargebacks are established in the same period that the related gross revenue is recognized, resulting in a reduction of product revenue and accounts receivable. The accrual for specialty distributor chargebacks is estimated based on known chargeback rates, known sales to specialty distributors, and estimated utilization by types of contracted purchasers.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Discounts and Fees: Our payment terms are generally 30 to 60 days. Specialty distributors and specialty pharmacies are offered various forms of consideration, including service fees and prompt pay discounts for payment within a specified period. We expect these Customers will earn prompt pay discounts and therefore, we deduct the full amount of these discounts and service fees from product sales when revenue is recognized, resulting in a reduction of product revenue and accounts receivable.</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Other Reserves: Patients who have commercial insurance may receive co-pay assistance when product is dispensed by pharmacies to patients. We estimate the amount of co-pay assistance provided to eligible patients based on the terms of the program and redemption information provided by third-party claims processing organizations and are recorded in accounts payable, accrued expenses and other current liabilities on the condensed balance sheets.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A summary of recent accounting pronouncements that we have adopted or may expect to adopt is included in Note 1 – Organization and Basis of Presentation to our condensed financial statements (see Part I, Item 1 </w:t>
      </w:r>
      <w:r>
        <w:rPr>
          <w:rFonts w:ascii="Arial" w:cs="Arial" w:eastAsia="Arial" w:hAnsi="Arial"/>
          <w:sz w:val="16"/>
          <w:szCs w:val="16"/>
          <w:i w:val="1"/>
          <w:iCs w:val="1"/>
          <w:color w:val="auto"/>
        </w:rPr>
        <w:t>Notes to Condensed Financial Statements</w:t>
      </w:r>
      <w:r>
        <w:rPr>
          <w:rFonts w:ascii="Arial" w:cs="Arial" w:eastAsia="Arial" w:hAnsi="Arial"/>
          <w:sz w:val="16"/>
          <w:szCs w:val="16"/>
          <w:color w:val="auto"/>
        </w:rPr>
        <w:t>, of this Quarterly Report on Form 10-Q).</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revenue to date has been generated primarily through license, research and development collaborative agreements with various collaboration partners. We realized our first commercial product sales of IBSRELA in March 2022. In the future, we may generate revenue from a combination of our own product sales and payments in connection with our current or future collaborative partnerships, including license fees, other upfront payments, milestone payments, royalties and payments for drug product and/or drug substance. We expect that any revenue we generate will fluctuate in future periods as a result of, among other factors: whether and the extent to which we are successful in our commercialization of IBSRELA, whether we are able to gain approval from the FDA for our NDA for XPHOZAH; the timing and progress of goods and services provided pursuant to our current or future collaborative partnerships; our or our collaborators’ achievement of clinical, regulatory or commercialization milestones, to the extent achieved; the timing and amount of any payments to us relating to the aforementioned milestones; and the extent to which tenapanor is approved and successfully commercialized by a collaboration partner. If our current collaboration partners or any future collaboration partners fail to obtain regulatory approval for tenapanor, our ability to generate future revenue from our collaborative arrangements, and our results of operations and financial position, would be materially and adversely affected. Our past revenue performance is not necessarily indicative of results to be expected in future periods.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Cost of revenue consists of the cost of commercial goods sold to Customers, collaboration partners under product supply agreements, and royalty expense based on sales of tenapanor. We capitalize inventory costs associated with the production of our products after regulatory approval or when, based on management’s judgment, future commercialization is considered probable and the future economic benefit is expected to be realized. Otherwise, such costs are expensed as research and development. A portion of the costs of IBSRELA units recognized as revenue during the three months ended March 31, 2022 were expensed prior to the fourth quarter of 2021, when our intent to commercialize IBSRELA was established and we commenced preparation for the commercial launch of IBSRELA. We believe our cost of goods sold for the three months ended March 31, 2022 would have been $9 thousand higher, if we had not previously expensed certain material and production costs with respect to the units sold. As of March 31, 2022, we had approximately $32.3 million of inventory on hand that was previously expensed as research and development expense and will not be reported as cost of goods sold in future periods when sales of IBSRELA are recognized as revenue.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revenue includes payments due to AstraZeneca, which under the terms of a termination agreement entered into in 2015 (the "AZ Termination Agreement") is entitled to (i) future royalties at a rate of 10% of net sales of tenapanor or other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NHE3 products by us or our licensees, and (ii) 20% of non-royalty revenue received from our collaboration partners in connection with the development and commercialization of tenapanor or certain other NHE3 inhibitors. We have agreed to pay AstraZeneca up to a maximum of $75.0 million in the aggregate for (i) and (ii). We recognize these expenses as cost of revenue when we recognize the corresponding revenue that gives rise to payments due to AstraZeneca. To date, we have recognized an aggregate of $11.7 million as cost of revenue under the AZ Termination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October 2021 restructuring plan, we eliminated our internal research organization and expect to continue our discovery efforts with respect to RDX020 through the use of third-parties managed internally by non-clinical expertise. We recognize all research and development expenses as they are incurred to support the discovery, research, development and manufacturing of our product candidates. Research and development expenses include, but are not limited to, the following:</w:t>
      </w:r>
    </w:p>
    <w:p>
      <w:pPr>
        <w:spacing w:after="0" w:line="187" w:lineRule="exact"/>
        <w:rPr>
          <w:sz w:val="20"/>
          <w:szCs w:val="20"/>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consultants, third-party contract research organizations (“CROs”) and investigative sites where a substantial portion of our clinical studies are conducted, and with contract manufacturing organizations where our clinical supplies are produced;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associated with supplies and materials consumed in connection with our research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expenses associated with producing tenapanor for the control of serum phosphorus in adult patients with CKD on dialysis prior to FDA approval;</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costs associated with research, clinical development and regulatory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employee-related expenses, which include salaries, bonuses, benefits, travel and stock-based compensation; and</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facilities and other allocated expenses, which include direct and allocated expenses for rent and maintenance of facilities, depreciation and amortization expense, information technology expense and other supplies.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general and administrative expenses consist primarily of salaries and related benefits, including stock-based compensation, for certain of our executives, our board members, and our finance, legal, business development, market development, commercial and support staff. Other selling, general and administrative expenses include facility related costs and professional fees for legal, accounting and audit, investor relations, other consulting services and allocated facility related costs not otherwise included in research and development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represents the interest paid on our loan payable.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net consists of interest income earned on our cash and cash equivalents and available-for-sale investments, the periodic revaluation of the exit fee related to our loan and currency exchange gains and losses.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results of operations are not necessarily indicative of the results to be expected for the year ending December 31, 2022, for any other interim period, or for any other future year.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2022 and 2021</w:t>
            </w: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6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60" w:type="dxa"/>
            <w:vAlign w:val="bottom"/>
          </w:tcPr>
          <w:p>
            <w:pPr>
              <w:spacing w:after="0"/>
              <w:rPr>
                <w:sz w:val="20"/>
                <w:szCs w:val="20"/>
                <w:color w:val="auto"/>
              </w:rPr>
            </w:pPr>
            <w:r>
              <w:rPr>
                <w:rFonts w:ascii="Arial" w:cs="Arial" w:eastAsia="Arial" w:hAnsi="Arial"/>
                <w:sz w:val="18"/>
                <w:szCs w:val="18"/>
                <w:color w:val="auto"/>
              </w:rPr>
              <w:t>Below is a summary of our total revenue (dollars in thousands):</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560" w:type="dxa"/>
            <w:vAlign w:val="bottom"/>
          </w:tcPr>
          <w:p>
            <w:pPr>
              <w:spacing w:after="0"/>
              <w:rPr>
                <w:sz w:val="24"/>
                <w:szCs w:val="24"/>
                <w:color w:val="auto"/>
              </w:rPr>
            </w:pPr>
          </w:p>
        </w:tc>
        <w:tc>
          <w:tcPr>
            <w:tcW w:w="2800" w:type="dxa"/>
            <w:vAlign w:val="bottom"/>
            <w:gridSpan w:val="6"/>
            <w:vMerge w:val="restart"/>
          </w:tcPr>
          <w:p>
            <w:pPr>
              <w:ind w:left="120"/>
              <w:spacing w:after="0"/>
              <w:rPr>
                <w:sz w:val="20"/>
                <w:szCs w:val="20"/>
                <w:color w:val="auto"/>
              </w:rPr>
            </w:pPr>
            <w:r>
              <w:rPr>
                <w:rFonts w:ascii="Arial" w:cs="Arial" w:eastAsia="Arial" w:hAnsi="Arial"/>
                <w:sz w:val="18"/>
                <w:szCs w:val="18"/>
                <w:b w:val="1"/>
                <w:bCs w:val="1"/>
                <w:color w:val="auto"/>
                <w:w w:val="99"/>
              </w:rPr>
              <w:t>Three Months Ended March 31,</w:t>
            </w:r>
          </w:p>
        </w:tc>
        <w:tc>
          <w:tcPr>
            <w:tcW w:w="360" w:type="dxa"/>
            <w:vAlign w:val="bottom"/>
          </w:tcPr>
          <w:p>
            <w:pPr>
              <w:spacing w:after="0"/>
              <w:rPr>
                <w:sz w:val="24"/>
                <w:szCs w:val="24"/>
                <w:color w:val="auto"/>
              </w:rPr>
            </w:pPr>
          </w:p>
        </w:tc>
        <w:tc>
          <w:tcPr>
            <w:tcW w:w="16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0"/>
              </w:rPr>
              <w:t>Change</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60" w:type="dxa"/>
            <w:vAlign w:val="bottom"/>
          </w:tcPr>
          <w:p>
            <w:pPr>
              <w:spacing w:after="0"/>
              <w:rPr>
                <w:sz w:val="19"/>
                <w:szCs w:val="19"/>
                <w:color w:val="auto"/>
              </w:rPr>
            </w:pPr>
          </w:p>
        </w:tc>
        <w:tc>
          <w:tcPr>
            <w:tcW w:w="2800" w:type="dxa"/>
            <w:vAlign w:val="bottom"/>
            <w:gridSpan w:val="6"/>
            <w:vMerge w:val="continue"/>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6"/>
              </w:rPr>
              <w:t>2022 vs. 2021</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sales, net</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Product supply revenue</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Licensing revenue</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Collaborative development revenue</w:t>
            </w:r>
          </w:p>
        </w:tc>
        <w:tc>
          <w:tcPr>
            <w:tcW w:w="8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(a) Percent change is not meaningful.</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6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decrease to total revenues during the three months ended March 31, 2022 is primarily attributable to a $5.0 million milestone that was earned during the prior year upon the initiation of phase 3 clinical studies by KKC in Japan to evaluate tenapanor for hyperphosphatemia that did not recur during the current year, as well as the full recognition of upfront payments associated with the 2019 KKC Agreement through the end of 2021, for which there was no comparable revenue during the three months ended March 31, 2022. Partially offsetting these decreases was recognition of $0.5 million of product sales, net for initial sales of IBSRELA to our Customers in connection with the commercial launch of IBSRELA.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40" w:type="dxa"/>
            <w:vAlign w:val="bottom"/>
          </w:tcPr>
          <w:p>
            <w:pPr>
              <w:spacing w:after="0"/>
              <w:rPr>
                <w:sz w:val="20"/>
                <w:szCs w:val="20"/>
                <w:color w:val="auto"/>
              </w:rPr>
            </w:pPr>
            <w:r>
              <w:rPr>
                <w:rFonts w:ascii="Arial" w:cs="Arial" w:eastAsia="Arial" w:hAnsi="Arial"/>
                <w:sz w:val="18"/>
                <w:szCs w:val="18"/>
                <w:color w:val="auto"/>
                <w:w w:val="99"/>
              </w:rPr>
              <w:t>Below is a summary of our operating expenses (dollars in thousands):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60" w:type="dxa"/>
            <w:vAlign w:val="bottom"/>
          </w:tcPr>
          <w:p>
            <w:pPr>
              <w:spacing w:after="0"/>
              <w:rPr>
                <w:sz w:val="24"/>
                <w:szCs w:val="24"/>
                <w:color w:val="auto"/>
              </w:rPr>
            </w:pPr>
          </w:p>
        </w:tc>
        <w:tc>
          <w:tcPr>
            <w:tcW w:w="164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87"/>
              </w:rPr>
              <w:t>Change</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5"/>
            <w:vMerge w:val="continue"/>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88"/>
              </w:rPr>
              <w:t>2022 vs. 2021</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(11,605)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23"/>
        </w:trPr>
        <w:tc>
          <w:tcPr>
            <w:tcW w:w="554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 in cost of revenue for the three months ended March 31, 2022 was primarily attributable to $1.0 million payment due to AstraZeneca under the AZ Termination Agreement related to the development milestone we earned upon the initiation by KKC of phase 3 clinical studies in Japan to evaluate tenapanor for hyperphosphatemia during the three months ended March 31, 2021, compared to $0.1 million due to AstraZeneca during the three months ended March 31, 2022. In addition, during the three months ended March 31, 2022, we incurred cost of revenue from initial sales of IBSRELA to our Customers in connection with the commercial launch of IBSRELA.</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research and development expenses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Three Months Ended March 31,</w:t>
            </w:r>
          </w:p>
        </w:tc>
        <w:tc>
          <w:tcPr>
            <w:tcW w:w="360" w:type="dxa"/>
            <w:vAlign w:val="bottom"/>
          </w:tcPr>
          <w:p>
            <w:pPr>
              <w:spacing w:after="0"/>
              <w:rPr>
                <w:sz w:val="17"/>
                <w:szCs w:val="17"/>
                <w:color w:val="auto"/>
              </w:rPr>
            </w:pPr>
          </w:p>
        </w:tc>
        <w:tc>
          <w:tcPr>
            <w:tcW w:w="164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87"/>
              </w:rPr>
              <w:t>Change</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gridSpan w:val="5"/>
            <w:vMerge w:val="continue"/>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88"/>
              </w:rPr>
              <w:t>2022 vs. 2021</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External R&amp;D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Employee-related expenses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Facilities, equipment and depreciation expenses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39.6 %</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research and development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 in our external R&amp;D expenses for the three months ended March 31, 2022 is primarily the result of lower clinical study costs from the OPTIMIZE study, lower tenapanor manufacturing expense as we have begun to capitalize costs associated with the production of IBSRELA to inventory, and lower expenses for research following the elimination of our research function in the fourth quarter of 2021. The decrease in our employee-related expenses for the three months ended March 31, 2022 is due to lower compensation and benefits expenses for our research and development workforce following restructuring actions in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increase in general and administrative expenses for the three months ended March 31, 2022 was primarily due to increased costs associated with building and staffing our commercial infrastructure and teams as we prepared for the U.S. launch of IBSRELA. The increase consisted of headcount and related personnel costs and an increase in external spending for disease awareness initiatives, commercial infrastructure and strategy.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r>
              <w:rPr>
                <w:rFonts w:ascii="Arial" w:cs="Arial" w:eastAsia="Arial" w:hAnsi="Arial"/>
                <w:sz w:val="18"/>
                <w:szCs w:val="18"/>
                <w:b w:val="1"/>
                <w:bCs w:val="1"/>
                <w:i w:val="1"/>
                <w:iCs w:val="1"/>
                <w:color w:val="auto"/>
              </w:rPr>
              <w:t>Other Income, net</w:t>
            </w: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60" w:type="dxa"/>
            <w:vAlign w:val="bottom"/>
          </w:tcPr>
          <w:p>
            <w:pPr>
              <w:spacing w:after="0"/>
              <w:rPr>
                <w:sz w:val="20"/>
                <w:szCs w:val="20"/>
                <w:color w:val="auto"/>
              </w:rPr>
            </w:pPr>
            <w:r>
              <w:rPr>
                <w:rFonts w:ascii="Arial" w:cs="Arial" w:eastAsia="Arial" w:hAnsi="Arial"/>
                <w:sz w:val="18"/>
                <w:szCs w:val="18"/>
                <w:color w:val="auto"/>
              </w:rPr>
              <w:t>Below is a summary of our other income, net (dollars in thousands):</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560" w:type="dxa"/>
            <w:vAlign w:val="bottom"/>
          </w:tcPr>
          <w:p>
            <w:pPr>
              <w:spacing w:after="0"/>
              <w:rPr>
                <w:sz w:val="24"/>
                <w:szCs w:val="24"/>
                <w:color w:val="auto"/>
              </w:rPr>
            </w:pPr>
          </w:p>
        </w:tc>
        <w:tc>
          <w:tcPr>
            <w:tcW w:w="2820" w:type="dxa"/>
            <w:vAlign w:val="bottom"/>
            <w:gridSpan w:val="6"/>
            <w:vMerge w:val="restart"/>
          </w:tcPr>
          <w:p>
            <w:pPr>
              <w:ind w:left="120"/>
              <w:spacing w:after="0"/>
              <w:rPr>
                <w:sz w:val="20"/>
                <w:szCs w:val="20"/>
                <w:color w:val="auto"/>
              </w:rPr>
            </w:pPr>
            <w:r>
              <w:rPr>
                <w:rFonts w:ascii="Arial" w:cs="Arial" w:eastAsia="Arial" w:hAnsi="Arial"/>
                <w:sz w:val="18"/>
                <w:szCs w:val="18"/>
                <w:b w:val="1"/>
                <w:bCs w:val="1"/>
                <w:color w:val="auto"/>
              </w:rPr>
              <w:t>Three Months Ended March 31,</w:t>
            </w:r>
          </w:p>
        </w:tc>
        <w:tc>
          <w:tcPr>
            <w:tcW w:w="360" w:type="dxa"/>
            <w:vAlign w:val="bottom"/>
          </w:tcPr>
          <w:p>
            <w:pPr>
              <w:spacing w:after="0"/>
              <w:rPr>
                <w:sz w:val="24"/>
                <w:szCs w:val="24"/>
                <w:color w:val="auto"/>
              </w:rPr>
            </w:pPr>
          </w:p>
        </w:tc>
        <w:tc>
          <w:tcPr>
            <w:tcW w:w="162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87"/>
              </w:rPr>
              <w:t>Change</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60" w:type="dxa"/>
            <w:vAlign w:val="bottom"/>
          </w:tcPr>
          <w:p>
            <w:pPr>
              <w:spacing w:after="0"/>
              <w:rPr>
                <w:sz w:val="19"/>
                <w:szCs w:val="19"/>
                <w:color w:val="auto"/>
              </w:rPr>
            </w:pPr>
          </w:p>
        </w:tc>
        <w:tc>
          <w:tcPr>
            <w:tcW w:w="2820" w:type="dxa"/>
            <w:vAlign w:val="bottom"/>
            <w:gridSpan w:val="6"/>
            <w:vMerge w:val="continue"/>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8"/>
              </w:rPr>
              <w:t>2022 vs. 2021</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484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5"/>
              </w:rPr>
              <w:t>(1,087.8)%</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other income, net</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interest expense for the three months ended March 31, 2022 was primarily due to lower principal outstanding on our loan payable.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increase in other income (expense), net for the three months ended March 31, 2022 primarily resulted from sales of certain lab equipment and supplies for a net gain of $0.7 million. The gain was partially offset by $0.1 million expense incurred upon the settlement of our 2018 Loan, as well as higher unrealized foreign currency exchange losses.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Arial" w:cs="Arial" w:eastAsia="Arial" w:hAnsi="Arial"/>
                <w:sz w:val="18"/>
                <w:szCs w:val="18"/>
                <w:b w:val="1"/>
                <w:bCs w:val="1"/>
                <w:i w:val="1"/>
                <w:iCs w:val="1"/>
                <w:color w:val="auto"/>
              </w:rPr>
              <w:t>Liquidity and Capital Resources</w:t>
            </w: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32"/>
        </w:trPr>
        <w:tc>
          <w:tcPr>
            <w:tcW w:w="7240" w:type="dxa"/>
            <w:vAlign w:val="bottom"/>
            <w:gridSpan w:val="7"/>
          </w:tcPr>
          <w:p>
            <w:pPr>
              <w:spacing w:after="0"/>
              <w:rPr>
                <w:sz w:val="20"/>
                <w:szCs w:val="20"/>
                <w:color w:val="auto"/>
              </w:rPr>
            </w:pPr>
            <w:r>
              <w:rPr>
                <w:rFonts w:ascii="Arial" w:cs="Arial" w:eastAsia="Arial" w:hAnsi="Arial"/>
                <w:sz w:val="18"/>
                <w:szCs w:val="18"/>
                <w:color w:val="auto"/>
              </w:rPr>
              <w:t>Below is a summary of our cash, cash equivalents and investments (in thousands):</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51"/>
        </w:trPr>
        <w:tc>
          <w:tcPr>
            <w:tcW w:w="3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2022</w:t>
            </w:r>
          </w:p>
        </w:tc>
        <w:tc>
          <w:tcPr>
            <w:tcW w:w="180" w:type="dxa"/>
            <w:vAlign w:val="bottom"/>
          </w:tcPr>
          <w:p>
            <w:pPr>
              <w:spacing w:after="0"/>
              <w:rPr>
                <w:sz w:val="24"/>
                <w:szCs w:val="24"/>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2021</w:t>
            </w:r>
          </w:p>
        </w:tc>
        <w:tc>
          <w:tcPr>
            <w:tcW w:w="340" w:type="dxa"/>
            <w:vAlign w:val="bottom"/>
          </w:tcPr>
          <w:p>
            <w:pPr>
              <w:spacing w:after="0"/>
              <w:rPr>
                <w:sz w:val="24"/>
                <w:szCs w:val="24"/>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Change $</w:t>
            </w:r>
          </w:p>
        </w:tc>
        <w:tc>
          <w:tcPr>
            <w:tcW w:w="100" w:type="dxa"/>
            <w:vAlign w:val="bottom"/>
          </w:tcPr>
          <w:p>
            <w:pPr>
              <w:spacing w:after="0"/>
              <w:rPr>
                <w:sz w:val="24"/>
                <w:szCs w:val="24"/>
                <w:color w:val="auto"/>
              </w:rPr>
            </w:pPr>
          </w:p>
        </w:tc>
        <w:tc>
          <w:tcPr>
            <w:tcW w:w="1980" w:type="dxa"/>
            <w:vAlign w:val="bottom"/>
          </w:tcPr>
          <w:p>
            <w:pPr>
              <w:jc w:val="right"/>
              <w:ind w:right="49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(25,351)</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44,261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w:t>
            </w:r>
          </w:p>
        </w:tc>
        <w:tc>
          <w:tcPr>
            <w:tcW w:w="2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liquid funds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(26,985)</w:t>
            </w:r>
          </w:p>
        </w:tc>
        <w:tc>
          <w:tcPr>
            <w:tcW w:w="2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March 31, 2022, we had cash, cash equivalents and investments totaling $89.7 million compared to $116.7 million as of December 31, 2021. We have incurred operating losses since inception and our accumulated deficit as of March 31, 2022 is $741.0 million. Our current level of cash and investments alone is not sufficient to meet our plans for the next twelve months following the filing of these financial statements on May 5, 2022. These factors raise substantial doubt regarding our ability to continue as a going concern for a period of one year from the issuance of these financial statements. We plan to address our operating cash flow requirements with our current cash and investments, cash generated from the product launch of IBSRELA, our potential receipt of anticipated milestone payments from our collaboration partners, our potential receipt of anticipated payments from KKC under the Amendment, our ability to access the capital markets, as well as through the implementation of cash preservation activities to reduce or defer discretionary spending.</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are no assurances that our efforts to meet our operating cash flow requirements will be successful. If our current cash and investments as well as our plans to meet our operating cash flow requirements are not sufficient to fund necessary expenditures and meet our obligations for at least the next twelve months following the issuance of these financial statements, our liquidity, financial condition and business prospects will be materially affected. These financial statements have been prepared on a going concern basis and do not include any adjustments to the amounts and classification of assets and liabilities that may be necessary in the event that we can no longer continue as a going concern.</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July 2020, we filed a Form S-3 registration statement, which became effective in August 2020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$100.0 million of our common stock that may be issued and sold, from time to time, under a sales agreement with Jefferies LLC ("Jefferies"), deemed to be “at the market offerings” (the "2020 Open Market Sales Agreement"). The 2020 Open Market Sales Agreement was fully utilized as of December 31, 2021. During the three months ended March 31, 2021 we sold 4.9 million shares and received gross proceeds of $35.0 million at a weighted average sales price of approximately $7.09 per share under the 2021 Open Market Sales Agreement.</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2021, we filed an additional prospectus supplement under the Registration Statement for the offering, issuance and sale by us of up to a maximum aggregate offering price of $150.0 million of our common stock that may be issued and sold, from time to time, under an additional sales agreement we entered into with Jefferies (the "2021 Open Market Sales Agreement"), pursuant to which we may, from time to time, sell up to $150.0 million in shares of our common stock through Jefferies. We are not required to sell shares under the 2021 Open Market Sales Agreement. Pursuant to the 2021 Open Market Sales Agreement, Jefferies, as our sales agent, receives a commission of up to 3% of the gross sales price for shares of common stock sold under the 2021 Open Market Sales Agreement. During the three months ended March 31, 2022 we sold 5.9 million shares and received gross proceeds of $6.0 million at a weighted average sales price of approximately $1.02 per share under the 2021 Open Market Sales Agreement.</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February 2022, we entered into a loan and security agreement (the “2022 Loan Agreement”) with SLR Investment Corp. The 2022 Loan Agreement provides for a senior secured term loan facility, with $27.5 million funded at closing and an additional $22.5 million that we may borrow on or prior to July 25, 2023; provided that (i) we have received approval by the FDA for our NDA for tenapanor for the control of serum phosphorus in chronic kidney disease patients on dialysis by December 31, 2022, and (ii) we have achieved certain product revenue milestone targets described in the 2022 Loan Agreement. The initial funding of $27.5 million is being used to repay the 2018 Loan and to fund our ongoing operations. We had $25.0 million principal from the 2018 Loan outstanding as of the closing date. In connection with entering into the 2022 Loan Agreement, we entered into an agreement, whereby we agreed to pay an exit fee in the amount of 2% of the 2022 Loan funded (the “2022 Exit Fee”) upon (i) any change of control transaction or (ii) our achievement of net revenue from the sale of any products equal to or greater than $100.0 million, measured on a six (6) months basis (the "Revenue Milestone"), tested monthly at the end of each month. Notwithstanding the prepayment or termination of the 2022 Loan, the 2022 Exit Fee will</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expire on February 23, 2032. We concluded that the 2022 Exit Fee is a freestanding derivative which should be accounted for at fair value on a recurring basis. The estimated fair value of the 2022 Exit Fee is recorded as a derivative liability and included in accrued expenses and other current liabilities on the accompanying condensed balance sheets.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primary sources of cash have been from the sale and issuance of common stock (in both public offerings and private placements) and private placements of convertible preferred stock, funds from our collaboration partnerships and funds from our 2018 Loan Agreement. Our primary uses of cash have been to fund operating expenses, primarily research and development expenditures and pre-commercial expenses. Cash used to fund operating expenses is impacted by the timing of when we pay these expenses, as reflected in the change in our outstanding accounts payable and accrued expenses.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are difficult to forecast and will depend on many factors, including:</w:t>
      </w:r>
    </w:p>
    <w:p>
      <w:pPr>
        <w:spacing w:after="0" w:line="243" w:lineRule="exact"/>
        <w:rPr>
          <w:sz w:val="20"/>
          <w:szCs w:val="20"/>
          <w:color w:val="auto"/>
        </w:rPr>
      </w:pPr>
    </w:p>
    <w:p>
      <w:pPr>
        <w:ind w:left="320" w:hanging="312"/>
        <w:spacing w:after="0"/>
        <w:tabs>
          <w:tab w:leader="none" w:pos="320"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extent to which we are able to generate product revenue from sales of IBSRELA;</w:t>
      </w:r>
    </w:p>
    <w:p>
      <w:pPr>
        <w:spacing w:after="0" w:line="134" w:lineRule="exact"/>
        <w:rPr>
          <w:rFonts w:ascii="Arial" w:cs="Arial" w:eastAsia="Arial" w:hAnsi="Arial"/>
          <w:sz w:val="22"/>
          <w:szCs w:val="22"/>
          <w:color w:val="auto"/>
        </w:rPr>
      </w:pPr>
    </w:p>
    <w:p>
      <w:pPr>
        <w:jc w:val="both"/>
        <w:ind w:left="340" w:hanging="332"/>
        <w:spacing w:after="0" w:line="256" w:lineRule="auto"/>
        <w:tabs>
          <w:tab w:leader="none" w:pos="335" w:val="left"/>
        </w:tabs>
        <w:numPr>
          <w:ilvl w:val="0"/>
          <w:numId w:val="8"/>
        </w:numPr>
        <w:rPr>
          <w:rFonts w:ascii="Arial" w:cs="Arial" w:eastAsia="Arial" w:hAnsi="Arial"/>
          <w:sz w:val="21"/>
          <w:szCs w:val="21"/>
          <w:color w:val="auto"/>
        </w:rPr>
      </w:pPr>
      <w:r>
        <w:rPr>
          <w:rFonts w:ascii="Arial" w:cs="Arial" w:eastAsia="Arial" w:hAnsi="Arial"/>
          <w:sz w:val="17"/>
          <w:szCs w:val="17"/>
          <w:color w:val="auto"/>
        </w:rPr>
        <w:t>whether we are successful in our efforts under the FDR process, including the Advisory Committee meeting to be convened as part of the FDR process, to secure approval for our NDA for tenapanor for the Hyperphosphatemia Indication, or to reach resolution with the FDA regarding a path to address the deficiencies in the NDA noted in the CRL and ADL, and the time and cost associated with such path;</w:t>
      </w:r>
    </w:p>
    <w:p>
      <w:pPr>
        <w:spacing w:after="0" w:line="121" w:lineRule="exact"/>
        <w:rPr>
          <w:rFonts w:ascii="Arial" w:cs="Arial" w:eastAsia="Arial" w:hAnsi="Arial"/>
          <w:sz w:val="21"/>
          <w:szCs w:val="21"/>
          <w:color w:val="auto"/>
        </w:rPr>
      </w:pPr>
    </w:p>
    <w:p>
      <w:pPr>
        <w:ind w:left="340" w:right="20" w:hanging="332"/>
        <w:spacing w:after="0" w:line="232"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availability of adequate third-party reimbursement for IBSRELA and, if approved, the sales price and the availability of adequate third-party reimbursement for XPHOZAH;</w:t>
      </w:r>
    </w:p>
    <w:p>
      <w:pPr>
        <w:spacing w:after="0" w:line="113" w:lineRule="exact"/>
        <w:rPr>
          <w:rFonts w:ascii="Arial" w:cs="Arial" w:eastAsia="Arial" w:hAnsi="Arial"/>
          <w:sz w:val="22"/>
          <w:szCs w:val="22"/>
          <w:color w:val="auto"/>
        </w:rPr>
      </w:pPr>
    </w:p>
    <w:p>
      <w:pPr>
        <w:ind w:left="320" w:hanging="312"/>
        <w:spacing w:after="0"/>
        <w:tabs>
          <w:tab w:leader="none" w:pos="320"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manufacturing costs of IBSRELA and XPHOZAH;</w:t>
      </w:r>
    </w:p>
    <w:p>
      <w:pPr>
        <w:spacing w:after="0" w:line="111" w:lineRule="exact"/>
        <w:rPr>
          <w:rFonts w:ascii="Arial" w:cs="Arial" w:eastAsia="Arial" w:hAnsi="Arial"/>
          <w:sz w:val="22"/>
          <w:szCs w:val="22"/>
          <w:color w:val="auto"/>
        </w:rPr>
      </w:pPr>
    </w:p>
    <w:p>
      <w:pPr>
        <w:ind w:left="320" w:hanging="312"/>
        <w:spacing w:after="0"/>
        <w:tabs>
          <w:tab w:leader="none" w:pos="320"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selling and marketing costs associated with IBSRELA and, if approved, XPHOZAH;</w:t>
      </w:r>
    </w:p>
    <w:p>
      <w:pPr>
        <w:spacing w:after="0" w:line="134" w:lineRule="exact"/>
        <w:rPr>
          <w:rFonts w:ascii="Arial" w:cs="Arial" w:eastAsia="Arial" w:hAnsi="Arial"/>
          <w:sz w:val="22"/>
          <w:szCs w:val="22"/>
          <w:color w:val="auto"/>
        </w:rPr>
      </w:pPr>
    </w:p>
    <w:p>
      <w:pPr>
        <w:ind w:left="340" w:hanging="332"/>
        <w:spacing w:after="0" w:line="232"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24" w:lineRule="exact"/>
        <w:rPr>
          <w:rFonts w:ascii="Arial" w:cs="Arial" w:eastAsia="Arial" w:hAnsi="Arial"/>
          <w:sz w:val="22"/>
          <w:szCs w:val="22"/>
          <w:color w:val="auto"/>
        </w:rPr>
      </w:pPr>
    </w:p>
    <w:p>
      <w:pPr>
        <w:ind w:left="320" w:hanging="312"/>
        <w:spacing w:after="0"/>
        <w:tabs>
          <w:tab w:leader="none" w:pos="320" w:val="left"/>
        </w:tabs>
        <w:numPr>
          <w:ilvl w:val="0"/>
          <w:numId w:val="8"/>
        </w:numPr>
        <w:rPr>
          <w:rFonts w:ascii="Arial" w:cs="Arial" w:eastAsia="Arial" w:hAnsi="Arial"/>
          <w:sz w:val="21"/>
          <w:szCs w:val="21"/>
          <w:color w:val="auto"/>
        </w:rPr>
      </w:pPr>
      <w:r>
        <w:rPr>
          <w:rFonts w:ascii="Arial" w:cs="Arial" w:eastAsia="Arial" w:hAnsi="Arial"/>
          <w:sz w:val="17"/>
          <w:szCs w:val="17"/>
          <w:color w:val="auto"/>
        </w:rPr>
        <w:t>the timing, receipt and amount of any milestones that may be received from our collaboration partners in connection with tenapanor, if any;</w:t>
      </w:r>
    </w:p>
    <w:p>
      <w:pPr>
        <w:spacing w:after="0" w:line="111" w:lineRule="exact"/>
        <w:rPr>
          <w:rFonts w:ascii="Arial" w:cs="Arial" w:eastAsia="Arial" w:hAnsi="Arial"/>
          <w:sz w:val="21"/>
          <w:szCs w:val="21"/>
          <w:color w:val="auto"/>
        </w:rPr>
      </w:pPr>
    </w:p>
    <w:p>
      <w:pPr>
        <w:ind w:left="320" w:hanging="312"/>
        <w:spacing w:after="0"/>
        <w:tabs>
          <w:tab w:leader="none" w:pos="320"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timing, receipt and amount of revenue, if any, that may be received from KKC in connection with the 2022 KKC Amendment;</w:t>
      </w:r>
    </w:p>
    <w:p>
      <w:pPr>
        <w:spacing w:after="0" w:line="111" w:lineRule="exact"/>
        <w:rPr>
          <w:rFonts w:ascii="Arial" w:cs="Arial" w:eastAsia="Arial" w:hAnsi="Arial"/>
          <w:sz w:val="22"/>
          <w:szCs w:val="22"/>
          <w:color w:val="auto"/>
        </w:rPr>
      </w:pPr>
    </w:p>
    <w:p>
      <w:pPr>
        <w:ind w:left="320" w:hanging="312"/>
        <w:spacing w:after="0"/>
        <w:tabs>
          <w:tab w:leader="none" w:pos="320"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timing, receipt, and amount of sales of, or royalties on, tenapanor, if any;</w:t>
      </w:r>
    </w:p>
    <w:p>
      <w:pPr>
        <w:spacing w:after="0" w:line="111" w:lineRule="exact"/>
        <w:rPr>
          <w:rFonts w:ascii="Arial" w:cs="Arial" w:eastAsia="Arial" w:hAnsi="Arial"/>
          <w:sz w:val="22"/>
          <w:szCs w:val="22"/>
          <w:color w:val="auto"/>
        </w:rPr>
      </w:pPr>
    </w:p>
    <w:p>
      <w:pPr>
        <w:ind w:left="320" w:hanging="312"/>
        <w:spacing w:after="0"/>
        <w:tabs>
          <w:tab w:leader="none" w:pos="320"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cash requirements of any future acquisitions or discovery of product candidates;</w:t>
      </w:r>
    </w:p>
    <w:p>
      <w:pPr>
        <w:spacing w:after="0" w:line="111" w:lineRule="exact"/>
        <w:rPr>
          <w:rFonts w:ascii="Arial" w:cs="Arial" w:eastAsia="Arial" w:hAnsi="Arial"/>
          <w:sz w:val="22"/>
          <w:szCs w:val="22"/>
          <w:color w:val="auto"/>
        </w:rPr>
      </w:pPr>
    </w:p>
    <w:p>
      <w:pPr>
        <w:ind w:left="320" w:hanging="312"/>
        <w:spacing w:after="0"/>
        <w:tabs>
          <w:tab w:leader="none" w:pos="320" w:val="left"/>
        </w:tabs>
        <w:numPr>
          <w:ilvl w:val="0"/>
          <w:numId w:val="8"/>
        </w:numPr>
        <w:rPr>
          <w:rFonts w:ascii="Arial" w:cs="Arial" w:eastAsia="Arial" w:hAnsi="Arial"/>
          <w:sz w:val="22"/>
          <w:szCs w:val="22"/>
          <w:color w:val="auto"/>
        </w:rPr>
      </w:pPr>
      <w:r>
        <w:rPr>
          <w:rFonts w:ascii="Arial" w:cs="Arial" w:eastAsia="Arial" w:hAnsi="Arial"/>
          <w:sz w:val="18"/>
          <w:szCs w:val="18"/>
          <w:color w:val="auto"/>
        </w:rPr>
        <w:t>any clinical trials we are required to or decide to pursue for tenapanor or RDX013;</w:t>
      </w:r>
    </w:p>
    <w:p>
      <w:pPr>
        <w:spacing w:after="0" w:line="111" w:lineRule="exact"/>
        <w:rPr>
          <w:rFonts w:ascii="Arial" w:cs="Arial" w:eastAsia="Arial" w:hAnsi="Arial"/>
          <w:sz w:val="22"/>
          <w:szCs w:val="22"/>
          <w:color w:val="auto"/>
        </w:rPr>
      </w:pPr>
    </w:p>
    <w:p>
      <w:pPr>
        <w:ind w:left="320" w:hanging="312"/>
        <w:spacing w:after="0"/>
        <w:tabs>
          <w:tab w:leader="none" w:pos="320"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time and cost necessary to respond to technological and market developments;</w:t>
      </w:r>
    </w:p>
    <w:p>
      <w:pPr>
        <w:spacing w:after="0" w:line="134" w:lineRule="exact"/>
        <w:rPr>
          <w:rFonts w:ascii="Arial" w:cs="Arial" w:eastAsia="Arial" w:hAnsi="Arial"/>
          <w:sz w:val="22"/>
          <w:szCs w:val="22"/>
          <w:color w:val="auto"/>
        </w:rPr>
      </w:pPr>
    </w:p>
    <w:p>
      <w:pPr>
        <w:jc w:val="both"/>
        <w:ind w:left="340" w:hanging="332"/>
        <w:spacing w:after="0" w:line="238"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94" w:lineRule="exact"/>
        <w:rPr>
          <w:rFonts w:ascii="Arial" w:cs="Arial" w:eastAsia="Arial" w:hAnsi="Arial"/>
          <w:sz w:val="22"/>
          <w:szCs w:val="22"/>
          <w:color w:val="auto"/>
        </w:rPr>
      </w:pPr>
    </w:p>
    <w:p>
      <w:pPr>
        <w:ind w:left="320" w:hanging="312"/>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payment of interest and principal related to our loan and security agreement entered into with SLR Investment Corp. in February 2022.</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see the risk factors set forth in Part II, Item 1A, Risk Factors, in this Quarterly Report on Form 10-Q for additional risks associated with our capital requirements.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r>
              <w:rPr>
                <w:rFonts w:ascii="Arial" w:cs="Arial" w:eastAsia="Arial" w:hAnsi="Arial"/>
                <w:sz w:val="18"/>
                <w:szCs w:val="18"/>
                <w:b w:val="1"/>
                <w:bCs w:val="1"/>
                <w:color w:val="auto"/>
              </w:rPr>
              <w:t>CASH FLOW ACTIVITIES</w:t>
            </w: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4820" w:type="dxa"/>
            <w:vAlign w:val="bottom"/>
          </w:tcPr>
          <w:p>
            <w:pPr>
              <w:spacing w:after="0"/>
              <w:rPr>
                <w:sz w:val="20"/>
                <w:szCs w:val="20"/>
                <w:color w:val="auto"/>
              </w:rPr>
            </w:pPr>
            <w:r>
              <w:rPr>
                <w:rFonts w:ascii="Arial" w:cs="Arial" w:eastAsia="Arial" w:hAnsi="Arial"/>
                <w:sz w:val="18"/>
                <w:szCs w:val="18"/>
                <w:color w:val="auto"/>
                <w:w w:val="96"/>
              </w:rPr>
              <w:t>The following table summarizes our cash flows (in thousands):</w:t>
            </w: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51"/>
        </w:trPr>
        <w:tc>
          <w:tcPr>
            <w:tcW w:w="4820" w:type="dxa"/>
            <w:vAlign w:val="bottom"/>
          </w:tcPr>
          <w:p>
            <w:pPr>
              <w:spacing w:after="0"/>
              <w:rPr>
                <w:sz w:val="24"/>
                <w:szCs w:val="24"/>
                <w:color w:val="auto"/>
              </w:rPr>
            </w:pPr>
          </w:p>
        </w:tc>
        <w:tc>
          <w:tcPr>
            <w:tcW w:w="3700" w:type="dxa"/>
            <w:vAlign w:val="bottom"/>
            <w:gridSpan w:val="6"/>
          </w:tcPr>
          <w:p>
            <w:pPr>
              <w:ind w:left="540"/>
              <w:spacing w:after="0"/>
              <w:rPr>
                <w:sz w:val="20"/>
                <w:szCs w:val="20"/>
                <w:color w:val="auto"/>
              </w:rPr>
            </w:pPr>
            <w:r>
              <w:rPr>
                <w:rFonts w:ascii="Arial" w:cs="Arial" w:eastAsia="Arial" w:hAnsi="Arial"/>
                <w:sz w:val="18"/>
                <w:szCs w:val="18"/>
                <w:b w:val="1"/>
                <w:bCs w:val="1"/>
                <w:color w:val="auto"/>
              </w:rPr>
              <w:t>Three Months Ended March 31,</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23"/>
        </w:trPr>
        <w:tc>
          <w:tcPr>
            <w:tcW w:w="482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Change $</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(27,620)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(25,351)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264 %</w:t>
            </w:r>
          </w:p>
        </w:tc>
      </w:tr>
      <w:tr>
        <w:trPr>
          <w:trHeight w:val="21"/>
        </w:trPr>
        <w:tc>
          <w:tcPr>
            <w:tcW w:w="4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Net cash used in operating activities during the three months ended March 31, 2022 decreased by $16.6 million primarily as a result of changes to our operating assets and liabilities as we built and staffed our commercial infrastructure and teams in preparation for the U.S. launch of tenapanor. In addition to the changes in our operating assets and liabilities, our net loss was $5.1 million less than during the three months ended March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investing activities decreased by $0.2 million due to the timing of our investment maturities and purchases, as well as $0.8 million proceeds from sale of laboratory equipment and supplies during the three months ended March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financing activities decreased by $34.8 million primarily due to net proceeds from issuance of our common stock pursuant to the at the market offerings of $34.3 million during the three months ended March 31, 2021 compared to $5.9 million during the three months ended March 31, 2022. In addition, during the three months ended March 31, 2022, we received net proceeds of $27.0 million pursuant to the 2022 Loan Agreement and repaid $33.0 million, net of settlement costs, to repay the 2018 Loan.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2022 and 2021, respectively, we did not have any off-balance sheet arrangements as defined in Item 303(a)(4) of Regulation S-K as promulgated by the SEC.</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are subject to market risks, including interest rate fluctuation exposure through our investments, in the ordinary course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However,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March 31, 2022, we had cash, cash equivalents and investments of $89.7 million, which consist of bank deposits and money market funds, as well as high quality fixed income instruments including corporate bonds, commercial paper, and asset-backed securities collateralized by non-mortgage consumer receivables. The credit rating of our investments must be rated A-1/P-1, or better by Standard and Poor’s and Moody’s Investors Service. Asset-backed securities must be rated AAA/Aaa. Money Market funds must be rated AAAm/Aaa. Such interest-earning instruments carry a degree of interest rate risk. However, because our investments are high quality and short-term in duration, we believe that our exposure to interest rate risk is not significant and that a 10% movement in market interest rates would not have a significant impact on the total value of our portfolio, as noted above. We do not enter into investments for trading or speculative purposes.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interest rate fluctuation exposure through our borrowings under the Loan Agreement and our investment in money market accounts which bear a variable interest rate. Borrowings under the 2022 Loan bear interest at a floating per annum rate equal to 7.95% plus the greater of (i) one tenth percent (0.10%) and (ii) the one-month rate published by the</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Intercontinental Exchange Benchmark Administration Ltd ("ICE") or its successor. A hypothetical increase in one-month ICE of 100 basis points above the current one-month ICE rates would have increased our interest expense by approximately $0.1 million for the three months ended March 31, 2022. As of March 31, 2022, we had an aggregate principal amount of $27.5 million outstanding pursuant to our 2022 Loan Agreement.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Foreign Currency Risk. </w:t>
      </w:r>
      <w:r>
        <w:rPr>
          <w:rFonts w:ascii="Arial" w:cs="Arial" w:eastAsia="Arial" w:hAnsi="Arial"/>
          <w:sz w:val="18"/>
          <w:szCs w:val="18"/>
          <w:color w:val="auto"/>
        </w:rPr>
        <w:t>The majority of our transactions are denominated in U.S. dollars. However, we do have certain transactions that are denominated in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currencies other than the U.S. dollar, primarily Swiss francs and the euro, and we therefore are subject to foreign exchange risk. The fluctuation in the value of the U.S. dollar against other currencies affects the reported amounts of expenses, assets and liabilities associated with a limited number of manufacturing activities.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use derivative financial instruments for speculative trading purposes, nor do we hedge foreign currency exchange rate exposure in a manner that entirely offsets the earnings effects of changes in foreign currency exchange rates. The counterparties to our forward foreign currency exchange contracts are creditworthy commercial banks, which minimizes the risk of counterparty nonperformance.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we had no open forward foreign currency exchange contracts.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required by Rule 13a-15(b) under the Securities Exchange Act of 1934, as amended (the “Exchange Act”), our management, under the supervision and with the participation of our principal executive officer and principal financial officer, has evaluated the effectiveness of the design and operation of our disclosure controls and procedures (as such term is defined in Rules 13a-15(e) and 15d-15(e) under the Exchange Act) as of March 31, 2022.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such evaluation, our principal executive officer and principal financial officer have concluded that, as of March 31, 2022, our disclosure controls and procedures were effective at a reasonable assurance level.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2022, we implemented certain internal controls in connection with our product launch. There were no other changes in our internal control over financial reporting that occurred during our most recent fiscal quarter that have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7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On July 30 and August 12, 2021, two putative securities class action lawsuits were commenced in the U.S. District Court for the Northern District of California naming as defendants Ardelyx and two current officers captioned </w:t>
      </w:r>
      <w:r>
        <w:rPr>
          <w:rFonts w:ascii="Arial" w:cs="Arial" w:eastAsia="Arial" w:hAnsi="Arial"/>
          <w:sz w:val="16"/>
          <w:szCs w:val="16"/>
          <w:i w:val="1"/>
          <w:iCs w:val="1"/>
          <w:color w:val="auto"/>
        </w:rPr>
        <w:t>Strezsak v. Ardelyx, Inc., et al.</w:t>
      </w:r>
      <w:r>
        <w:rPr>
          <w:rFonts w:ascii="Arial" w:cs="Arial" w:eastAsia="Arial" w:hAnsi="Arial"/>
          <w:sz w:val="16"/>
          <w:szCs w:val="16"/>
          <w:color w:val="auto"/>
        </w:rPr>
        <w:t xml:space="preserve">, Case No. 4:21-cv-05868-HSG, and </w:t>
      </w:r>
      <w:r>
        <w:rPr>
          <w:rFonts w:ascii="Arial" w:cs="Arial" w:eastAsia="Arial" w:hAnsi="Arial"/>
          <w:sz w:val="16"/>
          <w:szCs w:val="16"/>
          <w:i w:val="1"/>
          <w:iCs w:val="1"/>
          <w:color w:val="auto"/>
        </w:rPr>
        <w:t>Siegel v.</w:t>
      </w:r>
      <w:r>
        <w:rPr>
          <w:rFonts w:ascii="Arial" w:cs="Arial" w:eastAsia="Arial" w:hAnsi="Arial"/>
          <w:sz w:val="16"/>
          <w:szCs w:val="16"/>
          <w:color w:val="auto"/>
        </w:rPr>
        <w:t xml:space="preserve"> </w:t>
      </w:r>
      <w:r>
        <w:rPr>
          <w:rFonts w:ascii="Arial" w:cs="Arial" w:eastAsia="Arial" w:hAnsi="Arial"/>
          <w:sz w:val="16"/>
          <w:szCs w:val="16"/>
          <w:i w:val="1"/>
          <w:iCs w:val="1"/>
          <w:color w:val="auto"/>
        </w:rPr>
        <w:t>Ardelyx, Inc., et al.</w:t>
      </w:r>
      <w:r>
        <w:rPr>
          <w:rFonts w:ascii="Arial" w:cs="Arial" w:eastAsia="Arial" w:hAnsi="Arial"/>
          <w:sz w:val="16"/>
          <w:szCs w:val="16"/>
          <w:color w:val="auto"/>
        </w:rPr>
        <w:t>, Case No. 5:21-cv-06228-HSG (together, the “Securities Class Actions”). The complaints allege that the defendants violated Sections</w:t>
      </w:r>
      <w:r>
        <w:rPr>
          <w:rFonts w:ascii="Arial" w:cs="Arial" w:eastAsia="Arial" w:hAnsi="Arial"/>
          <w:sz w:val="16"/>
          <w:szCs w:val="16"/>
          <w:i w:val="1"/>
          <w:iCs w:val="1"/>
          <w:color w:val="auto"/>
        </w:rPr>
        <w:t xml:space="preserve"> </w:t>
      </w:r>
      <w:r>
        <w:rPr>
          <w:rFonts w:ascii="Arial" w:cs="Arial" w:eastAsia="Arial" w:hAnsi="Arial"/>
          <w:sz w:val="16"/>
          <w:szCs w:val="16"/>
          <w:color w:val="auto"/>
        </w:rPr>
        <w:t>10(b) and 20(a) of the Securities Exchange Act of 1934, as amended, and Rule 10b-5 thereunder, by making false and misleading statements and omissions of material fact related to tenapanor. The plaintiffs seek to represent all persons who purchased or otherwise acquired Ardelyx securities between August 6, 2020, and July 19, 2021. The plaintiffs seeks damages and interest, and an award of costs, including attorneys’ fees. On September 28, 2021, several shareholders filed motions to consolidate the two putative class actions and to be appointed lead plaintiff and have their selection of counsel be appointed lead counsel. The court has not yet ruled on those motions. Once the court appoints a lead plaintiff and lead counsel, the parties will negotiate and submit a</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proposed schedule for lead plaintiff to file a consolidated amended complaint and for defendants to file a motion to dismiss. We believe the plaintiff’s claims are without merit and we have not recorded any accrual for a contingent liability associated with these legal proceedings.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December 7, 2021 and March 29, 2022, two verified shareholders derivative lawsuits were filed purportedly on behalf of Ardelyx against certain of Ardelyx’s executive officers and members of our board of directors, captioned </w:t>
      </w:r>
      <w:r>
        <w:rPr>
          <w:rFonts w:ascii="Arial" w:cs="Arial" w:eastAsia="Arial" w:hAnsi="Arial"/>
          <w:sz w:val="17"/>
          <w:szCs w:val="17"/>
          <w:i w:val="1"/>
          <w:iCs w:val="1"/>
          <w:color w:val="auto"/>
        </w:rPr>
        <w:t>Go v. Raab, et al.</w:t>
      </w:r>
      <w:r>
        <w:rPr>
          <w:rFonts w:ascii="Arial" w:cs="Arial" w:eastAsia="Arial" w:hAnsi="Arial"/>
          <w:sz w:val="17"/>
          <w:szCs w:val="17"/>
          <w:color w:val="auto"/>
        </w:rPr>
        <w:t xml:space="preserve">, Case No. 4:21-cv-09455-HSG, and </w:t>
      </w:r>
      <w:r>
        <w:rPr>
          <w:rFonts w:ascii="Arial" w:cs="Arial" w:eastAsia="Arial" w:hAnsi="Arial"/>
          <w:sz w:val="17"/>
          <w:szCs w:val="17"/>
          <w:i w:val="1"/>
          <w:iCs w:val="1"/>
          <w:color w:val="auto"/>
        </w:rPr>
        <w:t>Morris v. Raab, et al.</w:t>
      </w:r>
      <w:r>
        <w:rPr>
          <w:rFonts w:ascii="Arial" w:cs="Arial" w:eastAsia="Arial" w:hAnsi="Arial"/>
          <w:sz w:val="17"/>
          <w:szCs w:val="17"/>
          <w:color w:val="auto"/>
        </w:rPr>
        <w:t xml:space="preserve">, Case No. 4:22-cv-01988-JSC. The complaints allege violations of Section 14(a) of the Exchange Act, breaches of fiduciary duties, unjust enrichment, abuse of control, gross mismanagement, and waste, and seek contribution under Sections 10(b) and 21D of the Securities Exchange Act of 1934 from two executive officers. On January 19, and April 27, 2022, the court granted the parties’ stipulation to stay the </w:t>
      </w:r>
      <w:r>
        <w:rPr>
          <w:rFonts w:ascii="Arial" w:cs="Arial" w:eastAsia="Arial" w:hAnsi="Arial"/>
          <w:sz w:val="17"/>
          <w:szCs w:val="17"/>
          <w:i w:val="1"/>
          <w:iCs w:val="1"/>
          <w:color w:val="auto"/>
        </w:rPr>
        <w:t>Go</w:t>
      </w:r>
      <w:r>
        <w:rPr>
          <w:rFonts w:ascii="Arial" w:cs="Arial" w:eastAsia="Arial" w:hAnsi="Arial"/>
          <w:sz w:val="17"/>
          <w:szCs w:val="17"/>
          <w:color w:val="auto"/>
        </w:rPr>
        <w:t xml:space="preserve"> and </w:t>
      </w:r>
      <w:r>
        <w:rPr>
          <w:rFonts w:ascii="Arial" w:cs="Arial" w:eastAsia="Arial" w:hAnsi="Arial"/>
          <w:sz w:val="17"/>
          <w:szCs w:val="17"/>
          <w:i w:val="1"/>
          <w:iCs w:val="1"/>
          <w:color w:val="auto"/>
        </w:rPr>
        <w:t>Morris</w:t>
      </w:r>
      <w:r>
        <w:rPr>
          <w:rFonts w:ascii="Arial" w:cs="Arial" w:eastAsia="Arial" w:hAnsi="Arial"/>
          <w:sz w:val="17"/>
          <w:szCs w:val="17"/>
          <w:color w:val="auto"/>
        </w:rPr>
        <w:t xml:space="preserve"> actions, respectively, until resolution of the anticipated motion(s) to dismiss in the Securities Class Actions, and the cases remain stayed.</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As of March 31, 2022, there is no litigation pending that would reasonably be expected to have a material adverse effect on our results of operations and financial condition, and no contingent liabilities were accrued as of March 31, 2022.</w:t>
      </w:r>
    </w:p>
    <w:p>
      <w:pPr>
        <w:spacing w:after="0" w:line="17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Our business involves significant risks, some of which are described below. You should carefully consider these risks, as well as other information in this Quarterly Report on Form 10-Q, including our financial statements and the notes thereto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losses since our inception and we will incur losses in the future, which makes it difficult to assess our future viability; although our financial statements have been prepared on a going concern basis, our current level of cash and investments alone is not sufficient to meet our operating plans for the next twelve months, raising substantial doubt regarding our ability to continue as a going concern.</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a clinical-stage biopharmaceutical company with a limited operating history. Biopharmaceutical product development is a highly speculative undertaking and involves a substantial degree of risk. To date, we have focused substantially all of our efforts on our research and development activities, including developing tenapanor and developing our proprietary drug discovery and design platform. We began selling our first product, IBSRELA</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(tenapanor) for the treatment of irritable bowel syndrome with constipation (“IBS-C”) in March 2022, and have generated limited revenue from product sales to date.</w:t>
      </w:r>
    </w:p>
    <w:p>
      <w:pPr>
        <w:spacing w:after="0" w:line="2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not profitable and have incurred losses in each year since our inception in October 2007, and we do not know whether or when we will become profitable. We continue to incur significant commercialization, development and other expenses related to our ongoing operations. As of March 31, 2022, we had an accumulated deficit of $741.0 million.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expect to continue to incur substantial operating losses for the foreseeable future as we commercialize IBSRELA, seek to gain approval for XPHOZAH</w:t>
      </w:r>
      <w:r>
        <w:rPr>
          <w:rFonts w:ascii="Arial" w:cs="Arial" w:eastAsia="Arial" w:hAnsi="Arial"/>
          <w:sz w:val="20"/>
          <w:szCs w:val="20"/>
          <w:b w:val="1"/>
          <w:bCs w:val="1"/>
          <w:color w:val="auto"/>
          <w:vertAlign w:val="superscript"/>
        </w:rPr>
        <w:t>®</w:t>
      </w:r>
      <w:r>
        <w:rPr>
          <w:rFonts w:ascii="Arial" w:cs="Arial" w:eastAsia="Arial" w:hAnsi="Arial"/>
          <w:sz w:val="16"/>
          <w:szCs w:val="16"/>
          <w:color w:val="auto"/>
        </w:rPr>
        <w:t xml:space="preserve"> (tenapanor) for the control of serum phosphorus in adult patients with chronic kidney disease (“CKD”) on dialysis (the “Hyperphosphatemia Indication”); prepare for the potential commercialization of XPHOZAH, if approved; and incur manufacturing and development cost for, tenapanor.</w:t>
      </w:r>
    </w:p>
    <w:p>
      <w:pPr>
        <w:spacing w:after="0" w:line="20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Ernst &amp; Young LLP, our independent registered public accounting firm for the fiscal year ended December 31, 2021, has included an explanatory paragraph in their opinion that accompanies our audited financial statements as of the year ended December 31, 2021, indicating our current liquidity position raises substantial doubt about our ability to continue as a going concern. We plan to address our operating cash flow requirements with our current cash and investments, cash generated from the product launch of IBSRELA, our potential receipt of anticipated milestone payments from our collaboration partners, our potential receipt of anticipated payments from our collaboration partner, Kyowa Kirin, Co., Ltd. (“KKC”) in connection with the transaction entered into with KKC in March 2022 which amended our License Agreement entered into with KKC in 2017 (the “2022 KKC Amendment”); our ability to access the capital markets, as well as through the implementation of cash preservation activities to reduce or defer discretionary spending.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no assurances that our efforts to meet our operating cash flow requirements will be successful. If our current cash and investments as well as our plans to meet our operating cash flow requirements are not sufficient to fund necessary expenditures and meet our obligations for at least the next twelve months, our liquidity, financial condition and business prospects will be materially affected.</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prior losses, combined with expected future losses, have had and will continue to have an adverse effect on our stockholders’ equity and working capital. Further, the net losses we incur may fluctuate significantly from quarter-to-quarter and year-to-year, such that a period-to-period comparison of our results of operations may not be a good indication of our future performance.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will be subject to limitations, pursuant to Internal Revenue Code Sections 382 and 383, as a result of ownership changes that have occurred previously and additional limitations may be applicable as a result of ownership changes that could occur in the future.</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We will require substantial additional financing to achieve our goals, including our goals of commercializing IBSRELA and preparing for and participating in a Cardiovascular and Renal Drugs Advisory Committee (“Advisory Committee”) meeting in connection with the formal dispute resolution ("FDR") process commenced in response to the Complete Response Letter (“CRL”) received from the U.S. Food and Drug Administration (“FDA”) relating to our New Drug Application (“NDA”) for tenapanor for the Hyperphosphatemia Indication and the inability to access necessary capital when needed on acceptable terms, or at all, could force us to limit, reduce or terminate our efforts to commercialize IBSRELA or to seek and obtain approval for tenapanor for the Hyperphosphatemia Indication.</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Since our inception, most of our resources have been dedicated to our research and development activities, including developing tenapanor and developing our proprietary drug discovery and design platform. Following the receipt of the CRL, we implemented two restructuring plans in order to reduce operating costs and to better align our workforce with the needs of our business. Notwithstanding the restructurings, we believe that we will continue to expend substantial resources for the foreseeable future, including, costs associated with our efforts to commercialize IBSRELA, which we began selling in the U.S. in March 2022, cost associated with our efforts to pursue approval for our NDA for tenapanor for the Hyperphosphatemia Indication through the FDR process, and Advisory Committee meeting; conducting pediatric clinical trials for IBSRELA and XPHOZAH, if approved, and manufacturing for IBSRELA and, if approved, XPHOZAH. Our future funding requirements will depend on many factors, including, but not limited to:</w:t>
      </w:r>
    </w:p>
    <w:p>
      <w:pPr>
        <w:spacing w:after="0" w:line="193"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are able to generate product revenue from sales of IBSRELA;</w:t>
      </w:r>
    </w:p>
    <w:p>
      <w:pPr>
        <w:spacing w:after="0" w:line="117" w:lineRule="exact"/>
        <w:rPr>
          <w:rFonts w:ascii="Arial" w:cs="Arial" w:eastAsia="Arial" w:hAnsi="Arial"/>
          <w:sz w:val="18"/>
          <w:szCs w:val="18"/>
          <w:color w:val="auto"/>
        </w:rPr>
      </w:pPr>
    </w:p>
    <w:p>
      <w:pPr>
        <w:jc w:val="both"/>
        <w:ind w:left="340" w:hanging="332"/>
        <w:spacing w:after="0" w:line="286" w:lineRule="auto"/>
        <w:tabs>
          <w:tab w:leader="none" w:pos="335" w:val="left"/>
        </w:tabs>
        <w:numPr>
          <w:ilvl w:val="0"/>
          <w:numId w:val="9"/>
        </w:numPr>
        <w:rPr>
          <w:rFonts w:ascii="Arial" w:cs="Arial" w:eastAsia="Arial" w:hAnsi="Arial"/>
          <w:sz w:val="17"/>
          <w:szCs w:val="17"/>
          <w:color w:val="auto"/>
        </w:rPr>
      </w:pPr>
      <w:r>
        <w:rPr>
          <w:rFonts w:ascii="Arial" w:cs="Arial" w:eastAsia="Arial" w:hAnsi="Arial"/>
          <w:sz w:val="17"/>
          <w:szCs w:val="17"/>
          <w:color w:val="auto"/>
        </w:rPr>
        <w:t>whether we are successful in our efforts under the FDR process, including the Advisory Committee meeting to be convened as part of the FDR process, to secure approval for our NDA for tenapanor for the Hyperphosphatemia Indication, or to reach resolution with the FDA regarding a path to address the deficiencies in the NDA noted in the CRL and ADL, and the time and cost associated with such path;</w:t>
      </w:r>
    </w:p>
    <w:p>
      <w:pPr>
        <w:spacing w:after="0" w:line="57" w:lineRule="exact"/>
        <w:rPr>
          <w:rFonts w:ascii="Arial" w:cs="Arial" w:eastAsia="Arial" w:hAnsi="Arial"/>
          <w:sz w:val="17"/>
          <w:szCs w:val="17"/>
          <w:color w:val="auto"/>
        </w:rPr>
      </w:pPr>
    </w:p>
    <w:p>
      <w:pPr>
        <w:ind w:left="340" w:right="20" w:hanging="332"/>
        <w:spacing w:after="0" w:line="277"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adequate third-party reimbursement for IBSRELA and, if approved, the sales price and the availability of adequate third-party reimbursement for XPHOZAH;</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manufacturing costs of IBSRELA and XPHOZAH;</w:t>
      </w:r>
    </w:p>
    <w:p>
      <w:pPr>
        <w:spacing w:after="0" w:line="103"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selling and marketing costs associated with IBSRELA and, if approved, XPHOZAH;</w:t>
      </w:r>
    </w:p>
    <w:p>
      <w:pPr>
        <w:spacing w:after="0" w:line="238"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timing, receipt and amount of any milestones that may be received from our collaboration partners in connection with tenapanor, if any;</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receipt and amount of revenue, if any, that may be received from KKC in connection with the 2022 KKC Amendment;</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tenapanor, if any;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clinical trials we are required to or decide to pursue for tenapanor or RDX013;</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340" w:hanging="332"/>
        <w:spacing w:after="0" w:line="263"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75"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payment of interest and principal related to our loan and security agreement entered into with SLR Investment Corp. in February 2022.</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 limit, reduce or terminate our commercialization of IBSRELA, delay, limit, reduce or terminate our efforts to secure approval for XPHOZAH for the Hyperphosphatemia Indication, or clinical trials for tenapanor. Additionally, our inability to access capital on a timely basis and on terms that are acceptable to us may force us to restructure certain aspects of our business or identify and complete one or more strategic collaborations or other transactions in order to fund the commercialization of IBSRELA or the development and commercialization of XPHOZAH, if approved, through the use of alternative structures.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meet the continued listing requirements of The Nasdaq Global Market could result in a de-listing of our common stock</w:t>
      </w:r>
      <w:r>
        <w:rPr>
          <w:rFonts w:ascii="Arial" w:cs="Arial" w:eastAsia="Arial" w:hAnsi="Arial"/>
          <w:sz w:val="17"/>
          <w:szCs w:val="17"/>
          <w:color w:val="auto"/>
        </w:rPr>
        <w:t>.</w:t>
      </w: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we fail to satisfy the continued listing requirements of The Nasdaq Global Market ("Nasdaq") such as the minimum stockholders’ equity requirement or the minimum closing bid price requirement, Nasdaq may take steps to de-list our common stock. For example, on February 28, 2022 we received a letter from Nasdaq indicating that Nasdaq had determined that we had failed to comply with the minimum bid price requirement of Nasdaq Listing Rule 5550(a)</w:t>
      </w:r>
    </w:p>
    <w:p>
      <w:pPr>
        <w:spacing w:after="0" w:line="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(2). Nasdaq Listing Rule 5550(a)(2) requires that companies listed on the Nasdaq Global Market maintain a minimum closing bid price of at least $1.00 per share (the “Listing Requirement”). We received a letter from Nasdaq on March 31, 2022, indicating that the Company had regained compliance with the Listing Requirement after the closing bid price for its common stock listed on Nasdaq equaled or exceeded $1.00 per share for ten (10) consecutive business days, and confirming that the Company will remain in compliance with this Listing Requirement as long as the closing bid price of its common stock does not fall below $1.00 for thirty (30) consecutive business days. On April 8, 2022, the closing bid price of our common stock listed on Nasdaq was below $1.00 per share, and there can be no assurances that we will continue to remain in compliance with the Listing Requirement. In the event that we are not able to remain in compliance with the Listing Requirement, there can be no assurances that we will be able to regain compliance with the Listing Requirement in the time frame that may be afforded us by Nasdaq. We are monitoring the bid price of our common stock and will consider options available to us, including the implementation of a reverse stock split, to maintain or regain, if required, compliance with the Listing Requirement. On April 29, 2022, we filed our definitive Proxy Statement with the U.S. Securities and Exchange Commission (the “SEC”) indicating our intention to seek approval from our stockholders during our Annual Meeting of Stockholders to be held on June 15, 2022, for a proposal to grant our Board of Directors authority to effect a reverse stock split of our authorized common stock and issued and outstanding common stock by amending our Amended and Restated Certificate of Incorporation by September 15, 2022 and within a range of not less than 1-for-2 and not more than 1-for-10, if our Board of Directors deems it within our best interests. There can be no assurances that our stockholders will approve the proposal, or that we will have other options available to maintain compliance with the Listing Requirement. If we fail to maintain compliance with this requirement, or any other of the continued listing requirements of The Nasdaq Global Market, Nasdaq may take steps to de-list our common stock.</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Nasdaq de-lists our securities for trading on the Nasdaq or takes other actions with respect to our Nasdaq listing, we could face significant adverse consequences, including:</w:t>
      </w:r>
    </w:p>
    <w:p>
      <w:pPr>
        <w:spacing w:after="0" w:line="197" w:lineRule="exact"/>
        <w:rPr>
          <w:sz w:val="20"/>
          <w:szCs w:val="20"/>
          <w:color w:val="auto"/>
        </w:rPr>
      </w:pPr>
    </w:p>
    <w:p>
      <w:pPr>
        <w:ind w:left="120" w:hanging="112"/>
        <w:spacing w:after="0"/>
        <w:tabs>
          <w:tab w:leader="none" w:pos="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common stock;</w:t>
      </w:r>
    </w:p>
    <w:p>
      <w:pPr>
        <w:spacing w:after="0" w:line="117" w:lineRule="exact"/>
        <w:rPr>
          <w:rFonts w:ascii="Arial" w:cs="Arial" w:eastAsia="Arial" w:hAnsi="Arial"/>
          <w:sz w:val="18"/>
          <w:szCs w:val="18"/>
          <w:color w:val="auto"/>
        </w:rPr>
      </w:pPr>
    </w:p>
    <w:p>
      <w:pPr>
        <w:ind w:left="120" w:hanging="112"/>
        <w:spacing w:after="0"/>
        <w:tabs>
          <w:tab w:leader="none" w:pos="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liquidity with respect to our common stock;</w:t>
      </w:r>
    </w:p>
    <w:p>
      <w:pPr>
        <w:spacing w:after="0" w:line="117" w:lineRule="exact"/>
        <w:rPr>
          <w:rFonts w:ascii="Arial" w:cs="Arial" w:eastAsia="Arial" w:hAnsi="Arial"/>
          <w:sz w:val="18"/>
          <w:szCs w:val="18"/>
          <w:color w:val="auto"/>
        </w:rPr>
      </w:pPr>
    </w:p>
    <w:p>
      <w:pPr>
        <w:ind w:left="120" w:hanging="112"/>
        <w:spacing w:after="0"/>
        <w:tabs>
          <w:tab w:leader="none" w:pos="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trading volume in and market price of our common stock;</w:t>
      </w:r>
    </w:p>
    <w:p>
      <w:pPr>
        <w:spacing w:after="0" w:line="117" w:lineRule="exact"/>
        <w:rPr>
          <w:rFonts w:ascii="Arial" w:cs="Arial" w:eastAsia="Arial" w:hAnsi="Arial"/>
          <w:sz w:val="18"/>
          <w:szCs w:val="18"/>
          <w:color w:val="auto"/>
        </w:rPr>
      </w:pPr>
    </w:p>
    <w:p>
      <w:pPr>
        <w:ind w:left="120" w:hanging="112"/>
        <w:spacing w:after="0"/>
        <w:tabs>
          <w:tab w:leader="none" w:pos="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117" w:lineRule="exact"/>
        <w:rPr>
          <w:rFonts w:ascii="Arial" w:cs="Arial" w:eastAsia="Arial" w:hAnsi="Arial"/>
          <w:sz w:val="18"/>
          <w:szCs w:val="18"/>
          <w:color w:val="auto"/>
        </w:rPr>
      </w:pPr>
    </w:p>
    <w:p>
      <w:pPr>
        <w:ind w:left="120" w:hanging="112"/>
        <w:spacing w:after="0"/>
        <w:tabs>
          <w:tab w:leader="none" w:pos="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Such a de-listing would likely have an adverse effect on the price of our common stock and would impair your ability to sell or purchase our common stock when you wish to do so. We may take actions to avoid such a de-listing or in the event of a de-listing, we may take actions to restore our compliance with Nasdaq’s listing requirements, but we can provide no assurance that any such action taken by us would allow our common stock to remain listed or to become listed again, stabilize the market price or improve the liquidity or trading volume of our common stock, prevent our common capitalization and stockholder’s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equity from dropping below the Nasdaq minimum requirements, or prevent other future non-compliance with Nasdaq’s continued listing requirements.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generated limited revenue from product sales and may never be profitable.</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began selling IBSRELA in the U.S. in March 2022, and have generated limited revenue from product sales to date. We have no other products approved for sale and have received a CRL from the FDA for our NDA for the Hyperphosphatemia Indication and an Appeal Denied Letter (“ADL”) in response to our first level of appeal of the CRL to the FDA Office of Cardiology, Hematology, Endocrinology and Nephrology (“OCHEN”). Additionally, we have received an Interim Response to our second level of appeal to the Office of New Drugs (“OND”), Center for Drug Evaluation and Research (CDER), indicating that OND intends to direct the Division of Cardiology and Nephrology of OCHEN (the “Division”) to bring the XPHOZAH NDA to the Advisory Committee (the “Interim Response”). There can be no assurances that any such Advisory Committee will recommend approval of our NDA for tenapanor for the Hyperphosphatemia Indication, or that if approval is recommended, that such approval will ultimately be granted by the FDA. To date, we have generated limited product revenue from product sales of IBSRELA. There can be no assurances that we will be successful in increasing the amount of product revenue from sales of IBSRELA. Our ability to generate revenue from product sales and achieve profitability depends on our ability to successfully commercialize IBSRELA; obtain approval by the FDA for the Hyperphosphatemia Indication, and subsequently successfully commercialize XPHOZAH for the Hyperphosphatemia Indication; and the ability of our collaboration partners to obtain regulatory approval to market tenapanor in their respective territories. There can be no assurances that we will generate sufficient product revenue from sales of IBSRELA and, if approved, XPHOZAH, to cover our expenses. Our ability to generate product revenue from sales or pursuant to milestone payments depends heavily on many factors, including but not limited to:</w:t>
      </w:r>
    </w:p>
    <w:p>
      <w:pPr>
        <w:spacing w:after="0" w:line="211"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commercialize IBSRELA;</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market acceptance of IBSRELA as a viable treatment option for IBS-C;</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and sustain an adequate level of coverage and reimbursement for IBSRELA by third-party payors;</w:t>
      </w:r>
    </w:p>
    <w:p>
      <w:pPr>
        <w:spacing w:after="0" w:line="117"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we are successful in our efforts during the Advisory Committee meeting and under the FDR process to secure approval for our NDA for tenapanor for the Hyperphosphatemia Indication, or whether we are otherwise able during the FDR to reach resolution with the FDA regarding a path to addressing the deficiencies in our NDA noted in the CRL, ADL and Interim Response that is achievable in terms of clinical study design, time and cost;</w:t>
      </w:r>
    </w:p>
    <w:p>
      <w:pPr>
        <w:spacing w:after="0" w:line="78"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relationships with third parties that can provide an adequate (in amount and quality) supply of product to support the market demand for IBSRELA, and, if approved, XPHOZAH;</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340" w:right="20" w:hanging="332"/>
        <w:spacing w:after="0" w:line="308" w:lineRule="auto"/>
        <w:tabs>
          <w:tab w:leader="none" w:pos="3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38" w:lineRule="exact"/>
        <w:rPr>
          <w:rFonts w:ascii="Arial" w:cs="Arial" w:eastAsia="Arial" w:hAnsi="Arial"/>
          <w:sz w:val="17"/>
          <w:szCs w:val="17"/>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With respect to our commercialization of IBSRELA, and if we are successful in obtaining regulatory approval to market XPHOZAH, our revenue will be dependent, in part, upon the size of the markets in the U.S. and the label for which approval is or was granted, acceptance of the price for the product, and the ability to get reimbursement at any price. While there is significant uncertainty related to the insurance coverage and reimbursement of newly approved products in general in the United States, there is additional uncertainty related to insurance coverage and reimbursement for drugs, like XPHOZAH, which, if approved, will be marketed for the control of serum phosphorus in adult patients with CKD on dialysis or for another other related indication. If we are successful in obtaining regulatory approval to market XPHOZAH for such indication, our ability to generate and sustain future revenues from sales of tenapanor for such indication, may be dependent upon whether and when XPHOZAH, along with other oral ESRD related drugs without an injectable or intravenous equivalent, are bundled into the ESRD prospective payment system, and the manner in which such introduction into the ESRD prospective payment system may occur. See “Third-party payor coverage and reimbursement status of newly-approved products is uncertain. Failure to obtain or maintain adequate coverage and reimbursement for IBSRELA or, if approved, XPHOZAH, could limit our ability to market those products and decrease our ability to generate revenue” below. Additionally, if the number of adult patients for IBSRELA or, if approved, XPHOZAH is not as significant as we estimate, the indication approved by regulatory authorities for XPHOZAH is narrower than we expect, coverage and reimbursement for either IBSRELA or, if approved, XPHOZAH are not available in the manner and to the extent we expect, or the reasonably accepted population for treatment is narrowed by competition, physician choice or treatment guidelines, we may not generate significant revenue from the sale of IBSRELA or, if approved, XPHOZAH. Even if we achieve profitability in the future, we may not be able to sustain profitability in subsequent periods. Our failure to generate adequate revenue from product sales would likely depress our market value and could impair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to raise capital, expand our business, discover or develop other product candidates or continue our operations. A decline in the value of our common stock could cause our stockholders to lose all or part of their investment.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Risks Related to Our Business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substantially dependent on the successful launch and commercialization of IBSRELA for IBS-C, and there is no guarantee that we will achieve sufficient market acceptance for IBSRELA; secure adequate coverage and reimbursement for IBSRELA; or generate sufficient revenue from product sales of IBSRELA.</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began selling IBSRELA, our approved treatment for IBS-C in adults in the U.S. in March 2022. The overall commercial success of IBSRELA will depend on a number of factors, including the following:</w:t>
      </w:r>
    </w:p>
    <w:p>
      <w:pPr>
        <w:spacing w:after="0" w:line="197" w:lineRule="exact"/>
        <w:rPr>
          <w:sz w:val="20"/>
          <w:szCs w:val="20"/>
          <w:color w:val="auto"/>
        </w:rPr>
      </w:pPr>
    </w:p>
    <w:p>
      <w:pPr>
        <w:ind w:left="340" w:hanging="332"/>
        <w:spacing w:after="0" w:line="27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the third-party manufacturers we contract with to provide an adequate (in amount and quality) supply of product to support the launch and market demand for IBSRELA;</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and sustain an adequate level of coverage and reimbursement for IBSRELA by third-party payors;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IBSRELA as a treatment for adult patients with IBS-C;</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size of the treatable patient population;</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our sales, market access and marketing efforts;</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physicians view IBSRELA as a safe and effective treatment for adult patients with IBS-C, which will impact the adoption of IBSRELA by physicians for the treatment of IBS-C;</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IBSRELA compared to alternative and competing treatments;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of IBSRELA;</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potential involvement in lawsuits in connection with enforcing intellectual property rights in and to IBSRELA;</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potential involvement in third-party interference, opposition, derivation or similar proceedings with respect to our patent rights directed to IBSRELA, and avoiding other challenges to our patent rights and patent infringement claims; and</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continued acceptable safety and tolerability profile of IBSRELA following approval.</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potential to achieve revenue from the commercialization of IBSRELA and the amount of such potential revenue is subject to these and other factors, and may be unpredictable from quarter-to-quarter. If the number of patients in the market for IBSRELA or the price that the market can bear is not as significant as we estimate, or if we are not able to secure adequate physician and patient acceptance of IBSRELA or adequate coverage and reimbursement for IBSRELA, we may not generate sufficient revenue from sales of IBSRELA. Any failure of IBSRELA to achieve market acceptance, sufficient third-party coverage or reimbursement, or commercial success for would adversely affect our results of operations.</w:t>
      </w:r>
    </w:p>
    <w:p>
      <w:pPr>
        <w:spacing w:after="0" w:line="20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success is also dependent upon our ability to obtain regulatory approval for tenapanor for the control of serum phosphorus in adult patients with CKD on dialysis, and there can be no assurances that we will be successful in obtaining such regulatory approval.</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success is also dependent upon our ability to obtain regulatory approval for tenapanor for the control of serum phosphorus in adult patients with CKD on dialysis. To date, we have invested a significant amount of our efforts and financial resources in the research and development of tenapanor for the control of serum phosphorus in adult patients with CKD on dialysis. On July 28, 2021, we received a CRL from the Division regarding our NDA for tenapanor for the control of serum phosphorus in adult patients with CKD on dialysis. According to the CRL, the FDA has determined that the magnitude of the treatment effect observed in our Phase 3 clinical trials was small and of unclear of clinical significance. Following an End-of-Review Type A meeting (“End of Review Meeting”) in October 2021, with the Division, we submitted a Formal Dispute Resolution Request (“FDRR”) in December 2021. The FDRR was focused on demonstrating that the data submitted in the NDA supported the clinical significance of the treatment effect of tenapanor. On February 4, 2022, we received an ADL from OCHEN. On February 18, 2022, we submitted an appeal of the ADL to the FDA’s Center for Drug Evaluation and Research, Office of New Drugs (“OND”), and on April 15, 2022, we received an Interim Response from OND. The Interim response indicated that OND intends to direct the Division to bring the XPHOZAH NDA to the Advisory Committee. We are currently awaiting further guidance from OND regarding the timing of the Advisory Committee meeting. OND expects to provide a response to the FDR within thirty (30) days after the conclusion of the Advisory Committee meeting. There can be no</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assurances that the Advisory Committee will recommend approval of our NDA for tenapanor for the Hyperphosphatemia Indication, or that if approval is recommended, that such approval will ultimately be granted by the FDA.</w:t>
      </w:r>
    </w:p>
    <w:p>
      <w:pPr>
        <w:spacing w:after="0" w:line="197"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Even if we are successful in obtaining regulatory approval for tenapanor for control of serum phosphorus in adult patients with CKD on dialysis, the expense and time required to do so could adversely impact our ability to successfully commercialize XPHOZAH for the Hyperphosphatemia Indication.</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not be successful in obtaining approval for tenapanor for the Hyperphosphatemia Indication, and if we are able to obtain approval, the expense and time to do so could adversely impact our ability to successfully commercialize XPHOZAH for the Hyperphosphatemia Indication, our business and our results of operations. If we are successful in obtaining approval for XPHOZAH for the Hyperphosphatemia Indication, the commercial success of XPHOZAH will depend on a number of factors, including the following:</w:t>
      </w:r>
    </w:p>
    <w:p>
      <w:pPr>
        <w:spacing w:after="0" w:line="214" w:lineRule="exact"/>
        <w:rPr>
          <w:sz w:val="20"/>
          <w:szCs w:val="20"/>
          <w:color w:val="auto"/>
        </w:rPr>
      </w:pPr>
    </w:p>
    <w:p>
      <w:pPr>
        <w:ind w:left="340" w:hanging="332"/>
        <w:spacing w:after="0" w:line="27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the third-party manufacturers we contract with to provide an adequate (in amount and quality) supply of product to support the market demand for both IBSRELA and XPHOZAH;</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or not the content and breadth of the label approved by the FDA for XPHOZAH may materially and adversely impact our ability to commercialize the product for the approved indication;</w:t>
      </w:r>
    </w:p>
    <w:p>
      <w:pPr>
        <w:spacing w:after="0" w:line="62"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or when XPHOZAH, along with other oral end-stage renal disease (“ESRD”) related drugs without an injectable or intravenous equivalent, are bundled into the ESRD prospective payment system, and the manner in which such introduction into the ESRD prospective payment system may occur;</w:t>
      </w:r>
    </w:p>
    <w:p>
      <w:pPr>
        <w:spacing w:after="0" w:line="75"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of XPHOZAH;</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of XPHOZAH as safe, effective and well-tolerated by patients and the medical community, and, the extent to which the issuance of a CRL by the FDA has impacted the potential acceptance of XPHOZAH as safe, effective and well-tolerated;</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manage the commercialization of IBSRELA and XPHOZAH and the complex pricing and reimbursement negotiations that may arise with marketing the same product at different doses for separate indications;</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XPHOZAH compared to alternative and competing treatments;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and sustaining an adequate level of coverage and reimbursement for XPHOZAH by third-party payors;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potential involvement in lawsuits in connection with enforcing intellectual property rights in and to XPHOZAH;</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potential involvement in third-party interference, opposition, derivation or similar proceedings with respect to our patent rights, and avoiding other challenges to our patent rights and patent infringement claims; and</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continued acceptable safety and tolerability profile of XPHOZAH following approval.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IBSRELA, and/or, if approved and commercialized, XPHOZAH, may cause undesirable side effects or have other properties that could limit the commercial success of the product.</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Undesirable side effects caused by IBSRELA, and/or, if approved, XPHOZAH, could cause us or regulatory authorities to interrupt, delay or halt the commercialization of the product. To date, the most common adverse reactions reported in at least 2% of patients in IBSRELA-treated patients and at an incidence greater than placebo in the two Phase 3 trials include: diarrhea, abdominal distension, flatulence and dizziness. Despite our receipt of marketing approval for IBSRELA and the completion of our Phase 3 clinical program for XPHOZAH, the prevalence and/or severity of these or other side effects could result in a number of potentially significant negative consequences could occur, including:</w:t>
      </w:r>
    </w:p>
    <w:p>
      <w:pPr>
        <w:spacing w:after="0" w:line="203"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a collaboration partner may be required to recall the product;</w:t>
      </w:r>
    </w:p>
    <w:p>
      <w:pPr>
        <w:spacing w:after="0" w:line="117" w:lineRule="exact"/>
        <w:rPr>
          <w:rFonts w:ascii="Arial" w:cs="Arial" w:eastAsia="Arial" w:hAnsi="Arial"/>
          <w:sz w:val="18"/>
          <w:szCs w:val="18"/>
          <w:color w:val="auto"/>
        </w:rPr>
      </w:pPr>
    </w:p>
    <w:p>
      <w:pPr>
        <w:jc w:val="both"/>
        <w:ind w:left="340" w:hanging="332"/>
        <w:spacing w:after="0" w:line="301" w:lineRule="auto"/>
        <w:tabs>
          <w:tab w:leader="none" w:pos="3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additional restrictions may be imposed on the marketing of the particular product or the manufacturing processes for the product or any component thereof, including the imposition of a Risk Evaluation and Mitigation Strategy (“REMS”) which could require creation of a Medication Guide or patient package insert outlining the risks of such side effects for distribution to patients, a communication plan to educate healthcare providers of the drugs’ risks, as well as other elements to assure safe use of the product, such as a patient registry and training and certification of prescribers;</w:t>
      </w:r>
    </w:p>
    <w:p>
      <w:pPr>
        <w:spacing w:after="0" w:line="49" w:lineRule="exact"/>
        <w:rPr>
          <w:rFonts w:ascii="Arial" w:cs="Arial" w:eastAsia="Arial" w:hAnsi="Arial"/>
          <w:sz w:val="16"/>
          <w:szCs w:val="16"/>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a collaboration partner may be subject to fines, injunctions or the imposition of civil or criminal penalties;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new labeling statements, such as a “black box” warning or a contraindication;</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04"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Any of the foregoing events could prevent us, or a collaboration partner, from achieving or maintaining market acceptance of IBSRELA, and/or, if approved, XPHOZAH, and could result in the loss of significant revenue to us, which would materially and adversely affect our results of operations and business..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a company, we have no prior experience in the marketing, sale and distribution of pharmaceutical products; and there are significant risks in building and managing a commercial organization.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company, we have no prior experience in building and managing a commercial organization, or in the marketing, sale and distribution of pharmaceutical products. There can be no assurances that we will be successful in our efforts to retain, and incentivize qualified individuals, generate sufficient sales leads, comply with regulatory requirements applicable to the marketing and sale of drug products and effectively manage a geographically dispersed sales and marketing team.</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fail or are delayed in the development of our internal sales, marketing and distribution capabilities, the commercialization of IBSRELA could be adversely impacted.</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1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23, 2022, we entered into a loan and security agreement with SLR Investment Corp. (the “Lender”) pursuant to which the Lender agreed to provide us a $50.0 million term loan facility with a maturity date of March 1, 2027. The loan was funded in the amount of $27.5 million on February 23, 2022 and the remaining $22.5 million may be funded upon the satisfaction of both (i) receipt from the FDA of approval of the NDA for tenapanor for the Hyperphosphatemia Indication on or prior to December 31, 2022 and (ii) our achievement of certain product revenue milestone targets described in the 2022 Loan Agreement. Until we have repaid all funded indebtedness, the loan and security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spacing w:after="0" w:line="20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permitted to make interest only payments on the loan facility through March 2024, with principal repayments commencing on April 1, 2024, however, we may be required to repay the outstanding indebtedness under the loan facility if an event of default occurs under the loan and security agreement. An event of default will occur if, among other things, we fail to make payments under the loan and security agreement; we breach any of our covenants under the loan and security agreement, subject to specified cure periods with respect to certain breaches; the Lender determines that a material adverse change has occurred; we or our assets become subject to certain legal proceedings, such as bankruptcy proceedings; we are unable to pay our debts as they become due; or we default on contracts with third parties which would permit the Lender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delay, limit, reduce or terminate our activities necessary to commercialize IBSRELA, and/or if approved, XPHOZAH, or clinical trials for tenapanor. The Lender could also exercise its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Third-party payor coverage and reimbursement status of newly commercialized products are uncertain. Failure to obtain or maintain adequate coverage and reimbursement for IBSRELA and, if approved, XPHOZAH, could limit our ability to market those products and decrease our ability to generate revenue.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pricing, coverage and reimbursement of IBSRELA and, if approved, XPHOZAH, must be adequate to support a commercial infrastructure. The availability and adequacy of coverage and reimbursement by governmental and private payors are essential for most patients to be able to afford treatments. Sales of IBSRELA, and, if approved and commercialized, XPHOZAH, will depend substantially, both domestically and abroad, on the extent to which the costs of the product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 able to successfully commercialize IBSRELA, or, if approved, XPHOZAH. Even if coverage is provided, the approved reimbursement amount may not be high enough to allow us to establish or maintain pricing sufficient to realize a return on our investment.</w:t>
      </w: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United States, the principal decisions about coverage and reimbursement for new drugs are typically made by the Centers for Medicare &amp; Medicaid Services (“CMS”), an agency within the United States Department of Health and Human Services responsible for administering the Medicare program,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products such as ours.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is increased uncertainty related to insurance coverage and reimbursement for drugs, like XPHOZAH for the Hyperphosphatemia Indication, which, if approved, will be marketed for the control of serum phosphorus in adult patients with CKD on dialysis or for another other related indication. In January 2011, CMS implemented a new prospective payment system for dialysis treatment. Under the ESRD prospective payment system,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routine drugs. The inclusion of oral medications without injectable or intravenous equivalents in the bundled payment was initially delayed until January 1, 2014, and through several subsequent legislative actions was delayed until January 1, 2025. As a result, absent further legislation or regulation on this matter, beginning in 2025, oral ESRD-related drugs without injectable or intravenous equivalents may be included in the ESRD bundle and separate Medicare payment for these drugs will no longer be available, as is the case today under Medicare Part D. While it is too early to project the full impact that bundling may have on sales of XPHOZAH, if approved and commercialized, and on our business should XPHOZAH be brought into the bundle in 2025, or at any time, we may be unable to sell XPHOZAH for the Hyperphosphatemia Indication, if approved, to dialysis providers on a profitable basis if third-party payors reduce their current levels of payment, or if our costs of production are higher than levels necessary for an appropriate gross margin after payment of all discounts, rebates and chargebacks.</w:t>
      </w:r>
    </w:p>
    <w:p>
      <w:pPr>
        <w:spacing w:after="0" w:line="2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IBSRELA and XPHOZAH, even if regulatory approval is received in such countries.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these caps may not cover or provide adequate payment for our product candidates. We expect to experience pricing pressures in connection with the sale of IBSRELA, and if approved and commercialized, XPHOZAH,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rely completely on third parties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if approved and commercialized, XPHOZAH, and our future development efforts for tenapanor may be materially harmed.</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currently have, nor do we plan to acquire, the infrastructure or capability internally to manufacture IBSRELA, or any of other our product candidates on a commercial scale, or to manufacture our drug supplies for use in the conduct of our nonclinical and clinical studies. The facilities used by our contract manufacturers to manufacture our drug supply are subject 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inspection by the FDA. Our ability to control the manufacturing process of our product candidates is limited to the contractual requirements and obligations we impose on our contract manufacturer. Although they are contractually required to so do, we are completely dependent on our contract manufacturing partners for compliance with the regulatory requirements, known as current Good Manufacturing Practice requirements (“cGMPs”), for manufacture of both active drug substances and finished drug products.</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manufacture of pharmaceutical products requires significant expertise and capital investment. Manufacturers of pharmaceutical products often encounter difficulties in commercial production. These problems may include difficulties with production costs and yields, quality control, including stability of the product and quality assurance testing, and shortages of qualified personnel, as well as compliance with federal, state and foreign regulations and the challenges associated with complex supply chain management. Even if our contract manufacturers do not experience problems and commercial manufacturing is achieved, their maximum or available manufacturing capacities may be insufficient to meet commercial demand. Finding alternative manufacturers or adding additional manufacturers requires a significant amount of time and involves significant expense. New manufacturers would need to develop and implement the necessary production techniques and processes, which along with their facilities, would need to be inspected and approved by the regulatory authorities in each applicable territory. In addition, the raw materials necessary to make API for our products are acquired from a limited number of sources. Any delay or disruption in the availability of these raw materials could result in production disruptions, delays or higher costs with consequent adverse effects on us.</w:t>
      </w:r>
    </w:p>
    <w:p>
      <w:pPr>
        <w:spacing w:after="0" w:line="2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our contract manufacturers fail to adhere to applicable GMP or other regulatory requirements, experience delays or disruptions in the availability of raw materials or experience manufacturing or distribution problems, we may suffer significant consequences, including the inability to meet our product requirements for our clinical development programs, and if tenapanor is commercialized for any indication, such events could result in product seizures or recalls, loss of product approval, fines and sanctions, reputational damage, shipment delays, inventory shortages, inventory write-offs and other product-related charges and increased manufacturing costs. As a result, or if maximum or available manufacturing capacities are insufficient to meet demand, our development or our commercialization efforts for IBSRELA, and/or, if approved, XPHOZAH, may be materially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Our Business and Industry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For example, while the results of our Phase 2 clinical trial evaluating RDX013 for the treatment of hyperkalemia demonstrated an acceptable safety and tolerability profile for RDX013 and supported proof of concept in its ability to lower serum potassium levels, with statistically significant reductions compared to placebo after eight days of treatment, the study did not meet its primary endpoint of significantly reducing serum potassium levels compared to placebo after four weeks of treatment. We currently expect that the next step for the program will be to evaluate a new formulation that potentially enhances subject compliance and the efficacy of RDX013 in an additional Phase 2 clinical study at such time as we have determined that our available resources support conducting such an additional clinical study. There can be no assurances that any additional clinical study that we determine to conduct with RDX013 will be successful.</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if we conduct additional clinical trials with RDX013, we could encounter delays in our future development if any clinical trials are suspended or terminated by us, by the IRBs of the institutions in which the trial is being conducted,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identifying and qualifying patients to participate in any clinical trials is critical to the success of the clinical trials. The timing of any future clinical trials, including any additional RDX013 clinical trial that we may determine to conduct, will depend, in part, on the speed at which we can recruit patients to participate in testing our product candidates. Patients may be unwilling to participate in our clinical studies because of concerns about adverse events observed with the current standard of care, competitor products and/or other investigational agents, in each case for the same indications and/or similar patient populations. In addition, patients currently receiving treatment with the current standard of care or a competitor product may be reluctant to participate in a clinical trial with an investigational drug, or our inclusion and exclusion criteria for our clinical trials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may present challenges in identifying acceptable patients. As a result, the timeline for recruiting patients and conducting clinical trials may be delayed. These delays could result in increased costs, delays in advancing our development the program, or termination of the clinical studies altogether. Any of these occurrences may significantly harm our business, financial condition and prospects.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will rely on third parties to conduct all of our nonclinical studies and clinical trials. If these third parties do not successfully carry out their contractual duties or meet expected deadlines, we may be unable to obtain regulatory approval for additional products or commercialize our product candidates.</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do not have the ability to independently conduct nonclinical studies or clinical trials. We rely on medical institutions, clinical investigators, contract laboratories, and other third parties, such as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our nonclinical studies and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good clinical practices (“GCPs”) for clinical studies. GLPs and GCPs are regulations and guidelines enforced by the FDA, the Competent Authorities of the Member States of the European Economic Area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FDA, the European Medicines Agency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and our competitors may discover, develop or commercialize products faster or more successfully than us.</w:t>
      </w: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 If approved for marketing by the FDA or other regulatory agencies, tenapanor, as well as our other product candidates, would compete against existing treatments.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numerous treatments exist for constipation and the constipation component of IBS-C, many of which are over-the-counter. These include psyllium husk (such as Metamucil), methylcellulose (such as Citrucel), calcium polycarbophil (such as FiberCon), lactulose (such as Cephulac), polyethylene glycol (such as MiraLax), sennosides (such as Exlax), bisacodyl (such as Ducolax), docusate sodium (such as Colace), magnesium hydroxide (such as Milk of Magnesia), saline enemas (such as Fleet), and sorbitol. These agents are generally inexpensive and work well to temporarily relieve constipation.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aware of four prescription products marketed for certain patients with IBS-C, including Linzess (linaclotide), Amitiza (lubiprostone), Trulance (plecanatide) and Zelnorm (tegaserod maleate).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XPHOZAH, if approved for the Hyperphosphatemia Indication will compete with phosphate binders used for the same or similar indication`. If approved, our label for XPHOZAH may include data comparing the effectiveness of tenapanor to phosphate binders used for the same indication. The various types of phosphate binders commercialized in the United States include the following:</w:t>
      </w:r>
    </w:p>
    <w:p>
      <w:pPr>
        <w:spacing w:after="0" w:line="211"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Calcium carbonate (many over-the-counter brands including Tums and Caltrate);</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Calcium acetate (several prescription brands including PhosLo and Phoslyra);</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Lanthanum carbonate (Fosrenol);</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Sevelamer hydrochloride (Renagel);</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Sevelamer carbonate (Renvela);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Sucroferric oxyhydroxide (Velphoro);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Ferric citrate (Auryxia).</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of the phosphate binders listed above are available as generics in the U.S., with the exception of Velphoro and Auryxia. In addition to the currently available phosphate binders, we are aware of at least two other binders in development, including fermagate (Alpharen), an iron-based binder in Phase 3 being developed by Opko Health, Inc., and PT20, an iron-based binder in Phase 3 being developed by Shield Therapeutics.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possible that our competitors' drugs may be less expensive and more effective than our product candidates, or that will render our product candidates obsolete. It is also possible that our competitors will commercialize competing drugs or treatments before we or our collaboration partners can launch any products developed from our product candidates. We also anticipate that we will face increased competition in the future as new companies enter into our target markets.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experience difficulties in managing our current activities and growth given our level of managerial, operational, financial and other resources.</w:t>
      </w:r>
    </w:p>
    <w:p>
      <w:pPr>
        <w:spacing w:after="0" w:line="2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spacing w:after="0" w:line="197"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 any commercialization activities in which we may engage effectively;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collaborators, government agencies and other third parties;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retain and motivate our remaining employees and potentially identify, recruit, and integrate additional employees.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are unable to maintain or expand our managerial, operational, financial and other resources to the extent required to manage our development and commercialization activities, our business will be materially adversely affected.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IBSRELA, and/or, if approved, XPHOZAH.</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our commercial launch of IBSRELA.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222"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demand for the product;</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commercialize or co-promote our IBSRELA, and/or, if approved, XPHOZAH.</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inability to obtain and maintain sufficient product liability insurance at an acceptable cost and scope of coverage to protect against potential product liability claims could prevent or inhibit the commercialization of any products we develop.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attract, retain and motivate our executives, senior management and key personnel, our business will suffer.</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Recruiting and retaining qualified scientific, clinical, medical, manufacturing, and sales and marketing personnel is critical to our success. We are highly dependent on our executives, senior management and certain other key employees. The loss of the services of our executives, senior management or other key employee could impede the achievement of our development and commercial objectives and seriously harm our ability to successfully implement our business strategy. Furthermore, replacing executives, senior management and other key employees may be difficult and may take an extended period of time because of the limited number of individuals in our industry with the breadth of skills and experience required to successfully develop, gain marketing approval of and commercialize products. We may be unable to hire, train or motivate these key personnel on acceptable terms given the intense competition among numerous biopharmaceutical companies for similar personnel, particularly in our geographic regions. If we are unable to continue to attract and retain high quality personnel, our ability to grow and pursue our business strategy will be limited.</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Further, the California Privacy Rights Act (CPRA) recently passed in California.</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 laws have passed in Virginia and Colorado,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the Federal Trade Commission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also or may become subject to rapidly evolving data protection laws, rules and regulations in foreign jurisdictions. For example, in Europe, the European Union General Data Protection Regulation (GDPR) went into effect in May 2018 and imposes strict requirements for processing the personal data of individuals within the European Economic Area (EEA). Among other requirements, the GDPR regulates transfers of personal data subject to the GDPR to third countries that have not been found to provide adequate protection to such personal data, including the United States;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Relatedly, following the United Kingdom’s withdrawal from the European Economic Area and the European Union, and the expiry of the transition period, companies have to comply with both the GDPR and the GDPR as incorporated into United Kingdom national law, the latter regime having the ability to separately fine up to the greater of £17.5 million or 4% of global turnover. The relationship between the United Kingdom and the European Union in relation to certain aspects of data protection law remains unclear, for example around how data can lawfully be transferred between each jurisdiction, which may expose us to further compliance risk.</w:t>
      </w:r>
    </w:p>
    <w:p>
      <w:pPr>
        <w:spacing w:after="0" w:line="21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21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and personal information. It is critical that we and our collaborators, CROs and other contractors and consultants do so in a secure manner to maintain the confidentiality and integrity of such confidential information. We have established physical, electronic and organizational measures designed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current and any future collaborators, CROs, contractors and consultants and other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w:t>
      </w:r>
    </w:p>
    <w:p>
      <w:pPr>
        <w:spacing w:after="0" w:line="19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product development programs, and/or of our efforts to commercialize tenapanor for the control of serum phosphorus in adult patients with CKD on dialysis or for another other related indication, if approved. For example, the loss of clinical trial data from completed or ongoing or planned clinical trials could result in delays in our regulatory approval efforts and significantly increase our costs to recover or reproduce the data. In addition, such a breach may require notification to governmental agencies, the media or individuals pursuant to various federal and state privacy and security laws, if applicable. Moreover, if a computer security breach affects our systems or those of our collaborators, CROs or other contractors, or results in the unauthorized release of personally identifiable information, our reputation could be materially damaged. We would also be exposed to a risk of loss or litigation and potential liability, which could materially adversely affect our business, results of operations and financial condition.</w:t>
      </w:r>
    </w:p>
    <w:p>
      <w:pPr>
        <w:spacing w:after="0" w:line="21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have previously identified a material weakness in our internal control over financial reporting. If we fail to maintain proper and effective internal controls, our ability to produce accurate and timely financial statements could be impaired, which could harm our operating results, our ability to operate our business and investors’ views of us and could have a material adverse effect on the price of our common stock.</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2019, management and our independent registered public accounting firm identified a control deficiency that constituted a material weakness in our internal control over financial reporting. The material weakness was due to a failure in the design and implementation of controls over the evaluation of the terms of our clinical trial contracts for inclusion into our clinical financial model which estimates clinical trial expenses. Specifically, we had failed to properly interpret an expense in our clinical trial contracts which resulted in the over accrual of our clinical trial expenses during 2018 and the first quarter of 2019.</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developed and implemented a remediation plan for this material weakness which included modifications to the design and implementation of certain internal controls, and the material weakness was remediated as of December 31, 2019. Although we have remediated this material weakness, as attested by our independent registered public accounting firm, we can give no assurance that an additional material weakness or significant deficiency in our internal controls over financial reporting will not be identified in the future. Our failure to implement and maintain effective internal controls over financial reporting could result in errors in our financial statements that could result in a restatement of our financial statements and cause us to fail to meet our reporting obligations. If we cannot in the future favorably assess the effectiveness of our internal controls over financial reporting, investor confidence in the reliability of our financial reports may be adversely affected, which could have a material adverse effect on the trading price of our common stock.</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formed in the past, and may form in the future, collaboration partnerships, joint ventures and/or licensing arrangements, and we may not realize the benefits of such collaborations.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current collaboration partnerships for the commercialization of tenapanor in certain foreign countries, and we may form additional collaboration partnerships, create joint ventures or enter into additional licensing arrangements with third parties in the United States and abroad that we believe will complement or augment our existing business. In particular, we have formed collaboration partnerships with KKC for commercialization of tenapanor for hyperphosphatemia in Japan; with</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Fosun Pharma for commercialization of tenapanor for hyperphosphatemia and IBS-C in China and related territories; and in Canada with Knight for commercialization of tenapanor for IBS-C and hyperphosphatemia. We face significant competition in seeking appropriate collaboration partners, and the process to identify an appropriate partner and negotiate appropriate terms is time-consuming and complex. Any delays in identifying suitable additional collaboration partners and entering into agreements to develop our product candidates could also delay the commercialization of our product candidates, which may reduce their competitiveness even if they reach the market. There is no guarantee that our current collaboration partnerships or any such arrangements we enter into in the future will be successful, or that any collaboration partner will commit sufficient resources to the development, regulatory approval, and commercialization effort for such products, or that such alliances will result in us achieving revenues that justify such transactions. We have received a CRL from the FDA regarding our NDA for the Hyperphosphatemia Indication. While we are pursuing an appeal through the FDR process, and have been notified from OND in an interim response to our second level appeal that OND will direct the Division to bring our NDA to an Advisory Committee, there can be no assurances that the Advisory Committee will recommend approval of our NDA for tenapanor for the Hyperphosphatemia Indication, or that if approval is recommended, that such approval will ultimately be granted by the FDA. Even if we are successful in obtaining approval for the NDA, the delay in obtaining such approval may result in delay in the regulatory process for our partners, which could have a material adverse effect on our business and results of operations.</w:t>
      </w: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ongoing effects of the COVID-19 pandemic, or any other outbreak of epidemic diseases, or the perception of their effects, could have a material adverse effect on our business, financial condition, results of operations or cash flows.</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Outbreaks of epidemic, pandemic, or contagious diseases, such as the current novel coronavirus (“COVID-19”) pandemic or, historically, the Ebola virus, Middle East Respiratory Syndrome, Severe Acute Respiratory Syndrome or the H1N1 virus, could disrupt our business. Business disruptions could include disruptions or restrictions on our ability to conduct our clinical trials, as planned, travel, as well as temporary closures of the facilities of our collaboration partners, suppliers or contract manufacturers. Any disruption of our clinical trial operations, collaboration partners, suppliers or contract manufacturers could adversely impact our operating results.</w:t>
      </w:r>
    </w:p>
    <w:p>
      <w:pPr>
        <w:spacing w:after="0" w:line="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Economic and health conditions related to the COVID-19 pandemic in the United States and across most of the globe remain uncertain and continue to evolve. The continuing effects of the coronavirus outbreak may result in delays in the manufacture of tenapanor, or in the delivery of key intermediates or raw materials required to manufacture tenapanor or delays in clinical development activities by us, or our collaboration partners. Such effects could also materially and negatively impact our ability to successfully commercialize IBSRELA, and/or, if approved, XPHOZAH, or the ability of our collaboration partners to successfully commercialize such products, if approved for marketing and sale by the foreign regulatory authorities, including our ability, and that of our collaboration partners to educate physicians and patients about the benefits, administration and use of the product.</w:t>
      </w:r>
    </w:p>
    <w:p>
      <w:pPr>
        <w:spacing w:after="0" w:line="191" w:lineRule="exact"/>
        <w:rPr>
          <w:sz w:val="20"/>
          <w:szCs w:val="20"/>
          <w:color w:val="auto"/>
        </w:rPr>
      </w:pPr>
    </w:p>
    <w:p>
      <w:pPr>
        <w:jc w:val="both"/>
        <w:ind w:left="340" w:hanging="332"/>
        <w:spacing w:after="0" w:line="257"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Although we have reopened our offices and invited our personnel to return to the office, we continue to permit our personnel to work remotely, which could negatively impact productivity, or disrupt, delay, or otherwise adversely impact our business. In addition, this could increase our cyber-security risk, create data accessibility concerns, and make us more susceptible to communication disruptions, any of which could adversely impact our business operations or delay necessary interactions with local and federal regulators, ethics committees, manufacturing sites, research or clinical trial sites and important agencies and contractors.</w:t>
      </w:r>
    </w:p>
    <w:p>
      <w:pPr>
        <w:spacing w:after="0" w:line="79"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and comparable foreign regulatory agencies may continue to experience operational interruptions or delays, which may impact timelines for regulatory submission, trial initiation and regulatory approval.</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full effects of the COVID-19 remain unknown. The extent to which the outbreak may continue to impact our business, including, our commercialization and manufacturing will depend on future developments, which are highly uncertain and cannot be predicted with confidence, such as access to physician offices for our commercial and medical teams, business closures or business disruptions.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engage in strategic transactions that could impact our liquidity, increase our expenses and present significant distractions to our management.</w:t>
      </w:r>
    </w:p>
    <w:p>
      <w:pPr>
        <w:spacing w:after="0" w:line="2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consider strategic transactions, such as acquisitions of companies, asset purchases, and/or in-licensing of products, product candidates or technologies. In addition, if we are unable to access capital on a timely basis and on terms that are acceptable to us, we may be forced to further restructure certain aspects of our business or identify and complete one or more strategic collaborations or other transactions in order to fund the commercialization of IBSRELA, our continued efforts to seek approval for our NDA for tenapanor for the Hyperphosphatemia Indication and/or the development of RDX013 through the use of alternative structures. Additional potential transactions that we may consider include a variety of different business arrangements, including spin-offs, spin outs, collaboration partnerships, joint ventures, restructurings, divestitures, business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211" w:lineRule="exact"/>
        <w:rPr>
          <w:sz w:val="20"/>
          <w:szCs w:val="20"/>
          <w:color w:val="auto"/>
        </w:rPr>
      </w:pPr>
    </w:p>
    <w:p>
      <w:pPr>
        <w:ind w:left="340" w:hanging="332"/>
        <w:spacing w:after="0" w:line="277"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up-front, milestone and royalty payments, equity investments and financial support of new research and development candidates including increase of personnel, all of which may be substantial;</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higher-than-expected acquisition and integration costs;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 and</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seek and obtain approval to commercialize our product candidates outside of the United States, manufacture our product candidates outside of the United States, or otherwise engage in business outside of the United States, a variety of risks associated with international operations could materially adversely affect our business.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or our collaboration partners may decide to seek marketing approval for certain of our product candidates outside the United States or otherwise engage in business outside the United States, including entering into contractual agreements with third-parties. We currently utilize contract manufacturing organizations located outside of the United States to manufacture our active drug substance for tenapanor. We are subject to additional risks related to entering these international business markets and relationships, including:</w:t>
      </w:r>
    </w:p>
    <w:p>
      <w:pPr>
        <w:spacing w:after="0" w:line="214"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differing United States and foreign drug import and export rules;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foreign countries;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these distributors;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and third-parties with whom we contract must comply with environmental laws and regulations, which can be expensive and restrict how we do business.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adversely affected by earthquakes or other natural disasters and our business continuity and disaster recovery plans may not adequately protect us from a serious disaster.</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occupy a leased facility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California facility,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Despite having received regulatory approval for IBSRELA, and even if we receive regulatory approval for XPHOZAH, we will be subject to ongoing regulatory obligations and continued regulatory review, which may result in significant additional expense. Additionally, IBSRELA, and, if approved, XPHOZAH, could be subject to other restrictions and market withdrawal, and we may be subject to penalties if we fail to comply with regulatory requirements or experience unanticipated problems with our products.</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Even if a drug is approved by the FDA or foreign regulatory authorities, the manufacturing processes, labeling, packaging, distribution, pharmacovigilance,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97"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warning or untitled letters, fines or holds on clinical trials;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withdrawal of the product from the market or voluntary or mandatory product recalls;</w:t>
      </w:r>
    </w:p>
    <w:p>
      <w:pPr>
        <w:spacing w:after="0" w:line="140" w:lineRule="exact"/>
        <w:rPr>
          <w:rFonts w:ascii="Arial" w:cs="Arial" w:eastAsia="Arial" w:hAnsi="Arial"/>
          <w:sz w:val="16"/>
          <w:szCs w:val="16"/>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or revocation of existing regulatory approvals;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of any of our ongoing clinical trials;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submitted by us;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our or our contract manufacturers’ operations; or</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IBSRELA and, if approved, XPHOZAH. If regulatory sanctions are applied or if regulatory approval is withdrawn, the value of our company and our operating results will be adversely affected.</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 FDA’s policies may change, and additional government regulations may be enacted.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cannot predict the likelihood, nature or extent of government regulation that may arise from future legislation or administrative or executive action, either in the United States or abroad.</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and retain key leadership and other personnel, or otherwise review and process regulatory submissions in a timely manner, which could negatively impact our business.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ability of the FDA to review and process regulatory submissions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Separately, in response to the global COVID-19 pandemic, on March 10, 2020, the FDA announced its intention to postpone most foreign inspections of manufacturing facilities and products through April 2020, and subsequently, on March 18, 2020, the FDA temporarily postponed routine surveillance inspections of domestic manufacturing facilities. Additionally, on April 15, 2021, the FDA issued a guidance document in which the FDA described its plans to conduct voluntary remote interactive evaluations of certain drug manufacturing facilities and clinical research sites, among other facilities. According to the guidance, the FDA may request such remote interactive evaluations where the FDA determines that remote evaluation would be appropriate based on mission needs and travel limitations. In May 2021, the FDA outlined a detailed plan to move toward a more consistent state of inspectional operations, and in July 2021, the FDA resumed standard inspectional operations of domestic facilities. More recently, the FDA has continued to monitor and implement changes to its inspectional activities to ensure the safety of its employees and those of the firms it regulates as it adapts to the evolving COVID-19 pandemic.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significantly impact the ability of the FDA or other regulatory authorities to timely review and process our regulatory submissions, which could have a material adverse effect on our business.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and our contract manufacturers are subject to significant regulation with respect to manufacturing of IBSRELA and XPHOZAH. The manufacturing facilities on which we rely may not continue to meet regulatory requirements or may not be able to meet supply demands.</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All entities involved in the preparation of product for commercial sale, or product candidates for clinical trials, including our existing contract manufacturers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or comparable regulatory filing on a timely basis and must adhere to cGMP regulations enforced by the FDA and other regulatory agencies through their facilities inspection programs. The facilities and quality systems of some or all of our third-party contractors must pass a pre-approval inspection for compliance with the applicable regulations as a condition of regulatory approval of our product candidates. In addition, the regulatory authorities may, at any time, audit or inspect a manufacturing facility involved with the manufacture of our product or the associated quality systems for compliance with the regulations applicable to the activities being conducted.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spacing w:after="0" w:line="21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If we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or are found to have failed to comply with FDA and other regulations related to the promotion of our products for unapproved uses, we could be subject to criminal penalties, substantial fines or other sanctions and damage awards.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regulations relating to the promotion of products for unapproved uses are complex and subject to substantial interpretation by the FDA and other government agencies. With respect to the commercialization of IBSRELA and/or, if approved, XPHOZAH, we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In preparation for the commercial launch of IBSRELA, we have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implemented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FFDCA,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IBSRELA and/or, if approved, XPHOZAH, may cause or contribute to adverse medical events that we are required to report to regulatory agencies and if we fail to do so we could be subject to sanctions that would materially harm our business.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Some participants in clinical studies of tenapanor have reported adverse effects after being treated with tenapanor, including diarrhea, abdominal distension, flatulence and dizziness. If we are successful in commercializing any products, FDA and foreign regulatory agency regulations require that we report certain information about adverse medical events if those products may have caused or contributed to those adverse events. The timing of our obligation to report would be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collaboration partners, consultants and vendors may engage in misconduct or other improper activities, including noncompliance with regulatory standards and requirements.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exposed to the risk that our employees, independent contractors, principal investigators, CROs, collaboration partners, consultants and vendors may engage in fraudulent conduct or other illegal activity. Misconduct by these parties could include intentional, reckless and/or negligent conduct or unauthorized activities that violate any of the following: FDA regulations, including those laws that require the reporting of true, complete and accurate financial and other information to the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regulatory approvals in foreign jurisdictions would prevent us from marketing our products internationally.</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order to market any product in the EEA (which is composed of the 27 Member States of the European Union plus Norway, Iceland and Liechtenstein), and many other foreign jurisdictions, separate regulatory approvals are required. In the EEA, medicinal products can only be commercialized after obtaining a Marketing Authorization (“MA”). Before the MA is granted, the EMA or the competent authorities of the Member States of the EEA make an assessment of the risk-benefit balance of the product on the basis of scientific criteria concerning its quality, safety and efficacy.</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w:t>
      </w:r>
    </w:p>
    <w:p>
      <w:pPr>
        <w:spacing w:after="0" w:line="22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and our collaboration partners may be subject to healthcare laws, regulation and enforcement; our failure or the failure of any such collaboration partners to comply with these laws could have a material adverse effect on our results of operations and financial conditions.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our commercial introduction of IBSRELA, and the regulatory approval by a foreign government and the commercial introduction of any either IBSRELA or XPHOZAH by our collaboration partner in such jurisdiction, we and our collaboration partners may be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spacing w:after="0" w:line="214" w:lineRule="exact"/>
        <w:rPr>
          <w:sz w:val="20"/>
          <w:szCs w:val="20"/>
          <w:color w:val="auto"/>
        </w:rPr>
      </w:pPr>
    </w:p>
    <w:p>
      <w:pPr>
        <w:jc w:val="both"/>
        <w:ind w:left="340" w:hanging="332"/>
        <w:spacing w:after="0" w:line="301" w:lineRule="auto"/>
        <w:tabs>
          <w:tab w:leader="none" w:pos="33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this statute or specific intent to violate it in order to have committed a violation;</w:t>
      </w:r>
    </w:p>
    <w:p>
      <w:pPr>
        <w:spacing w:after="0" w:line="49" w:lineRule="exact"/>
        <w:rPr>
          <w:rFonts w:ascii="Arial" w:cs="Arial" w:eastAsia="Arial" w:hAnsi="Arial"/>
          <w:sz w:val="16"/>
          <w:szCs w:val="16"/>
          <w:color w:val="auto"/>
        </w:rPr>
      </w:pPr>
    </w:p>
    <w:p>
      <w:pPr>
        <w:jc w:val="both"/>
        <w:ind w:left="340" w:hanging="332"/>
        <w:spacing w:after="0" w:line="259"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services resulting from a violation of the federal Anti-Kickback Statute constitutes a false or fraudulent claim for purposes of the false claims statutes;</w:t>
      </w:r>
    </w:p>
    <w:p>
      <w:pPr>
        <w:spacing w:after="0" w:line="78"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healthcare benefit program or making false statements relating to healthcare matters. Similar to the federal Anti-Kickback Statute, a person or entity does not need to have actual knowledge of these statutes or specific intent to violate them in order to have committed a violation;</w:t>
      </w:r>
    </w:p>
    <w:p>
      <w:pPr>
        <w:spacing w:after="0" w:line="75" w:lineRule="exact"/>
        <w:rPr>
          <w:rFonts w:ascii="Arial" w:cs="Arial" w:eastAsia="Arial" w:hAnsi="Arial"/>
          <w:sz w:val="18"/>
          <w:szCs w:val="18"/>
          <w:color w:val="auto"/>
        </w:rPr>
      </w:pPr>
    </w:p>
    <w:p>
      <w:pPr>
        <w:jc w:val="both"/>
        <w:ind w:left="340" w:hanging="332"/>
        <w:spacing w:after="0" w:line="275" w:lineRule="auto"/>
        <w:tabs>
          <w:tab w:leader="none" w:pos="3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ACA, which requires manufacturers of drugs, devices, biologics, and medical supplies to report annually to CMS information related to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and ownership and investment interests held by physicians (as defined by the statute) and their immediate family members;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hanging="332"/>
        <w:spacing w:after="0" w:line="277"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w:t>
      </w:r>
    </w:p>
    <w:p>
      <w:pPr>
        <w:spacing w:after="0" w:line="62"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spacing w:after="0" w:line="75"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 laws that require drug manufacturers to report information related to payments and other transfers of value to physicians and other healthcare providers or pricing information and marketing expenditures; and</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Legislative or regulatory healthcare reforms in the United States may make it more difficult and costly for us to obtain regulatory clearance or approval of our product candidates and to produce, market and distribute our products after clearance or approval is obtained.</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219"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clinical trials to be conducted prior to obtaining approval;</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recall, replacement, or discontinuance of one or more of our products;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record keeping.</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spacing w:after="0" w:line="15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the full impact of recent healthcare reform and other changes in the healthcare industry and in healthcare spending is currently unknown, and may adversely affect our business model. In the United States, the ACA was enacted in 2010 with a goal of reducing the cost of healthcare and substantially changing the way healthcare is financed by both government and private insurers.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its enactment, there have been judicial, executive and Congressional challenges to certain aspects of the ACA.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President Biden issued an executive order that initiated a special enrollment period for purposes of obtaining health insurance coverage through the ACA marketplace from February 15, 2021 through</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August 15, 2021. The executive order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These new laws, among other things, included aggregate reductions of Medicare payments of 2% per fiscal year to providers that will remain in effect through 2030, with the exception of a temporary suspension from May 1, 2020 through March 31, 2022 and a 1% reduction from April 1, 2022 through June 30, 2022,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More recently, on March 11, 2021, President Biden signed the American Rescue Plan Act of 2021 into law, which eliminates the statutory Medicaid drug rebate cap, currently set at 100% of a drug’s average manufacturer price, beginning January 1, 2024. 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By way of example, the Build Back Better Act, if enacted, would introduce substantial drug pricing reforms, including the establishment of a drug price negotiation program within the U.S. Department of Health and Human Services that would require manufacturers to charge a negotiated “maximum fair price” for certain selected drugs or pay an excise tax for noncompliance, and the establishment of rebate payment requirements on manufacturers of certain drugs payable under Medicare Parts B and D. If the Build Back Better Act is not enacted, similar or other drug pricing proposals could appear in future legislation. 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penalties, sanctions and fines, which could have a material adverse effect on our business, results of operations and financial condition.</w:t>
      </w:r>
    </w:p>
    <w:p>
      <w:pPr>
        <w:spacing w:after="0" w:line="211" w:lineRule="exact"/>
        <w:rPr>
          <w:sz w:val="20"/>
          <w:szCs w:val="20"/>
          <w:color w:val="auto"/>
        </w:rPr>
      </w:pPr>
    </w:p>
    <w:p>
      <w:pPr>
        <w:jc w:val="both"/>
        <w:ind w:firstLine="504"/>
        <w:spacing w:after="0" w:line="268" w:lineRule="auto"/>
        <w:rPr>
          <w:sz w:val="20"/>
          <w:szCs w:val="20"/>
          <w:color w:val="auto"/>
        </w:rPr>
      </w:pPr>
      <w:r>
        <w:rPr>
          <w:rFonts w:ascii="Arial" w:cs="Arial" w:eastAsia="Arial" w:hAnsi="Arial"/>
          <w:sz w:val="17"/>
          <w:szCs w:val="17"/>
          <w:color w:val="auto"/>
        </w:rPr>
        <w:t>With the commercial launch of IBSRELA, we will participate in the Medicaid Drug Rebate Program ("MDRP") and other federal and state government pricing programs in the United States, and we may participate in additional government pricing programs in the future. These programs generally require manufacturers to pay rebates or otherwise provide discounts to government payors in connection with drugs that are dispensed to beneficiaries of these programs. Medicaid drug rebates are based on pricing data that we are obligated to report on a monthly and quarterly basis to the U.S. Centers for Medicare &amp; Medicaid Services (“CMS”), the federal agency that administers the MDRP and Medicare programs. For the MDRP, these data include the average manufacturer price (“AMP”) and the best price (“BP”) for each drug. If we become aware that our MDRP price reporting submission for a prior period was incorrect or has changed as a result of recalculation of the pricing data, we must resubmit the corrected data for up to three years after those data originally were due. In addition, there is increased focus by the Office of Inspector General within the U.S. Department of Health and Human Services on the methodologies used by manufacturers to calculate AMP, and BP to assess manufacturer compliance with MDRP reporting requirements.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drugs under Medicaid. Failure to make necessary disclosures and/or to identify overpayments could result in allegations against us under the Federal False Claims Act and other laws and regulations.</w:t>
      </w:r>
    </w:p>
    <w:p>
      <w:pPr>
        <w:spacing w:after="0" w:line="213" w:lineRule="exact"/>
        <w:rPr>
          <w:sz w:val="20"/>
          <w:szCs w:val="20"/>
          <w:color w:val="auto"/>
        </w:rPr>
      </w:pPr>
    </w:p>
    <w:p>
      <w:pPr>
        <w:jc w:val="both"/>
        <w:ind w:firstLine="504"/>
        <w:spacing w:after="0" w:line="257" w:lineRule="auto"/>
        <w:rPr>
          <w:sz w:val="20"/>
          <w:szCs w:val="20"/>
          <w:color w:val="auto"/>
        </w:rPr>
      </w:pPr>
      <w:r>
        <w:rPr>
          <w:rFonts w:ascii="Arial" w:cs="Arial" w:eastAsia="Arial" w:hAnsi="Arial"/>
          <w:sz w:val="18"/>
          <w:szCs w:val="18"/>
          <w:color w:val="auto"/>
        </w:rPr>
        <w:t>Federal law requires that a manufacturer that participates in the MDRP also participate in the Public Health Service’s 340B drug pricing program (the “340B program”) in order for federal funds to be available for the manufacturer’s drugs under Medicaid. We participate in the 340B program, which is administered by the Health Resources and Services Administration (“HRSA”), and requires us to charge statutorily defined covered entities no more than the 340B “ceiling price” for the our covered drugs. These 340B covered entities include a variety of community health clinics and other entities that receive health</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services grants from the Public Health Service, as well as hospitals that serve a disproportionate share of low-income patients. The 340B ceiling price is calculated using a statutory formula, which is based on the AMP and rebate amount for the covered drug as calculated under the MDRP. In general, products subject to Medicaid price reporting and rebate liability are also subject to the 340B ceiling price calculation and discount requirement. We will be obligated to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In addition, legislation may be introduced that, if passed, would further expand the 340B program, such as adding further covered entities or requiring participating manufacturers to agree to provide 340B discounted pricing on drugs used in an inpatient setting.</w:t>
      </w:r>
    </w:p>
    <w:p>
      <w:pPr>
        <w:spacing w:after="0" w:line="212" w:lineRule="exact"/>
        <w:rPr>
          <w:sz w:val="20"/>
          <w:szCs w:val="20"/>
          <w:color w:val="auto"/>
        </w:rPr>
      </w:pPr>
    </w:p>
    <w:p>
      <w:pPr>
        <w:jc w:val="both"/>
        <w:ind w:firstLine="504"/>
        <w:spacing w:after="0" w:line="291" w:lineRule="auto"/>
        <w:rPr>
          <w:sz w:val="20"/>
          <w:szCs w:val="20"/>
          <w:color w:val="auto"/>
        </w:rPr>
      </w:pPr>
      <w:r>
        <w:rPr>
          <w:rFonts w:ascii="Arial" w:cs="Arial" w:eastAsia="Arial" w:hAnsi="Arial"/>
          <w:sz w:val="16"/>
          <w:szCs w:val="16"/>
          <w:color w:val="auto"/>
        </w:rPr>
        <w:t>In order to be eligible to have drug products paid for with federal funds under Medicaid and purchased by certain federal agencies and grantees, we also must participate in the U.S. Department of Veterans Affairs (“VA”) Federal Supply Schedule (“FSS”) pricing program. Under the VA/FSS program, we are obligated to report the Non-Federal Average Manufacturer Price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are also be required to pay rebates on products purchased by military personnel and dependents through the TRICARE retail pharmacy program. If we fail to provide timely information or are found to have knowingly submitted false information, we may be subject to civil monetary penalties.</w:t>
      </w:r>
    </w:p>
    <w:p>
      <w:pPr>
        <w:spacing w:after="0" w:line="193"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18"/>
          <w:szCs w:val="18"/>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IBSRELA,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spacing w:after="0" w:line="223" w:lineRule="exact"/>
        <w:rPr>
          <w:sz w:val="20"/>
          <w:szCs w:val="20"/>
          <w:color w:val="auto"/>
        </w:rPr>
      </w:pPr>
    </w:p>
    <w:p>
      <w:pPr>
        <w:jc w:val="both"/>
        <w:ind w:firstLine="504"/>
        <w:spacing w:after="0" w:line="269" w:lineRule="auto"/>
        <w:rPr>
          <w:sz w:val="20"/>
          <w:szCs w:val="20"/>
          <w:color w:val="auto"/>
        </w:rPr>
      </w:pPr>
      <w:r>
        <w:rPr>
          <w:rFonts w:ascii="Arial" w:cs="Arial" w:eastAsia="Arial" w:hAnsi="Arial"/>
          <w:sz w:val="17"/>
          <w:szCs w:val="17"/>
          <w:color w:val="auto"/>
        </w:rPr>
        <w:t>Pricing and rebate calculations are complex, vary among products and programs, and are often subject to interpretation by us,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 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are required to offer products under the 340B program. Civil monetary penalties can be applied if we are found to have knowingly submitted any false price or product information to the government, if we fail to submit the required price data on a timely basis, or if we are found to have charged 340B covered entities more than the statutorily mandated ceiling price. In the event that CMS were to terminate our Medicaid rebate agreement, no federal payments would be available under Medicaid or Medicare for IBSRELA. We cannot assure you that our submissions will not be found to be incomplete or incorrect.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our ability to obtain, maintain and protect our intellectual property rights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success and ability to compete depend in part on our ability to obtain, maintain and enforce issued patents, trademarks and other intellectual property rights and proprietary technology in the United States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rely on a combination of contractual provisions, confidentiality procedures and patent, trademark, copyright, trade secret and other intellectual property laws to protect the proprietary aspects of our products, product candidates, brands, technologies, trade secrets, know-how and data. These legal measures afford only limited protection, and competitors or others may gain access to or use our intellectual property rights and proprietary information.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rights and products by others, and may not provide an adequate remedy if our intellectual property rights are infringed, misappropriated or otherwise violated by others.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rely in part on our portfolio of issued and pending patent applications in the United States and other countries to protect our intellectual property and competitive position. However, it is also possible that we may fail to identify patentable aspects of inventions made in the course of our development, manufacture and commercialization activities before it is too late to obtain patent protection on them.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Any of these outcomes could impair our ability to prevent competition from third parties, which may have an adverse impact on our business.</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granted patents will be sufficient to stop a competitor from developing, manufacturing and commercializing a product or technologies in a non-infringing manner that would be competitive with one or more of our products or technologies,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Patents have a limited lifespan. In the United States, the natural expiration of a utility patent is generally 20 years from the earliest effective non-provisional filing date. 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may own may not provide the anticipated level of, or any, protection against competitors. Furthermore, an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adverse decision may result in a third party receiving a patent right sought by us, which in turn could affect our ability to develop, manufacture or commercialize our products or technologies.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and technology. In addition, we may need the cooperation of any such co-owners of our patents in order to enforce such patents against third parties, and such cooperation may not be provided to 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252" w:lineRule="exact"/>
        <w:rPr>
          <w:sz w:val="20"/>
          <w:szCs w:val="20"/>
          <w:color w:val="auto"/>
        </w:rPr>
      </w:pPr>
    </w:p>
    <w:p>
      <w:pPr>
        <w:ind w:left="340" w:hanging="332"/>
        <w:spacing w:after="0" w:line="277"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will include claims having a scope sufficient to protect our products or product candidates;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will not develop, manufacture and/or commercialize similar or alternative products or technologies that do not infringe our patents;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of our challenged patents will be found to ultimately be valid and enforceable;</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or technologies will provide us with any competitive advantages or will not be challenged by third parties;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products that are separately patentable; or</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of others.</w:t>
      </w:r>
    </w:p>
    <w:p>
      <w:pPr>
        <w:spacing w:after="0" w:line="36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may become subject to third party claims alleging infringement, misappropriation or violation of such third parties’ patents or other intellectual property rights and/or third party claims seeking to invalidate our patents, which would be costly, time consuming and, if successfully asserted against us, delay or prevent the development, manufacture or commercialization of our products or product candidates.</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commercial success depends, in part, on our ability to develop, manufacture or commercialize our products and product candidates without infringing, misappropriating or otherwise violating the intellectual property rights of third parties. There have been many lawsuits and other proceedings asserting infringement or misappropriation of patents and other intellectual property rights in the pharmaceutical and biotechnology industries, and companies in the industry have used intellectual property litigation to gain a competitive advantage. While we take steps to ensure that we do not infringe upon, misappropriate or otherwise violate the intellectual property rights of others, there can be no assurances that we will not be subject to claims alleging that the manufacture, use or sale of IBSRELA or XPHOZAH or of any other product candidates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IBSRELA or XPHOZAH or other product candidates.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IBSRELA or XPHOZAH or our other product candidates.</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Third parties may initiate legal proceedings alleging that we are infringing, misappropriating or otherwise violating their intellectual property rights. These proceedings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development, manufacturing or sales of the product or product candidate that is the subject of the suit.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Ultimately, we could be prevented from commercializing a product, or forced to redesign it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also could be ordered to pay substantial damages, including treble damages and attorney’s fees if we are found to be willfully infringing a third party’s patents or other intellectual property right. Even if we believe such claims are without merit, a court of competent jurisdiction could hold that these third party patents are valid and enforceable, and infringed by the use of our products and/or technologies, which could have a negative impact on the commercial success of our current and any future products or technologies. If we were to challenge the validity of any such third 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 party claim of patent infringement.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to infringement claims against us, third parties may also raise similar claims before administrative bodies in the United States or abroad. Such mechanisms include reexamination, post grant review, inter parties review, derivation or opposition proceedings before the United States Patent and Trademark Office (the “USPTO”) or other jurisdictional body relating to our intellectual property rights or the intellectual property rights of others. If third parties prepare and file patent applications in the United States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intellectual property related to IBSRELA, XPHOZAH, RDX013 or any future product candidates is not adequate or if we are not able to successfully enforce our intellectual property right, the commercial value of IBSRELA, or our product candidates may be adversely affected and we may not be able to compete effectively in our market.</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strength of patents in the biotechnology and pharmaceutical field involves complex legal and scientific questions and can be uncertain. The patent applications that we own or license may fail to result in issued patents in the United States or in foreign countries. Additionally, our research and development efforts may result in product candidates for which patent protection is limited or not available. Even if patents do successfully issue, third parties may challenge the validity, enforceability or scope thereof, which may result in such patents being narrowed, invalidated or held unenforceable.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IBSRELA, XPHOZAH, RDX013 or any future product candidates is successfully challenged, then our ability to commercialize such product could be negatively affected, and we may face unexpected competition that could have a material adverse impact on our business. Further, we have reported that we have completed the data analysis from our Phase 2 clinical trial evaluating the safety and efficacy of RDX013 for the treatment of hyperkalemia, and that we currently expect that the next steps for the RDX013 program will be to evaluate a new formulation that potentially enhances subject compliance and the efficacy of RDX013 in an additional Phase 2 clinical study. We currently expect to delay further development of RDX013 until such time as we have determined that our available resources support conducting such additional formulation work and an additional</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clinical study. As a result of this delay in our development program for RDX013, the period of time during which we or our collaboration partners could market RDX013 under patent protection would be reduced.</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Even where laws provide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a product or product candidate,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against our intellectual property related to a product or a product candidate, we would lose at least part, and perhaps all, of the patent protection on such product or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were actively involved in the discovery and design of our products or potential drug candidates, or in the development of our discovery and design platform, including APECCS, could require us to pursue legal action to protect our trade secrets and confidential information, which would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do not obtain patent term extension in the United States under the Hatch-Waxman Act and in foreign countries under similar legislation, thereby potentially extending the term of marketing exclusivity for IBSRELA or our product candidates, our business may be materially harmed.</w:t>
      </w:r>
    </w:p>
    <w:p>
      <w:pPr>
        <w:spacing w:after="0" w:line="1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Following the approval by the FDA for our NDA to market tenapanor for IBS-C, we became eligible to seek and sought patent term restoration under the Hatch-Waxman Act for one of the U.S. patents covering our approved product or the use thereof. The Hatch-Waxman Act allows a maximum of one patent to be extended per FDA approved product. Patent term extension also may be available in certain foreign countries upon regulatory approval of our product candidates. Despite seeking patent term extension for tenapanor or other product candidates,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including know-how or trade secrets, of a third party, or claiming ownership of what we regard as our own intellectual property.</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stock price may be volatile and our stockholders may not be able to resell shares of our common stock at or above the price they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These factors include those discussed in this “Risk Factors” section and others such as:</w:t>
      </w:r>
    </w:p>
    <w:p>
      <w:pPr>
        <w:spacing w:after="0" w:line="197"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or lack of success with regards to our commercialization of IBSRELA;</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or lack of success with regards to the Advisory Committee meeting to consider our NDA seeking marketing approval for tenapanor for the Hyperphosphatemia Indication, and announcements of regulatory decisions regarding our NDA;</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regarding any potential receipt from Nasdaq of notice regarding lack of compliance with the listing requirements of Nasdaq or a de-listing of our common stock;</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results of regulatory inspections of our facilities or those of our contract manufacturing organizations, or specific label restrictions or patient populations for XPHOZAH’s use, if approved, or changes or delays in the regulatory review process;</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regarding whether XPHOZAH, if approved, alone or with other oral only medications, will be included in the bundled prospective payment system for the treatment of ESRD patients, and the time and manner in which such transition is achieved;</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relating to our current or future collaboration partnerships;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actions taken by regulatory agencies with respect to our product label, our clinical trials, manufacturing supply chain or sales and marketing activities;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approved products or our product candidates;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our testing and clinical trials;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meet any of our projected timelines or goals with regard to the commercial launch of IBSRELA, or the clinical development and commercialization of any of our product candidates;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our efforts to acquire or license or discover additional product candidates;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our efforts to obtain adequate intellectual property protection for our product candidates;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manufacture, supply or distribution shortages;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our industry or other healthcare reform measures in the United States;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our common stock by us, our executive officers and directors or our stockholders in the future;</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debt securities and sales or licensing of assets;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the United States equity markets;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loss of any of our key scientific or management personnel.</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principal stockholders own a significant percentage of our stock and, together with our management, will be able to exert significant control over matters subject to stockholder approval.</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on the number of shares outstanding as of March 31, 2022, our officers, directors and stockholders who hold at least 5% of our stock together beneficially own approximately 9.3% of our outstanding common stock. If these officers, directors, and principal stockholders or a group of our principal stockholders act together, they will be able to exert a significant degree of influence over our management and affairs and control matters requiring stockholder approval, including the election of directors, amendments to our organizational documents, and approval of any merger, sale of assets or other business combination transactions. The interests of this concentration of ownership may not always coincide with our interests or the interests of other stockholders. For instance, officers, directors and principal stockholders, acting together, could cause us to enter into transactions or agreements that we would not otherwise consider. Similarly, this concentration of ownership may have the effect of delaying or preventing a change in control of our company otherwise favored by our other stockholders.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our existing stockholders sell, or indicate an intention to sell, substantial amounts of our common stock in the public market, the trading price of our common stock could decline. As of March 31, 2022, we had approximately 136.3 million shares of common stock outstanding. Of those shares, approximately 9.0 million were held by current directors, executive officers and stockholders owning 5% or more of our outstanding common stock.</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March 31, 2022, 4.4 million shares of common stock issuable upon vesting of outstanding restricted stock units and approximately 12.9 million shares of common stock issuable upon exercise of outstanding options were eligible for sale in the public market to the extent permitted by the provisions of the applicable vesting schedules, and Rule 144 and Rule 701 under the Securities Act. If these additional shares of common stock are issued and sold, or if it is perceived that they will be sold, in the public market, the trading price of our common stock could decline.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incur significant legal, accounting and other expenses as a public company, including costs resulting from public company reporting obligations under the Securities Exchange Act of 1934, as amended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Section 404 of The Sarbanes-Oxley Act of 2002 (“Section 404”) and the related rules of the Securities and Exchange Commission (“SEC”) which require, among other things, our management and independent registered public accounting firm to report on the effectiveness of our internal control over financial reporting. Our compliance with Section 404 requires that we incur substantial expense and expend significant management efforts.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global economic environment.</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United States, presidential elections, other political influences and inflationary pressures. Our results of operations could be adversely affected by general conditions in the global economy and in the global financial markets. The 2008 global financial crisis caused extreme volatility and disruptions in the capital and credit markets. We cannot anticipate all the ways in which the global economic climate and global financial market conditions could adversely impact our business in the future.</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United States result in widespread and prolonged unemployment, either regionally or on a national basis, or if certain provisions of the Patient Protection and ACA, as amended by the Health Care and Education Reconciliation Act, collectively known as the ACA,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211" w:lineRule="exact"/>
        <w:rPr>
          <w:sz w:val="20"/>
          <w:szCs w:val="20"/>
          <w:color w:val="auto"/>
        </w:rPr>
      </w:pPr>
    </w:p>
    <w:p>
      <w:pPr>
        <w:ind w:left="340" w:right="20" w:hanging="332"/>
        <w:spacing w:after="0" w:line="277"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required approval of at least two-thirds of the shares entitled to vote to remove a director for cause, and the prohibition on removal of directors without cause;</w:t>
      </w:r>
    </w:p>
    <w:p>
      <w:pPr>
        <w:spacing w:after="0" w:line="62" w:lineRule="exact"/>
        <w:rPr>
          <w:rFonts w:ascii="Arial" w:cs="Arial" w:eastAsia="Arial" w:hAnsi="Arial"/>
          <w:sz w:val="18"/>
          <w:szCs w:val="18"/>
          <w:color w:val="auto"/>
        </w:rPr>
      </w:pPr>
    </w:p>
    <w:p>
      <w:pPr>
        <w:ind w:left="340" w:hanging="332"/>
        <w:spacing w:after="0" w:line="342" w:lineRule="auto"/>
        <w:tabs>
          <w:tab w:leader="none" w:pos="33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prohibition on stockholder action by written consent, which forces stockholder action to be taken at an annual or special meeting of our stockholders;</w:t>
      </w:r>
    </w:p>
    <w:p>
      <w:pPr>
        <w:spacing w:after="0" w:line="140" w:lineRule="exact"/>
        <w:rPr>
          <w:rFonts w:ascii="Arial" w:cs="Arial" w:eastAsia="Arial" w:hAnsi="Arial"/>
          <w:sz w:val="16"/>
          <w:szCs w:val="16"/>
          <w:color w:val="auto"/>
        </w:rPr>
      </w:pPr>
    </w:p>
    <w:p>
      <w:pPr>
        <w:jc w:val="both"/>
        <w:ind w:left="340" w:hanging="332"/>
        <w:spacing w:after="0" w:line="263"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197" w:lineRule="exact"/>
        <w:rPr>
          <w:sz w:val="20"/>
          <w:szCs w:val="20"/>
          <w:color w:val="auto"/>
        </w:rPr>
      </w:pPr>
    </w:p>
    <w:p>
      <w:pPr>
        <w:jc w:val="both"/>
        <w:ind w:left="340" w:hanging="332"/>
        <w:spacing w:after="0" w:line="259"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8"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17"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38" w:lineRule="exact"/>
        <w:rPr>
          <w:rFonts w:ascii="Arial" w:cs="Arial" w:eastAsia="Arial" w:hAnsi="Arial"/>
          <w:sz w:val="17"/>
          <w:szCs w:val="17"/>
          <w:color w:val="auto"/>
        </w:rPr>
      </w:pPr>
    </w:p>
    <w:p>
      <w:pPr>
        <w:jc w:val="both"/>
        <w:ind w:left="340" w:hanging="332"/>
        <w:spacing w:after="0" w:line="263"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indemnities, except with respect to proceedings authorized by our board of directors or brought to enforce a right to indemnification.</w:t>
      </w:r>
    </w:p>
    <w:p>
      <w:pPr>
        <w:spacing w:after="0" w:line="7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our stockholders’ ability to achieve a return on their investment will depend on appreciation in the price of our common stock.</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Additionally, the terms of our loan and security agreements could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Following a national referendum and enactment of legislation by the government of the United Kingdom, the United Kingdom formally withdrew from the European Union and ratified a trade and cooperation agreement governing its future relationship with the European Union.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developments, or the perception that any related developments could occur, have had and may continue to have a material adverse effect on global economic conditions and financial markets, and may significantly reduce global market liquidity, restrict the ability of key market participants to operate in certain financial markets or restrict our access to capital. Any of these factors could have a material adverse effect on our business, financial condition and results of operations and reduce the price of our common stock.</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Effective February 23, 2022, we entered into a loan and security agreement pursuant to which the Lenders agreed to provide us a loan facility for up to $50.0 million. Covenants in the loan and security agreement limit our ability to pay dividends or make other distributions. For additional information refer to “NOTE 7. BORROWING” in the notes to our condensed financial statements in Part I, Item 1, </w:t>
      </w:r>
      <w:r>
        <w:rPr>
          <w:rFonts w:ascii="Arial" w:cs="Arial" w:eastAsia="Arial" w:hAnsi="Arial"/>
          <w:sz w:val="18"/>
          <w:szCs w:val="18"/>
          <w:i w:val="1"/>
          <w:iCs w:val="1"/>
          <w:color w:val="auto"/>
        </w:rPr>
        <w:t>Notes to Condensed Financial Statements</w:t>
      </w:r>
      <w:r>
        <w:rPr>
          <w:rFonts w:ascii="Arial" w:cs="Arial" w:eastAsia="Arial" w:hAnsi="Arial"/>
          <w:sz w:val="18"/>
          <w:szCs w:val="18"/>
          <w:color w:val="auto"/>
        </w:rPr>
        <w:t>, of this Quarterly Report on Form 10-Q.</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20" w:type="dxa"/>
            <w:vAlign w:val="bottom"/>
          </w:tcPr>
          <w:p>
            <w:pPr>
              <w:spacing w:after="0"/>
              <w:rPr>
                <w:sz w:val="20"/>
                <w:szCs w:val="20"/>
                <w:color w:val="auto"/>
              </w:rPr>
            </w:pPr>
          </w:p>
        </w:tc>
        <w:tc>
          <w:tcPr>
            <w:tcW w:w="5700" w:type="dxa"/>
            <w:vAlign w:val="bottom"/>
            <w:gridSpan w:val="13"/>
          </w:tcPr>
          <w:p>
            <w:pPr>
              <w:ind w:left="80"/>
              <w:spacing w:after="0"/>
              <w:rPr>
                <w:sz w:val="20"/>
                <w:szCs w:val="20"/>
                <w:color w:val="auto"/>
              </w:rPr>
            </w:pPr>
            <w:r>
              <w:rPr>
                <w:rFonts w:ascii="Arial" w:cs="Arial" w:eastAsia="Arial" w:hAnsi="Arial"/>
                <w:sz w:val="18"/>
                <w:szCs w:val="18"/>
                <w:b w:val="1"/>
                <w:bCs w:val="1"/>
                <w:color w:val="auto"/>
              </w:rPr>
              <w:t>Exhibits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Incorporated by Reference</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80" w:type="dxa"/>
            <w:vAlign w:val="bottom"/>
            <w:gridSpan w:val="10"/>
            <w:vMerge w:val="restart"/>
          </w:tcPr>
          <w:p>
            <w:pPr>
              <w:ind w:left="8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vMerge w:val="restart"/>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vMerge w:val="restart"/>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88"/>
        </w:trPr>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10"/>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32"/>
        </w:trPr>
        <w:tc>
          <w:tcPr>
            <w:tcW w:w="78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13"/>
          </w:tcPr>
          <w:p>
            <w:pPr>
              <w:spacing w:after="0"/>
              <w:rPr>
                <w:rFonts w:ascii="Arial" w:cs="Arial" w:eastAsia="Arial" w:hAnsi="Arial"/>
                <w:sz w:val="18"/>
                <w:szCs w:val="18"/>
                <w:color w:val="0000FF"/>
                <w:w w:val="98"/>
              </w:rPr>
            </w:pPr>
            <w:hyperlink w:anchor="page72">
              <w:r>
                <w:rPr>
                  <w:rFonts w:ascii="Arial" w:cs="Arial" w:eastAsia="Arial" w:hAnsi="Arial"/>
                  <w:sz w:val="18"/>
                  <w:szCs w:val="18"/>
                  <w:color w:val="0000FF"/>
                  <w:w w:val="98"/>
                </w:rPr>
                <w:t>Loan and Security Agreement dated February 23, 2022, by and between</w:t>
              </w:r>
            </w:hyperlink>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w:anchor="page72">
              <w:r>
                <w:rPr>
                  <w:rFonts w:ascii="Arial" w:cs="Arial" w:eastAsia="Arial" w:hAnsi="Arial"/>
                  <w:sz w:val="18"/>
                  <w:szCs w:val="18"/>
                  <w:color w:val="0000FF"/>
                  <w:w w:val="92"/>
                </w:rPr>
                <w:t>Ardelyx, Inc. and SLR Investment Corp.</w:t>
              </w:r>
            </w:hyperlink>
          </w:p>
        </w:tc>
        <w:tc>
          <w:tcPr>
            <w:tcW w:w="2240" w:type="dxa"/>
            <w:vAlign w:val="bottom"/>
            <w:tcBorders>
              <w:top w:val="single" w:sz="8" w:color="0000FF"/>
            </w:tcBorders>
            <w:gridSpan w:val="6"/>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78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13"/>
          </w:tcPr>
          <w:p>
            <w:pPr>
              <w:spacing w:after="0"/>
              <w:rPr>
                <w:rFonts w:ascii="Arial" w:cs="Arial" w:eastAsia="Arial" w:hAnsi="Arial"/>
                <w:sz w:val="18"/>
                <w:szCs w:val="18"/>
                <w:color w:val="0000FF"/>
                <w:w w:val="94"/>
              </w:rPr>
            </w:pPr>
            <w:hyperlink w:anchor="page142">
              <w:r>
                <w:rPr>
                  <w:rFonts w:ascii="Arial" w:cs="Arial" w:eastAsia="Arial" w:hAnsi="Arial"/>
                  <w:sz w:val="18"/>
                  <w:szCs w:val="18"/>
                  <w:color w:val="0000FF"/>
                  <w:w w:val="94"/>
                </w:rPr>
                <w:t>Exit Fee Agreement dated February 23, 2022, by and between Ardelyx, Inc.</w:t>
              </w:r>
            </w:hyperlink>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142">
              <w:r>
                <w:rPr>
                  <w:rFonts w:ascii="Arial" w:cs="Arial" w:eastAsia="Arial" w:hAnsi="Arial"/>
                  <w:sz w:val="18"/>
                  <w:szCs w:val="18"/>
                  <w:color w:val="0000FF"/>
                  <w:w w:val="90"/>
                </w:rPr>
                <w:t>and SLR Investment Corp.</w:t>
              </w:r>
            </w:hyperlink>
          </w:p>
        </w:tc>
        <w:tc>
          <w:tcPr>
            <w:tcW w:w="354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4"/>
                <w:szCs w:val="24"/>
                <w:color w:val="auto"/>
              </w:rPr>
            </w:pPr>
          </w:p>
        </w:tc>
        <w:tc>
          <w:tcPr>
            <w:tcW w:w="5700" w:type="dxa"/>
            <w:vAlign w:val="bottom"/>
            <w:gridSpan w:val="13"/>
          </w:tcPr>
          <w:p>
            <w:pPr>
              <w:spacing w:after="0"/>
              <w:rPr>
                <w:rFonts w:ascii="Arial" w:cs="Arial" w:eastAsia="Arial" w:hAnsi="Arial"/>
                <w:sz w:val="18"/>
                <w:szCs w:val="18"/>
                <w:color w:val="0000FF"/>
                <w:w w:val="93"/>
              </w:rPr>
            </w:pPr>
            <w:hyperlink r:id="rId85">
              <w:r>
                <w:rPr>
                  <w:rFonts w:ascii="Arial" w:cs="Arial" w:eastAsia="Arial" w:hAnsi="Arial"/>
                  <w:sz w:val="18"/>
                  <w:szCs w:val="18"/>
                  <w:color w:val="0000FF"/>
                  <w:w w:val="93"/>
                </w:rPr>
                <w:t>Amendment Number 2 to License Agreement, dated as of April 11, 2022, by</w:t>
              </w:r>
            </w:hyperlink>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right"/>
              <w:ind w:right="82"/>
              <w:spacing w:after="0"/>
              <w:rPr>
                <w:sz w:val="20"/>
                <w:szCs w:val="20"/>
                <w:color w:val="auto"/>
              </w:rPr>
            </w:pPr>
            <w:r>
              <w:rPr>
                <w:rFonts w:ascii="Arial" w:cs="Arial" w:eastAsia="Arial" w:hAnsi="Arial"/>
                <w:sz w:val="18"/>
                <w:szCs w:val="18"/>
                <w:color w:val="auto"/>
              </w:rPr>
              <w:t>4/11/2022</w:t>
            </w:r>
          </w:p>
        </w:tc>
        <w:tc>
          <w:tcPr>
            <w:tcW w:w="120" w:type="dxa"/>
            <w:vAlign w:val="bottom"/>
          </w:tcPr>
          <w:p>
            <w:pPr>
              <w:spacing w:after="0"/>
              <w:rPr>
                <w:sz w:val="24"/>
                <w:szCs w:val="24"/>
                <w:color w:val="auto"/>
              </w:rPr>
            </w:pPr>
          </w:p>
        </w:tc>
        <w:tc>
          <w:tcPr>
            <w:tcW w:w="1060" w:type="dxa"/>
            <w:vAlign w:val="bottom"/>
          </w:tcPr>
          <w:p>
            <w:pPr>
              <w:jc w:val="right"/>
              <w:ind w:right="299"/>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2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and among Ardelyx, Inc., and Kyowa Kirin Co., Ltd.</w:t>
              </w:r>
            </w:hyperlink>
          </w:p>
        </w:tc>
        <w:tc>
          <w:tcPr>
            <w:tcW w:w="18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8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13"/>
          </w:tcPr>
          <w:p>
            <w:pPr>
              <w:spacing w:after="0"/>
              <w:rPr>
                <w:rFonts w:ascii="Arial" w:cs="Arial" w:eastAsia="Arial" w:hAnsi="Arial"/>
                <w:sz w:val="18"/>
                <w:szCs w:val="18"/>
                <w:color w:val="0000FF"/>
              </w:rPr>
            </w:pPr>
            <w:hyperlink w:anchor="page147">
              <w:r>
                <w:rPr>
                  <w:rFonts w:ascii="Arial" w:cs="Arial" w:eastAsia="Arial" w:hAnsi="Arial"/>
                  <w:sz w:val="18"/>
                  <w:szCs w:val="18"/>
                  <w:color w:val="0000FF"/>
                </w:rPr>
                <w:t>Certification of Chief Executive Officer Pursuant to Section 302 of the</w:t>
              </w:r>
            </w:hyperlink>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147">
              <w:r>
                <w:rPr>
                  <w:rFonts w:ascii="Arial" w:cs="Arial" w:eastAsia="Arial" w:hAnsi="Arial"/>
                  <w:sz w:val="18"/>
                  <w:szCs w:val="18"/>
                  <w:color w:val="0000FF"/>
                </w:rPr>
                <w:t>Sarbanes-Oxley Act of 2002.</w:t>
              </w:r>
            </w:hyperlink>
          </w:p>
        </w:tc>
        <w:tc>
          <w:tcPr>
            <w:tcW w:w="600" w:type="dxa"/>
            <w:vAlign w:val="bottom"/>
            <w:gridSpan w:val="5"/>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8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13"/>
          </w:tcPr>
          <w:p>
            <w:pPr>
              <w:spacing w:after="0"/>
              <w:rPr>
                <w:rFonts w:ascii="Arial" w:cs="Arial" w:eastAsia="Arial" w:hAnsi="Arial"/>
                <w:sz w:val="18"/>
                <w:szCs w:val="18"/>
                <w:color w:val="0000FF"/>
              </w:rPr>
            </w:pPr>
            <w:hyperlink w:anchor="page148">
              <w:r>
                <w:rPr>
                  <w:rFonts w:ascii="Arial" w:cs="Arial" w:eastAsia="Arial" w:hAnsi="Arial"/>
                  <w:sz w:val="18"/>
                  <w:szCs w:val="18"/>
                  <w:color w:val="0000FF"/>
                </w:rPr>
                <w:t>Certification of Chief Financial Officer Pursuant to Section 302 of the</w:t>
              </w:r>
            </w:hyperlink>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4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148">
              <w:r>
                <w:rPr>
                  <w:rFonts w:ascii="Arial" w:cs="Arial" w:eastAsia="Arial" w:hAnsi="Arial"/>
                  <w:sz w:val="18"/>
                  <w:szCs w:val="18"/>
                  <w:color w:val="0000FF"/>
                </w:rPr>
                <w:t>Sarbanes-Oxley Act of 2002.</w:t>
              </w:r>
            </w:hyperlink>
          </w:p>
        </w:tc>
        <w:tc>
          <w:tcPr>
            <w:tcW w:w="660" w:type="dxa"/>
            <w:vAlign w:val="bottom"/>
            <w:gridSpan w:val="6"/>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8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13"/>
          </w:tcPr>
          <w:p>
            <w:pPr>
              <w:spacing w:after="0"/>
              <w:rPr>
                <w:rFonts w:ascii="Arial" w:cs="Arial" w:eastAsia="Arial" w:hAnsi="Arial"/>
                <w:sz w:val="18"/>
                <w:szCs w:val="18"/>
                <w:color w:val="0000FF"/>
              </w:rPr>
            </w:pPr>
            <w:hyperlink w:anchor="page149">
              <w:r>
                <w:rPr>
                  <w:rFonts w:ascii="Arial" w:cs="Arial" w:eastAsia="Arial" w:hAnsi="Arial"/>
                  <w:sz w:val="18"/>
                  <w:szCs w:val="18"/>
                  <w:color w:val="0000FF"/>
                </w:rPr>
                <w:t>Certification of Chief Executive Officer and Chief Financial Officer</w:t>
              </w:r>
            </w:hyperlink>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149">
              <w:r>
                <w:rPr>
                  <w:rFonts w:ascii="Arial" w:cs="Arial" w:eastAsia="Arial" w:hAnsi="Arial"/>
                  <w:sz w:val="18"/>
                  <w:szCs w:val="18"/>
                  <w:color w:val="0000FF"/>
                </w:rPr>
                <w:t>Pursuant to Section 906 of the Sarbanes-Oxley Act of 2002.</w:t>
              </w:r>
            </w:hyperlink>
          </w:p>
        </w:tc>
        <w:tc>
          <w:tcPr>
            <w:tcW w:w="800" w:type="dxa"/>
            <w:vAlign w:val="bottom"/>
            <w:gridSpan w:val="7"/>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20" w:type="dxa"/>
            <w:vAlign w:val="bottom"/>
            <w:gridSpan w:val="5"/>
            <w:shd w:val="clear" w:color="auto" w:fill="0000FF"/>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13"/>
          </w:tcPr>
          <w:p>
            <w:pPr>
              <w:spacing w:after="0"/>
              <w:rPr>
                <w:sz w:val="20"/>
                <w:szCs w:val="20"/>
                <w:color w:val="auto"/>
              </w:rPr>
            </w:pPr>
            <w:r>
              <w:rPr>
                <w:rFonts w:ascii="Arial" w:cs="Arial" w:eastAsia="Arial" w:hAnsi="Arial"/>
                <w:sz w:val="18"/>
                <w:szCs w:val="18"/>
                <w:color w:val="auto"/>
                <w:w w:val="96"/>
              </w:rPr>
              <w:t>The following financial statements, formatted in Inline Extensible Business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1"/>
        </w:trPr>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700" w:type="dxa"/>
            <w:vAlign w:val="bottom"/>
            <w:gridSpan w:val="13"/>
          </w:tcPr>
          <w:p>
            <w:pPr>
              <w:spacing w:after="0" w:line="191" w:lineRule="exact"/>
              <w:rPr>
                <w:sz w:val="20"/>
                <w:szCs w:val="20"/>
                <w:color w:val="auto"/>
              </w:rPr>
            </w:pPr>
            <w:r>
              <w:rPr>
                <w:rFonts w:ascii="Arial" w:cs="Arial" w:eastAsia="Arial" w:hAnsi="Arial"/>
                <w:sz w:val="18"/>
                <w:szCs w:val="18"/>
                <w:color w:val="auto"/>
                <w:w w:val="93"/>
              </w:rPr>
              <w:t>Reporting Language (XBRL): (i) Condensed Balance Sheets as of March 31,</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00"/>
        <w:spacing w:after="0" w:line="203" w:lineRule="auto"/>
        <w:rPr>
          <w:sz w:val="20"/>
          <w:szCs w:val="20"/>
          <w:color w:val="auto"/>
        </w:rPr>
      </w:pPr>
      <w:r>
        <w:rPr>
          <w:rFonts w:ascii="Arial" w:cs="Arial" w:eastAsia="Arial" w:hAnsi="Arial"/>
          <w:sz w:val="18"/>
          <w:szCs w:val="18"/>
          <w:color w:val="auto"/>
        </w:rPr>
        <w:t>2022 and December 31, 2021, (ii) Condensed Statements of Operations and</w:t>
      </w:r>
    </w:p>
    <w:p>
      <w:pPr>
        <w:ind w:left="900"/>
        <w:spacing w:after="0" w:line="203" w:lineRule="auto"/>
        <w:rPr>
          <w:sz w:val="20"/>
          <w:szCs w:val="20"/>
          <w:color w:val="auto"/>
        </w:rPr>
      </w:pPr>
      <w:r>
        <w:rPr>
          <w:rFonts w:ascii="Arial" w:cs="Arial" w:eastAsia="Arial" w:hAnsi="Arial"/>
          <w:sz w:val="18"/>
          <w:szCs w:val="18"/>
          <w:color w:val="auto"/>
        </w:rPr>
        <w:t>Comprehensive Loss for the three months ended March 31, 2022 and 2021,</w:t>
      </w:r>
    </w:p>
    <w:p>
      <w:pPr>
        <w:spacing w:after="0" w:line="1" w:lineRule="exact"/>
        <w:rPr>
          <w:sz w:val="20"/>
          <w:szCs w:val="20"/>
          <w:color w:val="auto"/>
        </w:rPr>
      </w:pPr>
    </w:p>
    <w:p>
      <w:pPr>
        <w:ind w:left="900" w:right="4760" w:firstLine="3"/>
        <w:spacing w:after="0" w:line="218" w:lineRule="auto"/>
        <w:tabs>
          <w:tab w:leader="none" w:pos="12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Condensed Statements of Cash Flows for the three months ended March 31, 2022 and 2021, and (iv) Notes to Unaudited Condensed Financial Statements.</w:t>
      </w:r>
    </w:p>
    <w:p>
      <w:pPr>
        <w:spacing w:after="0" w:line="1" w:lineRule="exact"/>
        <w:rPr>
          <w:sz w:val="20"/>
          <w:szCs w:val="20"/>
          <w:color w:val="auto"/>
        </w:rPr>
      </w:pPr>
    </w:p>
    <w:p>
      <w:pPr>
        <w:ind w:left="900" w:right="4720" w:hanging="874"/>
        <w:spacing w:after="0" w:line="234"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311" w:lineRule="exact"/>
        <w:rPr>
          <w:rFonts w:ascii="Arial" w:cs="Arial" w:eastAsia="Arial" w:hAnsi="Arial"/>
          <w:sz w:val="18"/>
          <w:szCs w:val="18"/>
          <w:color w:val="auto"/>
        </w:rPr>
      </w:pPr>
    </w:p>
    <w:p>
      <w:pPr>
        <w:ind w:right="160" w:firstLine="8"/>
        <w:spacing w:after="0" w:line="277" w:lineRule="auto"/>
        <w:tabs>
          <w:tab w:leader="none" w:pos="22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has been filed separately with the Securities and Exchange Commission.</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Ardelyx, Inc.</w:t>
      </w:r>
    </w:p>
    <w:p>
      <w:pPr>
        <w:spacing w:after="0" w:line="283" w:lineRule="exact"/>
        <w:rPr>
          <w:sz w:val="20"/>
          <w:szCs w:val="20"/>
          <w:color w:val="auto"/>
        </w:rPr>
      </w:pPr>
    </w:p>
    <w:p>
      <w:pPr>
        <w:ind w:left="20"/>
        <w:spacing w:after="0"/>
        <w:tabs>
          <w:tab w:leader="none" w:pos="5440" w:val="left"/>
          <w:tab w:leader="none" w:pos="594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Felsch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33261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Robert Felsch</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Senior Vice President and Chief Accounting Officer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34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LOAN AND SECURITY AGREEMENT</w:t>
      </w:r>
    </w:p>
    <w:p>
      <w:pPr>
        <w:spacing w:after="0" w:line="148"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8"/>
          <w:szCs w:val="18"/>
          <w:b w:val="1"/>
          <w:bCs w:val="1"/>
          <w:color w:val="auto"/>
        </w:rPr>
        <w:t xml:space="preserve">THIS LOAN AND SECURITY AGREEMENT </w:t>
      </w:r>
      <w:r>
        <w:rPr>
          <w:rFonts w:ascii="Arial" w:cs="Arial" w:eastAsia="Arial" w:hAnsi="Arial"/>
          <w:sz w:val="18"/>
          <w:szCs w:val="18"/>
          <w:color w:val="auto"/>
        </w:rPr>
        <w:t>(as the same may be amended, restated, modified, or supplemented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February 23, 2022 (the “</w:t>
      </w:r>
      <w:r>
        <w:rPr>
          <w:rFonts w:ascii="Arial" w:cs="Arial" w:eastAsia="Arial" w:hAnsi="Arial"/>
          <w:sz w:val="18"/>
          <w:szCs w:val="18"/>
          <w:b w:val="1"/>
          <w:bCs w:val="1"/>
          <w:color w:val="auto"/>
        </w:rPr>
        <w:t>Effective Date</w:t>
      </w:r>
      <w:r>
        <w:rPr>
          <w:rFonts w:ascii="Arial" w:cs="Arial" w:eastAsia="Arial" w:hAnsi="Arial"/>
          <w:sz w:val="18"/>
          <w:szCs w:val="18"/>
          <w:color w:val="auto"/>
        </w:rPr>
        <w:t>”) among SLR Investment Corp., a Maryland corporation with an office located at 500 Park Avenue, 3rd Floor, New York, NY 10022 (“</w:t>
      </w:r>
      <w:r>
        <w:rPr>
          <w:rFonts w:ascii="Arial" w:cs="Arial" w:eastAsia="Arial" w:hAnsi="Arial"/>
          <w:sz w:val="18"/>
          <w:szCs w:val="18"/>
          <w:b w:val="1"/>
          <w:bCs w:val="1"/>
          <w:color w:val="auto"/>
        </w:rPr>
        <w:t>SLR</w:t>
      </w:r>
      <w:r>
        <w:rPr>
          <w:rFonts w:ascii="Arial" w:cs="Arial" w:eastAsia="Arial" w:hAnsi="Arial"/>
          <w:sz w:val="18"/>
          <w:szCs w:val="18"/>
          <w:color w:val="auto"/>
        </w:rPr>
        <w:t>”), as collateral agent (in such capacity, together with its successors and assigns in such capacity, “</w:t>
      </w:r>
      <w:r>
        <w:rPr>
          <w:rFonts w:ascii="Arial" w:cs="Arial" w:eastAsia="Arial" w:hAnsi="Arial"/>
          <w:sz w:val="18"/>
          <w:szCs w:val="18"/>
          <w:b w:val="1"/>
          <w:bCs w:val="1"/>
          <w:color w:val="auto"/>
        </w:rPr>
        <w:t>Collateral Agent</w:t>
      </w:r>
      <w:r>
        <w:rPr>
          <w:rFonts w:ascii="Arial" w:cs="Arial" w:eastAsia="Arial" w:hAnsi="Arial"/>
          <w:sz w:val="18"/>
          <w:szCs w:val="18"/>
          <w:color w:val="auto"/>
        </w:rPr>
        <w:t xml:space="preserve">”), and the lenders listed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hereof or otherwise a party hereto from time to time including SLR (together with any other lenders party hereto, the “</w:t>
      </w:r>
      <w:r>
        <w:rPr>
          <w:rFonts w:ascii="Arial" w:cs="Arial" w:eastAsia="Arial" w:hAnsi="Arial"/>
          <w:sz w:val="18"/>
          <w:szCs w:val="18"/>
          <w:b w:val="1"/>
          <w:bCs w:val="1"/>
          <w:color w:val="auto"/>
        </w:rPr>
        <w:t>Lenders</w:t>
      </w:r>
      <w:r>
        <w:rPr>
          <w:rFonts w:ascii="Arial" w:cs="Arial" w:eastAsia="Arial" w:hAnsi="Arial"/>
          <w:sz w:val="18"/>
          <w:szCs w:val="18"/>
          <w:color w:val="auto"/>
        </w:rPr>
        <w:t>” and each, a “</w:t>
      </w:r>
      <w:r>
        <w:rPr>
          <w:rFonts w:ascii="Arial" w:cs="Arial" w:eastAsia="Arial" w:hAnsi="Arial"/>
          <w:sz w:val="18"/>
          <w:szCs w:val="18"/>
          <w:b w:val="1"/>
          <w:bCs w:val="1"/>
          <w:color w:val="auto"/>
        </w:rPr>
        <w:t>Lender</w:t>
      </w:r>
      <w:r>
        <w:rPr>
          <w:rFonts w:ascii="Arial" w:cs="Arial" w:eastAsia="Arial" w:hAnsi="Arial"/>
          <w:sz w:val="18"/>
          <w:szCs w:val="18"/>
          <w:color w:val="auto"/>
        </w:rPr>
        <w:t>”), and ARDELYX, INC., a Delaware corporation with offices located at 400 Fifth Avenue, Suite 210, Waltham, MA 02451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the Lenders shall lend to Borrower and Borrower shall repay the Lenders. The parties agree as follows:</w:t>
      </w:r>
    </w:p>
    <w:p>
      <w:pPr>
        <w:spacing w:after="0" w:line="16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tab/>
        <w:t>DEFINITIONS AND OTHER TERMS</w:t>
      </w:r>
    </w:p>
    <w:p>
      <w:pPr>
        <w:spacing w:after="0" w:line="162" w:lineRule="exact"/>
        <w:rPr>
          <w:sz w:val="20"/>
          <w:szCs w:val="20"/>
          <w:color w:val="auto"/>
        </w:rPr>
      </w:pPr>
    </w:p>
    <w:p>
      <w:pPr>
        <w:jc w:val="both"/>
        <w:ind w:right="60" w:firstLine="648"/>
        <w:spacing w:after="0" w:line="214" w:lineRule="auto"/>
        <w:rPr>
          <w:sz w:val="20"/>
          <w:szCs w:val="20"/>
          <w:color w:val="auto"/>
        </w:rPr>
      </w:pPr>
      <w:r>
        <w:rPr>
          <w:rFonts w:ascii="Arial" w:cs="Arial" w:eastAsia="Arial" w:hAnsi="Arial"/>
          <w:sz w:val="20"/>
          <w:szCs w:val="20"/>
          <w:b w:val="1"/>
          <w:bCs w:val="1"/>
          <w:color w:val="auto"/>
        </w:rPr>
        <w:t xml:space="preserve">1.1 Terms. </w:t>
      </w:r>
      <w:r>
        <w:rPr>
          <w:rFonts w:ascii="Arial" w:cs="Arial" w:eastAsia="Arial" w:hAnsi="Arial"/>
          <w:sz w:val="20"/>
          <w:szCs w:val="20"/>
          <w:color w:val="auto"/>
        </w:rPr>
        <w:t>Capitalized terms used herein shall have the meanings set forth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1.4</w:t>
      </w:r>
      <w:r>
        <w:rPr>
          <w:rFonts w:ascii="Arial" w:cs="Arial" w:eastAsia="Arial" w:hAnsi="Arial"/>
          <w:sz w:val="20"/>
          <w:szCs w:val="20"/>
          <w:b w:val="1"/>
          <w:bCs w:val="1"/>
          <w:color w:val="auto"/>
        </w:rPr>
        <w:t xml:space="preserve"> </w:t>
      </w:r>
      <w:r>
        <w:rPr>
          <w:rFonts w:ascii="Arial" w:cs="Arial" w:eastAsia="Arial" w:hAnsi="Arial"/>
          <w:sz w:val="20"/>
          <w:szCs w:val="20"/>
          <w:color w:val="auto"/>
        </w:rPr>
        <w:t>to the extent defined therein. All other</w:t>
      </w:r>
      <w:r>
        <w:rPr>
          <w:rFonts w:ascii="Arial" w:cs="Arial" w:eastAsia="Arial" w:hAnsi="Arial"/>
          <w:sz w:val="20"/>
          <w:szCs w:val="20"/>
          <w:b w:val="1"/>
          <w:bCs w:val="1"/>
          <w:color w:val="auto"/>
        </w:rPr>
        <w:t xml:space="preserve"> </w:t>
      </w:r>
      <w:r>
        <w:rPr>
          <w:rFonts w:ascii="Arial" w:cs="Arial" w:eastAsia="Arial" w:hAnsi="Arial"/>
          <w:sz w:val="20"/>
          <w:szCs w:val="20"/>
          <w:color w:val="auto"/>
        </w:rPr>
        <w:t>capitalized terms used but not defined herein shall have the meaning given to such terms in the Code. Any accounting term used but not defined herein shall be construed in accordance with GAAP and all calculations shall be made in accordance with GAAP. The term “financial statements” shall include the accompanying notes and schedules.</w:t>
      </w:r>
    </w:p>
    <w:p>
      <w:pPr>
        <w:spacing w:after="0" w:line="125" w:lineRule="exact"/>
        <w:rPr>
          <w:sz w:val="20"/>
          <w:szCs w:val="20"/>
          <w:color w:val="auto"/>
        </w:rPr>
      </w:pPr>
    </w:p>
    <w:p>
      <w:pPr>
        <w:ind w:right="840" w:firstLine="648"/>
        <w:spacing w:after="0" w:line="232" w:lineRule="auto"/>
        <w:rPr>
          <w:sz w:val="20"/>
          <w:szCs w:val="20"/>
          <w:color w:val="auto"/>
        </w:rPr>
      </w:pPr>
      <w:r>
        <w:rPr>
          <w:rFonts w:ascii="Arial" w:cs="Arial" w:eastAsia="Arial" w:hAnsi="Arial"/>
          <w:sz w:val="20"/>
          <w:szCs w:val="20"/>
          <w:b w:val="1"/>
          <w:bCs w:val="1"/>
          <w:color w:val="auto"/>
        </w:rPr>
        <w:t xml:space="preserve">1.2 Section References. </w:t>
      </w:r>
      <w:r>
        <w:rPr>
          <w:rFonts w:ascii="Arial" w:cs="Arial" w:eastAsia="Arial" w:hAnsi="Arial"/>
          <w:sz w:val="20"/>
          <w:szCs w:val="20"/>
          <w:color w:val="auto"/>
        </w:rPr>
        <w:t>Any section, subsection, schedule or exhibit references are to this Agreement unless otherwise</w:t>
      </w:r>
      <w:r>
        <w:rPr>
          <w:rFonts w:ascii="Arial" w:cs="Arial" w:eastAsia="Arial" w:hAnsi="Arial"/>
          <w:sz w:val="20"/>
          <w:szCs w:val="20"/>
          <w:b w:val="1"/>
          <w:bCs w:val="1"/>
          <w:color w:val="auto"/>
        </w:rPr>
        <w:t xml:space="preserve"> </w:t>
      </w:r>
      <w:r>
        <w:rPr>
          <w:rFonts w:ascii="Arial" w:cs="Arial" w:eastAsia="Arial" w:hAnsi="Arial"/>
          <w:sz w:val="20"/>
          <w:szCs w:val="20"/>
          <w:color w:val="auto"/>
        </w:rPr>
        <w:t>specified.</w:t>
      </w:r>
    </w:p>
    <w:p>
      <w:pPr>
        <w:spacing w:after="0" w:line="136" w:lineRule="exact"/>
        <w:rPr>
          <w:sz w:val="20"/>
          <w:szCs w:val="20"/>
          <w:color w:val="auto"/>
        </w:rPr>
      </w:pPr>
    </w:p>
    <w:p>
      <w:pPr>
        <w:jc w:val="both"/>
        <w:ind w:right="200" w:firstLine="648"/>
        <w:spacing w:after="0" w:line="222" w:lineRule="auto"/>
        <w:rPr>
          <w:sz w:val="20"/>
          <w:szCs w:val="20"/>
          <w:color w:val="auto"/>
        </w:rPr>
      </w:pPr>
      <w:r>
        <w:rPr>
          <w:rFonts w:ascii="Arial" w:cs="Arial" w:eastAsia="Arial" w:hAnsi="Arial"/>
          <w:sz w:val="19"/>
          <w:szCs w:val="19"/>
          <w:b w:val="1"/>
          <w:bCs w:val="1"/>
          <w:color w:val="auto"/>
        </w:rPr>
        <w:t xml:space="preserve">1.3 Divisions. </w:t>
      </w:r>
      <w:r>
        <w:rPr>
          <w:rFonts w:ascii="Arial" w:cs="Arial" w:eastAsia="Arial" w:hAnsi="Arial"/>
          <w:sz w:val="19"/>
          <w:szCs w:val="19"/>
          <w:color w:val="auto"/>
        </w:rPr>
        <w:t>For all purposes under the Loan Documents, in connection with any division or plan of division under Delaware</w:t>
      </w:r>
      <w:r>
        <w:rPr>
          <w:rFonts w:ascii="Arial" w:cs="Arial" w:eastAsia="Arial" w:hAnsi="Arial"/>
          <w:sz w:val="19"/>
          <w:szCs w:val="19"/>
          <w:b w:val="1"/>
          <w:bCs w:val="1"/>
          <w:color w:val="auto"/>
        </w:rPr>
        <w:t xml:space="preserve"> </w:t>
      </w:r>
      <w:r>
        <w:rPr>
          <w:rFonts w:ascii="Arial" w:cs="Arial" w:eastAsia="Arial" w:hAnsi="Arial"/>
          <w:sz w:val="19"/>
          <w:szCs w:val="19"/>
          <w:color w:val="auto"/>
        </w:rPr>
        <w:t>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3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6"/>
          <w:szCs w:val="16"/>
          <w:b w:val="1"/>
          <w:bCs w:val="1"/>
          <w:color w:val="auto"/>
        </w:rPr>
        <w:t xml:space="preserve">Definitions. </w:t>
      </w:r>
      <w:r>
        <w:rPr>
          <w:rFonts w:ascii="Arial" w:cs="Arial" w:eastAsia="Arial" w:hAnsi="Arial"/>
          <w:sz w:val="16"/>
          <w:szCs w:val="16"/>
          <w:color w:val="auto"/>
        </w:rPr>
        <w:t>The following terms are defined in the Sections or subsections referenced opposite such terms:</w:t>
      </w:r>
    </w:p>
    <w:p>
      <w:pPr>
        <w:sectPr>
          <w:pgSz w:w="11900" w:h="16838" w:orient="portrait"/>
          <w:cols w:equalWidth="0" w:num="1">
            <w:col w:w="11240"/>
          </w:cols>
          <w:pgMar w:left="320" w:top="126" w:right="339" w:bottom="1440" w:gutter="0" w:footer="0" w:header="0"/>
        </w:sectPr>
      </w:pPr>
    </w:p>
    <w:p>
      <w:pPr>
        <w:spacing w:after="0" w:line="256"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Preamble</w:t>
      </w:r>
    </w:p>
    <w:p>
      <w:pPr>
        <w:spacing w:after="0" w:line="66" w:lineRule="exact"/>
        <w:rPr>
          <w:sz w:val="20"/>
          <w:szCs w:val="20"/>
          <w:color w:val="auto"/>
        </w:rPr>
      </w:pPr>
    </w:p>
    <w:p>
      <w:pPr>
        <w:sectPr>
          <w:pgSz w:w="11900" w:h="16838" w:orient="portrait"/>
          <w:cols w:equalWidth="0" w:num="2">
            <w:col w:w="4860" w:space="720"/>
            <w:col w:w="5660"/>
          </w:cols>
          <w:pgMar w:left="320" w:top="126" w:right="339" w:bottom="1440" w:gutter="0" w:footer="0" w:header="0"/>
          <w:type w:val="continuous"/>
        </w:sect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Lender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12.1</w:t>
      </w:r>
    </w:p>
    <w:p>
      <w:pPr>
        <w:spacing w:after="0" w:line="58" w:lineRule="exact"/>
        <w:rPr>
          <w:sz w:val="20"/>
          <w:szCs w:val="20"/>
          <w:color w:val="auto"/>
        </w:rPr>
      </w:pPr>
    </w:p>
    <w:p>
      <w:pPr>
        <w:sectPr>
          <w:pgSz w:w="11900" w:h="16838" w:orient="portrait"/>
          <w:cols w:equalWidth="0" w:num="2">
            <w:col w:w="4860" w:space="720"/>
            <w:col w:w="5660"/>
          </w:cols>
          <w:pgMar w:left="320" w:top="126" w:right="339" w:bottom="1440" w:gutter="0" w:footer="0" w:header="0"/>
          <w:type w:val="continuous"/>
        </w:sectPr>
      </w:pPr>
    </w:p>
    <w:p>
      <w:pPr>
        <w:ind w:left="13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Borrower</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Preamble</w:t>
      </w:r>
    </w:p>
    <w:p>
      <w:pPr>
        <w:spacing w:after="0" w:line="59" w:lineRule="exact"/>
        <w:rPr>
          <w:sz w:val="20"/>
          <w:szCs w:val="20"/>
          <w:color w:val="auto"/>
        </w:rPr>
      </w:pPr>
    </w:p>
    <w:p>
      <w:pPr>
        <w:sectPr>
          <w:pgSz w:w="11900" w:h="16838" w:orient="portrait"/>
          <w:cols w:equalWidth="0" w:num="2">
            <w:col w:w="4860" w:space="720"/>
            <w:col w:w="5660"/>
          </w:cols>
          <w:pgMar w:left="320" w:top="126" w:right="339" w:bottom="1440" w:gutter="0" w:footer="0" w:header="0"/>
          <w:type w:val="continuous"/>
        </w:sectPr>
      </w:pPr>
    </w:p>
    <w:p>
      <w:pPr>
        <w:ind w:left="13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Claims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12.2</w:t>
      </w:r>
    </w:p>
    <w:p>
      <w:pPr>
        <w:spacing w:after="0" w:line="59" w:lineRule="exact"/>
        <w:rPr>
          <w:sz w:val="20"/>
          <w:szCs w:val="20"/>
          <w:color w:val="auto"/>
        </w:rPr>
      </w:pPr>
    </w:p>
    <w:p>
      <w:pPr>
        <w:sectPr>
          <w:pgSz w:w="11900" w:h="16838" w:orient="portrait"/>
          <w:cols w:equalWidth="0" w:num="2">
            <w:col w:w="4860" w:space="720"/>
            <w:col w:w="5660"/>
          </w:cols>
          <w:pgMar w:left="320" w:top="126" w:right="339" w:bottom="1440" w:gutter="0" w:footer="0" w:header="0"/>
          <w:type w:val="continuous"/>
        </w:sect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Preamble</w:t>
      </w:r>
    </w:p>
    <w:p>
      <w:pPr>
        <w:spacing w:after="0" w:line="58" w:lineRule="exact"/>
        <w:rPr>
          <w:sz w:val="20"/>
          <w:szCs w:val="20"/>
          <w:color w:val="auto"/>
        </w:rPr>
      </w:pPr>
    </w:p>
    <w:p>
      <w:pPr>
        <w:sectPr>
          <w:pgSz w:w="11900" w:h="16838" w:orient="portrait"/>
          <w:cols w:equalWidth="0" w:num="2">
            <w:col w:w="4860" w:space="720"/>
            <w:col w:w="5660"/>
          </w:cols>
          <w:pgMar w:left="320" w:top="126" w:right="339" w:bottom="1440" w:gutter="0" w:footer="0" w:header="0"/>
          <w:type w:val="continuous"/>
        </w:sect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 Report”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Exhibit B, Section 5</w:t>
      </w:r>
    </w:p>
    <w:p>
      <w:pPr>
        <w:spacing w:after="0" w:line="36" w:lineRule="exact"/>
        <w:rPr>
          <w:sz w:val="20"/>
          <w:szCs w:val="20"/>
          <w:color w:val="auto"/>
        </w:rPr>
      </w:pPr>
    </w:p>
    <w:p>
      <w:pPr>
        <w:sectPr>
          <w:pgSz w:w="11900" w:h="16838" w:orient="portrait"/>
          <w:cols w:equalWidth="0" w:num="2">
            <w:col w:w="4860" w:space="720"/>
            <w:col w:w="5660"/>
          </w:cols>
          <w:pgMar w:left="320" w:top="126" w:right="339" w:bottom="1440" w:gutter="0" w:footer="0" w:header="0"/>
          <w:type w:val="continuous"/>
        </w:sect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10</w:t>
      </w:r>
    </w:p>
    <w:p>
      <w:pPr>
        <w:spacing w:after="0" w:line="58" w:lineRule="exact"/>
        <w:rPr>
          <w:sz w:val="20"/>
          <w:szCs w:val="20"/>
          <w:color w:val="auto"/>
        </w:rPr>
      </w:pPr>
    </w:p>
    <w:p>
      <w:pPr>
        <w:sectPr>
          <w:pgSz w:w="11900" w:h="16838" w:orient="portrait"/>
          <w:cols w:equalWidth="0" w:num="2">
            <w:col w:w="4860" w:space="720"/>
            <w:col w:w="5660"/>
          </w:cols>
          <w:pgMar w:left="320" w:top="126" w:right="339" w:bottom="1440" w:gutter="0" w:footer="0" w:header="0"/>
          <w:type w:val="continuous"/>
        </w:sect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Connection Income Taxes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Exhibit C, Section 1</w:t>
      </w:r>
    </w:p>
    <w:p>
      <w:pPr>
        <w:spacing w:after="0" w:line="36" w:lineRule="exact"/>
        <w:rPr>
          <w:sz w:val="20"/>
          <w:szCs w:val="20"/>
          <w:color w:val="auto"/>
        </w:rPr>
      </w:pPr>
    </w:p>
    <w:p>
      <w:pPr>
        <w:sectPr>
          <w:pgSz w:w="11900" w:h="16838" w:orient="portrait"/>
          <w:cols w:equalWidth="0" w:num="2">
            <w:col w:w="4860" w:space="720"/>
            <w:col w:w="5660"/>
          </w:cols>
          <w:pgMar w:left="320" w:top="126" w:right="339" w:bottom="1440" w:gutter="0" w:footer="0" w:header="0"/>
          <w:type w:val="continuous"/>
        </w:sectPr>
      </w:pPr>
    </w:p>
    <w:p>
      <w:pPr>
        <w:ind w:left="13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Default Rate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2.3(b)</w:t>
      </w:r>
    </w:p>
    <w:p>
      <w:pPr>
        <w:spacing w:after="0" w:line="59" w:lineRule="exact"/>
        <w:rPr>
          <w:sz w:val="20"/>
          <w:szCs w:val="20"/>
          <w:color w:val="auto"/>
        </w:rPr>
      </w:pPr>
    </w:p>
    <w:p>
      <w:pPr>
        <w:sectPr>
          <w:pgSz w:w="11900" w:h="16838" w:orient="portrait"/>
          <w:cols w:equalWidth="0" w:num="2">
            <w:col w:w="4860" w:space="720"/>
            <w:col w:w="5660"/>
          </w:cols>
          <w:pgMar w:left="320" w:top="126" w:right="339" w:bottom="1440" w:gutter="0" w:footer="0" w:header="0"/>
          <w:type w:val="continuous"/>
        </w:sect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Preamble</w:t>
      </w:r>
    </w:p>
    <w:p>
      <w:pPr>
        <w:spacing w:after="0" w:line="58" w:lineRule="exact"/>
        <w:rPr>
          <w:sz w:val="20"/>
          <w:szCs w:val="20"/>
          <w:color w:val="auto"/>
        </w:rPr>
      </w:pPr>
    </w:p>
    <w:p>
      <w:pPr>
        <w:sectPr>
          <w:pgSz w:w="11900" w:h="16838" w:orient="portrait"/>
          <w:cols w:equalWidth="0" w:num="2">
            <w:col w:w="4860" w:space="720"/>
            <w:col w:w="5660"/>
          </w:cols>
          <w:pgMar w:left="320" w:top="126" w:right="339" w:bottom="1440" w:gutter="0" w:footer="0" w:header="0"/>
          <w:type w:val="continuous"/>
        </w:sect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8</w:t>
      </w:r>
    </w:p>
    <w:p>
      <w:pPr>
        <w:spacing w:after="0" w:line="58" w:lineRule="exact"/>
        <w:rPr>
          <w:sz w:val="20"/>
          <w:szCs w:val="20"/>
          <w:color w:val="auto"/>
        </w:rPr>
      </w:pPr>
    </w:p>
    <w:p>
      <w:pPr>
        <w:sectPr>
          <w:pgSz w:w="11900" w:h="16838" w:orient="portrait"/>
          <w:cols w:equalWidth="0" w:num="2">
            <w:col w:w="4860" w:space="720"/>
            <w:col w:w="5660"/>
          </w:cols>
          <w:pgMar w:left="320" w:top="126" w:right="339" w:bottom="1440" w:gutter="0" w:footer="0" w:header="0"/>
          <w:type w:val="continuous"/>
        </w:sect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Taxes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Exhibit C, Section 1</w:t>
      </w:r>
    </w:p>
    <w:p>
      <w:pPr>
        <w:spacing w:after="0" w:line="36" w:lineRule="exact"/>
        <w:rPr>
          <w:sz w:val="20"/>
          <w:szCs w:val="20"/>
          <w:color w:val="auto"/>
        </w:rPr>
      </w:pPr>
    </w:p>
    <w:p>
      <w:pPr>
        <w:sectPr>
          <w:pgSz w:w="11900" w:h="16838" w:orient="portrait"/>
          <w:cols w:equalWidth="0" w:num="2">
            <w:col w:w="4860" w:space="720"/>
            <w:col w:w="5660"/>
          </w:cols>
          <w:pgMar w:left="320" w:top="126" w:right="339" w:bottom="1440" w:gutter="0" w:footer="0" w:header="0"/>
          <w:type w:val="continuous"/>
        </w:sect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FATCA</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Exhibit C, Section 1</w:t>
      </w:r>
    </w:p>
    <w:p>
      <w:pPr>
        <w:spacing w:after="0" w:line="35" w:lineRule="exact"/>
        <w:rPr>
          <w:sz w:val="20"/>
          <w:szCs w:val="20"/>
          <w:color w:val="auto"/>
        </w:rPr>
      </w:pPr>
    </w:p>
    <w:p>
      <w:pPr>
        <w:sectPr>
          <w:pgSz w:w="11900" w:h="16838" w:orient="portrait"/>
          <w:cols w:equalWidth="0" w:num="2">
            <w:col w:w="4860" w:space="720"/>
            <w:col w:w="5660"/>
          </w:cols>
          <w:pgMar w:left="320" w:top="126" w:right="339" w:bottom="1440" w:gutter="0" w:footer="0" w:header="0"/>
          <w:type w:val="continuous"/>
        </w:sect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Faith Deposit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2.4(d)</w:t>
      </w:r>
    </w:p>
    <w:p>
      <w:pPr>
        <w:spacing w:after="0" w:line="58" w:lineRule="exact"/>
        <w:rPr>
          <w:sz w:val="20"/>
          <w:szCs w:val="20"/>
          <w:color w:val="auto"/>
        </w:rPr>
      </w:pPr>
    </w:p>
    <w:p>
      <w:pPr>
        <w:sectPr>
          <w:pgSz w:w="11900" w:h="16838" w:orient="portrait"/>
          <w:cols w:equalWidth="0" w:num="2">
            <w:col w:w="4860" w:space="720"/>
            <w:col w:w="5660"/>
          </w:cols>
          <w:pgMar w:left="320" w:top="126" w:right="339" w:bottom="1440" w:gutter="0" w:footer="0" w:header="0"/>
          <w:type w:val="continuous"/>
        </w:sect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12.2</w:t>
      </w:r>
    </w:p>
    <w:p>
      <w:pPr>
        <w:spacing w:after="0" w:line="58" w:lineRule="exact"/>
        <w:rPr>
          <w:sz w:val="20"/>
          <w:szCs w:val="20"/>
          <w:color w:val="auto"/>
        </w:rPr>
      </w:pPr>
    </w:p>
    <w:p>
      <w:pPr>
        <w:sectPr>
          <w:pgSz w:w="11900" w:h="16838" w:orient="portrait"/>
          <w:cols w:equalWidth="0" w:num="2">
            <w:col w:w="4860" w:space="720"/>
            <w:col w:w="5660"/>
          </w:cols>
          <w:pgMar w:left="320" w:top="126" w:right="339" w:bottom="1440" w:gutter="0" w:footer="0" w:header="0"/>
          <w:type w:val="continuous"/>
        </w:sect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Exhibit C, Section 1</w:t>
      </w:r>
    </w:p>
    <w:p>
      <w:pPr>
        <w:spacing w:after="0" w:line="36" w:lineRule="exact"/>
        <w:rPr>
          <w:sz w:val="20"/>
          <w:szCs w:val="20"/>
          <w:color w:val="auto"/>
        </w:rPr>
      </w:pPr>
    </w:p>
    <w:p>
      <w:pPr>
        <w:sectPr>
          <w:pgSz w:w="11900" w:h="16838" w:orient="portrait"/>
          <w:cols w:equalWidth="0" w:num="2">
            <w:col w:w="4860" w:space="720"/>
            <w:col w:w="5660"/>
          </w:cols>
          <w:pgMar w:left="320" w:top="126" w:right="339" w:bottom="1440" w:gutter="0" w:footer="0" w:header="0"/>
          <w:type w:val="continuous"/>
        </w:sectPr>
      </w:pPr>
    </w:p>
    <w:p>
      <w:pPr>
        <w:ind w:left="13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Lender</w:t>
      </w:r>
      <w:r>
        <w:rPr>
          <w:rFonts w:ascii="Arial" w:cs="Arial" w:eastAsia="Arial" w:hAnsi="Arial"/>
          <w:sz w:val="19"/>
          <w:szCs w:val="19"/>
          <w:color w:val="auto"/>
        </w:rPr>
        <w:t>” and “</w:t>
      </w:r>
      <w:r>
        <w:rPr>
          <w:rFonts w:ascii="Arial" w:cs="Arial" w:eastAsia="Arial" w:hAnsi="Arial"/>
          <w:sz w:val="19"/>
          <w:szCs w:val="19"/>
          <w:b w:val="1"/>
          <w:bCs w:val="1"/>
          <w:color w:val="auto"/>
        </w:rPr>
        <w:t>Lenders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Preamble</w:t>
      </w:r>
    </w:p>
    <w:p>
      <w:pPr>
        <w:spacing w:after="0" w:line="59" w:lineRule="exact"/>
        <w:rPr>
          <w:sz w:val="20"/>
          <w:szCs w:val="20"/>
          <w:color w:val="auto"/>
        </w:rPr>
      </w:pPr>
    </w:p>
    <w:p>
      <w:pPr>
        <w:sectPr>
          <w:pgSz w:w="11900" w:h="16838" w:orient="portrait"/>
          <w:cols w:equalWidth="0" w:num="2">
            <w:col w:w="4860" w:space="720"/>
            <w:col w:w="5660"/>
          </w:cols>
          <w:pgMar w:left="320" w:top="126" w:right="339" w:bottom="1440" w:gutter="0" w:footer="0" w:header="0"/>
          <w:type w:val="continuous"/>
        </w:sectPr>
      </w:pPr>
    </w:p>
    <w:p>
      <w:pPr>
        <w:ind w:left="13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Lender Transfer</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12.1</w:t>
      </w:r>
    </w:p>
    <w:p>
      <w:pPr>
        <w:sectPr>
          <w:pgSz w:w="11900" w:h="16838" w:orient="portrait"/>
          <w:cols w:equalWidth="0" w:num="2">
            <w:col w:w="4860" w:space="720"/>
            <w:col w:w="5660"/>
          </w:cols>
          <w:pgMar w:left="320" w:top="126" w:right="339" w:bottom="1440" w:gutter="0" w:footer="0" w:header="0"/>
          <w:type w:val="continuous"/>
        </w:sectPr>
      </w:pPr>
    </w:p>
    <w:bookmarkStart w:id="72" w:name="page73"/>
    <w:bookmarkEnd w:id="72"/>
    <w:p>
      <w:pPr>
        <w:spacing w:after="0" w:line="1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Subsidiary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6.10</w:t>
      </w:r>
    </w:p>
    <w:p>
      <w:pPr>
        <w:spacing w:after="0" w:line="65" w:lineRule="exact"/>
        <w:rPr>
          <w:sz w:val="20"/>
          <w:szCs w:val="20"/>
          <w:color w:val="auto"/>
        </w:rPr>
      </w:pPr>
    </w:p>
    <w:p>
      <w:pPr>
        <w:sectPr>
          <w:pgSz w:w="11900" w:h="16838" w:orient="portrait"/>
          <w:cols w:equalWidth="0" w:num="2">
            <w:col w:w="4860" w:space="720"/>
            <w:col w:w="5660"/>
          </w:cols>
          <w:pgMar w:left="320" w:top="1440" w:right="339" w:bottom="1440" w:gutter="0" w:footer="0" w:header="0"/>
        </w:sect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Non-Funding Lender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Exhibit B, Section 10(c)(ii)</w:t>
      </w:r>
    </w:p>
    <w:p>
      <w:pPr>
        <w:spacing w:after="0" w:line="36" w:lineRule="exact"/>
        <w:rPr>
          <w:sz w:val="20"/>
          <w:szCs w:val="20"/>
          <w:color w:val="auto"/>
        </w:rPr>
      </w:pPr>
    </w:p>
    <w:p>
      <w:pPr>
        <w:sectPr>
          <w:pgSz w:w="11900" w:h="16838" w:orient="portrait"/>
          <w:cols w:equalWidth="0" w:num="2">
            <w:col w:w="4860" w:space="720"/>
            <w:col w:w="5660"/>
          </w:cols>
          <w:pgMar w:left="320" w:top="1440" w:right="339" w:bottom="1440" w:gutter="0" w:footer="0" w:header="0"/>
          <w:type w:val="continuous"/>
        </w:sect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Connection Taxes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Exhibit C, Section 1</w:t>
      </w:r>
    </w:p>
    <w:p>
      <w:pPr>
        <w:spacing w:after="0" w:line="36" w:lineRule="exact"/>
        <w:rPr>
          <w:sz w:val="20"/>
          <w:szCs w:val="20"/>
          <w:color w:val="auto"/>
        </w:rPr>
      </w:pPr>
    </w:p>
    <w:p>
      <w:pPr>
        <w:sectPr>
          <w:pgSz w:w="11900" w:h="16838" w:orient="portrait"/>
          <w:cols w:equalWidth="0" w:num="2">
            <w:col w:w="4860" w:space="720"/>
            <w:col w:w="5660"/>
          </w:cols>
          <w:pgMar w:left="320" w:top="1440" w:right="339" w:bottom="1440" w:gutter="0" w:footer="0" w:header="0"/>
          <w:type w:val="continuous"/>
        </w:sectPr>
      </w:pPr>
    </w:p>
    <w:p>
      <w:pPr>
        <w:ind w:left="13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Lender</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Exhibit B, Section 10(c)(ii)</w:t>
      </w:r>
    </w:p>
    <w:p>
      <w:pPr>
        <w:spacing w:after="0" w:line="36" w:lineRule="exact"/>
        <w:rPr>
          <w:sz w:val="20"/>
          <w:szCs w:val="20"/>
          <w:color w:val="auto"/>
        </w:rPr>
      </w:pPr>
    </w:p>
    <w:p>
      <w:pPr>
        <w:sectPr>
          <w:pgSz w:w="11900" w:h="16838" w:orient="portrait"/>
          <w:cols w:equalWidth="0" w:num="2">
            <w:col w:w="4860" w:space="720"/>
            <w:col w:w="5660"/>
          </w:cols>
          <w:pgMar w:left="320" w:top="1440" w:right="339" w:bottom="1440" w:gutter="0" w:footer="0" w:header="0"/>
          <w:type w:val="continuous"/>
        </w:sect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Exhibit C, Section 1</w:t>
      </w:r>
    </w:p>
    <w:p>
      <w:pPr>
        <w:spacing w:after="0" w:line="36" w:lineRule="exact"/>
        <w:rPr>
          <w:sz w:val="20"/>
          <w:szCs w:val="20"/>
          <w:color w:val="auto"/>
        </w:rPr>
      </w:pPr>
    </w:p>
    <w:p>
      <w:pPr>
        <w:sectPr>
          <w:pgSz w:w="11900" w:h="16838" w:orient="portrait"/>
          <w:cols w:equalWidth="0" w:num="2">
            <w:col w:w="4860" w:space="720"/>
            <w:col w:w="5660"/>
          </w:cols>
          <w:pgMar w:left="320" w:top="1440" w:right="339" w:bottom="1440" w:gutter="0" w:footer="0" w:header="0"/>
          <w:type w:val="continuous"/>
        </w:sect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Register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12.1</w:t>
      </w:r>
    </w:p>
    <w:p>
      <w:pPr>
        <w:spacing w:after="0" w:line="58" w:lineRule="exact"/>
        <w:rPr>
          <w:sz w:val="20"/>
          <w:szCs w:val="20"/>
          <w:color w:val="auto"/>
        </w:rPr>
      </w:pPr>
    </w:p>
    <w:p>
      <w:pPr>
        <w:sectPr>
          <w:pgSz w:w="11900" w:h="16838" w:orient="portrait"/>
          <w:cols w:equalWidth="0" w:num="2">
            <w:col w:w="4860" w:space="720"/>
            <w:col w:w="5660"/>
          </w:cols>
          <w:pgMar w:left="320" w:top="1440" w:right="339" w:bottom="1440" w:gutter="0" w:footer="0" w:header="0"/>
          <w:type w:val="continuous"/>
        </w:sect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and “</w:t>
      </w:r>
      <w:r>
        <w:rPr>
          <w:rFonts w:ascii="Arial" w:cs="Arial" w:eastAsia="Arial" w:hAnsi="Arial"/>
          <w:sz w:val="18"/>
          <w:szCs w:val="18"/>
          <w:b w:val="1"/>
          <w:bCs w:val="1"/>
          <w:color w:val="auto"/>
        </w:rPr>
        <w:t>Perfection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5.1</w:t>
      </w:r>
    </w:p>
    <w:p>
      <w:pPr>
        <w:spacing w:after="0" w:line="40" w:lineRule="exact"/>
        <w:rPr>
          <w:sz w:val="20"/>
          <w:szCs w:val="20"/>
          <w:color w:val="auto"/>
        </w:rPr>
      </w:pPr>
    </w:p>
    <w:p>
      <w:pPr>
        <w:sectPr>
          <w:pgSz w:w="11900" w:h="16838" w:orient="portrait"/>
          <w:cols w:equalWidth="0" w:num="2">
            <w:col w:w="4860" w:space="720"/>
            <w:col w:w="5660"/>
          </w:cols>
          <w:pgMar w:left="320" w:top="1440" w:right="339" w:bottom="1440" w:gutter="0" w:footer="0" w:header="0"/>
          <w:type w:val="continuous"/>
        </w:sectPr>
      </w:pPr>
    </w:p>
    <w:p>
      <w:pPr>
        <w:ind w:left="1380"/>
        <w:spacing w:after="0"/>
        <w:rPr>
          <w:sz w:val="20"/>
          <w:szCs w:val="20"/>
          <w:color w:val="auto"/>
        </w:rPr>
      </w:pPr>
      <w:r>
        <w:rPr>
          <w:rFonts w:ascii="Arial" w:cs="Arial" w:eastAsia="Arial" w:hAnsi="Arial"/>
          <w:sz w:val="18"/>
          <w:szCs w:val="18"/>
          <w:b w:val="1"/>
          <w:bCs w:val="1"/>
          <w:color w:val="auto"/>
        </w:rPr>
        <w:t>Certificates</w:t>
      </w:r>
      <w:r>
        <w:rPr>
          <w:rFonts w:ascii="Arial" w:cs="Arial" w:eastAsia="Arial" w:hAnsi="Arial"/>
          <w:sz w:val="18"/>
          <w:szCs w:val="18"/>
          <w:color w:val="auto"/>
        </w:rPr>
        <w:t>”</w:t>
      </w:r>
    </w:p>
    <w:p>
      <w:pPr>
        <w:sectPr>
          <w:pgSz w:w="11900" w:h="16838" w:orient="portrait"/>
          <w:cols w:equalWidth="0" w:num="1">
            <w:col w:w="11240"/>
          </w:cols>
          <w:pgMar w:left="320" w:top="1440" w:right="339" w:bottom="1440" w:gutter="0" w:footer="0" w:header="0"/>
          <w:type w:val="continuous"/>
        </w:sect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Exhibit C, Section 1</w:t>
      </w:r>
    </w:p>
    <w:p>
      <w:pPr>
        <w:spacing w:after="0" w:line="36" w:lineRule="exact"/>
        <w:rPr>
          <w:sz w:val="20"/>
          <w:szCs w:val="20"/>
          <w:color w:val="auto"/>
        </w:rPr>
      </w:pPr>
    </w:p>
    <w:p>
      <w:pPr>
        <w:sectPr>
          <w:pgSz w:w="11900" w:h="16838" w:orient="portrait"/>
          <w:cols w:equalWidth="0" w:num="2">
            <w:col w:w="4860" w:space="720"/>
            <w:col w:w="5660"/>
          </w:cols>
          <w:pgMar w:left="320" w:top="1440" w:right="339" w:bottom="1440" w:gutter="0" w:footer="0" w:header="0"/>
          <w:type w:val="continuous"/>
        </w:sect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12.1</w:t>
      </w:r>
    </w:p>
    <w:p>
      <w:pPr>
        <w:spacing w:after="0" w:line="58" w:lineRule="exact"/>
        <w:rPr>
          <w:sz w:val="20"/>
          <w:szCs w:val="20"/>
          <w:color w:val="auto"/>
        </w:rPr>
      </w:pPr>
    </w:p>
    <w:p>
      <w:pPr>
        <w:sectPr>
          <w:pgSz w:w="11900" w:h="16838" w:orient="portrait"/>
          <w:cols w:equalWidth="0" w:num="2">
            <w:col w:w="4860" w:space="720"/>
            <w:col w:w="5660"/>
          </w:cols>
          <w:pgMar w:left="320" w:top="1440" w:right="339" w:bottom="1440" w:gutter="0" w:footer="0" w:header="0"/>
          <w:type w:val="continuous"/>
        </w:sect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SLR</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Preamble</w:t>
      </w:r>
    </w:p>
    <w:p>
      <w:pPr>
        <w:spacing w:after="0" w:line="58" w:lineRule="exact"/>
        <w:rPr>
          <w:sz w:val="20"/>
          <w:szCs w:val="20"/>
          <w:color w:val="auto"/>
        </w:rPr>
      </w:pPr>
    </w:p>
    <w:p>
      <w:pPr>
        <w:sectPr>
          <w:pgSz w:w="11900" w:h="16838" w:orient="portrait"/>
          <w:cols w:equalWidth="0" w:num="2">
            <w:col w:w="4860" w:space="720"/>
            <w:col w:w="5660"/>
          </w:cols>
          <w:pgMar w:left="320" w:top="1440" w:right="339" w:bottom="1440" w:gutter="0" w:footer="0" w:header="0"/>
          <w:type w:val="continuous"/>
        </w:sectPr>
      </w:pPr>
    </w:p>
    <w:p>
      <w:pPr>
        <w:ind w:left="13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A Loan</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2.2(a)(i)</w:t>
      </w:r>
    </w:p>
    <w:p>
      <w:pPr>
        <w:spacing w:after="0" w:line="36" w:lineRule="exact"/>
        <w:rPr>
          <w:sz w:val="20"/>
          <w:szCs w:val="20"/>
          <w:color w:val="auto"/>
        </w:rPr>
      </w:pPr>
    </w:p>
    <w:p>
      <w:pPr>
        <w:sectPr>
          <w:pgSz w:w="11900" w:h="16838" w:orient="portrait"/>
          <w:cols w:equalWidth="0" w:num="2">
            <w:col w:w="4860" w:space="720"/>
            <w:col w:w="5660"/>
          </w:cols>
          <w:pgMar w:left="320" w:top="1440" w:right="339" w:bottom="1440" w:gutter="0" w:footer="0" w:header="0"/>
          <w:type w:val="continuous"/>
        </w:sectPr>
      </w:pPr>
    </w:p>
    <w:p>
      <w:pPr>
        <w:ind w:left="13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B Loan</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2.2(a)(ii)</w:t>
      </w:r>
    </w:p>
    <w:p>
      <w:pPr>
        <w:spacing w:after="0" w:line="36" w:lineRule="exact"/>
        <w:rPr>
          <w:sz w:val="20"/>
          <w:szCs w:val="20"/>
          <w:color w:val="auto"/>
        </w:rPr>
      </w:pPr>
    </w:p>
    <w:p>
      <w:pPr>
        <w:sectPr>
          <w:pgSz w:w="11900" w:h="16838" w:orient="portrait"/>
          <w:cols w:equalWidth="0" w:num="2">
            <w:col w:w="4860" w:space="720"/>
            <w:col w:w="5660"/>
          </w:cols>
          <w:pgMar w:left="320" w:top="1440" w:right="339" w:bottom="1440" w:gutter="0" w:footer="0" w:header="0"/>
          <w:type w:val="continuous"/>
        </w:sectPr>
      </w:pPr>
    </w:p>
    <w:p>
      <w:pPr>
        <w:ind w:left="13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Loan</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2.2(a)(ii)</w:t>
      </w:r>
    </w:p>
    <w:p>
      <w:pPr>
        <w:spacing w:after="0" w:line="36" w:lineRule="exact"/>
        <w:rPr>
          <w:sz w:val="20"/>
          <w:szCs w:val="20"/>
          <w:color w:val="auto"/>
        </w:rPr>
      </w:pPr>
    </w:p>
    <w:p>
      <w:pPr>
        <w:sectPr>
          <w:pgSz w:w="11900" w:h="16838" w:orient="portrait"/>
          <w:cols w:equalWidth="0" w:num="2">
            <w:col w:w="4860" w:space="720"/>
            <w:col w:w="5660"/>
          </w:cols>
          <w:pgMar w:left="320" w:top="1440" w:right="339" w:bottom="1440" w:gutter="0" w:footer="0" w:header="0"/>
          <w:type w:val="continuous"/>
        </w:sectPr>
      </w:pPr>
    </w:p>
    <w:p>
      <w:pPr>
        <w:ind w:left="13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Termination Date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Exhibit B, Section 8</w:t>
      </w:r>
    </w:p>
    <w:p>
      <w:pPr>
        <w:spacing w:after="0" w:line="36" w:lineRule="exact"/>
        <w:rPr>
          <w:sz w:val="20"/>
          <w:szCs w:val="20"/>
          <w:color w:val="auto"/>
        </w:rPr>
      </w:pPr>
    </w:p>
    <w:p>
      <w:pPr>
        <w:sectPr>
          <w:pgSz w:w="11900" w:h="16838" w:orient="portrait"/>
          <w:cols w:equalWidth="0" w:num="2">
            <w:col w:w="4860" w:space="720"/>
            <w:col w:w="5660"/>
          </w:cols>
          <w:pgMar w:left="320" w:top="1440" w:right="339" w:bottom="1440" w:gutter="0" w:footer="0" w:header="0"/>
          <w:type w:val="continuous"/>
        </w:sectPr>
      </w:pPr>
    </w:p>
    <w:p>
      <w:pPr>
        <w:ind w:left="13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Transfer</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7.1</w:t>
      </w:r>
    </w:p>
    <w:p>
      <w:pPr>
        <w:spacing w:after="0" w:line="59" w:lineRule="exact"/>
        <w:rPr>
          <w:sz w:val="20"/>
          <w:szCs w:val="20"/>
          <w:color w:val="auto"/>
        </w:rPr>
      </w:pPr>
    </w:p>
    <w:p>
      <w:pPr>
        <w:sectPr>
          <w:pgSz w:w="11900" w:h="16838" w:orient="portrait"/>
          <w:cols w:equalWidth="0" w:num="2">
            <w:col w:w="4860" w:space="720"/>
            <w:col w:w="5660"/>
          </w:cols>
          <w:pgMar w:left="320" w:top="1440" w:right="339" w:bottom="1440" w:gutter="0" w:footer="0" w:header="0"/>
          <w:type w:val="continuous"/>
        </w:sectPr>
      </w:pPr>
    </w:p>
    <w:p>
      <w:pPr>
        <w:jc w:val="cente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Tax Compliance Certificate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Exhibit C, Section 7(b)(ii)(C)</w:t>
      </w:r>
    </w:p>
    <w:p>
      <w:pPr>
        <w:spacing w:after="0" w:line="36" w:lineRule="exact"/>
        <w:rPr>
          <w:sz w:val="20"/>
          <w:szCs w:val="20"/>
          <w:color w:val="auto"/>
        </w:rPr>
      </w:pPr>
    </w:p>
    <w:p>
      <w:pPr>
        <w:sectPr>
          <w:pgSz w:w="11900" w:h="16838" w:orient="portrait"/>
          <w:cols w:equalWidth="0" w:num="2">
            <w:col w:w="4860" w:space="720"/>
            <w:col w:w="5660"/>
          </w:cols>
          <w:pgMar w:left="320" w:top="1440" w:right="339" w:bottom="1440" w:gutter="0" w:footer="0" w:header="0"/>
          <w:type w:val="continuous"/>
        </w:sect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Withholding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Exhibit C, Section 1</w:t>
      </w:r>
    </w:p>
    <w:p>
      <w:pPr>
        <w:spacing w:after="0" w:line="200" w:lineRule="exact"/>
        <w:rPr>
          <w:sz w:val="20"/>
          <w:szCs w:val="20"/>
          <w:color w:val="auto"/>
        </w:rPr>
      </w:pPr>
    </w:p>
    <w:p>
      <w:pPr>
        <w:sectPr>
          <w:pgSz w:w="11900" w:h="16838" w:orient="portrait"/>
          <w:cols w:equalWidth="0" w:num="2">
            <w:col w:w="4860" w:space="720"/>
            <w:col w:w="5660"/>
          </w:cols>
          <w:pgMar w:left="320" w:top="1440" w:right="339" w:bottom="1440" w:gutter="0" w:footer="0" w:header="0"/>
          <w:type w:val="continuous"/>
        </w:sectPr>
      </w:pPr>
    </w:p>
    <w:p>
      <w:pPr>
        <w:spacing w:after="0" w:line="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addition to the terms defined elsewhere in this Agreement, the following terms have the following meanings:</w:t>
      </w:r>
    </w:p>
    <w:p>
      <w:pPr>
        <w:spacing w:after="0" w:line="156"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Account</w:t>
      </w:r>
      <w:r>
        <w:rPr>
          <w:rFonts w:ascii="Arial" w:cs="Arial" w:eastAsia="Arial" w:hAnsi="Arial"/>
          <w:sz w:val="20"/>
          <w:szCs w:val="20"/>
          <w:color w:val="auto"/>
        </w:rPr>
        <w:t>” is any “account” as defined in the Code with such additions to such term as may hereafter be made under the Code, and includes, without limitation, all accounts receivable and other sums owing to Borrower.</w:t>
      </w:r>
    </w:p>
    <w:p>
      <w:pPr>
        <w:spacing w:after="0" w:line="13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Account Debtor</w:t>
      </w:r>
      <w:r>
        <w:rPr>
          <w:rFonts w:ascii="Arial" w:cs="Arial" w:eastAsia="Arial" w:hAnsi="Arial"/>
          <w:sz w:val="20"/>
          <w:szCs w:val="20"/>
          <w:color w:val="auto"/>
        </w:rPr>
        <w:t>” is any “account debtor” as defined in the Code with such additions to such term as may hereafter be made under the Code.</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ACH Letter</w:t>
      </w:r>
      <w:r>
        <w:rPr>
          <w:rFonts w:ascii="Arial" w:cs="Arial" w:eastAsia="Arial" w:hAnsi="Arial"/>
          <w:sz w:val="20"/>
          <w:szCs w:val="20"/>
          <w:color w:val="auto"/>
        </w:rPr>
        <w:t xml:space="preserve">” is an ACH debit authorization in the form of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hereto.</w:t>
      </w:r>
    </w:p>
    <w:p>
      <w:pPr>
        <w:spacing w:after="0" w:line="16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Consideration</w:t>
      </w:r>
      <w:r>
        <w:rPr>
          <w:rFonts w:ascii="Arial" w:cs="Arial" w:eastAsia="Arial" w:hAnsi="Arial"/>
          <w:sz w:val="18"/>
          <w:szCs w:val="18"/>
          <w:color w:val="auto"/>
        </w:rPr>
        <w:t>” shall mean the purchase consideration for a Permitted Acquisition and all other payments, directly or indirectly, by Borrower or any of its Subsidiaries in exchange for, or as part of, or in connection with, a Permitted Acquisition, whether paid in cash or by exchange of equity interests or of properties or otherwise and whether payable at or prior to the consummation of a Permitted Acquisition or deferred for payment at any future time, whether or not any such future payment is subject to the occurrence of any contingency, and includes any and all payments representing the purchase price and any assumptions of Indebtedness, “earnouts” and other agreements to make any payment the amount of which is, or the terms of payment of which are, in any respect subject to or contingent upon the revenues, income, cash flow or profits (or the like) of any person or business; provided that any such future payment that is subject to a contingency shall be considered Acquisition Consideration only to the extent of the reserve, if any, required under GAAP (as determined at the time of the consummation of such Permitted Acquisition) to be established in respect thereof by the Borrower or any of its Subsidiaries.</w:t>
      </w:r>
    </w:p>
    <w:p>
      <w:pPr>
        <w:spacing w:after="0" w:line="142"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of any Person is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Amortization Date</w:t>
      </w:r>
      <w:r>
        <w:rPr>
          <w:rFonts w:ascii="Arial" w:cs="Arial" w:eastAsia="Arial" w:hAnsi="Arial"/>
          <w:sz w:val="20"/>
          <w:szCs w:val="20"/>
          <w:color w:val="auto"/>
        </w:rPr>
        <w:t>” means April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440" w:right="339" w:bottom="1440" w:gutter="0" w:footer="0" w:header="0"/>
          <w:type w:val="continuous"/>
        </w:sectPr>
      </w:pPr>
    </w:p>
    <w:bookmarkStart w:id="73" w:name="page74"/>
    <w:bookmarkEnd w:id="73"/>
    <w:p>
      <w:pPr>
        <w:spacing w:after="0" w:line="162"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Anti-Terrorism Laws</w:t>
      </w:r>
      <w:r>
        <w:rPr>
          <w:rFonts w:ascii="Arial" w:cs="Arial" w:eastAsia="Arial" w:hAnsi="Arial"/>
          <w:sz w:val="20"/>
          <w:szCs w:val="20"/>
          <w:color w:val="auto"/>
        </w:rPr>
        <w:t>” are any laws relating to terrorism or money laundering, including without limitation Executive Order No. 13224 (effective September 24, 2001), the USA PATRIOT Act, the laws comprising or implementing the Bank Secrecy Act, and the laws administered by OFAC.</w:t>
      </w:r>
    </w:p>
    <w:p>
      <w:pPr>
        <w:spacing w:after="0" w:line="124"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FDA Threshold</w:t>
      </w:r>
      <w:r>
        <w:rPr>
          <w:rFonts w:ascii="Arial" w:cs="Arial" w:eastAsia="Arial" w:hAnsi="Arial"/>
          <w:sz w:val="20"/>
          <w:szCs w:val="20"/>
          <w:color w:val="auto"/>
        </w:rPr>
        <w:t>” means the greater of (a) One Million Dollars ($1,000,000), and (b) as of any date of determination, ten percent (10%) of the Borrower’s and its Subsidiaries’ consolidated revenues for the trailing twelve months ending as of the last day of the month immediately prior to such date of determination.</w:t>
      </w:r>
    </w:p>
    <w:p>
      <w:pPr>
        <w:spacing w:after="0" w:line="137"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Rate</w:t>
      </w:r>
      <w:r>
        <w:rPr>
          <w:rFonts w:ascii="Arial" w:cs="Arial" w:eastAsia="Arial" w:hAnsi="Arial"/>
          <w:sz w:val="18"/>
          <w:szCs w:val="18"/>
          <w:color w:val="auto"/>
        </w:rPr>
        <w:t>” means a per annum interest rate equal to the greater of (a) one tenth percent (0.10%) and (b) the rate per annum rate published by the Intercontinental Exchange Benchmark Administration Ltd. (the “</w:t>
      </w:r>
      <w:r>
        <w:rPr>
          <w:rFonts w:ascii="Arial" w:cs="Arial" w:eastAsia="Arial" w:hAnsi="Arial"/>
          <w:sz w:val="18"/>
          <w:szCs w:val="18"/>
          <w:b w:val="1"/>
          <w:bCs w:val="1"/>
          <w:color w:val="auto"/>
        </w:rPr>
        <w:t>Service</w:t>
      </w:r>
      <w:r>
        <w:rPr>
          <w:rFonts w:ascii="Arial" w:cs="Arial" w:eastAsia="Arial" w:hAnsi="Arial"/>
          <w:sz w:val="18"/>
          <w:szCs w:val="18"/>
          <w:color w:val="auto"/>
        </w:rPr>
        <w:t>”) (or on any successor or substitute page of such Service, or any successor to or substitute for such Service, as determined by Collateral Agent in a manner consistent with other loans in Collateral Agent’s portfolio) for a term of one month, which determination by Collateral Agent shall be conclusive in the absence of manifest error; provided that if, at any time, Lenders notify Collateral Agent that Lenders have determined that (x) Lenders are unable to determine or ascertain such rate, (y) the applicable regulator has made public statements to the effect that the rate published by the Service is no longer used for determining interest rates for loans or (z) by reason of circumstances affecting the foreign exchange and interbank markets generally, deposits in eurodollars in the applicable amounts or for the relative maturities are not being offered for such period, then the Applicable Rate shall be equal to an alternate benchmark rate and spread agreed between Collateral Agent and Borrowers (which may include SOFR, to the extent publicly available quotes of SOFR exist at the relevant time), giving due consideration to (i) market convention or (ii) selection, endorsement or recommendation by a Relevant Governmental Body. Such alternative benchmark rate and spread shall be binding unless the Required Lenders object within five (5) days following notification of such amendment.</w:t>
      </w:r>
    </w:p>
    <w:p>
      <w:pPr>
        <w:spacing w:after="0" w:line="14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is any (i) investment company, fund, trust, securitization vehicle or conduit that is (or will be) engaged in making, purchasing, holding or otherwise investing in commercial loans and similar extensions of credit in the ordinary course of its business or (ii) any Person (other than a natural person) which temporarily warehouses loans for any Lender or any entity described in the preceding clause</w:t>
      </w:r>
    </w:p>
    <w:p>
      <w:pPr>
        <w:spacing w:after="0" w:line="2" w:lineRule="exact"/>
        <w:rPr>
          <w:sz w:val="20"/>
          <w:szCs w:val="20"/>
          <w:color w:val="auto"/>
        </w:rPr>
      </w:pPr>
    </w:p>
    <w:p>
      <w:pPr>
        <w:ind w:firstLine="8"/>
        <w:spacing w:after="0" w:line="250" w:lineRule="auto"/>
        <w:tabs>
          <w:tab w:leader="none" w:pos="239"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and that, with respect to each of the preceding clauses (i) and (ii), is administered or managed by (a) a Lender, (b) an Affiliate of a Lender or (c) a Person (other than a natural person) or an Affiliate of a Person (other than a natural person) that administers or manages a Lender.</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Blocked Person</w:t>
      </w:r>
      <w:r>
        <w:rPr>
          <w:rFonts w:ascii="Arial" w:cs="Arial" w:eastAsia="Arial" w:hAnsi="Arial"/>
          <w:sz w:val="18"/>
          <w:szCs w:val="18"/>
          <w:color w:val="auto"/>
        </w:rPr>
        <w:t>” is any Person: (a) listed in the annex to, or is otherwise subject to the provisions of, Executive Order No. 13224,</w:t>
      </w:r>
    </w:p>
    <w:p>
      <w:pPr>
        <w:spacing w:after="0" w:line="4" w:lineRule="exact"/>
        <w:rPr>
          <w:sz w:val="20"/>
          <w:szCs w:val="20"/>
          <w:color w:val="auto"/>
        </w:rPr>
      </w:pPr>
    </w:p>
    <w:p>
      <w:pPr>
        <w:jc w:val="both"/>
        <w:ind w:firstLine="8"/>
        <w:spacing w:after="0" w:line="206" w:lineRule="auto"/>
        <w:tabs>
          <w:tab w:leader="none" w:pos="299"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3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Borrower’s Books</w:t>
      </w:r>
      <w:r>
        <w:rPr>
          <w:rFonts w:ascii="Arial" w:cs="Arial" w:eastAsia="Arial" w:hAnsi="Arial"/>
          <w:sz w:val="20"/>
          <w:szCs w:val="20"/>
          <w:color w:val="auto"/>
        </w:rPr>
        <w:t>” are Borrower’s or any of its Subsidiaries’ books and records including ledgers, federal and state tax returns, records regarding Borrower’s or its Subsidiaries’ assets or liabilities, the Collateral, business operations or financial condition, and all computer programs or storage or any equipment containing such information.</w:t>
      </w:r>
    </w:p>
    <w:p>
      <w:pPr>
        <w:spacing w:after="0" w:line="13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is any day that is not a Saturday, Sunday or a day on which commercial banks in New York, New York are required or authorized to be closed.</w:t>
      </w:r>
    </w:p>
    <w:p>
      <w:pPr>
        <w:spacing w:after="0" w:line="12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w:t>
      </w:r>
    </w:p>
    <w:p>
      <w:pPr>
        <w:spacing w:after="0" w:line="2" w:lineRule="exact"/>
        <w:rPr>
          <w:sz w:val="20"/>
          <w:szCs w:val="20"/>
          <w:color w:val="auto"/>
        </w:rPr>
      </w:pPr>
    </w:p>
    <w:p>
      <w:pPr>
        <w:jc w:val="both"/>
        <w:ind w:firstLine="8"/>
        <w:spacing w:after="0" w:line="213" w:lineRule="auto"/>
        <w:tabs>
          <w:tab w:leader="none" w:pos="275" w:val="left"/>
        </w:tabs>
        <w:numPr>
          <w:ilvl w:val="0"/>
          <w:numId w:val="38"/>
        </w:numPr>
        <w:rPr>
          <w:rFonts w:ascii="Arial" w:cs="Arial" w:eastAsia="Arial" w:hAnsi="Arial"/>
          <w:sz w:val="20"/>
          <w:szCs w:val="20"/>
          <w:color w:val="auto"/>
        </w:rPr>
      </w:pPr>
      <w:r>
        <w:rPr>
          <w:rFonts w:ascii="Arial" w:cs="Arial" w:eastAsia="Arial" w:hAnsi="Arial"/>
          <w:sz w:val="20"/>
          <w:szCs w:val="20"/>
          <w:color w:val="auto"/>
        </w:rPr>
        <w:t>certificates of deposit maturing no more than one (1) year after issue provided that the account in which any such certificate of deposit is maintained is subject to a Control Agreement in favor of Collateral Agent, and (d) any money market or similar funds under Borrower’s investment policy, as approved by Collateral Agent and the Lenders from time to time.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62" w:lineRule="exact"/>
        <w:rPr>
          <w:sz w:val="20"/>
          <w:szCs w:val="20"/>
          <w:color w:val="auto"/>
        </w:rPr>
      </w:pPr>
    </w:p>
    <w:p>
      <w:pPr>
        <w:jc w:val="both"/>
        <w:ind w:firstLine="648"/>
        <w:spacing w:after="0" w:line="20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Code</w:t>
      </w:r>
      <w:r>
        <w:rPr>
          <w:rFonts w:ascii="Arial" w:cs="Arial" w:eastAsia="Arial" w:hAnsi="Arial"/>
          <w:sz w:val="20"/>
          <w:szCs w:val="20"/>
          <w:color w:val="auto"/>
        </w:rPr>
        <w:t>” is the Uniform Commercial Code, as the same may, from time to time, be enacted and in effect in the State of New York;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Collateral</w:t>
      </w:r>
      <w:r>
        <w:rPr>
          <w:rFonts w:ascii="Arial" w:cs="Arial" w:eastAsia="Arial" w:hAnsi="Arial"/>
          <w:sz w:val="20"/>
          <w:szCs w:val="20"/>
          <w:color w:val="auto"/>
        </w:rPr>
        <w:t xml:space="preserve">” is any and all properties, rights and assets of Borrower described on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Collateral Account</w:t>
      </w:r>
      <w:r>
        <w:rPr>
          <w:rFonts w:ascii="Arial" w:cs="Arial" w:eastAsia="Arial" w:hAnsi="Arial"/>
          <w:sz w:val="20"/>
          <w:szCs w:val="20"/>
          <w:color w:val="auto"/>
        </w:rPr>
        <w:t>” is any Deposit Account, Securities Account, or Commodity Account, or any other bank account maintained by Borrower or any Subsidiary at any time.</w:t>
      </w:r>
    </w:p>
    <w:p>
      <w:pPr>
        <w:spacing w:after="0" w:line="13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Collateral Agent</w:t>
      </w:r>
      <w:r>
        <w:rPr>
          <w:rFonts w:ascii="Arial" w:cs="Arial" w:eastAsia="Arial" w:hAnsi="Arial"/>
          <w:sz w:val="20"/>
          <w:szCs w:val="20"/>
          <w:color w:val="auto"/>
        </w:rPr>
        <w:t>” is SLR, not in its individual capacity, but solely in its capacity as collateral agent on behalf of and for the ratable benefit of the Secured Parties.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Commitment Percentage</w:t>
      </w:r>
      <w:r>
        <w:rPr>
          <w:rFonts w:ascii="Arial" w:cs="Arial" w:eastAsia="Arial" w:hAnsi="Arial"/>
          <w:sz w:val="20"/>
          <w:szCs w:val="20"/>
          <w:color w:val="auto"/>
        </w:rPr>
        <w:t xml:space="preserve">” is set forth in </w:t>
      </w:r>
      <w:r>
        <w:rPr>
          <w:rFonts w:ascii="Arial" w:cs="Arial" w:eastAsia="Arial" w:hAnsi="Arial"/>
          <w:sz w:val="20"/>
          <w:szCs w:val="20"/>
          <w:u w:val="single" w:color="auto"/>
          <w:color w:val="auto"/>
        </w:rPr>
        <w:t>Schedule 1.1</w:t>
      </w:r>
      <w:r>
        <w:rPr>
          <w:rFonts w:ascii="Arial" w:cs="Arial" w:eastAsia="Arial" w:hAnsi="Arial"/>
          <w:sz w:val="20"/>
          <w:szCs w:val="20"/>
          <w:color w:val="auto"/>
        </w:rPr>
        <w:t>, as amended from time to time.</w:t>
      </w:r>
    </w:p>
    <w:p>
      <w:pPr>
        <w:spacing w:after="0" w:line="16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Commodity Account</w:t>
      </w:r>
      <w:r>
        <w:rPr>
          <w:rFonts w:ascii="Arial" w:cs="Arial" w:eastAsia="Arial" w:hAnsi="Arial"/>
          <w:sz w:val="20"/>
          <w:szCs w:val="20"/>
          <w:color w:val="auto"/>
        </w:rPr>
        <w:t>” is any “commodity account” as defined in the Code with such additions to such term as may hereafter be made under the Code.</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Compliance Certificate</w:t>
      </w:r>
      <w:r>
        <w:rPr>
          <w:rFonts w:ascii="Arial" w:cs="Arial" w:eastAsia="Arial" w:hAnsi="Arial"/>
          <w:sz w:val="20"/>
          <w:szCs w:val="20"/>
          <w:color w:val="auto"/>
        </w:rPr>
        <w:t xml:space="preserve">” is that certain certificate in substantially the form attached hereto as </w:t>
      </w:r>
      <w:r>
        <w:rPr>
          <w:rFonts w:ascii="Arial" w:cs="Arial" w:eastAsia="Arial" w:hAnsi="Arial"/>
          <w:sz w:val="20"/>
          <w:szCs w:val="20"/>
          <w:u w:val="single" w:color="auto"/>
          <w:color w:val="auto"/>
        </w:rPr>
        <w:t>Exhibit E</w:t>
      </w:r>
      <w:r>
        <w:rPr>
          <w:rFonts w:ascii="Arial" w:cs="Arial" w:eastAsia="Arial" w:hAnsi="Arial"/>
          <w:sz w:val="20"/>
          <w:szCs w:val="20"/>
          <w:color w:val="auto"/>
        </w:rPr>
        <w:t>.</w:t>
      </w:r>
    </w:p>
    <w:p>
      <w:pPr>
        <w:spacing w:after="0" w:line="148"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Obligation</w:t>
      </w:r>
      <w:r>
        <w:rPr>
          <w:rFonts w:ascii="Arial" w:cs="Arial" w:eastAsia="Arial" w:hAnsi="Arial"/>
          <w:sz w:val="18"/>
          <w:szCs w:val="18"/>
          <w:color w:val="auto"/>
        </w:rPr>
        <w:t>” is, for any Person, any direct or indirect liability, contingent or not, of that Person for (a) any indebtedness, lease, dividend, letter of credit or other obligation of another such as an obligation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in accordance with GAAP; but the amount may not exceed the maximum of the obligations under any guarantee or other support arrangement.</w:t>
      </w:r>
    </w:p>
    <w:p>
      <w:pPr>
        <w:spacing w:after="0" w:line="142"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Control Agreement</w:t>
      </w:r>
      <w:r>
        <w:rPr>
          <w:rFonts w:ascii="Arial" w:cs="Arial" w:eastAsia="Arial" w:hAnsi="Arial"/>
          <w:sz w:val="20"/>
          <w:szCs w:val="20"/>
          <w:color w:val="auto"/>
        </w:rPr>
        <w:t>” is any control agreement entered into among the depository institution at which Borrower or any of its Subsidiaries maintains a Deposit Account or the securities intermediary or commodity intermediary at which Borrower or any of its Subsidiaries maintains a Securities Account or a Commodity Account, Borrower or such Subsidiary, as applicable, and Collateral Agent pursuant to which Collateral Agent, for the ratable benefit of the Secured Parties, obtains “control” (within the meaning of the Code) over such Deposit Account, Securities Account, or Commodity Account.</w:t>
      </w:r>
    </w:p>
    <w:p>
      <w:pPr>
        <w:spacing w:after="0" w:line="13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Convertible Indebtedness</w:t>
      </w:r>
      <w:r>
        <w:rPr>
          <w:rFonts w:ascii="Arial" w:cs="Arial" w:eastAsia="Arial" w:hAnsi="Arial"/>
          <w:sz w:val="20"/>
          <w:szCs w:val="20"/>
          <w:color w:val="auto"/>
        </w:rPr>
        <w:t>” means Indebtedness of the Borrower that is (i) either (A) Subordinated Debt or (B) unsecured Indebtedness that is not-cross defaulted to the Obligations and (ii) convertible into equity securities of the Borrower.</w:t>
      </w:r>
    </w:p>
    <w:p>
      <w:pPr>
        <w:spacing w:after="0" w:line="12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Default</w:t>
      </w:r>
      <w:r>
        <w:rPr>
          <w:rFonts w:ascii="Arial" w:cs="Arial" w:eastAsia="Arial" w:hAnsi="Arial"/>
          <w:sz w:val="20"/>
          <w:szCs w:val="20"/>
          <w:color w:val="auto"/>
        </w:rPr>
        <w:t>” is any event that, with the giving of notice or passage of time or both, would constitute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6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Deposit Account</w:t>
      </w:r>
      <w:r>
        <w:rPr>
          <w:rFonts w:ascii="Arial" w:cs="Arial" w:eastAsia="Arial" w:hAnsi="Arial"/>
          <w:sz w:val="20"/>
          <w:szCs w:val="20"/>
          <w:color w:val="auto"/>
        </w:rPr>
        <w:t>” is any “deposit account” as defined in the Code with such additions to such term as may hereafter be made under the Code.</w:t>
      </w:r>
    </w:p>
    <w:p>
      <w:pPr>
        <w:spacing w:after="0" w:line="122" w:lineRule="exact"/>
        <w:rPr>
          <w:sz w:val="20"/>
          <w:szCs w:val="20"/>
          <w:color w:val="auto"/>
        </w:rPr>
      </w:pPr>
    </w:p>
    <w:p>
      <w:pPr>
        <w:jc w:val="both"/>
        <w:ind w:right="20" w:firstLine="648"/>
        <w:spacing w:after="0" w:line="22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Disclosure Schedules</w:t>
      </w:r>
      <w:r>
        <w:rPr>
          <w:rFonts w:ascii="Arial" w:cs="Arial" w:eastAsia="Arial" w:hAnsi="Arial"/>
          <w:sz w:val="20"/>
          <w:szCs w:val="20"/>
          <w:color w:val="auto"/>
        </w:rPr>
        <w:t>” the disclosure schedules to this Agreement, as amended or supplemented from time to time by Borrower with the written consent of the Required Lenders (or as supplemented by Borrower pursuant to the terms of the Loan Documents), delivered by Borrower to the Lenders.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Dollars</w:t>
      </w:r>
      <w:r>
        <w:rPr>
          <w:rFonts w:ascii="Arial" w:cs="Arial" w:eastAsia="Arial" w:hAnsi="Arial"/>
          <w:sz w:val="20"/>
          <w:szCs w:val="20"/>
          <w:i w:val="1"/>
          <w:iCs w:val="1"/>
          <w:color w:val="auto"/>
        </w:rPr>
        <w:t>,</w:t>
      </w:r>
      <w:r>
        <w:rPr>
          <w:rFonts w:ascii="Arial" w:cs="Arial" w:eastAsia="Arial" w:hAnsi="Arial"/>
          <w:sz w:val="20"/>
          <w:szCs w:val="20"/>
          <w:color w:val="auto"/>
        </w:rPr>
        <w:t>” “</w:t>
      </w:r>
      <w:r>
        <w:rPr>
          <w:rFonts w:ascii="Arial" w:cs="Arial" w:eastAsia="Arial" w:hAnsi="Arial"/>
          <w:sz w:val="20"/>
          <w:szCs w:val="20"/>
          <w:b w:val="1"/>
          <w:bCs w:val="1"/>
          <w:color w:val="auto"/>
        </w:rPr>
        <w:t>dollars</w:t>
      </w:r>
      <w:r>
        <w:rPr>
          <w:rFonts w:ascii="Arial" w:cs="Arial" w:eastAsia="Arial" w:hAnsi="Arial"/>
          <w:sz w:val="20"/>
          <w:szCs w:val="20"/>
          <w:color w:val="auto"/>
        </w:rPr>
        <w:t>” and “$” each mean lawful money of the United States.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Domestic Subsidiary</w:t>
      </w:r>
      <w:r>
        <w:rPr>
          <w:rFonts w:ascii="Arial" w:cs="Arial" w:eastAsia="Arial" w:hAnsi="Arial"/>
          <w:sz w:val="20"/>
          <w:szCs w:val="20"/>
          <w:color w:val="auto"/>
        </w:rPr>
        <w:t>” is any Subsidiary that is not a Foreign Subsidiary.</w:t>
      </w:r>
    </w:p>
    <w:p>
      <w:pPr>
        <w:spacing w:after="0" w:line="14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Assignee</w:t>
      </w:r>
      <w:r>
        <w:rPr>
          <w:rFonts w:ascii="Arial" w:cs="Arial" w:eastAsia="Arial" w:hAnsi="Arial"/>
          <w:sz w:val="18"/>
          <w:szCs w:val="18"/>
          <w:color w:val="auto"/>
        </w:rPr>
        <w:t>” is (i) a Lender, (ii) an Affiliate of a Lender, (iii) an Approved Fund and (iv) any commercial bank, savings and loan association or savings bank or any other entity which is an “accredited investor” (as defined in Regulation D under the Securities Act of 1933, as amended) and which extends credit or buys loans as one of its businesses, including insurance companies, mutual funds, lease financing companies and commercial finance companies, in each case, which either (A) has a rating of BBB or higher from Standard &amp; Poor’s Rating Group and a rating of Baa2 or higher from Moody’s Investors Service, Inc. at the date that it becomes a Lender or (B) has total assets in excess of Two Billion Five Hundred Million Dollars ($2,500,000,000.00), and in each case of clauses (i) through (iv), which, through its applicable lending office, is capable of lending to Borrower without the imposition of any withholding or similar taxes; provided that notwithstanding the foregoing, “Eligible Assignee” shall not include, unless an Event of Default has occurred and is continuing, (i) Borrower or any of Borrower’s Affiliates or Subsidiaries or (ii) a direct competitor of Borrower, a vulture hedge fund or a distressed debt fund, each as determined by Collateral Agent in its reasonable discretion. Notwithstanding the foregoing, (x) in connection with any assignment made by a Lender as a result of a forced divestiture at the request of any regulatory agency, the restrictions set forth herein shall not apply and Eligible Assignee shall mean any Person or party and (y) in connection with a Lender’s own financing or securitization transactions, the restrictions set forth herein shall not apply and Eligible Assignee shall mean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Collateral Agent shall have received and accepted an effective assignment agreement from such Person or party in form satisfactory to Collateral Agent executed, delivered and fully completed by the applicable parties thereto, and shall have received such other information regarding such Eligible Assignee as Collateral Agent reasonably shall require.</w:t>
      </w:r>
    </w:p>
    <w:p>
      <w:pPr>
        <w:spacing w:after="0" w:line="139" w:lineRule="exact"/>
        <w:rPr>
          <w:sz w:val="20"/>
          <w:szCs w:val="20"/>
          <w:color w:val="auto"/>
        </w:rPr>
      </w:pPr>
    </w:p>
    <w:p>
      <w:pPr>
        <w:jc w:val="both"/>
        <w:ind w:right="20" w:firstLine="648"/>
        <w:spacing w:after="0" w:line="22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Equipment</w:t>
      </w:r>
      <w:r>
        <w:rPr>
          <w:rFonts w:ascii="Arial" w:cs="Arial" w:eastAsia="Arial" w:hAnsi="Arial"/>
          <w:sz w:val="20"/>
          <w:szCs w:val="20"/>
          <w:color w:val="auto"/>
        </w:rPr>
        <w:t>” is all “equipment” as defined in the Code with such additions to such term as may hereafter be made under the Code, and includes without limitation all machinery, fixtures, goods, vehicles (including motor vehicles and trailers), and any interest in any of the foregoing.</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ERISA</w:t>
      </w:r>
      <w:r>
        <w:rPr>
          <w:rFonts w:ascii="Arial" w:cs="Arial" w:eastAsia="Arial" w:hAnsi="Arial"/>
          <w:sz w:val="20"/>
          <w:szCs w:val="20"/>
          <w:color w:val="auto"/>
        </w:rPr>
        <w:t>” is the Employee Retirement Income Security Act of 1974, as amended, and its regulations.</w:t>
      </w:r>
    </w:p>
    <w:p>
      <w:pPr>
        <w:spacing w:after="0" w:line="148"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Exigent Circumstance</w:t>
      </w:r>
      <w:r>
        <w:rPr>
          <w:rFonts w:ascii="Arial" w:cs="Arial" w:eastAsia="Arial" w:hAnsi="Arial"/>
          <w:sz w:val="19"/>
          <w:szCs w:val="19"/>
          <w:color w:val="auto"/>
        </w:rPr>
        <w:t>” means any event or circumstance that, in the reasonable judgment of Collateral Agent, imminently threatens the ability of Collateral Agent to realize upon all or any material portion of the Collateral, such as, without limitation, fraudulent removal, concealment, or abscondment thereof, destruction or material waste thereof, or failure of Borrower or any of its Subsidiaries after reasonable demand to maintain or reinstate adequate casualty insurance coverage, or which, in the judgment of Collateral Agent, could reasonably be expected to result in a material diminution in value of the Collateral.</w:t>
      </w:r>
    </w:p>
    <w:p>
      <w:pPr>
        <w:spacing w:after="0" w:line="137" w:lineRule="exact"/>
        <w:rPr>
          <w:sz w:val="20"/>
          <w:szCs w:val="20"/>
          <w:color w:val="auto"/>
        </w:rPr>
      </w:pPr>
    </w:p>
    <w:p>
      <w:pPr>
        <w:ind w:right="80"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Exit Fee Agreement</w:t>
      </w:r>
      <w:r>
        <w:rPr>
          <w:rFonts w:ascii="Arial" w:cs="Arial" w:eastAsia="Arial" w:hAnsi="Arial"/>
          <w:sz w:val="19"/>
          <w:szCs w:val="19"/>
          <w:color w:val="auto"/>
        </w:rPr>
        <w:t>” means that certain Exit Fee Agreement, dated as of the date hereof, by and among Collateral Agent, as agent, Lenders and Borrower, as amended, amended and restated, supplemented or otherwise modified from time to time.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FDA</w:t>
      </w:r>
      <w:r>
        <w:rPr>
          <w:rFonts w:ascii="Arial" w:cs="Arial" w:eastAsia="Arial" w:hAnsi="Arial"/>
          <w:sz w:val="20"/>
          <w:szCs w:val="20"/>
          <w:color w:val="auto"/>
        </w:rPr>
        <w:t>” means the U.S. Food and Drug Administration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62"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Fee Letter</w:t>
      </w:r>
      <w:r>
        <w:rPr>
          <w:rFonts w:ascii="Arial" w:cs="Arial" w:eastAsia="Arial" w:hAnsi="Arial"/>
          <w:sz w:val="20"/>
          <w:szCs w:val="20"/>
          <w:color w:val="auto"/>
        </w:rPr>
        <w:t>” means that certain Fee Letter, dated the date hereof, by and among Collateral Agent, as agent, Lenders and Borrower, as amended, amended and restated, supplemented or otherwise modified from time to time.</w:t>
      </w:r>
    </w:p>
    <w:p>
      <w:pPr>
        <w:spacing w:after="0" w:line="12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Foreign Subsidiary</w:t>
      </w:r>
      <w:r>
        <w:rPr>
          <w:rFonts w:ascii="Arial" w:cs="Arial" w:eastAsia="Arial" w:hAnsi="Arial"/>
          <w:sz w:val="20"/>
          <w:szCs w:val="20"/>
          <w:color w:val="auto"/>
        </w:rPr>
        <w:t>” is a Subsidiary that is not an entity organized under the laws of the United States or any state thereof or the District of Columbia.</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Funding Date</w:t>
      </w:r>
      <w:r>
        <w:rPr>
          <w:rFonts w:ascii="Arial" w:cs="Arial" w:eastAsia="Arial" w:hAnsi="Arial"/>
          <w:sz w:val="19"/>
          <w:szCs w:val="19"/>
          <w:color w:val="auto"/>
        </w:rPr>
        <w:t>” is any date on which a Term Loan is made to or on account of Borrower which shall be a Business Day.</w:t>
      </w:r>
    </w:p>
    <w:p>
      <w:pPr>
        <w:spacing w:after="0" w:line="173"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 provided that for purposes of the defined term “Permitted Indebtedness,” GAAP shall be GAAP as in effect on the Effective Date.</w:t>
      </w:r>
    </w:p>
    <w:p>
      <w:pPr>
        <w:spacing w:after="0" w:line="123"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General Intangibles</w:t>
      </w:r>
      <w:r>
        <w:rPr>
          <w:rFonts w:ascii="Arial" w:cs="Arial" w:eastAsia="Arial" w:hAnsi="Arial"/>
          <w:sz w:val="19"/>
          <w:szCs w:val="19"/>
          <w:color w:val="auto"/>
        </w:rPr>
        <w:t>” are all “general intangibles” as defined in the Code in effect on the date hereof with such additions to such term as may hereafter be made under the Code,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42"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Approval</w:t>
      </w:r>
      <w:r>
        <w:rPr>
          <w:rFonts w:ascii="Arial" w:cs="Arial" w:eastAsia="Arial" w:hAnsi="Arial"/>
          <w:sz w:val="20"/>
          <w:szCs w:val="20"/>
          <w:color w:val="auto"/>
        </w:rPr>
        <w:t>” is any consent, authorization, approval, order, license, franchise, permit, certificate, accreditation, registration, filing or notice, of, issued by, from or to, or other act by or in respect of, any Governmental Authority.</w:t>
      </w:r>
    </w:p>
    <w:p>
      <w:pPr>
        <w:spacing w:after="0" w:line="136"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Authority</w:t>
      </w:r>
      <w:r>
        <w:rPr>
          <w:rFonts w:ascii="Arial" w:cs="Arial" w:eastAsia="Arial" w:hAnsi="Arial"/>
          <w:sz w:val="20"/>
          <w:szCs w:val="20"/>
          <w:color w:val="auto"/>
        </w:rPr>
        <w:t>” is any federal, state, municipal, national or other government, governmental department, commission, board, bureau, court, agency or instrumentality or political subdivision thereof (including the FDA) or any entity exercising executive, legislative, judicial, regulatory or administrative functions of or pertaining to any government or any court, in each case whether associated with a state or locality of the United States, the United States, or a foreign government.</w:t>
      </w:r>
    </w:p>
    <w:p>
      <w:pPr>
        <w:spacing w:after="0" w:line="12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Guarantor</w:t>
      </w:r>
      <w:r>
        <w:rPr>
          <w:rFonts w:ascii="Arial" w:cs="Arial" w:eastAsia="Arial" w:hAnsi="Arial"/>
          <w:sz w:val="20"/>
          <w:szCs w:val="20"/>
          <w:color w:val="auto"/>
        </w:rPr>
        <w:t>” is any Person providing a Guaranty in favor of Collateral Agent for the benefit of the Secured Parties (including without limitation pursuant to Section 6.10).</w:t>
      </w:r>
    </w:p>
    <w:p>
      <w:pPr>
        <w:spacing w:after="0" w:line="13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Guaranty</w:t>
      </w:r>
      <w:r>
        <w:rPr>
          <w:rFonts w:ascii="Arial" w:cs="Arial" w:eastAsia="Arial" w:hAnsi="Arial"/>
          <w:sz w:val="20"/>
          <w:szCs w:val="20"/>
          <w:color w:val="auto"/>
        </w:rPr>
        <w:t>” is any guarantee of all or any part of the Obligations, as the same may from time to time be amended, restated, modified or otherwise supplemented.</w:t>
      </w:r>
    </w:p>
    <w:p>
      <w:pPr>
        <w:spacing w:after="0" w:line="136" w:lineRule="exact"/>
        <w:rPr>
          <w:sz w:val="20"/>
          <w:szCs w:val="20"/>
          <w:color w:val="auto"/>
        </w:rPr>
      </w:pPr>
    </w:p>
    <w:p>
      <w:pPr>
        <w:jc w:val="both"/>
        <w:ind w:firstLine="648"/>
        <w:spacing w:after="0" w:line="20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Healthcare Laws</w:t>
      </w:r>
      <w:r>
        <w:rPr>
          <w:rFonts w:ascii="Arial" w:cs="Arial" w:eastAsia="Arial" w:hAnsi="Arial"/>
          <w:sz w:val="20"/>
          <w:szCs w:val="20"/>
          <w:color w:val="auto"/>
        </w:rPr>
        <w:t>” means all laws, rules and regulations relating to the provision or payment of health items and services applicable to the Borrower or its Subsidiaries, including, without limitation, (a) all federal and state fraud and abuse laws, including, without limitation, the federal Anti-Kickback Statute (42 U.S.C. §1320a-7b(b)), the Civil False Claims Act (31 U.S.C. §3729 et seq.), the criminal false statements law (42 U.S.C. § 1320a-7b(a)), all criminal laws relating to health care fraud and abuse, including but not limited to 18 U.S.C. Sections 286, 287, 1347 and 1349, and the health care fraud criminal provisions under the U.S. Health Insurance Portability and Accountability Act of 1996 (42 U.S.C. Section 1320d et seq.), any applicable state fraud and abuse prohibitions, including those that apply to all payors (governmental, commercial insurance and self-payors), the civil monetary penalty laws (42 U.S.C. § 1320a-7a), the exclusion laws (42 U.S.C. § 1320a-7), and any similar state laws or regulations, and (b) any laws relating to any governmental healthcare program, including, without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68" w:lineRule="exact"/>
        <w:rPr>
          <w:sz w:val="20"/>
          <w:szCs w:val="20"/>
          <w:color w:val="auto"/>
        </w:rPr>
      </w:pPr>
    </w:p>
    <w:p>
      <w:pPr>
        <w:jc w:val="both"/>
        <w:ind w:right="20"/>
        <w:spacing w:after="0" w:line="229" w:lineRule="auto"/>
        <w:rPr>
          <w:sz w:val="20"/>
          <w:szCs w:val="20"/>
          <w:color w:val="auto"/>
        </w:rPr>
      </w:pPr>
      <w:r>
        <w:rPr>
          <w:rFonts w:ascii="Arial" w:cs="Arial" w:eastAsia="Arial" w:hAnsi="Arial"/>
          <w:sz w:val="20"/>
          <w:szCs w:val="20"/>
          <w:color w:val="auto"/>
        </w:rPr>
        <w:t>limitation, the Medicare statute (Title XVIII of the Social Security Act) and the Medicaid statute (Title XIX of the Social Security Act), each of (a) through (b) as may be amended from time to time.</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Hyperphosphatemia</w:t>
      </w:r>
      <w:r>
        <w:rPr>
          <w:rFonts w:ascii="Arial" w:cs="Arial" w:eastAsia="Arial" w:hAnsi="Arial"/>
          <w:sz w:val="20"/>
          <w:szCs w:val="20"/>
          <w:color w:val="auto"/>
        </w:rPr>
        <w:t>” means elevated serum phosphorus.</w:t>
      </w:r>
    </w:p>
    <w:p>
      <w:pPr>
        <w:spacing w:after="0" w:line="162"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Immaterial Subsidiary</w:t>
      </w:r>
      <w:r>
        <w:rPr>
          <w:rFonts w:ascii="Arial" w:cs="Arial" w:eastAsia="Arial" w:hAnsi="Arial"/>
          <w:sz w:val="20"/>
          <w:szCs w:val="20"/>
          <w:color w:val="auto"/>
        </w:rPr>
        <w:t>” is any Foreign Subsidiary that holds assets worth less than One Hundred Thousand Dollars ($100,000) in book value.</w:t>
      </w:r>
    </w:p>
    <w:p>
      <w:pPr>
        <w:spacing w:after="0" w:line="136"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Indebtedness</w:t>
      </w:r>
      <w:r>
        <w:rPr>
          <w:rFonts w:ascii="Arial" w:cs="Arial" w:eastAsia="Arial" w:hAnsi="Arial"/>
          <w:sz w:val="20"/>
          <w:szCs w:val="20"/>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24"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Insolvency Proceeding</w:t>
      </w:r>
      <w:r>
        <w:rPr>
          <w:rFonts w:ascii="Arial" w:cs="Arial" w:eastAsia="Arial" w:hAnsi="Arial"/>
          <w:sz w:val="20"/>
          <w:szCs w:val="20"/>
          <w:color w:val="auto"/>
        </w:rPr>
        <w:t>” is any proceeding by or against any Person under the United States Bankruptcy Code, or any other bankruptcy or insolvency law, including assignments for the benefit of creditors, compositions or proceedings seeking reorganization, arrangement, or other relief.</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Insolvent</w:t>
      </w:r>
      <w:r>
        <w:rPr>
          <w:rFonts w:ascii="Arial" w:cs="Arial" w:eastAsia="Arial" w:hAnsi="Arial"/>
          <w:sz w:val="20"/>
          <w:szCs w:val="20"/>
          <w:color w:val="auto"/>
        </w:rPr>
        <w:t>” means not Solvent.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Intellectual Property</w:t>
      </w:r>
      <w:r>
        <w:rPr>
          <w:rFonts w:ascii="Arial" w:cs="Arial" w:eastAsia="Arial" w:hAnsi="Arial"/>
          <w:sz w:val="20"/>
          <w:szCs w:val="20"/>
          <w:color w:val="auto"/>
        </w:rPr>
        <w:t>” means all of Borrower’s or any of its Subsidiaries’ right, title and interest in and to the following:</w:t>
      </w:r>
    </w:p>
    <w:p>
      <w:pPr>
        <w:spacing w:after="0" w:line="154" w:lineRule="exact"/>
        <w:rPr>
          <w:sz w:val="20"/>
          <w:szCs w:val="20"/>
          <w:color w:val="auto"/>
        </w:rPr>
      </w:pPr>
    </w:p>
    <w:p>
      <w:pPr>
        <w:ind w:left="1720" w:hanging="416"/>
        <w:spacing w:after="0"/>
        <w:tabs>
          <w:tab w:leader="none" w:pos="17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its Copyrights, Trademarks and Patents;</w:t>
      </w:r>
    </w:p>
    <w:p>
      <w:pPr>
        <w:spacing w:after="0" w:line="161" w:lineRule="exact"/>
        <w:rPr>
          <w:rFonts w:ascii="Arial" w:cs="Arial" w:eastAsia="Arial" w:hAnsi="Arial"/>
          <w:sz w:val="20"/>
          <w:szCs w:val="20"/>
          <w:color w:val="auto"/>
        </w:rPr>
      </w:pPr>
    </w:p>
    <w:p>
      <w:pPr>
        <w:ind w:right="200" w:firstLine="1304"/>
        <w:spacing w:after="0" w:line="229" w:lineRule="auto"/>
        <w:tabs>
          <w:tab w:leader="none" w:pos="1789" w:val="left"/>
        </w:tabs>
        <w:numPr>
          <w:ilvl w:val="0"/>
          <w:numId w:val="39"/>
        </w:numPr>
        <w:rPr>
          <w:rFonts w:ascii="Arial" w:cs="Arial" w:eastAsia="Arial" w:hAnsi="Arial"/>
          <w:sz w:val="20"/>
          <w:szCs w:val="20"/>
          <w:color w:val="auto"/>
        </w:rPr>
      </w:pPr>
      <w:r>
        <w:rPr>
          <w:rFonts w:ascii="Arial" w:cs="Arial" w:eastAsia="Arial" w:hAnsi="Arial"/>
          <w:sz w:val="20"/>
          <w:szCs w:val="20"/>
          <w:color w:val="auto"/>
        </w:rPr>
        <w:t>any and all trade secrets and trade secret rights, including, without limitation, any rights to unpatented inventions, know-how, operating manuals;</w:t>
      </w:r>
    </w:p>
    <w:p>
      <w:pPr>
        <w:spacing w:after="0" w:line="141" w:lineRule="exact"/>
        <w:rPr>
          <w:rFonts w:ascii="Arial" w:cs="Arial" w:eastAsia="Arial" w:hAnsi="Arial"/>
          <w:sz w:val="20"/>
          <w:szCs w:val="20"/>
          <w:color w:val="auto"/>
        </w:rPr>
      </w:pPr>
    </w:p>
    <w:p>
      <w:pPr>
        <w:ind w:left="1720" w:hanging="416"/>
        <w:spacing w:after="0"/>
        <w:tabs>
          <w:tab w:leader="none" w:pos="17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any and all source code;</w:t>
      </w:r>
    </w:p>
    <w:p>
      <w:pPr>
        <w:spacing w:after="0" w:line="148" w:lineRule="exact"/>
        <w:rPr>
          <w:rFonts w:ascii="Arial" w:cs="Arial" w:eastAsia="Arial" w:hAnsi="Arial"/>
          <w:sz w:val="20"/>
          <w:szCs w:val="20"/>
          <w:color w:val="auto"/>
        </w:rPr>
      </w:pPr>
    </w:p>
    <w:p>
      <w:pPr>
        <w:ind w:left="1740" w:hanging="436"/>
        <w:spacing w:after="0"/>
        <w:tabs>
          <w:tab w:leader="none" w:pos="17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any and all design rights which may be available to Borrower;</w:t>
      </w:r>
    </w:p>
    <w:p>
      <w:pPr>
        <w:spacing w:after="0" w:line="161" w:lineRule="exact"/>
        <w:rPr>
          <w:rFonts w:ascii="Arial" w:cs="Arial" w:eastAsia="Arial" w:hAnsi="Arial"/>
          <w:sz w:val="20"/>
          <w:szCs w:val="20"/>
          <w:color w:val="auto"/>
        </w:rPr>
      </w:pPr>
    </w:p>
    <w:p>
      <w:pPr>
        <w:jc w:val="both"/>
        <w:ind w:right="80" w:firstLine="1304"/>
        <w:spacing w:after="0" w:line="218" w:lineRule="auto"/>
        <w:tabs>
          <w:tab w:leader="none" w:pos="1729" w:val="left"/>
        </w:tabs>
        <w:numPr>
          <w:ilvl w:val="0"/>
          <w:numId w:val="39"/>
        </w:numPr>
        <w:rPr>
          <w:rFonts w:ascii="Arial" w:cs="Arial" w:eastAsia="Arial" w:hAnsi="Arial"/>
          <w:sz w:val="20"/>
          <w:szCs w:val="20"/>
          <w:color w:val="auto"/>
        </w:rPr>
      </w:pPr>
      <w:r>
        <w:rPr>
          <w:rFonts w:ascii="Arial" w:cs="Arial" w:eastAsia="Arial" w:hAnsi="Arial"/>
          <w:sz w:val="20"/>
          <w:szCs w:val="20"/>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42" w:lineRule="exact"/>
        <w:rPr>
          <w:rFonts w:ascii="Arial" w:cs="Arial" w:eastAsia="Arial" w:hAnsi="Arial"/>
          <w:sz w:val="20"/>
          <w:szCs w:val="20"/>
          <w:color w:val="auto"/>
        </w:rPr>
      </w:pPr>
    </w:p>
    <w:p>
      <w:pPr>
        <w:ind w:left="1700" w:hanging="396"/>
        <w:spacing w:after="0"/>
        <w:tabs>
          <w:tab w:leader="none" w:pos="17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all amendments, renewals and extensions of any of the Copyrights, Trademarks or Patents.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Internal Revenue Code</w:t>
      </w:r>
      <w:r>
        <w:rPr>
          <w:rFonts w:ascii="Arial" w:cs="Arial" w:eastAsia="Arial" w:hAnsi="Arial"/>
          <w:sz w:val="16"/>
          <w:szCs w:val="16"/>
          <w:color w:val="auto"/>
        </w:rPr>
        <w:t>” means the Internal Revenue Code of 1986, as amended, and the Treasury Regulations adopted thereunder.</w:t>
      </w:r>
    </w:p>
    <w:p>
      <w:pPr>
        <w:spacing w:after="0" w:line="20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under the Code,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spacing w:after="0" w:line="137"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Investment</w:t>
      </w:r>
      <w:r>
        <w:rPr>
          <w:rFonts w:ascii="Arial" w:cs="Arial" w:eastAsia="Arial" w:hAnsi="Arial"/>
          <w:sz w:val="20"/>
          <w:szCs w:val="20"/>
          <w:color w:val="auto"/>
        </w:rPr>
        <w:t>” is any beneficial ownership interest in any Person (including stock, partnership interest or other securities), and any loan, advance or capital contribution to any Person.</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IRS</w:t>
      </w:r>
      <w:r>
        <w:rPr>
          <w:rFonts w:ascii="Arial" w:cs="Arial" w:eastAsia="Arial" w:hAnsi="Arial"/>
          <w:sz w:val="20"/>
          <w:szCs w:val="20"/>
          <w:color w:val="auto"/>
        </w:rPr>
        <w:t>” means the United States Internal Revenue Service.</w:t>
      </w:r>
    </w:p>
    <w:p>
      <w:pPr>
        <w:spacing w:after="0" w:line="162"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Key Person</w:t>
      </w:r>
      <w:r>
        <w:rPr>
          <w:rFonts w:ascii="Arial" w:cs="Arial" w:eastAsia="Arial" w:hAnsi="Arial"/>
          <w:sz w:val="20"/>
          <w:szCs w:val="20"/>
          <w:color w:val="auto"/>
        </w:rPr>
        <w:t>” is each of Borrower’s (i) Chief Executive Officer, who is Mike Raab as of the Effective Date and (ii) Chief Financial Officer, who is Justin Renz as of the Effective Date.</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Lender</w:t>
      </w:r>
      <w:r>
        <w:rPr>
          <w:rFonts w:ascii="Arial" w:cs="Arial" w:eastAsia="Arial" w:hAnsi="Arial"/>
          <w:sz w:val="20"/>
          <w:szCs w:val="20"/>
          <w:color w:val="auto"/>
        </w:rPr>
        <w:t>” is any one of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6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Lenders</w:t>
      </w:r>
      <w:r>
        <w:rPr>
          <w:rFonts w:ascii="Arial" w:cs="Arial" w:eastAsia="Arial" w:hAnsi="Arial"/>
          <w:sz w:val="20"/>
          <w:szCs w:val="20"/>
          <w:color w:val="auto"/>
        </w:rPr>
        <w:t xml:space="preserve">” are the Persons identified on </w:t>
      </w:r>
      <w:r>
        <w:rPr>
          <w:rFonts w:ascii="Arial" w:cs="Arial" w:eastAsia="Arial" w:hAnsi="Arial"/>
          <w:sz w:val="20"/>
          <w:szCs w:val="20"/>
          <w:u w:val="single" w:color="auto"/>
          <w:color w:val="auto"/>
        </w:rPr>
        <w:t>Schedule 1.1</w:t>
      </w:r>
      <w:r>
        <w:rPr>
          <w:rFonts w:ascii="Arial" w:cs="Arial" w:eastAsia="Arial" w:hAnsi="Arial"/>
          <w:sz w:val="20"/>
          <w:szCs w:val="20"/>
          <w:color w:val="auto"/>
        </w:rPr>
        <w:t xml:space="preserve"> hereto and each assignee that becomes a party to this Agreement pursuant to Section 12.1.</w:t>
      </w:r>
    </w:p>
    <w:p>
      <w:pPr>
        <w:spacing w:after="0" w:line="12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Lenders’ Expenses</w:t>
      </w:r>
      <w:r>
        <w:rPr>
          <w:rFonts w:ascii="Arial" w:cs="Arial" w:eastAsia="Arial" w:hAnsi="Arial"/>
          <w:sz w:val="19"/>
          <w:szCs w:val="19"/>
          <w:color w:val="auto"/>
        </w:rPr>
        <w:t>” are (a) all reasonable audit fees and expenses, costs, and expenses (including reasonable attorneys’ fees and expenses, as well as appraisal fees, fees incurred on account of lien searches, inspection fees, and filing fees) for preparing, amending, negotiating and administering the Loan Documents, and (b) all fees and expenses (including attorneys’ fees and expenses , as well as appraisal fees, fees incurred on account of lien searches, inspection fees, and filing fees) for defending and enforcing the Loan Documents (including, without limitation, those incurred in connection with appeals or Insolvency Proceedings) or otherwise incurred by Collateral Agent and/or the Lenders in connection with the Loan Documents.</w:t>
      </w:r>
    </w:p>
    <w:p>
      <w:pPr>
        <w:spacing w:after="0" w:line="14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Lien</w:t>
      </w:r>
      <w:r>
        <w:rPr>
          <w:rFonts w:ascii="Arial" w:cs="Arial" w:eastAsia="Arial" w:hAnsi="Arial"/>
          <w:sz w:val="20"/>
          <w:szCs w:val="20"/>
          <w:color w:val="auto"/>
        </w:rPr>
        <w:t>” is a claim, mortgage, deed of trust, levy, charge, pledge, security interest, or other encumbrance of any kind, whether voluntarily incurred or arising by operation of law or otherwise against any property.</w:t>
      </w:r>
    </w:p>
    <w:p>
      <w:pPr>
        <w:spacing w:after="0" w:line="13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the Fee Letter, the Exit Fee Agreement, each Control Agreement, the Perfection Certificates, the Disclosure Schedules, each Compliance Certificate, the ACH Letter, each Loan Payment Request Form, any Guarantees, any subordination agreements, any note, or notes or guaranties executed by Borrower or any other Person, any agreements creating or perfecting rights in the Collateral (including all insurance certificates and endorsements, landlord consents and bailee consents) and any other present or future agreement entered into by Borrower, any Guarantor or any other Person for the benefit of the Lenders and Collateral Agent, as applicable, in connection with this Agreement; all as amended, restated, or otherwise modified.</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Loan Payment Request Form</w:t>
      </w:r>
      <w:r>
        <w:rPr>
          <w:rFonts w:ascii="Arial" w:cs="Arial" w:eastAsia="Arial" w:hAnsi="Arial"/>
          <w:sz w:val="20"/>
          <w:szCs w:val="20"/>
          <w:color w:val="auto"/>
        </w:rPr>
        <w:t xml:space="preserve">” is that certain form attached hereto as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Adverse Change</w:t>
      </w:r>
      <w:r>
        <w:rPr>
          <w:rFonts w:ascii="Arial" w:cs="Arial" w:eastAsia="Arial" w:hAnsi="Arial"/>
          <w:sz w:val="19"/>
          <w:szCs w:val="19"/>
          <w:color w:val="auto"/>
        </w:rPr>
        <w:t>” is (a) a material adverse change in the business, operations or financial condition of Borrower and its Subsidiaries, when taken as a whole; or (b) a material impairment of (i) the ability of Borrower and Guarantors to repay any portion of the Obligations, (ii) the legality, validity or enforceability of any Loan Document, (iii) the rights and remedies of Collateral Agent or Lenders under any Loan Document except as the result of the action or inaction of the Collateral Agent or Lenders or (iv) the validity, perfection or priority of any Lien in favor of Collateral Agent for the benefit of the Secured Parties on any of the Collateral except as the result of the action or inaction of the Collateral Agent or Lenders. For the avoidance of doubt, “Material Adverse Change” shall not include, in and of themselves, the non-occurrence of any of the events described under the “Term B Milestone”.</w:t>
      </w:r>
    </w:p>
    <w:p>
      <w:pPr>
        <w:spacing w:after="0" w:line="136" w:lineRule="exact"/>
        <w:rPr>
          <w:sz w:val="20"/>
          <w:szCs w:val="20"/>
          <w:color w:val="auto"/>
        </w:rPr>
      </w:pPr>
    </w:p>
    <w:p>
      <w:pPr>
        <w:jc w:val="both"/>
        <w:ind w:firstLine="648"/>
        <w:spacing w:after="0" w:line="20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Agreement</w:t>
      </w:r>
      <w:r>
        <w:rPr>
          <w:rFonts w:ascii="Arial" w:cs="Arial" w:eastAsia="Arial" w:hAnsi="Arial"/>
          <w:sz w:val="20"/>
          <w:szCs w:val="20"/>
          <w:color w:val="auto"/>
        </w:rPr>
        <w:t>” is (i) as long as Borrower is a publicly reporting entity under the Securities Exchange Act of 1934, any license, agreement or other contractual arrangement required to be disclosed (including amendments thereto) under regulations promulgated under the Securities Act of 1933 or Securities Exchange Act of 1934, as each may be amended, or (ii) if Borrower is not such a publicly reporting entity, any license, agreement or other contractual arrangement whereby Borrower or any of its Subsidiaries is reasonably likely to be required to transfer, either in-kind or in cash, prior to the Maturity Date, assets or property valued (book or market) at more than One Million Dollars ($1,000,000) per year.</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Maturity Date</w:t>
      </w:r>
      <w:r>
        <w:rPr>
          <w:rFonts w:ascii="Arial" w:cs="Arial" w:eastAsia="Arial" w:hAnsi="Arial"/>
          <w:sz w:val="20"/>
          <w:szCs w:val="20"/>
          <w:color w:val="auto"/>
        </w:rPr>
        <w:t>” is, for each Term Loan, March 1, 2027.</w:t>
      </w:r>
    </w:p>
    <w:p>
      <w:pPr>
        <w:spacing w:after="0" w:line="16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Net Product Revenue</w:t>
      </w:r>
      <w:r>
        <w:rPr>
          <w:rFonts w:ascii="Arial" w:cs="Arial" w:eastAsia="Arial" w:hAnsi="Arial"/>
          <w:sz w:val="19"/>
          <w:szCs w:val="19"/>
          <w:color w:val="auto"/>
        </w:rPr>
        <w:t>” means the revenue, determined in accordance with GAAP, from the sale of any products of Borrower or its Subsidiaries, inclusive of Borrower’s share of sales generated indirectly through the sales of Borrower’s products under any licensing or similar arrangement and which amounts are included in the net product revenue of Borrower in accordance with GAAP.</w:t>
      </w:r>
    </w:p>
    <w:p>
      <w:pPr>
        <w:spacing w:after="0" w:line="136" w:lineRule="exact"/>
        <w:rPr>
          <w:sz w:val="20"/>
          <w:szCs w:val="20"/>
          <w:color w:val="auto"/>
        </w:rPr>
      </w:pPr>
    </w:p>
    <w:p>
      <w:pPr>
        <w:jc w:val="both"/>
        <w:ind w:firstLine="648"/>
        <w:spacing w:after="0" w:line="20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Obligations</w:t>
      </w:r>
      <w:r>
        <w:rPr>
          <w:rFonts w:ascii="Arial" w:cs="Arial" w:eastAsia="Arial" w:hAnsi="Arial"/>
          <w:sz w:val="20"/>
          <w:szCs w:val="20"/>
          <w:color w:val="auto"/>
        </w:rPr>
        <w:t>” are all of Borrower’s obligations to pay when due any debts, principal, interest, Lenders’ Expenses, the Prepayment Premium, all fees under the Fee Letter, and any other amounts Borrower owes the Collateral Agent or the Lenders now or later, in connection with, related to, following, or arising from, out of or under, this Agreement or, the other Loan Documents (other than the Exit Fee Agreement and any fees payable thereunder), and including interest accruing after Insolvency Proceedings begin (whether or not allowed) and debts, liabilities, or obligations of Borrower assigned to the Lenders and/or Collateral Agent in connection with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68"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(other than the Exit Fee Agreement), and the performance of Borrower’s duties under the Loan Documents (other than the Exit Fee Agreement and any fees payable thereunder).</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OFAC</w:t>
      </w:r>
      <w:r>
        <w:rPr>
          <w:rFonts w:ascii="Arial" w:cs="Arial" w:eastAsia="Arial" w:hAnsi="Arial"/>
          <w:sz w:val="20"/>
          <w:szCs w:val="20"/>
          <w:color w:val="auto"/>
        </w:rPr>
        <w:t>” is the U.S. Department of Treasury Office of Foreign Assets Control.</w:t>
      </w:r>
    </w:p>
    <w:p>
      <w:pPr>
        <w:spacing w:after="0" w:line="16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OFAC Lists</w:t>
      </w:r>
      <w:r>
        <w:rPr>
          <w:rFonts w:ascii="Arial" w:cs="Arial" w:eastAsia="Arial" w:hAnsi="Arial"/>
          <w:sz w:val="19"/>
          <w:szCs w:val="19"/>
          <w:color w:val="auto"/>
        </w:rPr>
        <w:t>”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36"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Operating Documents</w:t>
      </w:r>
      <w:r>
        <w:rPr>
          <w:rFonts w:ascii="Arial" w:cs="Arial" w:eastAsia="Arial" w:hAnsi="Arial"/>
          <w:sz w:val="20"/>
          <w:szCs w:val="20"/>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2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Patents</w:t>
      </w:r>
      <w:r>
        <w:rPr>
          <w:rFonts w:ascii="Arial" w:cs="Arial" w:eastAsia="Arial" w:hAnsi="Arial"/>
          <w:sz w:val="20"/>
          <w:szCs w:val="20"/>
          <w:color w:val="auto"/>
        </w:rPr>
        <w:t>” means all patents, patent applications and like protections including without limitation improvements, divisions, continuations, renewals, reissues, extensions and continuations-in-part of the same.</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Payment Date</w:t>
      </w:r>
      <w:r>
        <w:rPr>
          <w:rFonts w:ascii="Arial" w:cs="Arial" w:eastAsia="Arial" w:hAnsi="Arial"/>
          <w:sz w:val="20"/>
          <w:szCs w:val="20"/>
          <w:color w:val="auto"/>
        </w:rPr>
        <w:t>” is the first (1</w:t>
      </w:r>
      <w:r>
        <w:rPr>
          <w:rFonts w:ascii="Arial" w:cs="Arial" w:eastAsia="Arial" w:hAnsi="Arial"/>
          <w:sz w:val="25"/>
          <w:szCs w:val="25"/>
          <w:color w:val="auto"/>
          <w:vertAlign w:val="superscript"/>
        </w:rPr>
        <w:t>st</w:t>
      </w:r>
      <w:r>
        <w:rPr>
          <w:rFonts w:ascii="Arial" w:cs="Arial" w:eastAsia="Arial" w:hAnsi="Arial"/>
          <w:sz w:val="20"/>
          <w:szCs w:val="20"/>
          <w:color w:val="auto"/>
        </w:rPr>
        <w:t>) calendar day of each calendar month, commencing on April 1, 2022.</w:t>
      </w:r>
    </w:p>
    <w:p>
      <w:pPr>
        <w:spacing w:after="0" w:line="104"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Acquisition</w:t>
      </w:r>
      <w:r>
        <w:rPr>
          <w:rFonts w:ascii="Arial" w:cs="Arial" w:eastAsia="Arial" w:hAnsi="Arial"/>
          <w:sz w:val="20"/>
          <w:szCs w:val="20"/>
          <w:color w:val="auto"/>
        </w:rPr>
        <w:t>” means any consensual transaction or series of related transactions for the direct or indirect (a) acquisition of all or substantially all of the property of any Person, or of any business or division of any Person, (b) acquisition of greater than ninety percent (90.0%) of the equity interests of any Person, and otherwise causing such person to become a Subsidiary of such Person, (c) merger or consolidation or any other combination with any Person or (d) the acquisition of any Intellectual Property and related ancillary rights or assets of any person, if each of the following conditions is met:</w:t>
      </w:r>
    </w:p>
    <w:p>
      <w:pPr>
        <w:spacing w:after="0" w:line="129" w:lineRule="exact"/>
        <w:rPr>
          <w:sz w:val="20"/>
          <w:szCs w:val="20"/>
          <w:color w:val="auto"/>
        </w:rPr>
      </w:pPr>
    </w:p>
    <w:p>
      <w:pPr>
        <w:ind w:left="660" w:firstLine="1292"/>
        <w:spacing w:after="0" w:line="229" w:lineRule="auto"/>
        <w:tabs>
          <w:tab w:leader="none" w:pos="2602" w:val="left"/>
        </w:tabs>
        <w:numPr>
          <w:ilvl w:val="0"/>
          <w:numId w:val="40"/>
        </w:numPr>
        <w:rPr>
          <w:rFonts w:ascii="Arial" w:cs="Arial" w:eastAsia="Arial" w:hAnsi="Arial"/>
          <w:sz w:val="20"/>
          <w:szCs w:val="20"/>
          <w:color w:val="auto"/>
        </w:rPr>
      </w:pPr>
      <w:r>
        <w:rPr>
          <w:rFonts w:ascii="Arial" w:cs="Arial" w:eastAsia="Arial" w:hAnsi="Arial"/>
          <w:sz w:val="20"/>
          <w:szCs w:val="20"/>
          <w:color w:val="auto"/>
        </w:rPr>
        <w:t>no Default or Event of Default exists immediately prior thereto, and no Default or Event of Default would immediately result therefrom;</w:t>
      </w:r>
    </w:p>
    <w:p>
      <w:pPr>
        <w:spacing w:after="0" w:line="141" w:lineRule="exact"/>
        <w:rPr>
          <w:rFonts w:ascii="Arial" w:cs="Arial" w:eastAsia="Arial" w:hAnsi="Arial"/>
          <w:sz w:val="20"/>
          <w:szCs w:val="20"/>
          <w:color w:val="auto"/>
        </w:rPr>
      </w:pPr>
    </w:p>
    <w:p>
      <w:pPr>
        <w:jc w:val="both"/>
        <w:ind w:left="660" w:firstLine="1292"/>
        <w:spacing w:after="0" w:line="224" w:lineRule="auto"/>
        <w:tabs>
          <w:tab w:leader="none" w:pos="2603"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Person, business or asset to be acquired (other than non-core assets, if any, with respect to such acquisition) shall be, or shall be engaged in, a business of the type that the Borrower is then permitted to be engaged in and the property acquired in connection with any such transaction shall be made subject to the Lien of the Loan Documents to the extent required in accordance with Section 6.10 and shall be free and clear of any Liens (other than Permitted Liens);</w:t>
      </w:r>
    </w:p>
    <w:p>
      <w:pPr>
        <w:spacing w:after="0" w:line="140" w:lineRule="exact"/>
        <w:rPr>
          <w:rFonts w:ascii="Arial" w:cs="Arial" w:eastAsia="Arial" w:hAnsi="Arial"/>
          <w:sz w:val="19"/>
          <w:szCs w:val="19"/>
          <w:color w:val="auto"/>
        </w:rPr>
      </w:pPr>
    </w:p>
    <w:p>
      <w:pPr>
        <w:ind w:left="2600" w:hanging="648"/>
        <w:spacing w:after="0"/>
        <w:tabs>
          <w:tab w:leader="none" w:pos="2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Borrower shall be, after taking into account the payment of the Acquisition Consideration, in compliance</w:t>
      </w:r>
    </w:p>
    <w:p>
      <w:pPr>
        <w:ind w:left="660"/>
        <w:spacing w:after="0"/>
        <w:rPr>
          <w:rFonts w:ascii="Arial" w:cs="Arial" w:eastAsia="Arial" w:hAnsi="Arial"/>
          <w:sz w:val="18"/>
          <w:szCs w:val="18"/>
          <w:color w:val="auto"/>
        </w:rPr>
      </w:pPr>
      <w:r>
        <w:rPr>
          <w:rFonts w:ascii="Arial" w:cs="Arial" w:eastAsia="Arial" w:hAnsi="Arial"/>
          <w:sz w:val="20"/>
          <w:szCs w:val="20"/>
          <w:color w:val="auto"/>
        </w:rPr>
        <w:t>with Section 7.13;</w:t>
      </w:r>
    </w:p>
    <w:p>
      <w:pPr>
        <w:spacing w:after="0" w:line="132" w:lineRule="exact"/>
        <w:rPr>
          <w:rFonts w:ascii="Arial" w:cs="Arial" w:eastAsia="Arial" w:hAnsi="Arial"/>
          <w:sz w:val="18"/>
          <w:szCs w:val="18"/>
          <w:color w:val="auto"/>
        </w:rPr>
      </w:pPr>
    </w:p>
    <w:p>
      <w:pPr>
        <w:ind w:left="660" w:firstLine="1292"/>
        <w:spacing w:after="0" w:line="229" w:lineRule="auto"/>
        <w:tabs>
          <w:tab w:leader="none" w:pos="2593"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Board of Directors or other governing body of the Person to be acquired shall not have indicated its opposition to the consummation of such acquisition (which opposition has not been publicly withdrawn);</w:t>
      </w:r>
    </w:p>
    <w:p>
      <w:pPr>
        <w:spacing w:after="0" w:line="141" w:lineRule="exact"/>
        <w:rPr>
          <w:rFonts w:ascii="Arial" w:cs="Arial" w:eastAsia="Arial" w:hAnsi="Arial"/>
          <w:sz w:val="20"/>
          <w:szCs w:val="20"/>
          <w:color w:val="auto"/>
        </w:rPr>
      </w:pPr>
    </w:p>
    <w:p>
      <w:pPr>
        <w:ind w:left="660" w:firstLine="1292"/>
        <w:spacing w:after="0" w:line="229" w:lineRule="auto"/>
        <w:tabs>
          <w:tab w:leader="none" w:pos="25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Acquisition Consideration in respect of such acquisition is funded with cash or Permitted Investments of the Borrower or the proceeds of a cash equity contribution to any Borrower;</w:t>
      </w:r>
    </w:p>
    <w:p>
      <w:pPr>
        <w:spacing w:after="0" w:line="141" w:lineRule="exact"/>
        <w:rPr>
          <w:rFonts w:ascii="Arial" w:cs="Arial" w:eastAsia="Arial" w:hAnsi="Arial"/>
          <w:sz w:val="20"/>
          <w:szCs w:val="20"/>
          <w:color w:val="auto"/>
        </w:rPr>
      </w:pPr>
    </w:p>
    <w:p>
      <w:pPr>
        <w:jc w:val="both"/>
        <w:ind w:left="660" w:firstLine="1292"/>
        <w:spacing w:after="0" w:line="218" w:lineRule="auto"/>
        <w:tabs>
          <w:tab w:leader="none" w:pos="2593"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Acquisition Consideration shall not exceed Five Million Dollars ($5,000,000) in the aggregate for all such acquisitions, unless, in each case, funded with the proceeds of an equity contribution or convertible Indebtedness permitted hereunder received by the Borrower;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68" w:lineRule="exact"/>
        <w:rPr>
          <w:sz w:val="20"/>
          <w:szCs w:val="20"/>
          <w:color w:val="auto"/>
        </w:rPr>
      </w:pPr>
    </w:p>
    <w:p>
      <w:pPr>
        <w:jc w:val="both"/>
        <w:ind w:left="660" w:firstLine="1292"/>
        <w:spacing w:after="0" w:line="236" w:lineRule="auto"/>
        <w:tabs>
          <w:tab w:leader="none" w:pos="2593"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a consolidated basis, the Borrower’s and its Subsidiaries’ rate of usage of cash and Cash Equivalents shall not increase as a result of such transaction by more than five percent (5%) over the forecasted rate of usage of cash and Cash Equivalents approved by the Lenders as of the Effective Date; provided that the amount of such increase shall be determined net of any proceeds of equity contributions over the succeeding twenty-four (24) months raised in connection with such acquisition; and</w:t>
      </w:r>
    </w:p>
    <w:p>
      <w:pPr>
        <w:spacing w:after="0" w:line="130" w:lineRule="exact"/>
        <w:rPr>
          <w:rFonts w:ascii="Arial" w:cs="Arial" w:eastAsia="Arial" w:hAnsi="Arial"/>
          <w:sz w:val="18"/>
          <w:szCs w:val="18"/>
          <w:color w:val="auto"/>
        </w:rPr>
      </w:pPr>
    </w:p>
    <w:p>
      <w:pPr>
        <w:jc w:val="both"/>
        <w:ind w:left="660" w:firstLine="1292"/>
        <w:spacing w:after="0" w:line="218" w:lineRule="auto"/>
        <w:tabs>
          <w:tab w:leader="none" w:pos="2595" w:val="left"/>
        </w:tabs>
        <w:numPr>
          <w:ilvl w:val="0"/>
          <w:numId w:val="41"/>
        </w:numPr>
        <w:rPr>
          <w:rFonts w:ascii="Arial" w:cs="Arial" w:eastAsia="Arial" w:hAnsi="Arial"/>
          <w:sz w:val="20"/>
          <w:szCs w:val="20"/>
          <w:color w:val="auto"/>
        </w:rPr>
      </w:pPr>
      <w:r>
        <w:rPr>
          <w:rFonts w:ascii="Arial" w:cs="Arial" w:eastAsia="Arial" w:hAnsi="Arial"/>
          <w:sz w:val="20"/>
          <w:szCs w:val="20"/>
          <w:color w:val="auto"/>
        </w:rPr>
        <w:t>on or prior to the proposed date of consummation of such transaction, the Borrower shall have delivered to the Collateral Agent and the Lenders a certificate of a Responsible Officer of the Borrower certifying that such transaction complies with this definition.</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Indebtedness</w:t>
      </w:r>
      <w:r>
        <w:rPr>
          <w:rFonts w:ascii="Arial" w:cs="Arial" w:eastAsia="Arial" w:hAnsi="Arial"/>
          <w:sz w:val="20"/>
          <w:szCs w:val="20"/>
          <w:color w:val="auto"/>
        </w:rPr>
        <w:t>” is:</w:t>
      </w:r>
    </w:p>
    <w:p>
      <w:pPr>
        <w:spacing w:after="0" w:line="168" w:lineRule="exact"/>
        <w:rPr>
          <w:sz w:val="20"/>
          <w:szCs w:val="20"/>
          <w:color w:val="auto"/>
        </w:rPr>
      </w:pPr>
    </w:p>
    <w:p>
      <w:pPr>
        <w:ind w:left="1720" w:hanging="416"/>
        <w:spacing w:after="0"/>
        <w:tabs>
          <w:tab w:leader="none" w:pos="1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Borrower’s Indebtedness to the Lenders and Collateral Agent under this Agreement and the other Loan Documents;</w:t>
      </w:r>
    </w:p>
    <w:p>
      <w:pPr>
        <w:spacing w:after="0" w:line="171" w:lineRule="exact"/>
        <w:rPr>
          <w:rFonts w:ascii="Arial" w:cs="Arial" w:eastAsia="Arial" w:hAnsi="Arial"/>
          <w:sz w:val="18"/>
          <w:szCs w:val="18"/>
          <w:color w:val="auto"/>
        </w:rPr>
      </w:pPr>
    </w:p>
    <w:p>
      <w:pPr>
        <w:ind w:left="1740" w:hanging="436"/>
        <w:spacing w:after="0"/>
        <w:tabs>
          <w:tab w:leader="none" w:pos="1740"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Indebtedness existing on the Effective Date and disclosed on the Disclosure Schedules;</w:t>
      </w:r>
    </w:p>
    <w:p>
      <w:pPr>
        <w:spacing w:after="0" w:line="161" w:lineRule="exact"/>
        <w:rPr>
          <w:rFonts w:ascii="Arial" w:cs="Arial" w:eastAsia="Arial" w:hAnsi="Arial"/>
          <w:sz w:val="20"/>
          <w:szCs w:val="20"/>
          <w:color w:val="auto"/>
        </w:rPr>
      </w:pPr>
    </w:p>
    <w:p>
      <w:pPr>
        <w:ind w:left="1720" w:hanging="416"/>
        <w:spacing w:after="0"/>
        <w:tabs>
          <w:tab w:leader="none" w:pos="1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Subordinated Debt;</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42"/>
        </w:numPr>
        <w:rPr>
          <w:rFonts w:ascii="Arial" w:cs="Arial" w:eastAsia="Arial" w:hAnsi="Arial"/>
          <w:sz w:val="20"/>
          <w:szCs w:val="20"/>
          <w:color w:val="auto"/>
        </w:rPr>
      </w:pPr>
      <w:r>
        <w:rPr>
          <w:rFonts w:ascii="Arial" w:cs="Arial" w:eastAsia="Arial" w:hAnsi="Arial"/>
          <w:sz w:val="20"/>
          <w:szCs w:val="20"/>
          <w:color w:val="auto"/>
        </w:rPr>
        <w:t>unsecured Indebtedness to trade creditors incurred in the ordinary course of business;</w:t>
      </w:r>
    </w:p>
    <w:p>
      <w:pPr>
        <w:spacing w:after="0" w:line="148" w:lineRule="exact"/>
        <w:rPr>
          <w:rFonts w:ascii="Arial" w:cs="Arial" w:eastAsia="Arial" w:hAnsi="Arial"/>
          <w:sz w:val="20"/>
          <w:szCs w:val="20"/>
          <w:color w:val="auto"/>
        </w:rPr>
      </w:pPr>
    </w:p>
    <w:p>
      <w:pPr>
        <w:ind w:left="1720" w:hanging="416"/>
        <w:spacing w:after="0"/>
        <w:tabs>
          <w:tab w:leader="none" w:pos="1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unsecured Indebtedness in connection with credit cards incurred in the ordinary course of business;</w:t>
      </w:r>
    </w:p>
    <w:p>
      <w:pPr>
        <w:spacing w:after="0" w:line="161" w:lineRule="exact"/>
        <w:rPr>
          <w:rFonts w:ascii="Arial" w:cs="Arial" w:eastAsia="Arial" w:hAnsi="Arial"/>
          <w:sz w:val="20"/>
          <w:szCs w:val="20"/>
          <w:color w:val="auto"/>
        </w:rPr>
      </w:pPr>
    </w:p>
    <w:p>
      <w:pPr>
        <w:jc w:val="both"/>
        <w:ind w:firstLine="1304"/>
        <w:spacing w:after="0" w:line="207" w:lineRule="auto"/>
        <w:tabs>
          <w:tab w:leader="none" w:pos="1779"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Indebtedness consisting of capitalized lease obligations and purchase money Indebtedness, in each case incurred by Borrower or any of its Subsidiaries to finance the acquisition, repair, improvement or construction of fixed or capital assets of such person, provided that (i) the aggregate outstanding principal amount of all such Indebtedness does not exceed Seven Hundred Fifty Thousand Dollars ($750,000) at any time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spacing w:after="0" w:line="146" w:lineRule="exact"/>
        <w:rPr>
          <w:rFonts w:ascii="Arial" w:cs="Arial" w:eastAsia="Arial" w:hAnsi="Arial"/>
          <w:sz w:val="20"/>
          <w:szCs w:val="20"/>
          <w:color w:val="auto"/>
        </w:rPr>
      </w:pPr>
    </w:p>
    <w:p>
      <w:pPr>
        <w:ind w:firstLine="1304"/>
        <w:spacing w:after="0" w:line="229" w:lineRule="auto"/>
        <w:tabs>
          <w:tab w:leader="none" w:pos="1771"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Indebtedness consisting of the obligation to pay rent when due under real property leases entered into in the ordinary course of Borrower’s business;</w:t>
      </w:r>
    </w:p>
    <w:p>
      <w:pPr>
        <w:spacing w:after="0" w:line="126" w:lineRule="exact"/>
        <w:rPr>
          <w:rFonts w:ascii="Arial" w:cs="Arial" w:eastAsia="Arial" w:hAnsi="Arial"/>
          <w:sz w:val="20"/>
          <w:szCs w:val="20"/>
          <w:color w:val="auto"/>
        </w:rPr>
      </w:pPr>
    </w:p>
    <w:p>
      <w:pPr>
        <w:ind w:left="1760" w:hanging="456"/>
        <w:spacing w:after="0"/>
        <w:tabs>
          <w:tab w:leader="none" w:pos="1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unsecured Indebtedness at any time not to exceed Three Hundred Seventy-Five Thousand Dollars ($375,000) in</w:t>
      </w:r>
    </w:p>
    <w:p>
      <w:pPr>
        <w:spacing w:after="0"/>
        <w:rPr>
          <w:rFonts w:ascii="Arial" w:cs="Arial" w:eastAsia="Arial" w:hAnsi="Arial"/>
          <w:sz w:val="18"/>
          <w:szCs w:val="18"/>
          <w:color w:val="auto"/>
        </w:rPr>
      </w:pPr>
      <w:r>
        <w:rPr>
          <w:rFonts w:ascii="Arial" w:cs="Arial" w:eastAsia="Arial" w:hAnsi="Arial"/>
          <w:sz w:val="20"/>
          <w:szCs w:val="20"/>
          <w:color w:val="auto"/>
        </w:rPr>
        <w:t>the aggregate;</w:t>
      </w:r>
    </w:p>
    <w:p>
      <w:pPr>
        <w:spacing w:after="0" w:line="145" w:lineRule="exact"/>
        <w:rPr>
          <w:rFonts w:ascii="Arial" w:cs="Arial" w:eastAsia="Arial" w:hAnsi="Arial"/>
          <w:sz w:val="18"/>
          <w:szCs w:val="18"/>
          <w:color w:val="auto"/>
        </w:rPr>
      </w:pPr>
    </w:p>
    <w:p>
      <w:pPr>
        <w:jc w:val="both"/>
        <w:ind w:firstLine="1304"/>
        <w:spacing w:after="0" w:line="213" w:lineRule="auto"/>
        <w:tabs>
          <w:tab w:leader="none" w:pos="1752" w:val="left"/>
        </w:tabs>
        <w:numPr>
          <w:ilvl w:val="0"/>
          <w:numId w:val="42"/>
        </w:numPr>
        <w:rPr>
          <w:rFonts w:ascii="Arial" w:cs="Arial" w:eastAsia="Arial" w:hAnsi="Arial"/>
          <w:sz w:val="20"/>
          <w:szCs w:val="20"/>
          <w:color w:val="auto"/>
        </w:rPr>
      </w:pPr>
      <w:r>
        <w:rPr>
          <w:rFonts w:ascii="Arial" w:cs="Arial" w:eastAsia="Arial" w:hAnsi="Arial"/>
          <w:sz w:val="20"/>
          <w:szCs w:val="20"/>
          <w:color w:val="auto"/>
        </w:rPr>
        <w:t>reimbursement obligations in respect of letters of credit in the aggregate amount not to exceed (1) One Million Five Hundred Thousand Dollars ($1,500,000) at any time for any letters of credit with a maturity date of six (6) months or less, and (2) Five Hundred Thousand Dollars ($500,000) at any time for any letters of credit with a maturity date of six (6) months or more, in each case as incurred in the ordinary course of business;</w:t>
      </w:r>
    </w:p>
    <w:p>
      <w:pPr>
        <w:spacing w:after="0" w:line="140" w:lineRule="exact"/>
        <w:rPr>
          <w:rFonts w:ascii="Arial" w:cs="Arial" w:eastAsia="Arial" w:hAnsi="Arial"/>
          <w:sz w:val="20"/>
          <w:szCs w:val="20"/>
          <w:color w:val="auto"/>
        </w:rPr>
      </w:pPr>
    </w:p>
    <w:p>
      <w:pPr>
        <w:ind w:left="1780" w:hanging="476"/>
        <w:spacing w:after="0"/>
        <w:tabs>
          <w:tab w:leader="none" w:pos="1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Indebtedness incurred as a result of endorsing negotiable instruments received in the ordinary course of Borrower’s</w:t>
      </w:r>
    </w:p>
    <w:p>
      <w:pPr>
        <w:spacing w:after="0"/>
        <w:rPr>
          <w:rFonts w:ascii="Arial" w:cs="Arial" w:eastAsia="Arial" w:hAnsi="Arial"/>
          <w:sz w:val="18"/>
          <w:szCs w:val="18"/>
          <w:color w:val="auto"/>
        </w:rPr>
      </w:pPr>
      <w:r>
        <w:rPr>
          <w:rFonts w:ascii="Arial" w:cs="Arial" w:eastAsia="Arial" w:hAnsi="Arial"/>
          <w:sz w:val="20"/>
          <w:szCs w:val="20"/>
          <w:color w:val="auto"/>
        </w:rPr>
        <w:t>business;</w:t>
      </w:r>
    </w:p>
    <w:p>
      <w:pPr>
        <w:spacing w:after="0" w:line="130" w:lineRule="exact"/>
        <w:rPr>
          <w:rFonts w:ascii="Arial" w:cs="Arial" w:eastAsia="Arial" w:hAnsi="Arial"/>
          <w:sz w:val="18"/>
          <w:szCs w:val="18"/>
          <w:color w:val="auto"/>
        </w:rPr>
      </w:pPr>
    </w:p>
    <w:p>
      <w:pPr>
        <w:ind w:left="1780" w:hanging="476"/>
        <w:spacing w:after="0"/>
        <w:tabs>
          <w:tab w:leader="none" w:pos="1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Convertible Indebtedness in the aggregate amount not to exceed Two Hundred Million Dollars ($200,000,000) at any</w:t>
      </w:r>
    </w:p>
    <w:p>
      <w:pPr>
        <w:spacing w:after="0"/>
        <w:rPr>
          <w:rFonts w:ascii="Arial" w:cs="Arial" w:eastAsia="Arial" w:hAnsi="Arial"/>
          <w:sz w:val="18"/>
          <w:szCs w:val="18"/>
          <w:color w:val="auto"/>
        </w:rPr>
      </w:pPr>
      <w:r>
        <w:rPr>
          <w:rFonts w:ascii="Arial" w:cs="Arial" w:eastAsia="Arial" w:hAnsi="Arial"/>
          <w:sz w:val="20"/>
          <w:szCs w:val="20"/>
          <w:color w:val="auto"/>
        </w:rPr>
        <w:t>time;</w:t>
      </w:r>
    </w:p>
    <w:p>
      <w:pPr>
        <w:spacing w:after="0" w:line="145" w:lineRule="exact"/>
        <w:rPr>
          <w:rFonts w:ascii="Arial" w:cs="Arial" w:eastAsia="Arial" w:hAnsi="Arial"/>
          <w:sz w:val="18"/>
          <w:szCs w:val="18"/>
          <w:color w:val="auto"/>
        </w:rPr>
      </w:pPr>
    </w:p>
    <w:p>
      <w:pPr>
        <w:ind w:right="20" w:firstLine="1304"/>
        <w:spacing w:after="0" w:line="229" w:lineRule="auto"/>
        <w:tabs>
          <w:tab w:leader="none" w:pos="1697" w:val="left"/>
        </w:tabs>
        <w:numPr>
          <w:ilvl w:val="0"/>
          <w:numId w:val="42"/>
        </w:numPr>
        <w:rPr>
          <w:rFonts w:ascii="Arial" w:cs="Arial" w:eastAsia="Arial" w:hAnsi="Arial"/>
          <w:sz w:val="20"/>
          <w:szCs w:val="20"/>
          <w:color w:val="auto"/>
        </w:rPr>
      </w:pPr>
      <w:r>
        <w:rPr>
          <w:rFonts w:ascii="Arial" w:cs="Arial" w:eastAsia="Arial" w:hAnsi="Arial"/>
          <w:sz w:val="20"/>
          <w:szCs w:val="20"/>
          <w:color w:val="auto"/>
        </w:rPr>
        <w:t>Hedges and similar transactions with respect to currency risk entered into in the ordinary course of business and not for speculative purposes;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68" w:lineRule="exact"/>
        <w:rPr>
          <w:sz w:val="20"/>
          <w:szCs w:val="20"/>
          <w:color w:val="auto"/>
        </w:rPr>
      </w:pPr>
    </w:p>
    <w:p>
      <w:pPr>
        <w:ind w:firstLine="1304"/>
        <w:spacing w:after="0" w:line="229" w:lineRule="auto"/>
        <w:tabs>
          <w:tab w:leader="none" w:pos="1802" w:val="left"/>
        </w:tabs>
        <w:numPr>
          <w:ilvl w:val="0"/>
          <w:numId w:val="43"/>
        </w:numPr>
        <w:rPr>
          <w:rFonts w:ascii="Arial" w:cs="Arial" w:eastAsia="Arial" w:hAnsi="Arial"/>
          <w:sz w:val="20"/>
          <w:szCs w:val="20"/>
          <w:color w:val="auto"/>
        </w:rPr>
      </w:pPr>
      <w:r>
        <w:rPr>
          <w:rFonts w:ascii="Arial" w:cs="Arial" w:eastAsia="Arial" w:hAnsi="Arial"/>
          <w:sz w:val="20"/>
          <w:szCs w:val="20"/>
          <w:color w:val="auto"/>
        </w:rPr>
        <w:t>Surety bonds and similar Indebtedness entered into in the ordinary course of business and in an amount not exceeding Two Hundred Fifty Thousand Dollars ($250,000) outstanding at any time;</w:t>
      </w:r>
    </w:p>
    <w:p>
      <w:pPr>
        <w:spacing w:after="0" w:line="128" w:lineRule="exact"/>
        <w:rPr>
          <w:rFonts w:ascii="Arial" w:cs="Arial" w:eastAsia="Arial" w:hAnsi="Arial"/>
          <w:sz w:val="20"/>
          <w:szCs w:val="20"/>
          <w:color w:val="auto"/>
        </w:rPr>
      </w:pPr>
    </w:p>
    <w:p>
      <w:pPr>
        <w:jc w:val="both"/>
        <w:ind w:firstLine="1304"/>
        <w:spacing w:after="0" w:line="213" w:lineRule="auto"/>
        <w:tabs>
          <w:tab w:leader="none" w:pos="1819" w:val="left"/>
        </w:tabs>
        <w:numPr>
          <w:ilvl w:val="0"/>
          <w:numId w:val="43"/>
        </w:numPr>
        <w:rPr>
          <w:rFonts w:ascii="Arial" w:cs="Arial" w:eastAsia="Arial" w:hAnsi="Arial"/>
          <w:sz w:val="20"/>
          <w:szCs w:val="20"/>
          <w:color w:val="auto"/>
        </w:rPr>
      </w:pPr>
      <w:r>
        <w:rPr>
          <w:rFonts w:ascii="Arial" w:cs="Arial" w:eastAsia="Arial" w:hAnsi="Arial"/>
          <w:sz w:val="20"/>
          <w:szCs w:val="20"/>
          <w:color w:val="auto"/>
        </w:rPr>
        <w:t>“earnouts”, purchase price adjustments, profit sharing arrangements, deferred purchase money amounts and similar payment obligations or continuing obligations of any nature of such Person arising out of purchase and sale contracts (including any indemnification and other similar obligations incurred in an acquisition), in each case subject to the limitations in the definition of “Permitted Acquisition”;</w:t>
      </w:r>
    </w:p>
    <w:p>
      <w:pPr>
        <w:spacing w:after="0" w:line="142" w:lineRule="exact"/>
        <w:rPr>
          <w:rFonts w:ascii="Arial" w:cs="Arial" w:eastAsia="Arial" w:hAnsi="Arial"/>
          <w:sz w:val="20"/>
          <w:szCs w:val="20"/>
          <w:color w:val="auto"/>
        </w:rPr>
      </w:pPr>
    </w:p>
    <w:p>
      <w:pPr>
        <w:ind w:left="1740" w:hanging="436"/>
        <w:spacing w:after="0"/>
        <w:tabs>
          <w:tab w:leader="none" w:pos="17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advances or deposits received in the ordinary course of business from customers or vendors;</w:t>
      </w:r>
    </w:p>
    <w:p>
      <w:pPr>
        <w:spacing w:after="0" w:line="161" w:lineRule="exact"/>
        <w:rPr>
          <w:rFonts w:ascii="Arial" w:cs="Arial" w:eastAsia="Arial" w:hAnsi="Arial"/>
          <w:sz w:val="20"/>
          <w:szCs w:val="20"/>
          <w:color w:val="auto"/>
        </w:rPr>
      </w:pPr>
    </w:p>
    <w:p>
      <w:pPr>
        <w:ind w:firstLine="1304"/>
        <w:spacing w:after="0" w:line="229" w:lineRule="auto"/>
        <w:tabs>
          <w:tab w:leader="none" w:pos="1881" w:val="left"/>
        </w:tabs>
        <w:numPr>
          <w:ilvl w:val="0"/>
          <w:numId w:val="43"/>
        </w:numPr>
        <w:rPr>
          <w:rFonts w:ascii="Arial" w:cs="Arial" w:eastAsia="Arial" w:hAnsi="Arial"/>
          <w:sz w:val="20"/>
          <w:szCs w:val="20"/>
          <w:color w:val="auto"/>
        </w:rPr>
      </w:pPr>
      <w:r>
        <w:rPr>
          <w:rFonts w:ascii="Arial" w:cs="Arial" w:eastAsia="Arial" w:hAnsi="Arial"/>
          <w:sz w:val="20"/>
          <w:szCs w:val="20"/>
          <w:color w:val="auto"/>
        </w:rPr>
        <w:t>Indebtedness arising in connection with the financing of insurance premiums in an amount not exceeding Fifty Thousand Dollars ($50,000) outstanding at any time;</w:t>
      </w:r>
    </w:p>
    <w:p>
      <w:pPr>
        <w:spacing w:after="0" w:line="128" w:lineRule="exact"/>
        <w:rPr>
          <w:rFonts w:ascii="Arial" w:cs="Arial" w:eastAsia="Arial" w:hAnsi="Arial"/>
          <w:sz w:val="20"/>
          <w:szCs w:val="20"/>
          <w:color w:val="auto"/>
        </w:rPr>
      </w:pPr>
    </w:p>
    <w:p>
      <w:pPr>
        <w:ind w:left="1740" w:hanging="436"/>
        <w:spacing w:after="0"/>
        <w:tabs>
          <w:tab w:leader="none" w:pos="17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Indebtedness incurred in the Permitted Royalty Transaction; and</w:t>
      </w:r>
    </w:p>
    <w:p>
      <w:pPr>
        <w:spacing w:after="0" w:line="161" w:lineRule="exact"/>
        <w:rPr>
          <w:rFonts w:ascii="Arial" w:cs="Arial" w:eastAsia="Arial" w:hAnsi="Arial"/>
          <w:sz w:val="20"/>
          <w:szCs w:val="20"/>
          <w:color w:val="auto"/>
        </w:rPr>
      </w:pPr>
    </w:p>
    <w:p>
      <w:pPr>
        <w:jc w:val="both"/>
        <w:ind w:firstLine="1304"/>
        <w:spacing w:after="0" w:line="218" w:lineRule="auto"/>
        <w:tabs>
          <w:tab w:leader="none" w:pos="1830" w:val="left"/>
        </w:tabs>
        <w:numPr>
          <w:ilvl w:val="0"/>
          <w:numId w:val="43"/>
        </w:numPr>
        <w:rPr>
          <w:rFonts w:ascii="Arial" w:cs="Arial" w:eastAsia="Arial" w:hAnsi="Arial"/>
          <w:sz w:val="20"/>
          <w:szCs w:val="20"/>
          <w:color w:val="auto"/>
        </w:rPr>
      </w:pPr>
      <w:r>
        <w:rPr>
          <w:rFonts w:ascii="Arial" w:cs="Arial" w:eastAsia="Arial" w:hAnsi="Arial"/>
          <w:sz w:val="20"/>
          <w:szCs w:val="20"/>
          <w:color w:val="auto"/>
        </w:rPr>
        <w:t>extensions, refinancings, modifications, amendments and restatements of any items of Permitted Indebtedness (a) through (q) above, provided that the principal amount thereof is not increased or the terms thereof are not modified to impose materially more burdensome terms upon Borrower, or its Subsidiary, as the case may be.</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Investments</w:t>
      </w:r>
      <w:r>
        <w:rPr>
          <w:rFonts w:ascii="Arial" w:cs="Arial" w:eastAsia="Arial" w:hAnsi="Arial"/>
          <w:sz w:val="20"/>
          <w:szCs w:val="20"/>
          <w:color w:val="auto"/>
        </w:rPr>
        <w:t>” are:</w:t>
      </w:r>
    </w:p>
    <w:p>
      <w:pPr>
        <w:spacing w:after="0" w:line="154" w:lineRule="exact"/>
        <w:rPr>
          <w:sz w:val="20"/>
          <w:szCs w:val="20"/>
          <w:color w:val="auto"/>
        </w:rPr>
      </w:pPr>
    </w:p>
    <w:p>
      <w:pPr>
        <w:ind w:left="1720" w:hanging="416"/>
        <w:spacing w:after="0"/>
        <w:tabs>
          <w:tab w:leader="none" w:pos="1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Investments disclosed on the Disclosure Schedules and existing on the Effective Date;</w:t>
      </w:r>
    </w:p>
    <w:p>
      <w:pPr>
        <w:spacing w:after="0" w:line="161" w:lineRule="exact"/>
        <w:rPr>
          <w:rFonts w:ascii="Arial" w:cs="Arial" w:eastAsia="Arial" w:hAnsi="Arial"/>
          <w:sz w:val="20"/>
          <w:szCs w:val="20"/>
          <w:color w:val="auto"/>
        </w:rPr>
      </w:pPr>
    </w:p>
    <w:p>
      <w:pPr>
        <w:jc w:val="both"/>
        <w:ind w:firstLine="1304"/>
        <w:spacing w:after="0" w:line="218" w:lineRule="auto"/>
        <w:tabs>
          <w:tab w:leader="none" w:pos="1753" w:val="left"/>
        </w:tabs>
        <w:numPr>
          <w:ilvl w:val="0"/>
          <w:numId w:val="44"/>
        </w:numPr>
        <w:rPr>
          <w:rFonts w:ascii="Arial" w:cs="Arial" w:eastAsia="Arial" w:hAnsi="Arial"/>
          <w:sz w:val="20"/>
          <w:szCs w:val="20"/>
          <w:color w:val="auto"/>
        </w:rPr>
      </w:pPr>
      <w:r>
        <w:rPr>
          <w:rFonts w:ascii="Arial" w:cs="Arial" w:eastAsia="Arial" w:hAnsi="Arial"/>
          <w:sz w:val="20"/>
          <w:szCs w:val="20"/>
          <w:color w:val="auto"/>
        </w:rPr>
        <w:t>(i) Investments consisting of cash and Cash Equivalents, and (ii) any Investments permitted by Borrower’s investment policy, as amended from time to time, provided that such investment policy (and any such amendment thereto) has been approved in writing by Collateral Agent;</w:t>
      </w:r>
    </w:p>
    <w:p>
      <w:pPr>
        <w:spacing w:after="0" w:line="142" w:lineRule="exact"/>
        <w:rPr>
          <w:rFonts w:ascii="Arial" w:cs="Arial" w:eastAsia="Arial" w:hAnsi="Arial"/>
          <w:sz w:val="20"/>
          <w:szCs w:val="20"/>
          <w:color w:val="auto"/>
        </w:rPr>
      </w:pPr>
    </w:p>
    <w:p>
      <w:pPr>
        <w:ind w:firstLine="1304"/>
        <w:spacing w:after="0" w:line="229" w:lineRule="auto"/>
        <w:tabs>
          <w:tab w:leader="none" w:pos="1739"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Investments consisting of the endorsement of negotiable instruments for deposit or collection or similar transactions in the ordinary course of Borrower;</w:t>
      </w:r>
    </w:p>
    <w:p>
      <w:pPr>
        <w:spacing w:after="0" w:line="128" w:lineRule="exact"/>
        <w:rPr>
          <w:rFonts w:ascii="Arial" w:cs="Arial" w:eastAsia="Arial" w:hAnsi="Arial"/>
          <w:sz w:val="20"/>
          <w:szCs w:val="20"/>
          <w:color w:val="auto"/>
        </w:rPr>
      </w:pPr>
    </w:p>
    <w:p>
      <w:pPr>
        <w:ind w:firstLine="1304"/>
        <w:spacing w:after="0" w:line="229" w:lineRule="auto"/>
        <w:tabs>
          <w:tab w:leader="none" w:pos="1737"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Investments consisting of Deposit Accounts in which Collateral Agent has a perfected Lien (subject to the terms of this Agreement) for the ratable benefit of the Secured Parties except as permitted in Section 6.6 hereof;</w:t>
      </w:r>
    </w:p>
    <w:p>
      <w:pPr>
        <w:spacing w:after="0" w:line="141" w:lineRule="exact"/>
        <w:rPr>
          <w:rFonts w:ascii="Arial" w:cs="Arial" w:eastAsia="Arial" w:hAnsi="Arial"/>
          <w:sz w:val="20"/>
          <w:szCs w:val="20"/>
          <w:color w:val="auto"/>
        </w:rPr>
      </w:pPr>
    </w:p>
    <w:p>
      <w:pPr>
        <w:ind w:left="1720" w:hanging="416"/>
        <w:spacing w:after="0"/>
        <w:tabs>
          <w:tab w:leader="none" w:pos="1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Investments in connection with Permitted Indebtedness, Permitted Liens and with Transfers permitted by Section 7.1;</w:t>
      </w:r>
    </w:p>
    <w:p>
      <w:pPr>
        <w:spacing w:after="0" w:line="184" w:lineRule="exact"/>
        <w:rPr>
          <w:rFonts w:ascii="Arial" w:cs="Arial" w:eastAsia="Arial" w:hAnsi="Arial"/>
          <w:sz w:val="18"/>
          <w:szCs w:val="18"/>
          <w:color w:val="auto"/>
        </w:rPr>
      </w:pPr>
    </w:p>
    <w:p>
      <w:pPr>
        <w:jc w:val="both"/>
        <w:ind w:firstLine="1304"/>
        <w:spacing w:after="0" w:line="213" w:lineRule="auto"/>
        <w:tabs>
          <w:tab w:leader="none" w:pos="1721"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not to exceed Two Hundred Thousand Dollars ($200,000) in the aggregate for (i) and (ii) in any fiscal year;</w:t>
      </w:r>
    </w:p>
    <w:p>
      <w:pPr>
        <w:spacing w:after="0" w:line="128" w:lineRule="exact"/>
        <w:rPr>
          <w:rFonts w:ascii="Arial" w:cs="Arial" w:eastAsia="Arial" w:hAnsi="Arial"/>
          <w:sz w:val="20"/>
          <w:szCs w:val="20"/>
          <w:color w:val="auto"/>
        </w:rPr>
      </w:pPr>
    </w:p>
    <w:p>
      <w:pPr>
        <w:jc w:val="both"/>
        <w:ind w:firstLine="1304"/>
        <w:spacing w:after="0" w:line="218" w:lineRule="auto"/>
        <w:tabs>
          <w:tab w:leader="none" w:pos="1758"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42" w:lineRule="exact"/>
        <w:rPr>
          <w:rFonts w:ascii="Arial" w:cs="Arial" w:eastAsia="Arial" w:hAnsi="Arial"/>
          <w:sz w:val="20"/>
          <w:szCs w:val="20"/>
          <w:color w:val="auto"/>
        </w:rPr>
      </w:pPr>
    </w:p>
    <w:p>
      <w:pPr>
        <w:jc w:val="both"/>
        <w:ind w:firstLine="1304"/>
        <w:spacing w:after="0" w:line="218" w:lineRule="auto"/>
        <w:tabs>
          <w:tab w:leader="none" w:pos="187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Investments consisting of notes receivable of, or prepaid royalties and other credit extensions, to customers and suppliers who are not Affiliates, in the ordinary course of business; provided that this paragraph (h) shall not apply to Investments of Borrower in any Subsidiary;</w:t>
      </w:r>
    </w:p>
    <w:p>
      <w:pPr>
        <w:spacing w:after="0" w:line="142" w:lineRule="exact"/>
        <w:rPr>
          <w:rFonts w:ascii="Arial" w:cs="Arial" w:eastAsia="Arial" w:hAnsi="Arial"/>
          <w:sz w:val="20"/>
          <w:szCs w:val="20"/>
          <w:color w:val="auto"/>
        </w:rPr>
      </w:pPr>
    </w:p>
    <w:p>
      <w:pPr>
        <w:ind w:left="1680" w:hanging="376"/>
        <w:spacing w:after="0"/>
        <w:tabs>
          <w:tab w:leader="none" w:pos="16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Investments in Subsidiaries that are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68" w:lineRule="exact"/>
        <w:rPr>
          <w:sz w:val="20"/>
          <w:szCs w:val="20"/>
          <w:color w:val="auto"/>
        </w:rPr>
      </w:pPr>
    </w:p>
    <w:p>
      <w:pPr>
        <w:ind w:firstLine="1304"/>
        <w:spacing w:after="0" w:line="229" w:lineRule="auto"/>
        <w:tabs>
          <w:tab w:leader="none" w:pos="1745" w:val="left"/>
        </w:tabs>
        <w:numPr>
          <w:ilvl w:val="0"/>
          <w:numId w:val="45"/>
        </w:numPr>
        <w:rPr>
          <w:rFonts w:ascii="Arial" w:cs="Arial" w:eastAsia="Arial" w:hAnsi="Arial"/>
          <w:sz w:val="20"/>
          <w:szCs w:val="20"/>
          <w:color w:val="auto"/>
        </w:rPr>
      </w:pPr>
      <w:r>
        <w:rPr>
          <w:rFonts w:ascii="Arial" w:cs="Arial" w:eastAsia="Arial" w:hAnsi="Arial"/>
          <w:sz w:val="20"/>
          <w:szCs w:val="20"/>
          <w:color w:val="auto"/>
        </w:rPr>
        <w:t>Investments in Subsidiaries that are not Guarantors, the aggregate of which shall not exceed One Hundred Thousand Dollars ($100,000) per fiscal year;</w:t>
      </w:r>
    </w:p>
    <w:p>
      <w:pPr>
        <w:spacing w:after="0" w:line="128" w:lineRule="exact"/>
        <w:rPr>
          <w:rFonts w:ascii="Arial" w:cs="Arial" w:eastAsia="Arial" w:hAnsi="Arial"/>
          <w:sz w:val="20"/>
          <w:szCs w:val="20"/>
          <w:color w:val="auto"/>
        </w:rPr>
      </w:pPr>
    </w:p>
    <w:p>
      <w:pPr>
        <w:ind w:left="1740" w:hanging="436"/>
        <w:spacing w:after="0"/>
        <w:tabs>
          <w:tab w:leader="none" w:pos="17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Permitted Acquisitions;</w:t>
      </w:r>
    </w:p>
    <w:p>
      <w:pPr>
        <w:spacing w:after="0" w:line="161" w:lineRule="exact"/>
        <w:rPr>
          <w:rFonts w:ascii="Arial" w:cs="Arial" w:eastAsia="Arial" w:hAnsi="Arial"/>
          <w:sz w:val="20"/>
          <w:szCs w:val="20"/>
          <w:color w:val="auto"/>
        </w:rPr>
      </w:pPr>
    </w:p>
    <w:p>
      <w:pPr>
        <w:jc w:val="both"/>
        <w:ind w:firstLine="1304"/>
        <w:spacing w:after="0" w:line="210" w:lineRule="auto"/>
        <w:tabs>
          <w:tab w:leader="none" w:pos="1807" w:val="left"/>
        </w:tabs>
        <w:numPr>
          <w:ilvl w:val="0"/>
          <w:numId w:val="45"/>
        </w:numPr>
        <w:rPr>
          <w:rFonts w:ascii="Arial" w:cs="Arial" w:eastAsia="Arial" w:hAnsi="Arial"/>
          <w:sz w:val="20"/>
          <w:szCs w:val="20"/>
          <w:color w:val="auto"/>
        </w:rPr>
      </w:pPr>
      <w:r>
        <w:rPr>
          <w:rFonts w:ascii="Arial" w:cs="Arial" w:eastAsia="Arial" w:hAnsi="Arial"/>
          <w:sz w:val="20"/>
          <w:szCs w:val="20"/>
          <w:color w:val="auto"/>
        </w:rPr>
        <w:t>Investments in joint ventures, corporate collaborations, or strategic alliances in the ordinary course of Borrower’s business consisting of the licensing of technology (in compliance with the definition of “Permitted Licenses”), the development of technology or the providing of technical support and provided that the aggregate amount for cash consideration for all such Investments cannot exceed Two Hundred Fifty Thousand Dollars ($250,000) per year and Seven Hundred Fifty Thousand Dollars ($750,000) in the aggregate; and</w:t>
      </w:r>
    </w:p>
    <w:p>
      <w:pPr>
        <w:spacing w:after="0" w:line="141" w:lineRule="exact"/>
        <w:rPr>
          <w:rFonts w:ascii="Arial" w:cs="Arial" w:eastAsia="Arial" w:hAnsi="Arial"/>
          <w:sz w:val="20"/>
          <w:szCs w:val="20"/>
          <w:color w:val="auto"/>
        </w:rPr>
      </w:pPr>
    </w:p>
    <w:p>
      <w:pPr>
        <w:ind w:left="1780" w:hanging="476"/>
        <w:spacing w:after="0"/>
        <w:tabs>
          <w:tab w:leader="none" w:pos="1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Investments not to exceed One Hundred Thousand Dollars ($100,000) in the aggregate outstanding at any time.</w:t>
      </w:r>
    </w:p>
    <w:p>
      <w:pPr>
        <w:spacing w:after="0" w:line="165"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Licenses</w:t>
      </w:r>
      <w:r>
        <w:rPr>
          <w:rFonts w:ascii="Arial" w:cs="Arial" w:eastAsia="Arial" w:hAnsi="Arial"/>
          <w:sz w:val="18"/>
          <w:szCs w:val="18"/>
          <w:color w:val="auto"/>
        </w:rPr>
        <w:t xml:space="preserve">” are (A) licenses of over-the-counter software that is commercially available to the public, (B) non-exclusive licenses for the use of the Intellectual Property of Borrower or any of its Subsidiaries entered into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each such license described in clause (B), the license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(C) exclusive licenses for the use of the Intellectual Property of Borrower or any of its Subsidiaries entered into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each such license described in this clause (C), the license (i)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(ii) is limited in territory with respect to a specific geographic country or region (i.e. Japan, Germany, northern China) outside of the United States, and (iii) Borrower has used commercially reasonable efforts to obtain the consent and acknowledgment of the counterparty to such license for the collateral assignment of such license to the Collateral Agent for the benefit of the Lenders, </w:t>
      </w:r>
      <w:r>
        <w:rPr>
          <w:rFonts w:ascii="Arial" w:cs="Arial" w:eastAsia="Arial" w:hAnsi="Arial"/>
          <w:sz w:val="16"/>
          <w:szCs w:val="16"/>
          <w:color w:val="auto"/>
        </w:rPr>
        <w:t>(D) exclusive</w:t>
      </w:r>
    </w:p>
    <w:p>
      <w:pPr>
        <w:jc w:val="both"/>
        <w:spacing w:after="0" w:line="222" w:lineRule="auto"/>
        <w:rPr>
          <w:sz w:val="20"/>
          <w:szCs w:val="20"/>
          <w:color w:val="auto"/>
        </w:rPr>
      </w:pPr>
      <w:r>
        <w:rPr>
          <w:rFonts w:ascii="Arial" w:cs="Arial" w:eastAsia="Arial" w:hAnsi="Arial"/>
          <w:sz w:val="18"/>
          <w:szCs w:val="18"/>
          <w:color w:val="auto"/>
        </w:rPr>
        <w:t xml:space="preserve">licenses for the use of the Intellectual Property of Borrower or any of its Subsidiaries (excluding such Intellectual Property related to treatment of Hyperphosphatemia) in the United States entered into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each such license described in this clause (D), the license (i)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(ii) Borrower has used commercially reasonable efforts to obtain the consent and acknowledgment of the counterparty to such license for the collateral assignment of such license to the Collateral Agent for the benefit of the Lenders, and (iii) Borrower shall have obtained the prior written consent of the Required Lenders to enter into such license, (E) exclusive licenses for the use in the United States of the Intellectual Property of Borrower or any of its Subsidiaries related to treatment of Hyperphosphatemia entered into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each such license described in this clause (E), the Borrower shall have obtained the prior written consent of the Required Lenders to enter into such license, and (F) licenses in connection with the Borrower’s TGR5 and FXR programs.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Liens</w:t>
      </w:r>
      <w:r>
        <w:rPr>
          <w:rFonts w:ascii="Arial" w:cs="Arial" w:eastAsia="Arial" w:hAnsi="Arial"/>
          <w:sz w:val="20"/>
          <w:szCs w:val="20"/>
          <w:color w:val="auto"/>
        </w:rPr>
        <w:t>” are:</w:t>
      </w:r>
    </w:p>
    <w:p>
      <w:pPr>
        <w:spacing w:after="0" w:line="168" w:lineRule="exact"/>
        <w:rPr>
          <w:sz w:val="20"/>
          <w:szCs w:val="20"/>
          <w:color w:val="auto"/>
        </w:rPr>
      </w:pPr>
    </w:p>
    <w:p>
      <w:pPr>
        <w:ind w:firstLine="1304"/>
        <w:spacing w:after="0" w:line="229" w:lineRule="auto"/>
        <w:tabs>
          <w:tab w:leader="none" w:pos="1726" w:val="left"/>
        </w:tabs>
        <w:numPr>
          <w:ilvl w:val="0"/>
          <w:numId w:val="46"/>
        </w:numPr>
        <w:rPr>
          <w:rFonts w:ascii="Arial" w:cs="Arial" w:eastAsia="Arial" w:hAnsi="Arial"/>
          <w:sz w:val="20"/>
          <w:szCs w:val="20"/>
          <w:color w:val="auto"/>
        </w:rPr>
      </w:pPr>
      <w:r>
        <w:rPr>
          <w:rFonts w:ascii="Arial" w:cs="Arial" w:eastAsia="Arial" w:hAnsi="Arial"/>
          <w:sz w:val="20"/>
          <w:szCs w:val="20"/>
          <w:color w:val="auto"/>
        </w:rPr>
        <w:t>Liens existing on the Effective Date and disclosed on the Disclosure Schedules or arising under this Agreement and the other Loan Documents;</w:t>
      </w:r>
    </w:p>
    <w:p>
      <w:pPr>
        <w:spacing w:after="0" w:line="128" w:lineRule="exact"/>
        <w:rPr>
          <w:rFonts w:ascii="Arial" w:cs="Arial" w:eastAsia="Arial" w:hAnsi="Arial"/>
          <w:sz w:val="20"/>
          <w:szCs w:val="20"/>
          <w:color w:val="auto"/>
        </w:rPr>
      </w:pPr>
    </w:p>
    <w:p>
      <w:pPr>
        <w:jc w:val="both"/>
        <w:ind w:firstLine="1304"/>
        <w:spacing w:after="0" w:line="213" w:lineRule="auto"/>
        <w:tabs>
          <w:tab w:leader="none" w:pos="1793" w:val="left"/>
        </w:tabs>
        <w:numPr>
          <w:ilvl w:val="0"/>
          <w:numId w:val="46"/>
        </w:numPr>
        <w:rPr>
          <w:rFonts w:ascii="Arial" w:cs="Arial" w:eastAsia="Arial" w:hAnsi="Arial"/>
          <w:sz w:val="20"/>
          <w:szCs w:val="20"/>
          <w:color w:val="auto"/>
        </w:rPr>
      </w:pPr>
      <w:r>
        <w:rPr>
          <w:rFonts w:ascii="Arial" w:cs="Arial" w:eastAsia="Arial" w:hAnsi="Arial"/>
          <w:sz w:val="20"/>
          <w:szCs w:val="20"/>
          <w:color w:val="auto"/>
        </w:rPr>
        <w:t>Liens for taxes, fees, assessments or other government charges or levies, either (i) not due and payable or (ii) being contested in good faith and for which Borrower maintains adequate reserves on its Books in accordance with GAAP, provided that no notice of any such Lien has been filed or recorded in favor of the United States Treasury in accordance with the applicable provisions of the Internal Revenue Code;</w:t>
      </w:r>
    </w:p>
    <w:p>
      <w:pPr>
        <w:spacing w:after="0" w:line="142" w:lineRule="exact"/>
        <w:rPr>
          <w:rFonts w:ascii="Arial" w:cs="Arial" w:eastAsia="Arial" w:hAnsi="Arial"/>
          <w:sz w:val="20"/>
          <w:szCs w:val="20"/>
          <w:color w:val="auto"/>
        </w:rPr>
      </w:pPr>
    </w:p>
    <w:p>
      <w:pPr>
        <w:ind w:firstLine="1304"/>
        <w:spacing w:after="0" w:line="229" w:lineRule="auto"/>
        <w:tabs>
          <w:tab w:leader="none" w:pos="1750" w:val="left"/>
        </w:tabs>
        <w:numPr>
          <w:ilvl w:val="0"/>
          <w:numId w:val="46"/>
        </w:numPr>
        <w:rPr>
          <w:rFonts w:ascii="Arial" w:cs="Arial" w:eastAsia="Arial" w:hAnsi="Arial"/>
          <w:sz w:val="20"/>
          <w:szCs w:val="20"/>
          <w:color w:val="auto"/>
        </w:rPr>
      </w:pPr>
      <w:r>
        <w:rPr>
          <w:rFonts w:ascii="Arial" w:cs="Arial" w:eastAsia="Arial" w:hAnsi="Arial"/>
          <w:sz w:val="20"/>
          <w:szCs w:val="20"/>
          <w:color w:val="auto"/>
        </w:rPr>
        <w:t>Liens securing Indebtedness permitted under clause (f) of the definition of “Permitted Indebtedness,” provided that (i) such liens exist prior to the acquisition of, or attach</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68"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substantially simultaneous with, or within twenty (20) days after the, acquisition, lease, repair, improvement or construction of, such property financed or leased by such Indebtedness and (ii) such liens do not extend to any property of Borrower other than the property (and proceeds thereof) acquired, leased or built, or the improvements or repairs, financed by such Indebtedness;</w:t>
      </w:r>
    </w:p>
    <w:p>
      <w:pPr>
        <w:spacing w:after="0" w:line="129" w:lineRule="exact"/>
        <w:rPr>
          <w:sz w:val="20"/>
          <w:szCs w:val="20"/>
          <w:color w:val="auto"/>
        </w:rPr>
      </w:pPr>
    </w:p>
    <w:p>
      <w:pPr>
        <w:jc w:val="both"/>
        <w:ind w:firstLine="1304"/>
        <w:spacing w:after="0" w:line="236" w:lineRule="auto"/>
        <w:tabs>
          <w:tab w:leader="none" w:pos="1737"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Two Hundred Fifty Thousand Dollars ($250,000),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44" w:lineRule="exact"/>
        <w:rPr>
          <w:rFonts w:ascii="Arial" w:cs="Arial" w:eastAsia="Arial" w:hAnsi="Arial"/>
          <w:sz w:val="18"/>
          <w:szCs w:val="18"/>
          <w:color w:val="auto"/>
        </w:rPr>
      </w:pPr>
    </w:p>
    <w:p>
      <w:pPr>
        <w:ind w:firstLine="1304"/>
        <w:spacing w:after="0" w:line="229" w:lineRule="auto"/>
        <w:tabs>
          <w:tab w:leader="none" w:pos="1737" w:val="left"/>
        </w:tabs>
        <w:numPr>
          <w:ilvl w:val="0"/>
          <w:numId w:val="47"/>
        </w:numPr>
        <w:rPr>
          <w:rFonts w:ascii="Arial" w:cs="Arial" w:eastAsia="Arial" w:hAnsi="Arial"/>
          <w:sz w:val="20"/>
          <w:szCs w:val="20"/>
          <w:color w:val="auto"/>
        </w:rPr>
      </w:pPr>
      <w:r>
        <w:rPr>
          <w:rFonts w:ascii="Arial" w:cs="Arial" w:eastAsia="Arial" w:hAnsi="Arial"/>
          <w:sz w:val="20"/>
          <w:szCs w:val="20"/>
          <w:color w:val="auto"/>
        </w:rPr>
        <w:t>Liens to secure payment of workers’ compensation, employment insurance, old-age pensions, social security and other like obligations incurred in the ordinary course of business (other than Liens imposed by ERISA);</w:t>
      </w:r>
    </w:p>
    <w:p>
      <w:pPr>
        <w:spacing w:after="0" w:line="141" w:lineRule="exact"/>
        <w:rPr>
          <w:rFonts w:ascii="Arial" w:cs="Arial" w:eastAsia="Arial" w:hAnsi="Arial"/>
          <w:sz w:val="20"/>
          <w:szCs w:val="20"/>
          <w:color w:val="auto"/>
        </w:rPr>
      </w:pPr>
    </w:p>
    <w:p>
      <w:pPr>
        <w:jc w:val="both"/>
        <w:ind w:firstLine="1304"/>
        <w:spacing w:after="0" w:line="218" w:lineRule="auto"/>
        <w:tabs>
          <w:tab w:leader="none" w:pos="1746" w:val="left"/>
        </w:tabs>
        <w:numPr>
          <w:ilvl w:val="0"/>
          <w:numId w:val="47"/>
        </w:numPr>
        <w:rPr>
          <w:rFonts w:ascii="Arial" w:cs="Arial" w:eastAsia="Arial" w:hAnsi="Arial"/>
          <w:sz w:val="20"/>
          <w:szCs w:val="20"/>
          <w:color w:val="auto"/>
        </w:rPr>
      </w:pPr>
      <w:r>
        <w:rPr>
          <w:rFonts w:ascii="Arial" w:cs="Arial" w:eastAsia="Arial" w:hAnsi="Arial"/>
          <w:sz w:val="20"/>
          <w:szCs w:val="20"/>
          <w:color w:val="auto"/>
        </w:rPr>
        <w:t xml:space="preserve">Liens incurred in the extension, renewal or refinancing of the indebtedness secured by Liens described in (a) through (c), </w:t>
      </w:r>
      <w:r>
        <w:rPr>
          <w:rFonts w:ascii="Arial" w:cs="Arial" w:eastAsia="Arial" w:hAnsi="Arial"/>
          <w:sz w:val="20"/>
          <w:szCs w:val="20"/>
          <w:u w:val="single" w:color="auto"/>
          <w:color w:val="auto"/>
        </w:rPr>
        <w:t>but</w:t>
      </w:r>
      <w:r>
        <w:rPr>
          <w:rFonts w:ascii="Arial" w:cs="Arial" w:eastAsia="Arial" w:hAnsi="Arial"/>
          <w:sz w:val="20"/>
          <w:szCs w:val="20"/>
          <w:color w:val="auto"/>
        </w:rPr>
        <w:t xml:space="preserve"> any extension, renewal or replacement Lien must be limited to the property encumbered by the existing Lien and the principal amount of the indebtedness may not increase;</w:t>
      </w:r>
    </w:p>
    <w:p>
      <w:pPr>
        <w:spacing w:after="0" w:line="129" w:lineRule="exact"/>
        <w:rPr>
          <w:rFonts w:ascii="Arial" w:cs="Arial" w:eastAsia="Arial" w:hAnsi="Arial"/>
          <w:sz w:val="20"/>
          <w:szCs w:val="20"/>
          <w:color w:val="auto"/>
        </w:rPr>
      </w:pPr>
    </w:p>
    <w:p>
      <w:pPr>
        <w:jc w:val="both"/>
        <w:ind w:firstLine="1304"/>
        <w:spacing w:after="0" w:line="210" w:lineRule="auto"/>
        <w:tabs>
          <w:tab w:leader="none" w:pos="1788" w:val="left"/>
        </w:tabs>
        <w:numPr>
          <w:ilvl w:val="0"/>
          <w:numId w:val="47"/>
        </w:numPr>
        <w:rPr>
          <w:rFonts w:ascii="Arial" w:cs="Arial" w:eastAsia="Arial" w:hAnsi="Arial"/>
          <w:sz w:val="20"/>
          <w:szCs w:val="20"/>
          <w:color w:val="auto"/>
        </w:rPr>
      </w:pPr>
      <w:r>
        <w:rPr>
          <w:rFonts w:ascii="Arial" w:cs="Arial" w:eastAsia="Arial" w:hAnsi="Arial"/>
          <w:sz w:val="20"/>
          <w:szCs w:val="20"/>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Collateral Agent or any Lender a security interest therein;</w:t>
      </w:r>
    </w:p>
    <w:p>
      <w:pPr>
        <w:spacing w:after="0" w:line="141" w:lineRule="exact"/>
        <w:rPr>
          <w:rFonts w:ascii="Arial" w:cs="Arial" w:eastAsia="Arial" w:hAnsi="Arial"/>
          <w:sz w:val="20"/>
          <w:szCs w:val="20"/>
          <w:color w:val="auto"/>
        </w:rPr>
      </w:pPr>
    </w:p>
    <w:p>
      <w:pPr>
        <w:jc w:val="both"/>
        <w:ind w:firstLine="1304"/>
        <w:spacing w:after="0" w:line="244" w:lineRule="auto"/>
        <w:tabs>
          <w:tab w:leader="none" w:pos="1786"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banker’s liens, rights of setoff and Liens in favor of financial institutions incurred in the ordinary course of business arising in connection with Borrower’s deposit accounts or securities accounts held at such institutions solely to secure payment of fees and similar costs and expenses and provided such accounts are maintained in compliance with Section 6.6(a) hereof;</w:t>
      </w:r>
    </w:p>
    <w:p>
      <w:pPr>
        <w:spacing w:after="0" w:line="136" w:lineRule="exact"/>
        <w:rPr>
          <w:rFonts w:ascii="Arial" w:cs="Arial" w:eastAsia="Arial" w:hAnsi="Arial"/>
          <w:sz w:val="18"/>
          <w:szCs w:val="18"/>
          <w:color w:val="auto"/>
        </w:rPr>
      </w:pPr>
    </w:p>
    <w:p>
      <w:pPr>
        <w:ind w:left="1800" w:hanging="496"/>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arising from judgments, decrees or attachments in circumstances not constituting an Event of Default under</w:t>
      </w:r>
    </w:p>
    <w:p>
      <w:pPr>
        <w:spacing w:after="0"/>
        <w:rPr>
          <w:rFonts w:ascii="Arial" w:cs="Arial" w:eastAsia="Arial" w:hAnsi="Arial"/>
          <w:sz w:val="18"/>
          <w:szCs w:val="18"/>
          <w:color w:val="auto"/>
        </w:rPr>
      </w:pPr>
      <w:r>
        <w:rPr>
          <w:rFonts w:ascii="Arial" w:cs="Arial" w:eastAsia="Arial" w:hAnsi="Arial"/>
          <w:sz w:val="20"/>
          <w:szCs w:val="20"/>
          <w:color w:val="auto"/>
        </w:rPr>
        <w:t>Section 8.4 or 8.7;</w:t>
      </w:r>
    </w:p>
    <w:p>
      <w:pPr>
        <w:spacing w:after="0" w:line="132" w:lineRule="exact"/>
        <w:rPr>
          <w:rFonts w:ascii="Arial" w:cs="Arial" w:eastAsia="Arial" w:hAnsi="Arial"/>
          <w:sz w:val="18"/>
          <w:szCs w:val="18"/>
          <w:color w:val="auto"/>
        </w:rPr>
      </w:pPr>
    </w:p>
    <w:p>
      <w:pPr>
        <w:jc w:val="both"/>
        <w:ind w:firstLine="1304"/>
        <w:spacing w:after="0" w:line="218" w:lineRule="auto"/>
        <w:tabs>
          <w:tab w:leader="none" w:pos="1754" w:val="left"/>
        </w:tabs>
        <w:numPr>
          <w:ilvl w:val="0"/>
          <w:numId w:val="47"/>
        </w:numPr>
        <w:rPr>
          <w:rFonts w:ascii="Arial" w:cs="Arial" w:eastAsia="Arial" w:hAnsi="Arial"/>
          <w:sz w:val="20"/>
          <w:szCs w:val="20"/>
          <w:color w:val="auto"/>
        </w:rPr>
      </w:pPr>
      <w:r>
        <w:rPr>
          <w:rFonts w:ascii="Arial" w:cs="Arial" w:eastAsia="Arial" w:hAnsi="Arial"/>
          <w:sz w:val="20"/>
          <w:szCs w:val="20"/>
          <w:color w:val="auto"/>
        </w:rPr>
        <w:t>Liens on cash that stand as security for letter of credit reimbursement obligations and cash management obligations, together with such amount permitted under clause (k) of “Permitted Liens”, in the aggregate amount not to exceed One Million Dollars ($1,000,000);</w:t>
      </w:r>
    </w:p>
    <w:p>
      <w:pPr>
        <w:spacing w:after="0" w:line="142" w:lineRule="exact"/>
        <w:rPr>
          <w:rFonts w:ascii="Arial" w:cs="Arial" w:eastAsia="Arial" w:hAnsi="Arial"/>
          <w:sz w:val="20"/>
          <w:szCs w:val="20"/>
          <w:color w:val="auto"/>
        </w:rPr>
      </w:pPr>
    </w:p>
    <w:p>
      <w:pPr>
        <w:ind w:firstLine="1304"/>
        <w:spacing w:after="0" w:line="242" w:lineRule="auto"/>
        <w:tabs>
          <w:tab w:leader="none" w:pos="1734" w:val="left"/>
        </w:tabs>
        <w:numPr>
          <w:ilvl w:val="0"/>
          <w:numId w:val="47"/>
        </w:numPr>
        <w:rPr>
          <w:rFonts w:ascii="Arial" w:cs="Arial" w:eastAsia="Arial" w:hAnsi="Arial"/>
          <w:sz w:val="19"/>
          <w:szCs w:val="19"/>
          <w:color w:val="auto"/>
        </w:rPr>
      </w:pPr>
      <w:r>
        <w:rPr>
          <w:rFonts w:ascii="Arial" w:cs="Arial" w:eastAsia="Arial" w:hAnsi="Arial"/>
          <w:sz w:val="19"/>
          <w:szCs w:val="19"/>
          <w:color w:val="auto"/>
        </w:rPr>
        <w:t>security deposits under real property leases that are made in the ordinary course of business, together with such amount permitted under clause (j) of “Permitted Liens”, in the aggregate amount not to exceed One Million Dollars ($1,000,000);</w:t>
      </w:r>
    </w:p>
    <w:p>
      <w:pPr>
        <w:spacing w:after="0" w:line="139" w:lineRule="exact"/>
        <w:rPr>
          <w:rFonts w:ascii="Arial" w:cs="Arial" w:eastAsia="Arial" w:hAnsi="Arial"/>
          <w:sz w:val="19"/>
          <w:szCs w:val="19"/>
          <w:color w:val="auto"/>
        </w:rPr>
      </w:pPr>
    </w:p>
    <w:p>
      <w:pPr>
        <w:ind w:firstLine="1304"/>
        <w:spacing w:after="0" w:line="229" w:lineRule="auto"/>
        <w:tabs>
          <w:tab w:leader="none" w:pos="1849" w:val="left"/>
        </w:tabs>
        <w:numPr>
          <w:ilvl w:val="0"/>
          <w:numId w:val="47"/>
        </w:numPr>
        <w:rPr>
          <w:rFonts w:ascii="Arial" w:cs="Arial" w:eastAsia="Arial" w:hAnsi="Arial"/>
          <w:sz w:val="20"/>
          <w:szCs w:val="20"/>
          <w:color w:val="auto"/>
        </w:rPr>
      </w:pPr>
      <w:r>
        <w:rPr>
          <w:rFonts w:ascii="Arial" w:cs="Arial" w:eastAsia="Arial" w:hAnsi="Arial"/>
          <w:sz w:val="20"/>
          <w:szCs w:val="20"/>
          <w:color w:val="auto"/>
        </w:rPr>
        <w:t>to the extent constitution a Lien, escrow arrangements securing indemnification obligations associated with any Permitted Acquisition; and</w:t>
      </w:r>
    </w:p>
    <w:p>
      <w:pPr>
        <w:spacing w:after="0" w:line="128" w:lineRule="exact"/>
        <w:rPr>
          <w:rFonts w:ascii="Arial" w:cs="Arial" w:eastAsia="Arial" w:hAnsi="Arial"/>
          <w:sz w:val="20"/>
          <w:szCs w:val="20"/>
          <w:color w:val="auto"/>
        </w:rPr>
      </w:pPr>
    </w:p>
    <w:p>
      <w:pPr>
        <w:ind w:left="1780" w:hanging="476"/>
        <w:spacing w:after="0"/>
        <w:tabs>
          <w:tab w:leader="none" w:pos="17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Permitted Licenses.</w:t>
      </w:r>
    </w:p>
    <w:p>
      <w:pPr>
        <w:spacing w:after="0" w:line="15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Royalty Transaction</w:t>
      </w:r>
      <w:r>
        <w:rPr>
          <w:rFonts w:ascii="Arial" w:cs="Arial" w:eastAsia="Arial" w:hAnsi="Arial"/>
          <w:sz w:val="18"/>
          <w:szCs w:val="18"/>
          <w:color w:val="auto"/>
        </w:rPr>
        <w:t xml:space="preserve">” means the purchase of a royalty interest of the Borrower’s rights to research, develop and commercialize one of Borrower’s products in Japan,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acquisition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(ii) the transaction will be structured as a true sale with only precautionary security filings in the purchased royalty in the applicable jurisdiction,</w:t>
      </w:r>
    </w:p>
    <w:p>
      <w:pPr>
        <w:spacing w:after="0" w:line="1" w:lineRule="exact"/>
        <w:rPr>
          <w:sz w:val="20"/>
          <w:szCs w:val="20"/>
          <w:color w:val="auto"/>
        </w:rPr>
      </w:pPr>
    </w:p>
    <w:p>
      <w:pPr>
        <w:jc w:val="both"/>
        <w:ind w:firstLine="8"/>
        <w:spacing w:after="0" w:line="213" w:lineRule="auto"/>
        <w:tabs>
          <w:tab w:leader="none" w:pos="382" w:val="left"/>
        </w:tabs>
        <w:numPr>
          <w:ilvl w:val="0"/>
          <w:numId w:val="48"/>
        </w:numPr>
        <w:rPr>
          <w:rFonts w:ascii="Arial" w:cs="Arial" w:eastAsia="Arial" w:hAnsi="Arial"/>
          <w:sz w:val="20"/>
          <w:szCs w:val="20"/>
          <w:color w:val="auto"/>
        </w:rPr>
      </w:pPr>
      <w:r>
        <w:rPr>
          <w:rFonts w:ascii="Arial" w:cs="Arial" w:eastAsia="Arial" w:hAnsi="Arial"/>
          <w:sz w:val="20"/>
          <w:szCs w:val="20"/>
          <w:color w:val="auto"/>
        </w:rPr>
        <w:t>Borrower shall not grant a security interest in or lien on the underlying license agreement or any Intellectual Property and assets underlying the purchased royalty, (iv) Collateral Agent and Lenders will not be required to enter into an intercreditor or similar agreement, and (v) the royalty and sales milestone interest acquisition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68"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agreement and related documents are otherwise in form and substance reasonably satisfactory, including the amount of the upfront cash proceeds received by Borrower, to Collateral Agent and the Required Lenders.</w:t>
      </w:r>
    </w:p>
    <w:p>
      <w:pPr>
        <w:spacing w:after="0" w:line="12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04" w:lineRule="exact"/>
        <w:rPr>
          <w:sz w:val="20"/>
          <w:szCs w:val="20"/>
          <w:color w:val="auto"/>
        </w:rPr>
      </w:pPr>
    </w:p>
    <w:p>
      <w:pPr>
        <w:jc w:val="both"/>
        <w:ind w:right="20" w:firstLine="648"/>
        <w:spacing w:after="0" w:line="22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Prepayment Premium</w:t>
      </w:r>
      <w:r>
        <w:rPr>
          <w:rFonts w:ascii="Arial" w:cs="Arial" w:eastAsia="Arial" w:hAnsi="Arial"/>
          <w:sz w:val="20"/>
          <w:szCs w:val="20"/>
          <w:color w:val="auto"/>
        </w:rPr>
        <w:t>” is, with respect to any Term Loan subject to any prepayment prior to the Maturity Date, whether by mandatory or voluntary prepayment, acceleration or otherwise (including, but not limited to, upon the occurrence of a bankruptcy or insolvency event, an additional fee payable to the Lenders in amount equal to:</w:t>
      </w:r>
    </w:p>
    <w:p>
      <w:pPr>
        <w:spacing w:after="0" w:line="143" w:lineRule="exact"/>
        <w:rPr>
          <w:sz w:val="20"/>
          <w:szCs w:val="20"/>
          <w:color w:val="auto"/>
        </w:rPr>
      </w:pPr>
    </w:p>
    <w:p>
      <w:pPr>
        <w:ind w:left="660" w:firstLine="1292"/>
        <w:spacing w:after="0" w:line="229" w:lineRule="auto"/>
        <w:tabs>
          <w:tab w:leader="none" w:pos="2451" w:val="left"/>
        </w:tabs>
        <w:numPr>
          <w:ilvl w:val="0"/>
          <w:numId w:val="49"/>
        </w:numPr>
        <w:rPr>
          <w:rFonts w:ascii="Arial" w:cs="Arial" w:eastAsia="Arial" w:hAnsi="Arial"/>
          <w:sz w:val="20"/>
          <w:szCs w:val="20"/>
          <w:color w:val="auto"/>
        </w:rPr>
      </w:pPr>
      <w:r>
        <w:rPr>
          <w:rFonts w:ascii="Arial" w:cs="Arial" w:eastAsia="Arial" w:hAnsi="Arial"/>
          <w:sz w:val="20"/>
          <w:szCs w:val="20"/>
          <w:color w:val="auto"/>
        </w:rPr>
        <w:t>for any prepayment made on or after the Effective Date through and including the first anniversary of the Effective Date, three percent (3.00%) of the principal amount of such Term Loan prepaid;</w:t>
      </w:r>
    </w:p>
    <w:p>
      <w:pPr>
        <w:spacing w:after="0" w:line="128" w:lineRule="exact"/>
        <w:rPr>
          <w:rFonts w:ascii="Arial" w:cs="Arial" w:eastAsia="Arial" w:hAnsi="Arial"/>
          <w:sz w:val="20"/>
          <w:szCs w:val="20"/>
          <w:color w:val="auto"/>
        </w:rPr>
      </w:pPr>
    </w:p>
    <w:p>
      <w:pPr>
        <w:jc w:val="both"/>
        <w:ind w:left="660" w:right="20" w:firstLine="1292"/>
        <w:spacing w:after="0" w:line="269" w:lineRule="auto"/>
        <w:tabs>
          <w:tab w:leader="none" w:pos="2445"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any prepayment made after the date which is after the first anniversary of the Effective Date through and including the second anniversary of the Effective Date, two percent (2.00%) of the principal amount of such Term Loan prepaid; and</w:t>
      </w:r>
    </w:p>
    <w:p>
      <w:pPr>
        <w:spacing w:after="0" w:line="116" w:lineRule="exact"/>
        <w:rPr>
          <w:rFonts w:ascii="Arial" w:cs="Arial" w:eastAsia="Arial" w:hAnsi="Arial"/>
          <w:sz w:val="18"/>
          <w:szCs w:val="18"/>
          <w:color w:val="auto"/>
        </w:rPr>
      </w:pPr>
    </w:p>
    <w:p>
      <w:pPr>
        <w:ind w:left="660" w:firstLine="1292"/>
        <w:spacing w:after="0" w:line="229" w:lineRule="auto"/>
        <w:tabs>
          <w:tab w:leader="none" w:pos="2453" w:val="left"/>
        </w:tabs>
        <w:numPr>
          <w:ilvl w:val="0"/>
          <w:numId w:val="49"/>
        </w:numPr>
        <w:rPr>
          <w:rFonts w:ascii="Arial" w:cs="Arial" w:eastAsia="Arial" w:hAnsi="Arial"/>
          <w:sz w:val="20"/>
          <w:szCs w:val="20"/>
          <w:color w:val="auto"/>
        </w:rPr>
      </w:pPr>
      <w:r>
        <w:rPr>
          <w:rFonts w:ascii="Arial" w:cs="Arial" w:eastAsia="Arial" w:hAnsi="Arial"/>
          <w:sz w:val="20"/>
          <w:szCs w:val="20"/>
          <w:color w:val="auto"/>
        </w:rPr>
        <w:t>for any prepayment made after the date which is after the second anniversary of the Effective Date and prior to the Maturity Date, one percent (1.00%) of the principal amount of such Term Loan prepaid.</w:t>
      </w:r>
    </w:p>
    <w:p>
      <w:pPr>
        <w:spacing w:after="0" w:line="136"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 Rata Share</w:t>
      </w:r>
      <w:r>
        <w:rPr>
          <w:rFonts w:ascii="Arial" w:cs="Arial" w:eastAsia="Arial" w:hAnsi="Arial"/>
          <w:sz w:val="20"/>
          <w:szCs w:val="20"/>
          <w:color w:val="auto"/>
        </w:rPr>
        <w:t>” is, as of any date of determination, with respect to each Lender, a percentage (expressed as a decimal, rounded to the ninth decimal place) determined by dividing the outstanding principal amount of Term Loans held by such Lender by the aggregate outstanding principal amount of all Term Loans.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any interest in any kind of property or asset, whether real, personal or mixed, and whether tangible or intangible.</w:t>
      </w:r>
    </w:p>
    <w:p>
      <w:pPr>
        <w:spacing w:after="0" w:line="18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Registered Organization</w:t>
      </w:r>
      <w:r>
        <w:rPr>
          <w:rFonts w:ascii="Arial" w:cs="Arial" w:eastAsia="Arial" w:hAnsi="Arial"/>
          <w:sz w:val="20"/>
          <w:szCs w:val="20"/>
          <w:color w:val="auto"/>
        </w:rPr>
        <w:t>” is any “registered organization” as defined in the Code with such additions to such term as may hereafter be made under the Code.</w:t>
      </w:r>
    </w:p>
    <w:p>
      <w:pPr>
        <w:spacing w:after="0" w:line="136" w:lineRule="exact"/>
        <w:rPr>
          <w:sz w:val="20"/>
          <w:szCs w:val="20"/>
          <w:color w:val="auto"/>
        </w:rPr>
      </w:pPr>
    </w:p>
    <w:p>
      <w:pPr>
        <w:jc w:val="both"/>
        <w:ind w:firstLine="648"/>
        <w:spacing w:after="0" w:line="20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Registration</w:t>
      </w:r>
      <w:r>
        <w:rPr>
          <w:rFonts w:ascii="Arial" w:cs="Arial" w:eastAsia="Arial" w:hAnsi="Arial"/>
          <w:sz w:val="20"/>
          <w:szCs w:val="20"/>
          <w:color w:val="auto"/>
        </w:rPr>
        <w:t>” means any registration, authorization, approval, license, permit, clearance, certificate, and exemption issued or allowed by the FDA (including, without limitation, new drug applications, abbreviated new drug applications, biologics license applications, investigational new drug applications, over-the-counter drug monograph, device pre-market approval applications, device pre-market notifications, investigational device exemptions, product recertifications, manufacturing approvals, registrations and authorizations, CE Marks, pricing and reimbursement approvals, labeling approvals or their foreign equivalent, controlled substance registrations, and wholesale distributor permits).</w:t>
      </w:r>
    </w:p>
    <w:p>
      <w:pPr>
        <w:spacing w:after="0" w:line="127"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Regulatory Action</w:t>
      </w:r>
      <w:r>
        <w:rPr>
          <w:rFonts w:ascii="Arial" w:cs="Arial" w:eastAsia="Arial" w:hAnsi="Arial"/>
          <w:sz w:val="20"/>
          <w:szCs w:val="20"/>
          <w:color w:val="auto"/>
        </w:rPr>
        <w:t>” means an administrative or regulatory enforcement action, proceeding, investigation or inspection, FDA Form 483 notice of inspectional observation, warning letter, untitled letter, other notice of violation letter, recall, seizure, Section 305 notice or other similar written communication, or consent decree, issued by the FDA.</w:t>
      </w:r>
    </w:p>
    <w:p>
      <w:pPr>
        <w:spacing w:after="0" w:line="137"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Related Persons</w:t>
      </w:r>
      <w:r>
        <w:rPr>
          <w:rFonts w:ascii="Arial" w:cs="Arial" w:eastAsia="Arial" w:hAnsi="Arial"/>
          <w:sz w:val="20"/>
          <w:szCs w:val="20"/>
          <w:color w:val="auto"/>
        </w:rPr>
        <w:t>” means, with respect to any Person, each Affiliate of such Person and each director, officer, employee, agent, trustee, representative, attorney, accountant and each insurance, environmental, legal, financial and other advisor and other consultants and agents of or to such Person or any of its Affiliates.</w:t>
      </w:r>
    </w:p>
    <w:p>
      <w:pPr>
        <w:spacing w:after="0" w:line="13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Governmental Body</w:t>
      </w:r>
      <w:r>
        <w:rPr>
          <w:rFonts w:ascii="Arial" w:cs="Arial" w:eastAsia="Arial" w:hAnsi="Arial"/>
          <w:sz w:val="18"/>
          <w:szCs w:val="18"/>
          <w:color w:val="auto"/>
        </w:rPr>
        <w:t>” means the Federal Reserve Board, the Federal Reserve Bank of New York, and/or a committee officially endorsed or convened by the Federal Reserve Board and/or the Federal Reserve Bank of New York, or any successor thereto.</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62"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Required Lenders</w:t>
      </w:r>
      <w:r>
        <w:rPr>
          <w:rFonts w:ascii="Arial" w:cs="Arial" w:eastAsia="Arial" w:hAnsi="Arial"/>
          <w:sz w:val="19"/>
          <w:szCs w:val="19"/>
          <w:color w:val="auto"/>
        </w:rPr>
        <w:t>” means (i) for so long as all of the Persons that are Lenders on the Effective Date (each an “</w:t>
      </w:r>
      <w:r>
        <w:rPr>
          <w:rFonts w:ascii="Arial" w:cs="Arial" w:eastAsia="Arial" w:hAnsi="Arial"/>
          <w:sz w:val="19"/>
          <w:szCs w:val="19"/>
          <w:b w:val="1"/>
          <w:bCs w:val="1"/>
          <w:color w:val="auto"/>
        </w:rPr>
        <w:t>Original Lender</w:t>
      </w:r>
      <w:r>
        <w:rPr>
          <w:rFonts w:ascii="Arial" w:cs="Arial" w:eastAsia="Arial" w:hAnsi="Arial"/>
          <w:sz w:val="19"/>
          <w:szCs w:val="19"/>
          <w:color w:val="auto"/>
        </w:rPr>
        <w:t>”) have not assigned or transferred any of their interests in their Term Loan other than to an Affiliate of such Lender, Lenders holding one hundred percent (100%) of the aggregate outstanding principal balance of the Term Loan, or (ii) at any time from and after any Original Lender has assigned or transferred any interest in its Term Loan, Lenders holding at least sixty six and two thirds percent (66.67%) of the aggregate outstanding principal balance of the Term Loan and, in respect of this clause (ii), (A) each Original Lender that has not assigned or transferred any portion of its Term Loan, (B) each assignee or transferee of an Original Lender’s interest in the Term Loan, but only to the extent that such assignee or transferee is an Affiliate or Approved Fund of such Original Lender, and (C) any Person providing financing to any Person described in clauses (A) and (B) above; provided, however, that this clause (C) shall only apply upon the occurrence of a default, event of default or similar occurrence with respect to such financing.</w:t>
      </w:r>
    </w:p>
    <w:p>
      <w:pPr>
        <w:spacing w:after="0" w:line="12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Requirement of Law</w:t>
      </w:r>
      <w:r>
        <w:rPr>
          <w:rFonts w:ascii="Arial" w:cs="Arial" w:eastAsia="Arial" w:hAnsi="Arial"/>
          <w:sz w:val="19"/>
          <w:szCs w:val="19"/>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Responsible Officer</w:t>
      </w:r>
      <w:r>
        <w:rPr>
          <w:rFonts w:ascii="Arial" w:cs="Arial" w:eastAsia="Arial" w:hAnsi="Arial"/>
          <w:sz w:val="19"/>
          <w:szCs w:val="19"/>
          <w:color w:val="auto"/>
        </w:rPr>
        <w:t>” is any of the President, Chief Executive Officer, or Chief Financial Officer of Borrower acting alone.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Secured Parties</w:t>
      </w:r>
      <w:r>
        <w:rPr>
          <w:rFonts w:ascii="Arial" w:cs="Arial" w:eastAsia="Arial" w:hAnsi="Arial"/>
          <w:sz w:val="20"/>
          <w:szCs w:val="20"/>
          <w:color w:val="auto"/>
        </w:rPr>
        <w:t>” means the Collateral Agent and the Lenders.</w:t>
      </w:r>
    </w:p>
    <w:p>
      <w:pPr>
        <w:spacing w:after="0" w:line="148"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Securities Account</w:t>
      </w:r>
      <w:r>
        <w:rPr>
          <w:rFonts w:ascii="Arial" w:cs="Arial" w:eastAsia="Arial" w:hAnsi="Arial"/>
          <w:sz w:val="20"/>
          <w:szCs w:val="20"/>
          <w:color w:val="auto"/>
        </w:rPr>
        <w:t>” is any “securities account” as defined in the Code with such additions to such term as may hereafter be made under the Code.</w:t>
      </w:r>
    </w:p>
    <w:p>
      <w:pPr>
        <w:spacing w:after="0" w:line="13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SOFR</w:t>
      </w:r>
      <w:r>
        <w:rPr>
          <w:rFonts w:ascii="Arial" w:cs="Arial" w:eastAsia="Arial" w:hAnsi="Arial"/>
          <w:sz w:val="20"/>
          <w:szCs w:val="20"/>
          <w:color w:val="auto"/>
        </w:rPr>
        <w:t>” means the daily Secured Overnight Financing Rate provided by the Federal Reserve Bank of New York as the administrator of the benchmark (or a successor administrator) on the Federal Reserve Bank of New York’s Website.</w:t>
      </w:r>
    </w:p>
    <w:p>
      <w:pPr>
        <w:spacing w:after="0" w:line="136"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Solvent</w:t>
      </w:r>
      <w:r>
        <w:rPr>
          <w:rFonts w:ascii="Arial" w:cs="Arial" w:eastAsia="Arial" w:hAnsi="Arial"/>
          <w:sz w:val="20"/>
          <w:szCs w:val="20"/>
          <w:color w:val="auto"/>
        </w:rPr>
        <w:t>” means, with respect to any Person, that (a) the fair salable value of such Person’s consolidated assets (including goodwill minus disposition costs) exceeds the fair value of such Person’s liabilities, (b) such Person is not left with unreasonably small capital after giving effect to the transactions contemplated by this Agreement and the other Loan Documents, and (c) such Person is able to pay its debts (including trade debts) as they mature in the ordinary course.</w:t>
      </w:r>
    </w:p>
    <w:p>
      <w:pPr>
        <w:spacing w:after="0" w:line="12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Subordinated Debt</w:t>
      </w:r>
      <w:r>
        <w:rPr>
          <w:rFonts w:ascii="Arial" w:cs="Arial" w:eastAsia="Arial" w:hAnsi="Arial"/>
          <w:sz w:val="20"/>
          <w:szCs w:val="20"/>
          <w:color w:val="auto"/>
        </w:rPr>
        <w:t>” is indebtedness incurred by Borrower or any of its Subsidiaries subordinated to all Indebtedness of Borrower and/or its Subsidiaries to the Lenders (pursuant to a subordination, intercreditor, or other similar agreement in form and substance satisfactory to Collateral Agent and the Required Lenders entered into between Collateral Agent, Borrower, and/or any of its Subsidiaries, and the other creditor).</w:t>
      </w:r>
    </w:p>
    <w:p>
      <w:pPr>
        <w:spacing w:after="0" w:line="138"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is, with respect to any Person, any Person of which more than fifty percent (50%) of the voting stock or other equity interests (in the case of Persons other than corporations) is owned or controlled, directly or indirectly, by such Person or through one or more intermediaries.</w:t>
      </w:r>
    </w:p>
    <w:p>
      <w:pPr>
        <w:spacing w:after="0" w:line="137"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Tenapanor</w:t>
      </w:r>
      <w:r>
        <w:rPr>
          <w:rFonts w:ascii="Arial" w:cs="Arial" w:eastAsia="Arial" w:hAnsi="Arial"/>
          <w:sz w:val="18"/>
          <w:szCs w:val="18"/>
          <w:color w:val="auto"/>
        </w:rPr>
        <w:t>” is an inhibitor of NHE3 with the chemical name (S)-N,N'-(10,17-dioxo-3,6,21,24-tetraoxa-9,11,16,18-tetraazahexacosane-1,26-diyl)bis(3-((S)-6,8-dichloro-2-methyl-1,2,3,4 tetrahydroisoquinolin-4-yl)benzenesulfonamide) dihydrochloride.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Draw Period</w:t>
      </w:r>
      <w:r>
        <w:rPr>
          <w:rFonts w:ascii="Arial" w:cs="Arial" w:eastAsia="Arial" w:hAnsi="Arial"/>
          <w:sz w:val="18"/>
          <w:szCs w:val="18"/>
          <w:color w:val="auto"/>
        </w:rPr>
        <w:t>” is the period commencing on the date of the occurrence of the Term B Milestone and ending on July 25,</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2023.</w:t>
      </w:r>
    </w:p>
    <w:p>
      <w:pPr>
        <w:spacing w:after="0" w:line="14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B Milestone</w:t>
      </w:r>
      <w:r>
        <w:rPr>
          <w:rFonts w:ascii="Arial" w:cs="Arial" w:eastAsia="Arial" w:hAnsi="Arial"/>
          <w:sz w:val="20"/>
          <w:szCs w:val="20"/>
          <w:color w:val="auto"/>
        </w:rPr>
        <w:t>” is Collateral Agent’s receipt of satisfactory evidence that Borrower (i) has received FDA approval of Tenapanor for use in certain patients with Hyperphosphatemia on or prior to</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68" w:lineRule="exact"/>
        <w:rPr>
          <w:sz w:val="20"/>
          <w:szCs w:val="20"/>
          <w:color w:val="auto"/>
        </w:rPr>
      </w:pPr>
    </w:p>
    <w:p>
      <w:pPr>
        <w:jc w:val="both"/>
        <w:ind w:right="20"/>
        <w:spacing w:after="0" w:line="229" w:lineRule="auto"/>
        <w:rPr>
          <w:sz w:val="20"/>
          <w:szCs w:val="20"/>
          <w:color w:val="auto"/>
        </w:rPr>
      </w:pPr>
      <w:r>
        <w:rPr>
          <w:rFonts w:ascii="Arial" w:cs="Arial" w:eastAsia="Arial" w:hAnsi="Arial"/>
          <w:sz w:val="20"/>
          <w:szCs w:val="20"/>
          <w:color w:val="auto"/>
        </w:rPr>
        <w:t>December 31, 2022 and (ii) has achieved a minimum of Thirty Million Dollars in Net Product Revenue calculated on a trailing six (6) month basis.</w:t>
      </w:r>
    </w:p>
    <w:p>
      <w:pPr>
        <w:spacing w:after="0" w:line="12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Loan Commitment</w:t>
      </w:r>
      <w:r>
        <w:rPr>
          <w:rFonts w:ascii="Arial" w:cs="Arial" w:eastAsia="Arial" w:hAnsi="Arial"/>
          <w:sz w:val="20"/>
          <w:szCs w:val="20"/>
          <w:color w:val="auto"/>
        </w:rPr>
        <w:t xml:space="preserve">” is, for any Lender, the obligation of such Lender to make a Term Loan, up to the principal amount shown on </w:t>
      </w:r>
      <w:r>
        <w:rPr>
          <w:rFonts w:ascii="Arial" w:cs="Arial" w:eastAsia="Arial" w:hAnsi="Arial"/>
          <w:sz w:val="20"/>
          <w:szCs w:val="20"/>
          <w:u w:val="single" w:color="auto"/>
          <w:color w:val="auto"/>
        </w:rPr>
        <w:t>Schedule 1.1</w:t>
      </w:r>
      <w:r>
        <w:rPr>
          <w:rFonts w:ascii="Arial" w:cs="Arial" w:eastAsia="Arial" w:hAnsi="Arial"/>
          <w:sz w:val="20"/>
          <w:szCs w:val="20"/>
          <w:b w:val="1"/>
          <w:bCs w:val="1"/>
          <w:color w:val="auto"/>
        </w:rPr>
        <w:t>.</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Loan Commitments</w:t>
      </w:r>
      <w:r>
        <w:rPr>
          <w:rFonts w:ascii="Arial" w:cs="Arial" w:eastAsia="Arial" w:hAnsi="Arial"/>
          <w:sz w:val="20"/>
          <w:szCs w:val="20"/>
          <w:color w:val="auto"/>
        </w:rPr>
        <w:t>” means the aggregate amount of such commitments of all Lenders.</w:t>
      </w:r>
    </w:p>
    <w:p>
      <w:pPr>
        <w:spacing w:after="0" w:line="162"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1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9"/>
          <w:szCs w:val="19"/>
          <w:b w:val="1"/>
          <w:bCs w:val="1"/>
          <w:color w:val="auto"/>
        </w:rPr>
        <w:t>LOANS AND TERMS OF PAYMENT</w:t>
      </w:r>
    </w:p>
    <w:p>
      <w:pPr>
        <w:spacing w:after="0" w:line="162"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b w:val="1"/>
          <w:bCs w:val="1"/>
          <w:color w:val="auto"/>
        </w:rPr>
        <w:t xml:space="preserve">2.1 Promise to Pay. </w:t>
      </w:r>
      <w:r>
        <w:rPr>
          <w:rFonts w:ascii="Arial" w:cs="Arial" w:eastAsia="Arial" w:hAnsi="Arial"/>
          <w:sz w:val="20"/>
          <w:szCs w:val="20"/>
          <w:color w:val="auto"/>
        </w:rPr>
        <w:t>Borrower hereby unconditionally promises to pay each Lender, the outstanding principal amount of all Term</w:t>
      </w:r>
      <w:r>
        <w:rPr>
          <w:rFonts w:ascii="Arial" w:cs="Arial" w:eastAsia="Arial" w:hAnsi="Arial"/>
          <w:sz w:val="20"/>
          <w:szCs w:val="20"/>
          <w:b w:val="1"/>
          <w:bCs w:val="1"/>
          <w:color w:val="auto"/>
        </w:rPr>
        <w:t xml:space="preserve"> </w:t>
      </w:r>
      <w:r>
        <w:rPr>
          <w:rFonts w:ascii="Arial" w:cs="Arial" w:eastAsia="Arial" w:hAnsi="Arial"/>
          <w:sz w:val="20"/>
          <w:szCs w:val="20"/>
          <w:color w:val="auto"/>
        </w:rPr>
        <w:t>Loans advanced to Borrower by such Lender and accrued and unpaid interest thereon and any other amounts due hereunder as and when due in accordance with this Agreement.</w:t>
      </w:r>
    </w:p>
    <w:p>
      <w:pPr>
        <w:spacing w:after="0" w:line="13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6"/>
          <w:szCs w:val="16"/>
          <w:b w:val="1"/>
          <w:bCs w:val="1"/>
          <w:color w:val="auto"/>
        </w:rPr>
        <w:t>Term Loans.</w:t>
      </w:r>
    </w:p>
    <w:p>
      <w:pPr>
        <w:spacing w:after="0" w:line="154" w:lineRule="exact"/>
        <w:rPr>
          <w:sz w:val="20"/>
          <w:szCs w:val="20"/>
          <w:color w:val="auto"/>
        </w:rPr>
      </w:pPr>
    </w:p>
    <w:p>
      <w:pPr>
        <w:jc w:val="both"/>
        <w:ind w:firstLine="1304"/>
        <w:spacing w:after="0" w:line="210" w:lineRule="auto"/>
        <w:tabs>
          <w:tab w:leader="none" w:pos="1754"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Availability</w:t>
      </w:r>
      <w:r>
        <w:rPr>
          <w:rFonts w:ascii="Arial" w:cs="Arial" w:eastAsia="Arial" w:hAnsi="Arial"/>
          <w:sz w:val="20"/>
          <w:szCs w:val="20"/>
          <w:color w:val="auto"/>
        </w:rPr>
        <w:t xml:space="preserve">. (i) Subject to the terms and conditions of this Agreement, the Lenders agree, severally and not jointly, to make term loans to Borrower on the Effective Date in an aggregate principal amount of Twenty-Seven Million Five Hundred Thousand Dollars ($27,500,000) according to each Lender’s Term A Loan Commitment as set forth on </w:t>
      </w:r>
      <w:r>
        <w:rPr>
          <w:rFonts w:ascii="Arial" w:cs="Arial" w:eastAsia="Arial" w:hAnsi="Arial"/>
          <w:sz w:val="20"/>
          <w:szCs w:val="20"/>
          <w:u w:val="single" w:color="auto"/>
          <w:color w:val="auto"/>
        </w:rPr>
        <w:t>Schedule 1.1</w:t>
      </w:r>
      <w:r>
        <w:rPr>
          <w:rFonts w:ascii="Arial" w:cs="Arial" w:eastAsia="Arial" w:hAnsi="Arial"/>
          <w:sz w:val="20"/>
          <w:szCs w:val="20"/>
          <w:color w:val="auto"/>
        </w:rPr>
        <w:t xml:space="preserve"> hereto (such term loans are hereinafter referred to singly as a “</w:t>
      </w:r>
      <w:r>
        <w:rPr>
          <w:rFonts w:ascii="Arial" w:cs="Arial" w:eastAsia="Arial" w:hAnsi="Arial"/>
          <w:sz w:val="20"/>
          <w:szCs w:val="20"/>
          <w:b w:val="1"/>
          <w:bCs w:val="1"/>
          <w:color w:val="auto"/>
        </w:rPr>
        <w:t>Term A Loan</w:t>
      </w:r>
      <w:r>
        <w:rPr>
          <w:rFonts w:ascii="Arial" w:cs="Arial" w:eastAsia="Arial" w:hAnsi="Arial"/>
          <w:sz w:val="20"/>
          <w:szCs w:val="20"/>
          <w:color w:val="auto"/>
        </w:rPr>
        <w:t>” and collectively as the “</w:t>
      </w:r>
      <w:r>
        <w:rPr>
          <w:rFonts w:ascii="Arial" w:cs="Arial" w:eastAsia="Arial" w:hAnsi="Arial"/>
          <w:sz w:val="20"/>
          <w:szCs w:val="20"/>
          <w:b w:val="1"/>
          <w:bCs w:val="1"/>
          <w:color w:val="auto"/>
        </w:rPr>
        <w:t>Term A Loans</w:t>
      </w:r>
      <w:r>
        <w:rPr>
          <w:rFonts w:ascii="Arial" w:cs="Arial" w:eastAsia="Arial" w:hAnsi="Arial"/>
          <w:sz w:val="20"/>
          <w:szCs w:val="20"/>
          <w:color w:val="auto"/>
        </w:rPr>
        <w:t>”). After repayment, no Term A Loan may be re-borrowed.</w:t>
      </w:r>
    </w:p>
    <w:p>
      <w:pPr>
        <w:spacing w:after="0" w:line="141" w:lineRule="exact"/>
        <w:rPr>
          <w:sz w:val="20"/>
          <w:szCs w:val="20"/>
          <w:color w:val="auto"/>
        </w:rPr>
      </w:pPr>
    </w:p>
    <w:p>
      <w:pPr>
        <w:jc w:val="both"/>
        <w:ind w:firstLine="1304"/>
        <w:spacing w:after="0" w:line="218" w:lineRule="auto"/>
        <w:tabs>
          <w:tab w:leader="none" w:pos="1764"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of this Agreement, the Lenders agree, severally and not jointly, during the Term B Draw Period to make term loans to Borrower in an aggregate principal amount of Twenty-Two Million Five Hundred Thousand Dollars ($22,500,000) and disbursed in a single advance according to each Lender’s Term B Loan Commitment as set forth on </w:t>
      </w:r>
      <w:r>
        <w:rPr>
          <w:rFonts w:ascii="Arial" w:cs="Arial" w:eastAsia="Arial" w:hAnsi="Arial"/>
          <w:sz w:val="19"/>
          <w:szCs w:val="19"/>
          <w:u w:val="single" w:color="auto"/>
          <w:color w:val="auto"/>
        </w:rPr>
        <w:t>Schedule 1.1</w:t>
      </w:r>
      <w:r>
        <w:rPr>
          <w:rFonts w:ascii="Arial" w:cs="Arial" w:eastAsia="Arial" w:hAnsi="Arial"/>
          <w:sz w:val="19"/>
          <w:szCs w:val="19"/>
          <w:color w:val="auto"/>
        </w:rPr>
        <w:t xml:space="preserve"> hereto (such term loans are hereinafter referred to singly as a “</w:t>
      </w:r>
      <w:r>
        <w:rPr>
          <w:rFonts w:ascii="Arial" w:cs="Arial" w:eastAsia="Arial" w:hAnsi="Arial"/>
          <w:sz w:val="19"/>
          <w:szCs w:val="19"/>
          <w:b w:val="1"/>
          <w:bCs w:val="1"/>
          <w:color w:val="auto"/>
        </w:rPr>
        <w:t>Term B Loan</w:t>
      </w:r>
      <w:r>
        <w:rPr>
          <w:rFonts w:ascii="Arial" w:cs="Arial" w:eastAsia="Arial" w:hAnsi="Arial"/>
          <w:sz w:val="19"/>
          <w:szCs w:val="19"/>
          <w:color w:val="auto"/>
        </w:rPr>
        <w:t>” and collectively as the “</w:t>
      </w:r>
      <w:r>
        <w:rPr>
          <w:rFonts w:ascii="Arial" w:cs="Arial" w:eastAsia="Arial" w:hAnsi="Arial"/>
          <w:sz w:val="19"/>
          <w:szCs w:val="19"/>
          <w:b w:val="1"/>
          <w:bCs w:val="1"/>
          <w:color w:val="auto"/>
        </w:rPr>
        <w:t>Term B Loans</w:t>
      </w:r>
      <w:r>
        <w:rPr>
          <w:rFonts w:ascii="Arial" w:cs="Arial" w:eastAsia="Arial" w:hAnsi="Arial"/>
          <w:sz w:val="19"/>
          <w:szCs w:val="19"/>
          <w:color w:val="auto"/>
        </w:rPr>
        <w:t>”; each Term A Loan or Term B Loan is hereinafter referred to singly as a “</w:t>
      </w:r>
      <w:r>
        <w:rPr>
          <w:rFonts w:ascii="Arial" w:cs="Arial" w:eastAsia="Arial" w:hAnsi="Arial"/>
          <w:sz w:val="19"/>
          <w:szCs w:val="19"/>
          <w:b w:val="1"/>
          <w:bCs w:val="1"/>
          <w:color w:val="auto"/>
        </w:rPr>
        <w:t>Term Loan</w:t>
      </w:r>
      <w:r>
        <w:rPr>
          <w:rFonts w:ascii="Arial" w:cs="Arial" w:eastAsia="Arial" w:hAnsi="Arial"/>
          <w:sz w:val="19"/>
          <w:szCs w:val="19"/>
          <w:color w:val="auto"/>
        </w:rPr>
        <w:t>” and the Term A Loans and the Term B Loans are hereinafter referred to collectively as the “</w:t>
      </w:r>
      <w:r>
        <w:rPr>
          <w:rFonts w:ascii="Arial" w:cs="Arial" w:eastAsia="Arial" w:hAnsi="Arial"/>
          <w:sz w:val="19"/>
          <w:szCs w:val="19"/>
          <w:b w:val="1"/>
          <w:bCs w:val="1"/>
          <w:color w:val="auto"/>
        </w:rPr>
        <w:t>Term Loans</w:t>
      </w:r>
      <w:r>
        <w:rPr>
          <w:rFonts w:ascii="Arial" w:cs="Arial" w:eastAsia="Arial" w:hAnsi="Arial"/>
          <w:sz w:val="19"/>
          <w:szCs w:val="19"/>
          <w:color w:val="auto"/>
        </w:rPr>
        <w:t>”). After repayment, no Term B Loan may be re-borrowed.</w:t>
      </w:r>
    </w:p>
    <w:p>
      <w:pPr>
        <w:spacing w:after="0" w:line="146" w:lineRule="exact"/>
        <w:rPr>
          <w:sz w:val="20"/>
          <w:szCs w:val="20"/>
          <w:color w:val="auto"/>
        </w:rPr>
      </w:pPr>
    </w:p>
    <w:p>
      <w:pPr>
        <w:jc w:val="both"/>
        <w:ind w:firstLine="1304"/>
        <w:spacing w:after="0" w:line="219" w:lineRule="auto"/>
        <w:tabs>
          <w:tab w:leader="none" w:pos="183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Repayment</w:t>
      </w:r>
      <w:r>
        <w:rPr>
          <w:rFonts w:ascii="Arial" w:cs="Arial" w:eastAsia="Arial" w:hAnsi="Arial"/>
          <w:sz w:val="18"/>
          <w:szCs w:val="18"/>
          <w:color w:val="auto"/>
        </w:rPr>
        <w:t>. Borrower shall make monthly payments of interest only commencing on the first (1</w:t>
      </w:r>
      <w:r>
        <w:rPr>
          <w:rFonts w:ascii="Arial" w:cs="Arial" w:eastAsia="Arial" w:hAnsi="Arial"/>
          <w:sz w:val="23"/>
          <w:szCs w:val="23"/>
          <w:color w:val="auto"/>
          <w:vertAlign w:val="superscript"/>
        </w:rPr>
        <w:t>st</w:t>
      </w:r>
      <w:r>
        <w:rPr>
          <w:rFonts w:ascii="Arial" w:cs="Arial" w:eastAsia="Arial" w:hAnsi="Arial"/>
          <w:sz w:val="18"/>
          <w:szCs w:val="18"/>
          <w:color w:val="auto"/>
        </w:rPr>
        <w:t>) Payment Date following the Funding Date of each Term Loan, and continuing on the Payment Date of each successive month thereafter through and including the Payment Date immediately preceding the Amortization Date. Borrower agrees to pay, on the Funding Date of each Term Loan, any initial partial monthly interest payment otherwise due for the period between the Funding Date of such Term Loan and the first Payment Date after such Funding Date. Commencing on the Amortization Date, and continuing on the Payment Date of each month thereafter, Borrower shall (i) make monthly payments of interest, to each Lender in accordance with its Pro Rata Share, as calculated by Collateral Agent (which calculations shall be deemed correct absent manifest error) based upon the effective rate of interest applicable to the Term Loan, as determined in Section 2.3(a) plus (ii) make consecutive equal monthly payments of principal to each Lender in accordance with its Pro Rata Share in accordance with their respective Pro Rata Shares, as calculated by Collateral Agent (which calculations shall be deemed correct absent manifest error) based upon: (A) the respective principal amounts of such Lender’s Term Loans outstanding, and (B) a repayment schedule equal to thirty-six (36) months. All unpaid principal and accrued and unpaid interest with respect to each such Term Loan is due and payable in full on the Maturity Date. The Term Loans may only be prepaid in accordance with Sections 2.2(c) and 2.2(d).</w:t>
      </w:r>
    </w:p>
    <w:p>
      <w:pPr>
        <w:spacing w:after="0" w:line="138" w:lineRule="exact"/>
        <w:rPr>
          <w:rFonts w:ascii="Arial" w:cs="Arial" w:eastAsia="Arial" w:hAnsi="Arial"/>
          <w:sz w:val="18"/>
          <w:szCs w:val="18"/>
          <w:color w:val="auto"/>
        </w:rPr>
      </w:pPr>
    </w:p>
    <w:p>
      <w:pPr>
        <w:jc w:val="both"/>
        <w:ind w:firstLine="1304"/>
        <w:spacing w:after="0" w:line="218" w:lineRule="auto"/>
        <w:tabs>
          <w:tab w:leader="none" w:pos="1794"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Mandatory Prepayments</w:t>
      </w:r>
      <w:r>
        <w:rPr>
          <w:rFonts w:ascii="Arial" w:cs="Arial" w:eastAsia="Arial" w:hAnsi="Arial"/>
          <w:sz w:val="20"/>
          <w:szCs w:val="20"/>
          <w:color w:val="auto"/>
        </w:rPr>
        <w:t>. If the Term Loans are accelerated (including, but not limited to, upon the occurrence of a bankruptcy or insolvency event (including the acceleration of claims by operation of law)), Borrower shall immediately pay to Lenders, payable to each Lender in accordance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68"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with its respective Pro Rata Share, an amount equal to the sum of: (i) all outstanding principal of the Term Loans plus accrued and unpaid interest thereon through the prepayment date, (ii) any fees payable under the Fee Letter by reason of such prepayment, (iii) the Prepayment Premium plus (iv) all other Obligations that are due and payable, including Lenders’ Expenses and interest at the Default Rate (if any) with respect to any past due amounts. Notwithstanding (but without duplication with) the foregoing, on the Maturity Date, if any fees payable under the Fee Letter by reason of such prepayments had not previously been paid in full in connection with the prepayment of the Term Loans in full, Borrower shall pay to each Lender in accordance with the terms of the Fee Letter. The Prepayment Premium shall also be payable in the event the Obligations (and/or this Agreement) are satisfied or released by foreclosure (whether by power of judicial proceeding), deed in lieu of foreclosure or by any other means. EACH BORROWER AND GUARANTOR EXPRESSLY WAIVES (TO</w:t>
      </w:r>
    </w:p>
    <w:p>
      <w:pPr>
        <w:spacing w:after="0" w:line="3"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THE FULLEST EXTENT IT MAY LAWFULLY DO SO) THE PROVISIONS OF ANY PRESENT OR FUTURE STATUTE OR LAW THAT PROHIBITS OR MAY PROHIBIT THE COLLECTION OF THE FOREGOING PREPAYMENT PREMIUM IN CONNECTION WITH ANY SUCH ACCELERATION. Notwithstanding anything to the contrary contained herein, there shall be no Prepayment Premium due and payable by Borrower to the Lenders hereunder in connection with the voluntary prepayment by Borrower of all, but not less than all, of the outstanding Term Loans in connection with new loans made by either SLR or any Affiliate of SLR.</w:t>
      </w:r>
    </w:p>
    <w:p>
      <w:pPr>
        <w:spacing w:after="0" w:line="130" w:lineRule="exact"/>
        <w:rPr>
          <w:sz w:val="20"/>
          <w:szCs w:val="20"/>
          <w:color w:val="auto"/>
        </w:rPr>
      </w:pPr>
    </w:p>
    <w:p>
      <w:pPr>
        <w:jc w:val="both"/>
        <w:ind w:firstLine="1304"/>
        <w:spacing w:after="0" w:line="216" w:lineRule="auto"/>
        <w:tabs>
          <w:tab w:leader="none" w:pos="1846"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Permitted Prepayment of Term Loans</w:t>
      </w:r>
      <w:r>
        <w:rPr>
          <w:rFonts w:ascii="Arial" w:cs="Arial" w:eastAsia="Arial" w:hAnsi="Arial"/>
          <w:sz w:val="19"/>
          <w:szCs w:val="19"/>
          <w:color w:val="auto"/>
        </w:rPr>
        <w:t>. Borrower shall have the option to prepay all, but not less than all, of the outstanding principal balance of the Term Loans advanced by the Lenders under this Agreement, provided Borrower (i) provides written notice to Collateral Agent of its election to prepay the Term Loans at least five (5) Business Days prior to such prepayment, and (ii) pays to the Lenders on the date of such prepayment, payable to each Lender in accordance with its respective Pro Rata Share in accordance with their respective Pro Rata Shares, an amount equal to the sum of (A) the outstanding principal of the Term Loans plus accrued and unpaid interest thereon through the prepayment date, (B) any fees payable under the Fee Letter by reason of such prepayment, (C) the Prepayment Premium, plus (D) all other Obligations that are due and payable on such prepayment date, including any Lenders’ Expenses and interest at the Default Rate (if any) with respect to any past due amounts.</w:t>
      </w:r>
    </w:p>
    <w:p>
      <w:pPr>
        <w:spacing w:after="0" w:line="13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6"/>
          <w:szCs w:val="16"/>
          <w:b w:val="1"/>
          <w:bCs w:val="1"/>
          <w:color w:val="auto"/>
        </w:rPr>
        <w:t>Payment of Interest on the Term Loans.</w:t>
      </w:r>
    </w:p>
    <w:p>
      <w:pPr>
        <w:spacing w:after="0" w:line="168" w:lineRule="exact"/>
        <w:rPr>
          <w:sz w:val="20"/>
          <w:szCs w:val="20"/>
          <w:color w:val="auto"/>
        </w:rPr>
      </w:pPr>
    </w:p>
    <w:p>
      <w:pPr>
        <w:jc w:val="both"/>
        <w:ind w:firstLine="1304"/>
        <w:spacing w:after="0" w:line="216" w:lineRule="auto"/>
        <w:tabs>
          <w:tab w:leader="none" w:pos="1727"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Interest Rate</w:t>
      </w:r>
      <w:r>
        <w:rPr>
          <w:rFonts w:ascii="Arial" w:cs="Arial" w:eastAsia="Arial" w:hAnsi="Arial"/>
          <w:sz w:val="19"/>
          <w:szCs w:val="19"/>
          <w:color w:val="auto"/>
        </w:rPr>
        <w:t xml:space="preserve">. Subject to Section 2.3(b), the principal amount outstanding under the Term Loans shall accrue interest at a floating per annum rate equal to the Applicable Rate in effect from time to time </w:t>
      </w:r>
      <w:r>
        <w:rPr>
          <w:rFonts w:ascii="Arial" w:cs="Arial" w:eastAsia="Arial" w:hAnsi="Arial"/>
          <w:sz w:val="19"/>
          <w:szCs w:val="19"/>
          <w:i w:val="1"/>
          <w:iCs w:val="1"/>
          <w:color w:val="auto"/>
        </w:rPr>
        <w:t>plus</w:t>
      </w:r>
      <w:r>
        <w:rPr>
          <w:rFonts w:ascii="Arial" w:cs="Arial" w:eastAsia="Arial" w:hAnsi="Arial"/>
          <w:sz w:val="19"/>
          <w:szCs w:val="19"/>
          <w:color w:val="auto"/>
        </w:rPr>
        <w:t xml:space="preserve"> 7.95%, which aggregate interest rate shall be determined by Collateral Agent in accordance with the definition of “Applicable Rate” on the third Business Day prior to the Funding Date of the applicable Term Loan and on the date occurring on the first Business Day of the month prior to each Payment Date occurring thereafter, which interest shall be payable monthly in arrears in accordance with Sections 2.2(b) and 2.3(e). Except as set forth in Section 2.2(b), such interest shall accrue on each Term Loan commencing on, and including, the Funding Date of such Term Loan, and shall accrue on the principal amount outstanding under such Term Loan through and including the day on which such Term Loan is paid in full (or any payment is made hereunder).</w:t>
      </w:r>
    </w:p>
    <w:p>
      <w:pPr>
        <w:spacing w:after="0" w:line="127" w:lineRule="exact"/>
        <w:rPr>
          <w:rFonts w:ascii="Arial" w:cs="Arial" w:eastAsia="Arial" w:hAnsi="Arial"/>
          <w:sz w:val="19"/>
          <w:szCs w:val="19"/>
          <w:color w:val="auto"/>
        </w:rPr>
      </w:pPr>
    </w:p>
    <w:p>
      <w:pPr>
        <w:jc w:val="both"/>
        <w:ind w:firstLine="1304"/>
        <w:spacing w:after="0" w:line="236" w:lineRule="auto"/>
        <w:tabs>
          <w:tab w:leader="none" w:pos="172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Immediately upon the occurrence and during the continuance of an Event of Default, all Obligations shall accrue interest at a fixed per annum rate equal to the rate that is otherwise applicable thereto plus four percentage points (4%) (the “</w:t>
      </w:r>
      <w:r>
        <w:rPr>
          <w:rFonts w:ascii="Arial" w:cs="Arial" w:eastAsia="Arial" w:hAnsi="Arial"/>
          <w:sz w:val="18"/>
          <w:szCs w:val="18"/>
          <w:b w:val="1"/>
          <w:bCs w:val="1"/>
          <w:color w:val="auto"/>
        </w:rPr>
        <w:t>Default</w:t>
      </w:r>
      <w:r>
        <w:rPr>
          <w:rFonts w:ascii="Arial" w:cs="Arial" w:eastAsia="Arial" w:hAnsi="Arial"/>
          <w:sz w:val="18"/>
          <w:szCs w:val="18"/>
          <w:color w:val="auto"/>
        </w:rPr>
        <w:t xml:space="preserve"> </w:t>
      </w:r>
      <w:r>
        <w:rPr>
          <w:rFonts w:ascii="Arial" w:cs="Arial" w:eastAsia="Arial" w:hAnsi="Arial"/>
          <w:sz w:val="18"/>
          <w:szCs w:val="18"/>
          <w:b w:val="1"/>
          <w:bCs w:val="1"/>
          <w:color w:val="auto"/>
        </w:rPr>
        <w:t>Rate</w:t>
      </w:r>
      <w:r>
        <w:rPr>
          <w:rFonts w:ascii="Arial" w:cs="Arial" w:eastAsia="Arial" w:hAnsi="Arial"/>
          <w:sz w:val="18"/>
          <w:szCs w:val="18"/>
          <w:color w:val="auto"/>
        </w:rPr>
        <w:t>”). Payment or acceptance of the increased interest rate provided in this Section 2.3(b) is not a permitted alternative to timely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not constitute a waiver of any Event of Default or otherwise prejudice or limit any rights or remedies of Collateral Agent.</w:t>
      </w:r>
    </w:p>
    <w:p>
      <w:pPr>
        <w:spacing w:after="0" w:line="142" w:lineRule="exact"/>
        <w:rPr>
          <w:rFonts w:ascii="Arial" w:cs="Arial" w:eastAsia="Arial" w:hAnsi="Arial"/>
          <w:sz w:val="18"/>
          <w:szCs w:val="18"/>
          <w:color w:val="auto"/>
        </w:rPr>
      </w:pPr>
    </w:p>
    <w:p>
      <w:pPr>
        <w:ind w:left="1740" w:hanging="436"/>
        <w:spacing w:after="0"/>
        <w:tabs>
          <w:tab w:leader="none" w:pos="17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360-Day Year</w:t>
      </w:r>
      <w:r>
        <w:rPr>
          <w:rFonts w:ascii="Arial" w:cs="Arial" w:eastAsia="Arial" w:hAnsi="Arial"/>
          <w:sz w:val="18"/>
          <w:szCs w:val="18"/>
          <w:color w:val="auto"/>
        </w:rPr>
        <w:t>. Interest shall be computed on the basis of a three hundred sixty (360) day year for the actual number of</w:t>
      </w:r>
    </w:p>
    <w:p>
      <w:pPr>
        <w:spacing w:after="0"/>
        <w:rPr>
          <w:rFonts w:ascii="Arial" w:cs="Arial" w:eastAsia="Arial" w:hAnsi="Arial"/>
          <w:sz w:val="18"/>
          <w:szCs w:val="18"/>
          <w:color w:val="auto"/>
        </w:rPr>
      </w:pPr>
      <w:r>
        <w:rPr>
          <w:rFonts w:ascii="Arial" w:cs="Arial" w:eastAsia="Arial" w:hAnsi="Arial"/>
          <w:sz w:val="20"/>
          <w:szCs w:val="20"/>
          <w:color w:val="auto"/>
        </w:rPr>
        <w:t>days elapsed.</w:t>
      </w:r>
    </w:p>
    <w:p>
      <w:pPr>
        <w:spacing w:after="0" w:line="145" w:lineRule="exact"/>
        <w:rPr>
          <w:rFonts w:ascii="Arial" w:cs="Arial" w:eastAsia="Arial" w:hAnsi="Arial"/>
          <w:sz w:val="18"/>
          <w:szCs w:val="18"/>
          <w:color w:val="auto"/>
        </w:rPr>
      </w:pPr>
    </w:p>
    <w:p>
      <w:pPr>
        <w:jc w:val="both"/>
        <w:ind w:firstLine="1304"/>
        <w:spacing w:after="0" w:line="218" w:lineRule="auto"/>
        <w:tabs>
          <w:tab w:leader="none" w:pos="1859"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Debit of Accounts</w:t>
      </w:r>
      <w:r>
        <w:rPr>
          <w:rFonts w:ascii="Arial" w:cs="Arial" w:eastAsia="Arial" w:hAnsi="Arial"/>
          <w:sz w:val="20"/>
          <w:szCs w:val="20"/>
          <w:color w:val="auto"/>
        </w:rPr>
        <w:t>. Collateral Agent and each Lender may debit (or ACH) any deposit accounts, maintained by Borrower or any of its Subsidiaries for principal and interest payments or any other amounts Borrower owes the Lenders under the Loan Documents when due. Any such debits (or ACH activity) shall not constitute a set-off.</w:t>
      </w:r>
    </w:p>
    <w:p>
      <w:pPr>
        <w:spacing w:after="0" w:line="129" w:lineRule="exact"/>
        <w:rPr>
          <w:rFonts w:ascii="Arial" w:cs="Arial" w:eastAsia="Arial" w:hAnsi="Arial"/>
          <w:sz w:val="20"/>
          <w:szCs w:val="20"/>
          <w:color w:val="auto"/>
        </w:rPr>
      </w:pPr>
    </w:p>
    <w:p>
      <w:pPr>
        <w:ind w:left="80" w:firstLine="1224"/>
        <w:spacing w:after="0" w:line="229" w:lineRule="auto"/>
        <w:tabs>
          <w:tab w:leader="none" w:pos="1769"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Except as otherwise expressly provided herein, all payments by Borrower under the Loan Documents shall be made to the respective Lender to which such payments are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68" w:lineRule="exact"/>
        <w:rPr>
          <w:sz w:val="20"/>
          <w:szCs w:val="20"/>
          <w:color w:val="auto"/>
        </w:rPr>
      </w:pPr>
    </w:p>
    <w:p>
      <w:pPr>
        <w:jc w:val="both"/>
        <w:ind w:left="80"/>
        <w:spacing w:after="0" w:line="206" w:lineRule="auto"/>
        <w:rPr>
          <w:sz w:val="20"/>
          <w:szCs w:val="20"/>
          <w:color w:val="auto"/>
        </w:rPr>
      </w:pPr>
      <w:r>
        <w:rPr>
          <w:rFonts w:ascii="Arial" w:cs="Arial" w:eastAsia="Arial" w:hAnsi="Arial"/>
          <w:sz w:val="20"/>
          <w:szCs w:val="20"/>
          <w:color w:val="auto"/>
        </w:rPr>
        <w:t>owed, at such Person’s office in immediately available funds on the date specified herein. Unless otherwise provided, interest is payable monthly on the Payment Date of each month. Payments of principal and/or interest received after 2:00 p.m. Eastern time are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and all fees, expenses, indemnities and reimbursements, shall be made without set-off, recoupment or counterclaim, in lawful money of the United States and in immediately available funds.</w:t>
      </w:r>
    </w:p>
    <w:p>
      <w:pPr>
        <w:spacing w:after="0" w:line="124" w:lineRule="exact"/>
        <w:rPr>
          <w:sz w:val="20"/>
          <w:szCs w:val="20"/>
          <w:color w:val="auto"/>
        </w:rPr>
      </w:pPr>
    </w:p>
    <w:p>
      <w:pPr>
        <w:ind w:firstLine="648"/>
        <w:spacing w:after="0" w:line="232" w:lineRule="auto"/>
        <w:rPr>
          <w:sz w:val="20"/>
          <w:szCs w:val="20"/>
          <w:color w:val="auto"/>
        </w:rPr>
      </w:pPr>
      <w:r>
        <w:rPr>
          <w:rFonts w:ascii="Arial" w:cs="Arial" w:eastAsia="Arial" w:hAnsi="Arial"/>
          <w:sz w:val="20"/>
          <w:szCs w:val="20"/>
          <w:b w:val="1"/>
          <w:bCs w:val="1"/>
          <w:color w:val="auto"/>
        </w:rPr>
        <w:t xml:space="preserve">2.4 Fees. </w:t>
      </w:r>
      <w:r>
        <w:rPr>
          <w:rFonts w:ascii="Arial" w:cs="Arial" w:eastAsia="Arial" w:hAnsi="Arial"/>
          <w:sz w:val="20"/>
          <w:szCs w:val="20"/>
          <w:color w:val="auto"/>
        </w:rPr>
        <w:t>Borrower shall pay to Collateral Agent and/or Lenders (as applicable) the following fees, which shall be deemed fully-earned and non-refundable upon payment:</w:t>
      </w:r>
    </w:p>
    <w:p>
      <w:pPr>
        <w:spacing w:after="0" w:line="142" w:lineRule="exact"/>
        <w:rPr>
          <w:sz w:val="20"/>
          <w:szCs w:val="20"/>
          <w:color w:val="auto"/>
        </w:rPr>
      </w:pPr>
    </w:p>
    <w:p>
      <w:pPr>
        <w:ind w:left="80" w:firstLine="1224"/>
        <w:spacing w:after="0" w:line="229" w:lineRule="auto"/>
        <w:tabs>
          <w:tab w:leader="none" w:pos="1728" w:val="left"/>
        </w:tabs>
        <w:numPr>
          <w:ilvl w:val="1"/>
          <w:numId w:val="55"/>
        </w:numPr>
        <w:rPr>
          <w:rFonts w:ascii="Arial" w:cs="Arial" w:eastAsia="Arial" w:hAnsi="Arial"/>
          <w:sz w:val="20"/>
          <w:szCs w:val="20"/>
          <w:color w:val="auto"/>
        </w:rPr>
      </w:pPr>
      <w:r>
        <w:rPr>
          <w:rFonts w:ascii="Arial" w:cs="Arial" w:eastAsia="Arial" w:hAnsi="Arial"/>
          <w:sz w:val="20"/>
          <w:szCs w:val="20"/>
          <w:u w:val="single" w:color="auto"/>
          <w:color w:val="auto"/>
        </w:rPr>
        <w:t>Fee Letter</w:t>
      </w:r>
      <w:r>
        <w:rPr>
          <w:rFonts w:ascii="Arial" w:cs="Arial" w:eastAsia="Arial" w:hAnsi="Arial"/>
          <w:sz w:val="20"/>
          <w:szCs w:val="20"/>
          <w:color w:val="auto"/>
        </w:rPr>
        <w:t>. When due and payable under the terms of the Fee Letter, to Collateral Agent and each Lender, as applicable, the fees set forth in the Fee Letter.</w:t>
      </w:r>
    </w:p>
    <w:p>
      <w:pPr>
        <w:spacing w:after="0" w:line="141" w:lineRule="exact"/>
        <w:rPr>
          <w:rFonts w:ascii="Arial" w:cs="Arial" w:eastAsia="Arial" w:hAnsi="Arial"/>
          <w:sz w:val="20"/>
          <w:szCs w:val="20"/>
          <w:color w:val="auto"/>
        </w:rPr>
      </w:pPr>
    </w:p>
    <w:p>
      <w:pPr>
        <w:jc w:val="both"/>
        <w:ind w:left="80" w:firstLine="1224"/>
        <w:spacing w:after="0" w:line="253" w:lineRule="auto"/>
        <w:tabs>
          <w:tab w:leader="none" w:pos="1739"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Prepayment Premium</w:t>
      </w:r>
      <w:r>
        <w:rPr>
          <w:rFonts w:ascii="Arial" w:cs="Arial" w:eastAsia="Arial" w:hAnsi="Arial"/>
          <w:sz w:val="16"/>
          <w:szCs w:val="16"/>
          <w:color w:val="auto"/>
        </w:rPr>
        <w:t>. The Prepayment Premium, when due hereunder, to be shared between the Lenders in accordance with their respective Pro Rata Shares. Borrower expressly agrees (to the fullest extent that each may lawfully do so) that: (i) the Prepayment Premium is reasonable and is the product of an arm’s length transaction between sophisticated business people, ably represented by counsel;</w:t>
      </w:r>
    </w:p>
    <w:p>
      <w:pPr>
        <w:spacing w:after="0" w:line="1" w:lineRule="exact"/>
        <w:rPr>
          <w:rFonts w:ascii="Arial" w:cs="Arial" w:eastAsia="Arial" w:hAnsi="Arial"/>
          <w:sz w:val="16"/>
          <w:szCs w:val="16"/>
          <w:color w:val="auto"/>
        </w:rPr>
      </w:pPr>
    </w:p>
    <w:p>
      <w:pPr>
        <w:jc w:val="both"/>
        <w:ind w:left="80" w:hanging="7"/>
        <w:spacing w:after="0" w:line="217" w:lineRule="auto"/>
        <w:tabs>
          <w:tab w:leader="none" w:pos="381"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Prepayment Premium shall be payable notwithstanding the then prevailing market rates at the time payment is made; (iii) there has been a course of conduct between Collateral Agent, Lenders and Borrower giving specific consideration in this transaction for such agreement to pay the Prepayment Premium and (iv) Borrower shall be estopped hereafter from claiming differently than as agreed to in this paragraph. Borrower expressly acknowledges that its agreement to pay the Prepayment Premium to Lenders as herein described is a material inducement to Lenders to provide the Term Loan Commitments and make the Term Loans.</w:t>
      </w:r>
    </w:p>
    <w:p>
      <w:pPr>
        <w:spacing w:after="0" w:line="130" w:lineRule="exact"/>
        <w:rPr>
          <w:rFonts w:ascii="Arial" w:cs="Arial" w:eastAsia="Arial" w:hAnsi="Arial"/>
          <w:sz w:val="19"/>
          <w:szCs w:val="19"/>
          <w:color w:val="auto"/>
        </w:rPr>
      </w:pPr>
    </w:p>
    <w:p>
      <w:pPr>
        <w:ind w:left="80" w:firstLine="1224"/>
        <w:spacing w:after="0" w:line="229" w:lineRule="auto"/>
        <w:tabs>
          <w:tab w:leader="none" w:pos="1769" w:val="left"/>
        </w:tabs>
        <w:numPr>
          <w:ilvl w:val="1"/>
          <w:numId w:val="56"/>
        </w:numPr>
        <w:rPr>
          <w:rFonts w:ascii="Arial" w:cs="Arial" w:eastAsia="Arial" w:hAnsi="Arial"/>
          <w:sz w:val="20"/>
          <w:szCs w:val="20"/>
          <w:color w:val="auto"/>
        </w:rPr>
      </w:pPr>
      <w:r>
        <w:rPr>
          <w:rFonts w:ascii="Arial" w:cs="Arial" w:eastAsia="Arial" w:hAnsi="Arial"/>
          <w:sz w:val="20"/>
          <w:szCs w:val="20"/>
          <w:u w:val="single" w:color="auto"/>
          <w:color w:val="auto"/>
        </w:rPr>
        <w:t>Lenders’ Expenses</w:t>
      </w:r>
      <w:r>
        <w:rPr>
          <w:rFonts w:ascii="Arial" w:cs="Arial" w:eastAsia="Arial" w:hAnsi="Arial"/>
          <w:sz w:val="20"/>
          <w:szCs w:val="20"/>
          <w:color w:val="auto"/>
        </w:rPr>
        <w:t>. All Lenders’ Expenses (including reasonable attorneys’ fees and expenses for documentation and negotiation of this Agreement) incurred through and after the Effective Date, when due.</w:t>
      </w:r>
    </w:p>
    <w:p>
      <w:pPr>
        <w:spacing w:after="0" w:line="135" w:lineRule="exact"/>
        <w:rPr>
          <w:rFonts w:ascii="Arial" w:cs="Arial" w:eastAsia="Arial" w:hAnsi="Arial"/>
          <w:sz w:val="20"/>
          <w:szCs w:val="20"/>
          <w:color w:val="auto"/>
        </w:rPr>
      </w:pPr>
    </w:p>
    <w:p>
      <w:pPr>
        <w:jc w:val="both"/>
        <w:ind w:left="80" w:firstLine="1224"/>
        <w:spacing w:after="0" w:line="214" w:lineRule="auto"/>
        <w:tabs>
          <w:tab w:leader="none" w:pos="1847" w:val="left"/>
        </w:tabs>
        <w:numPr>
          <w:ilvl w:val="1"/>
          <w:numId w:val="56"/>
        </w:numPr>
        <w:rPr>
          <w:rFonts w:ascii="Arial" w:cs="Arial" w:eastAsia="Arial" w:hAnsi="Arial"/>
          <w:sz w:val="20"/>
          <w:szCs w:val="20"/>
          <w:color w:val="auto"/>
        </w:rPr>
      </w:pPr>
      <w:r>
        <w:rPr>
          <w:rFonts w:ascii="Arial" w:cs="Arial" w:eastAsia="Arial" w:hAnsi="Arial"/>
          <w:sz w:val="20"/>
          <w:szCs w:val="20"/>
          <w:u w:val="single" w:color="auto"/>
          <w:color w:val="auto"/>
        </w:rPr>
        <w:t>Good Faith Deposit</w:t>
      </w:r>
      <w:r>
        <w:rPr>
          <w:rFonts w:ascii="Arial" w:cs="Arial" w:eastAsia="Arial" w:hAnsi="Arial"/>
          <w:sz w:val="20"/>
          <w:szCs w:val="20"/>
          <w:color w:val="auto"/>
        </w:rPr>
        <w:t>. Borrower has paid to SLR a deposit of Fifty Thousand Dollars ($50,000) (the “</w:t>
      </w:r>
      <w:r>
        <w:rPr>
          <w:rFonts w:ascii="Arial" w:cs="Arial" w:eastAsia="Arial" w:hAnsi="Arial"/>
          <w:sz w:val="20"/>
          <w:szCs w:val="20"/>
          <w:b w:val="1"/>
          <w:bCs w:val="1"/>
          <w:color w:val="auto"/>
        </w:rPr>
        <w:t>Good Faith</w:t>
      </w:r>
      <w:r>
        <w:rPr>
          <w:rFonts w:ascii="Arial" w:cs="Arial" w:eastAsia="Arial" w:hAnsi="Arial"/>
          <w:sz w:val="20"/>
          <w:szCs w:val="20"/>
          <w:color w:val="auto"/>
        </w:rPr>
        <w:t xml:space="preserve"> </w:t>
      </w:r>
      <w:r>
        <w:rPr>
          <w:rFonts w:ascii="Arial" w:cs="Arial" w:eastAsia="Arial" w:hAnsi="Arial"/>
          <w:sz w:val="20"/>
          <w:szCs w:val="20"/>
          <w:b w:val="1"/>
          <w:bCs w:val="1"/>
          <w:color w:val="auto"/>
        </w:rPr>
        <w:t>Deposit</w:t>
      </w:r>
      <w:r>
        <w:rPr>
          <w:rFonts w:ascii="Arial" w:cs="Arial" w:eastAsia="Arial" w:hAnsi="Arial"/>
          <w:sz w:val="20"/>
          <w:szCs w:val="20"/>
          <w:color w:val="auto"/>
        </w:rPr>
        <w:t>”), to initiate Collateral Agent’s and Lenders’ due diligence review and documentation process. The Good Faith Deposit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utilized to pay Lenders’ Expenses, with the remainder, if any, to pay a portion of the facility fee due in accordance with Section 1 of the Fee Letter.</w:t>
      </w:r>
    </w:p>
    <w:p>
      <w:pPr>
        <w:spacing w:after="0" w:line="138"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0"/>
          <w:szCs w:val="20"/>
          <w:b w:val="1"/>
          <w:bCs w:val="1"/>
          <w:color w:val="auto"/>
        </w:rPr>
        <w:t xml:space="preserve">2.5 Taxes; Increased Costs. </w:t>
      </w:r>
      <w:r>
        <w:rPr>
          <w:rFonts w:ascii="Arial" w:cs="Arial" w:eastAsia="Arial" w:hAnsi="Arial"/>
          <w:sz w:val="20"/>
          <w:szCs w:val="20"/>
          <w:color w:val="auto"/>
        </w:rPr>
        <w:t>Borrower, Collateral Agent and the Lenders each hereby agree to the terms and conditions set forth on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attached hereto.</w:t>
      </w:r>
    </w:p>
    <w:p>
      <w:pPr>
        <w:spacing w:after="0" w:line="149"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9"/>
          <w:szCs w:val="19"/>
          <w:b w:val="1"/>
          <w:bCs w:val="1"/>
          <w:color w:val="auto"/>
        </w:rPr>
        <w:t>CONDITIONS OF LOANS</w:t>
      </w:r>
    </w:p>
    <w:p>
      <w:pPr>
        <w:spacing w:after="0" w:line="162"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0"/>
          <w:szCs w:val="20"/>
          <w:b w:val="1"/>
          <w:bCs w:val="1"/>
          <w:color w:val="auto"/>
        </w:rPr>
        <w:t xml:space="preserve">3.1 Conditions Precedent to Initial Term Loan. </w:t>
      </w:r>
      <w:r>
        <w:rPr>
          <w:rFonts w:ascii="Arial" w:cs="Arial" w:eastAsia="Arial" w:hAnsi="Arial"/>
          <w:sz w:val="20"/>
          <w:szCs w:val="20"/>
          <w:color w:val="auto"/>
        </w:rPr>
        <w:t>Each Lender’s obligation to make a Term A Loan is subject to the condition</w:t>
      </w:r>
      <w:r>
        <w:rPr>
          <w:rFonts w:ascii="Arial" w:cs="Arial" w:eastAsia="Arial" w:hAnsi="Arial"/>
          <w:sz w:val="20"/>
          <w:szCs w:val="20"/>
          <w:b w:val="1"/>
          <w:bCs w:val="1"/>
          <w:color w:val="auto"/>
        </w:rPr>
        <w:t xml:space="preserve"> </w:t>
      </w:r>
      <w:r>
        <w:rPr>
          <w:rFonts w:ascii="Arial" w:cs="Arial" w:eastAsia="Arial" w:hAnsi="Arial"/>
          <w:sz w:val="20"/>
          <w:szCs w:val="20"/>
          <w:color w:val="auto"/>
        </w:rPr>
        <w:t>precedent that Collateral Agent and each Lender shall consent to or shall have received, in form and substance satisfactory to Collateral Agent and each Lender, such documents, and completion of such other matters, as Collateral Agent and each Lender may reasonably deem necessary or appropriate, including, without limitation:</w:t>
      </w:r>
    </w:p>
    <w:p>
      <w:pPr>
        <w:spacing w:after="0" w:line="144" w:lineRule="exact"/>
        <w:rPr>
          <w:sz w:val="20"/>
          <w:szCs w:val="20"/>
          <w:color w:val="auto"/>
        </w:rPr>
      </w:pPr>
    </w:p>
    <w:p>
      <w:pPr>
        <w:ind w:left="1720" w:hanging="416"/>
        <w:spacing w:after="0"/>
        <w:tabs>
          <w:tab w:leader="none" w:pos="1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original Loan Documents, each duly executed by Borrower and each Subsidiary, as applicable;</w:t>
      </w:r>
    </w:p>
    <w:p>
      <w:pPr>
        <w:spacing w:after="0" w:line="146" w:lineRule="exact"/>
        <w:rPr>
          <w:rFonts w:ascii="Arial" w:cs="Arial" w:eastAsia="Arial" w:hAnsi="Arial"/>
          <w:sz w:val="20"/>
          <w:szCs w:val="20"/>
          <w:color w:val="auto"/>
        </w:rPr>
      </w:pPr>
    </w:p>
    <w:p>
      <w:pPr>
        <w:ind w:left="1800" w:hanging="496"/>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completed Perfection Certificate for Borrower and each of its Subsidiaries and Disclosure Schedules for Borrower</w:t>
      </w:r>
    </w:p>
    <w:p>
      <w:pPr>
        <w:spacing w:after="0"/>
        <w:rPr>
          <w:rFonts w:ascii="Arial" w:cs="Arial" w:eastAsia="Arial" w:hAnsi="Arial"/>
          <w:sz w:val="18"/>
          <w:szCs w:val="18"/>
          <w:color w:val="auto"/>
        </w:rPr>
      </w:pPr>
      <w:r>
        <w:rPr>
          <w:rFonts w:ascii="Arial" w:cs="Arial" w:eastAsia="Arial" w:hAnsi="Arial"/>
          <w:sz w:val="20"/>
          <w:szCs w:val="20"/>
          <w:color w:val="auto"/>
        </w:rPr>
        <w:t>and each Guarantor;</w:t>
      </w:r>
    </w:p>
    <w:p>
      <w:pPr>
        <w:spacing w:after="0" w:line="145" w:lineRule="exact"/>
        <w:rPr>
          <w:rFonts w:ascii="Arial" w:cs="Arial" w:eastAsia="Arial" w:hAnsi="Arial"/>
          <w:sz w:val="18"/>
          <w:szCs w:val="18"/>
          <w:color w:val="auto"/>
        </w:rPr>
      </w:pPr>
    </w:p>
    <w:p>
      <w:pPr>
        <w:ind w:right="20" w:firstLine="1304"/>
        <w:spacing w:after="0" w:line="229" w:lineRule="auto"/>
        <w:tabs>
          <w:tab w:leader="none" w:pos="1907" w:val="left"/>
        </w:tabs>
        <w:numPr>
          <w:ilvl w:val="0"/>
          <w:numId w:val="57"/>
        </w:numPr>
        <w:rPr>
          <w:rFonts w:ascii="Arial" w:cs="Arial" w:eastAsia="Arial" w:hAnsi="Arial"/>
          <w:sz w:val="20"/>
          <w:szCs w:val="20"/>
          <w:color w:val="auto"/>
        </w:rPr>
      </w:pPr>
      <w:r>
        <w:rPr>
          <w:rFonts w:ascii="Arial" w:cs="Arial" w:eastAsia="Arial" w:hAnsi="Arial"/>
          <w:sz w:val="20"/>
          <w:szCs w:val="20"/>
          <w:color w:val="auto"/>
        </w:rPr>
        <w:t>duly executed Control Agreements with respect to Collateral Accounts maintained by Borrower or any of its Subsidiaries to the extent required under Section 6.6;</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68" w:lineRule="exact"/>
        <w:rPr>
          <w:sz w:val="20"/>
          <w:szCs w:val="20"/>
          <w:color w:val="auto"/>
        </w:rPr>
      </w:pPr>
    </w:p>
    <w:p>
      <w:pPr>
        <w:ind w:left="1740" w:hanging="436"/>
        <w:spacing w:after="0"/>
        <w:tabs>
          <w:tab w:leader="none" w:pos="17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a duly executed Fee Letter;</w:t>
      </w:r>
    </w:p>
    <w:p>
      <w:pPr>
        <w:spacing w:after="0" w:line="148" w:lineRule="exact"/>
        <w:rPr>
          <w:rFonts w:ascii="Arial" w:cs="Arial" w:eastAsia="Arial" w:hAnsi="Arial"/>
          <w:sz w:val="20"/>
          <w:szCs w:val="20"/>
          <w:color w:val="auto"/>
        </w:rPr>
      </w:pPr>
    </w:p>
    <w:p>
      <w:pPr>
        <w:jc w:val="both"/>
        <w:ind w:firstLine="1304"/>
        <w:spacing w:after="0" w:line="244" w:lineRule="auto"/>
        <w:tabs>
          <w:tab w:leader="none" w:pos="175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Operating Documents and good standing certificates of Borrower and its Subsidiaries certified by the Secretary of State (or equivalent agency) of Borrower’s and such Subsidiaries’ jurisdiction of organization or formation and each jurisdiction in which Borrower and each Subsidiary is qualified to conduct business, each as of a date no earlier than thirty (30) days prior to the Effective Date</w:t>
      </w:r>
      <w:r>
        <w:rPr>
          <w:rFonts w:ascii="Arial" w:cs="Arial" w:eastAsia="Arial" w:hAnsi="Arial"/>
          <w:sz w:val="18"/>
          <w:szCs w:val="18"/>
          <w:b w:val="1"/>
          <w:bCs w:val="1"/>
          <w:color w:val="auto"/>
        </w:rPr>
        <w:t>;</w:t>
      </w:r>
    </w:p>
    <w:p>
      <w:pPr>
        <w:spacing w:after="0" w:line="138" w:lineRule="exact"/>
        <w:rPr>
          <w:rFonts w:ascii="Arial" w:cs="Arial" w:eastAsia="Arial" w:hAnsi="Arial"/>
          <w:sz w:val="18"/>
          <w:szCs w:val="18"/>
          <w:color w:val="auto"/>
        </w:rPr>
      </w:pPr>
    </w:p>
    <w:p>
      <w:pPr>
        <w:jc w:val="both"/>
        <w:ind w:firstLine="1304"/>
        <w:spacing w:after="0" w:line="210" w:lineRule="auto"/>
        <w:tabs>
          <w:tab w:leader="none" w:pos="1791"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a certificate of Borrower in substantially the form of </w:t>
      </w:r>
      <w:r>
        <w:rPr>
          <w:rFonts w:ascii="Arial" w:cs="Arial" w:eastAsia="Arial" w:hAnsi="Arial"/>
          <w:sz w:val="20"/>
          <w:szCs w:val="20"/>
          <w:u w:val="single" w:color="auto"/>
          <w:color w:val="auto"/>
        </w:rPr>
        <w:t>Exhibit F</w:t>
      </w:r>
      <w:r>
        <w:rPr>
          <w:rFonts w:ascii="Arial" w:cs="Arial" w:eastAsia="Arial" w:hAnsi="Arial"/>
          <w:sz w:val="20"/>
          <w:szCs w:val="20"/>
          <w:color w:val="auto"/>
        </w:rPr>
        <w:t xml:space="preserve"> hereto executed by the Secretary of Borrower with appropriate insertions and attachments, including with respect to (i) the Operating Documents of such Person (which Certificate of Incorporation or Certificate of Formation of such Person shall be certified by the Secretary of State of the State of Delaware) and (ii) the resolutions adopted by such Person’s board of directors or other governing body for the purpose of approving the transactions contemplated by the Loan Documents;</w:t>
      </w:r>
    </w:p>
    <w:p>
      <w:pPr>
        <w:spacing w:after="0" w:line="141" w:lineRule="exact"/>
        <w:rPr>
          <w:rFonts w:ascii="Arial" w:cs="Arial" w:eastAsia="Arial" w:hAnsi="Arial"/>
          <w:sz w:val="20"/>
          <w:szCs w:val="20"/>
          <w:color w:val="auto"/>
        </w:rPr>
      </w:pPr>
    </w:p>
    <w:p>
      <w:pPr>
        <w:jc w:val="both"/>
        <w:ind w:firstLine="1304"/>
        <w:spacing w:after="0" w:line="213" w:lineRule="auto"/>
        <w:tabs>
          <w:tab w:leader="none" w:pos="1811" w:val="left"/>
        </w:tabs>
        <w:numPr>
          <w:ilvl w:val="0"/>
          <w:numId w:val="58"/>
        </w:numPr>
        <w:rPr>
          <w:rFonts w:ascii="Arial" w:cs="Arial" w:eastAsia="Arial" w:hAnsi="Arial"/>
          <w:sz w:val="20"/>
          <w:szCs w:val="20"/>
          <w:color w:val="auto"/>
        </w:rPr>
      </w:pPr>
      <w:r>
        <w:rPr>
          <w:rFonts w:ascii="Arial" w:cs="Arial" w:eastAsia="Arial" w:hAnsi="Arial"/>
          <w:sz w:val="20"/>
          <w:szCs w:val="20"/>
          <w:color w:val="auto"/>
        </w:rPr>
        <w:t>certified copies, dated as of date no earlier than thirty (30) days prior to the Effective Date, of financing statement searches, as Collateral Agent shall request, accompanied by written evidence (including any UCC termination statements) that the Liens indicated in any such financing statements either constitute Permitted Liens or have been or, in connection with the initial Term Loan, will be terminated or released;</w:t>
      </w:r>
    </w:p>
    <w:p>
      <w:pPr>
        <w:spacing w:after="0" w:line="128" w:lineRule="exact"/>
        <w:rPr>
          <w:rFonts w:ascii="Arial" w:cs="Arial" w:eastAsia="Arial" w:hAnsi="Arial"/>
          <w:sz w:val="20"/>
          <w:szCs w:val="20"/>
          <w:color w:val="auto"/>
        </w:rPr>
      </w:pPr>
    </w:p>
    <w:p>
      <w:pPr>
        <w:ind w:left="1740" w:hanging="436"/>
        <w:spacing w:after="0"/>
        <w:tabs>
          <w:tab w:leader="none" w:pos="17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a duly executed legal opinion of counsel to Borrower dated the Effective Date;</w:t>
      </w:r>
    </w:p>
    <w:p>
      <w:pPr>
        <w:spacing w:after="0" w:line="161" w:lineRule="exact"/>
        <w:rPr>
          <w:rFonts w:ascii="Arial" w:cs="Arial" w:eastAsia="Arial" w:hAnsi="Arial"/>
          <w:sz w:val="20"/>
          <w:szCs w:val="20"/>
          <w:color w:val="auto"/>
        </w:rPr>
      </w:pPr>
    </w:p>
    <w:p>
      <w:pPr>
        <w:jc w:val="both"/>
        <w:ind w:firstLine="1304"/>
        <w:spacing w:after="0" w:line="218" w:lineRule="auto"/>
        <w:tabs>
          <w:tab w:leader="none" w:pos="1709" w:val="left"/>
        </w:tabs>
        <w:numPr>
          <w:ilvl w:val="0"/>
          <w:numId w:val="58"/>
        </w:numPr>
        <w:rPr>
          <w:rFonts w:ascii="Arial" w:cs="Arial" w:eastAsia="Arial" w:hAnsi="Arial"/>
          <w:sz w:val="20"/>
          <w:szCs w:val="20"/>
          <w:color w:val="auto"/>
        </w:rPr>
      </w:pPr>
      <w:r>
        <w:rPr>
          <w:rFonts w:ascii="Arial" w:cs="Arial" w:eastAsia="Arial" w:hAnsi="Arial"/>
          <w:sz w:val="20"/>
          <w:szCs w:val="20"/>
          <w:color w:val="auto"/>
        </w:rPr>
        <w:t>evidence satisfactory to Collateral Agent and the Lenders that the insurance policies required by Section 6.5 hereof are in full force and effect, and, subject to Section 6.12, together with appropriate evidence showing loss payable and/or additional insured clauses or endorsements in favor of Collateral Agent, for the ratable benefit of the Secured Parties;</w:t>
      </w:r>
    </w:p>
    <w:p>
      <w:pPr>
        <w:spacing w:after="0" w:line="142" w:lineRule="exact"/>
        <w:rPr>
          <w:rFonts w:ascii="Arial" w:cs="Arial" w:eastAsia="Arial" w:hAnsi="Arial"/>
          <w:sz w:val="20"/>
          <w:szCs w:val="20"/>
          <w:color w:val="auto"/>
        </w:rPr>
      </w:pPr>
    </w:p>
    <w:p>
      <w:pPr>
        <w:ind w:left="1680" w:hanging="376"/>
        <w:spacing w:after="0"/>
        <w:tabs>
          <w:tab w:leader="none" w:pos="16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duly executed Exit Fee Agreement;</w:t>
      </w:r>
    </w:p>
    <w:p>
      <w:pPr>
        <w:spacing w:after="0" w:line="146" w:lineRule="exact"/>
        <w:rPr>
          <w:rFonts w:ascii="Arial" w:cs="Arial" w:eastAsia="Arial" w:hAnsi="Arial"/>
          <w:sz w:val="20"/>
          <w:szCs w:val="20"/>
          <w:color w:val="auto"/>
        </w:rPr>
      </w:pPr>
    </w:p>
    <w:p>
      <w:pPr>
        <w:ind w:left="1760" w:hanging="456"/>
        <w:spacing w:after="0"/>
        <w:tabs>
          <w:tab w:leader="none" w:pos="1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payment of the fees payable under the terms of the Fee Letter and Lenders’ Expenses then due as specified in Section</w:t>
      </w:r>
    </w:p>
    <w:p>
      <w:pPr>
        <w:spacing w:after="0"/>
        <w:rPr>
          <w:rFonts w:ascii="Arial" w:cs="Arial" w:eastAsia="Arial" w:hAnsi="Arial"/>
          <w:sz w:val="18"/>
          <w:szCs w:val="18"/>
          <w:color w:val="auto"/>
        </w:rPr>
      </w:pPr>
      <w:r>
        <w:rPr>
          <w:rFonts w:ascii="Arial" w:cs="Arial" w:eastAsia="Arial" w:hAnsi="Arial"/>
          <w:sz w:val="20"/>
          <w:szCs w:val="20"/>
          <w:color w:val="auto"/>
        </w:rPr>
        <w:t>2.4 hereof;</w:t>
      </w:r>
    </w:p>
    <w:p>
      <w:pPr>
        <w:spacing w:after="0" w:line="145" w:lineRule="exact"/>
        <w:rPr>
          <w:rFonts w:ascii="Arial" w:cs="Arial" w:eastAsia="Arial" w:hAnsi="Arial"/>
          <w:sz w:val="18"/>
          <w:szCs w:val="18"/>
          <w:color w:val="auto"/>
        </w:rPr>
      </w:pPr>
    </w:p>
    <w:p>
      <w:pPr>
        <w:ind w:firstLine="1304"/>
        <w:spacing w:after="0" w:line="229" w:lineRule="auto"/>
        <w:tabs>
          <w:tab w:leader="none" w:pos="1695" w:val="left"/>
        </w:tabs>
        <w:numPr>
          <w:ilvl w:val="0"/>
          <w:numId w:val="58"/>
        </w:numPr>
        <w:rPr>
          <w:rFonts w:ascii="Arial" w:cs="Arial" w:eastAsia="Arial" w:hAnsi="Arial"/>
          <w:sz w:val="20"/>
          <w:szCs w:val="20"/>
          <w:color w:val="auto"/>
        </w:rPr>
      </w:pPr>
      <w:r>
        <w:rPr>
          <w:rFonts w:ascii="Arial" w:cs="Arial" w:eastAsia="Arial" w:hAnsi="Arial"/>
          <w:sz w:val="20"/>
          <w:szCs w:val="20"/>
          <w:color w:val="auto"/>
        </w:rPr>
        <w:t>a payoff letter in form and substance satisfactory to Agent and the Lenders evidencing the repayment in full and release of liens with respect to Borrower’s existing Indebtedness; and</w:t>
      </w:r>
    </w:p>
    <w:p>
      <w:pPr>
        <w:spacing w:after="0" w:line="141" w:lineRule="exact"/>
        <w:rPr>
          <w:rFonts w:ascii="Arial" w:cs="Arial" w:eastAsia="Arial" w:hAnsi="Arial"/>
          <w:sz w:val="20"/>
          <w:szCs w:val="20"/>
          <w:color w:val="auto"/>
        </w:rPr>
      </w:pPr>
    </w:p>
    <w:p>
      <w:pPr>
        <w:ind w:left="1780" w:hanging="476"/>
        <w:spacing w:after="0"/>
        <w:tabs>
          <w:tab w:leader="none" w:pos="17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a replacement Exit Fee Agreement related to Borrower’s existing Indebtedness.</w:t>
      </w:r>
    </w:p>
    <w:p>
      <w:pPr>
        <w:spacing w:after="0" w:line="142" w:lineRule="exact"/>
        <w:rPr>
          <w:sz w:val="20"/>
          <w:szCs w:val="20"/>
          <w:color w:val="auto"/>
        </w:rPr>
      </w:pPr>
    </w:p>
    <w:p>
      <w:pPr>
        <w:ind w:firstLine="648"/>
        <w:spacing w:after="0" w:line="232" w:lineRule="auto"/>
        <w:rPr>
          <w:sz w:val="20"/>
          <w:szCs w:val="20"/>
          <w:color w:val="auto"/>
        </w:rPr>
      </w:pPr>
      <w:r>
        <w:rPr>
          <w:rFonts w:ascii="Arial" w:cs="Arial" w:eastAsia="Arial" w:hAnsi="Arial"/>
          <w:sz w:val="20"/>
          <w:szCs w:val="20"/>
          <w:b w:val="1"/>
          <w:bCs w:val="1"/>
          <w:color w:val="auto"/>
        </w:rPr>
        <w:t xml:space="preserve">3.2 Conditions Precedent to all Term Loans. </w:t>
      </w:r>
      <w:r>
        <w:rPr>
          <w:rFonts w:ascii="Arial" w:cs="Arial" w:eastAsia="Arial" w:hAnsi="Arial"/>
          <w:sz w:val="20"/>
          <w:szCs w:val="20"/>
          <w:color w:val="auto"/>
        </w:rPr>
        <w:t>The obligation of each Lender to extend each Term Loan, including the initial Term</w:t>
      </w:r>
      <w:r>
        <w:rPr>
          <w:rFonts w:ascii="Arial" w:cs="Arial" w:eastAsia="Arial" w:hAnsi="Arial"/>
          <w:sz w:val="20"/>
          <w:szCs w:val="20"/>
          <w:b w:val="1"/>
          <w:bCs w:val="1"/>
          <w:color w:val="auto"/>
        </w:rPr>
        <w:t xml:space="preserve"> </w:t>
      </w:r>
      <w:r>
        <w:rPr>
          <w:rFonts w:ascii="Arial" w:cs="Arial" w:eastAsia="Arial" w:hAnsi="Arial"/>
          <w:sz w:val="20"/>
          <w:szCs w:val="20"/>
          <w:color w:val="auto"/>
        </w:rPr>
        <w:t>Loan, is subject to the following additional conditions precedent:</w:t>
      </w:r>
    </w:p>
    <w:p>
      <w:pPr>
        <w:spacing w:after="0" w:line="142" w:lineRule="exact"/>
        <w:rPr>
          <w:sz w:val="20"/>
          <w:szCs w:val="20"/>
          <w:color w:val="auto"/>
        </w:rPr>
      </w:pPr>
    </w:p>
    <w:p>
      <w:pPr>
        <w:ind w:left="1720" w:hanging="416"/>
        <w:spacing w:after="0"/>
        <w:tabs>
          <w:tab w:leader="none" w:pos="17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receipt by Collateral Agent of an executed Loan Payment Request Form in the form of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attached hereto;</w:t>
      </w:r>
    </w:p>
    <w:p>
      <w:pPr>
        <w:spacing w:after="0" w:line="173" w:lineRule="exact"/>
        <w:rPr>
          <w:rFonts w:ascii="Arial" w:cs="Arial" w:eastAsia="Arial" w:hAnsi="Arial"/>
          <w:sz w:val="19"/>
          <w:szCs w:val="19"/>
          <w:color w:val="auto"/>
        </w:rPr>
      </w:pPr>
    </w:p>
    <w:p>
      <w:pPr>
        <w:jc w:val="both"/>
        <w:ind w:firstLine="1304"/>
        <w:spacing w:after="0" w:line="221" w:lineRule="auto"/>
        <w:tabs>
          <w:tab w:leader="none" w:pos="1725"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representations and warranties in Section 5 hereof shall be true, accurate and complete in all material respects on the Funding Date of each Term Loan;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funding of such Term Loan;</w:t>
      </w:r>
    </w:p>
    <w:p>
      <w:pPr>
        <w:spacing w:after="0" w:line="128" w:lineRule="exact"/>
        <w:rPr>
          <w:rFonts w:ascii="Arial" w:cs="Arial" w:eastAsia="Arial" w:hAnsi="Arial"/>
          <w:sz w:val="19"/>
          <w:szCs w:val="19"/>
          <w:color w:val="auto"/>
        </w:rPr>
      </w:pPr>
    </w:p>
    <w:p>
      <w:pPr>
        <w:ind w:left="1720" w:hanging="416"/>
        <w:spacing w:after="0"/>
        <w:tabs>
          <w:tab w:leader="none" w:pos="1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in such Lender’s reasonable discretion, there has not been any Material Adverse Change;</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59"/>
        </w:numPr>
        <w:rPr>
          <w:rFonts w:ascii="Arial" w:cs="Arial" w:eastAsia="Arial" w:hAnsi="Arial"/>
          <w:sz w:val="20"/>
          <w:szCs w:val="20"/>
          <w:color w:val="auto"/>
        </w:rPr>
      </w:pPr>
      <w:r>
        <w:rPr>
          <w:rFonts w:ascii="Arial" w:cs="Arial" w:eastAsia="Arial" w:hAnsi="Arial"/>
          <w:sz w:val="20"/>
          <w:szCs w:val="20"/>
          <w:color w:val="auto"/>
        </w:rPr>
        <w:t>No Event of Default or Default, shall exist;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68"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0"/>
          <w:szCs w:val="20"/>
          <w:color w:val="auto"/>
        </w:rPr>
        <w:t>(e)</w:t>
      </w:r>
      <w:r>
        <w:rPr>
          <w:sz w:val="20"/>
          <w:szCs w:val="20"/>
          <w:color w:val="auto"/>
        </w:rPr>
        <w:tab/>
      </w:r>
      <w:r>
        <w:rPr>
          <w:rFonts w:ascii="Arial" w:cs="Arial" w:eastAsia="Arial" w:hAnsi="Arial"/>
          <w:sz w:val="16"/>
          <w:szCs w:val="16"/>
          <w:color w:val="auto"/>
        </w:rPr>
        <w:t>payment of the fees and Lenders’ Expenses then due as specified in Section 2.4 hereof.</w:t>
      </w:r>
    </w:p>
    <w:p>
      <w:pPr>
        <w:spacing w:after="0" w:line="142"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0"/>
          <w:szCs w:val="20"/>
          <w:b w:val="1"/>
          <w:bCs w:val="1"/>
          <w:color w:val="auto"/>
        </w:rPr>
        <w:t xml:space="preserve">3.3 Covenant to Deliver. </w:t>
      </w:r>
      <w:r>
        <w:rPr>
          <w:rFonts w:ascii="Arial" w:cs="Arial" w:eastAsia="Arial" w:hAnsi="Arial"/>
          <w:sz w:val="20"/>
          <w:szCs w:val="20"/>
          <w:color w:val="auto"/>
        </w:rPr>
        <w:t>Borrower agrees to deliver to Collateral Agent and to the extent applicable the Lenders each item</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to be delivered to Collateral Agent under this Agreement as a condition precedent to the funding of any Term Loan. Borrower expressly agrees that a Term Loan made prior to the receipt by Collateral Agent or any Lender of any such item shall not constitute a waiver by Collateral Agent or any Lender of Borrower’s obligation to deliver such item, and any such Term Loan in the absence of a required item shall be made in each Lender’s sole discretion.</w:t>
      </w:r>
    </w:p>
    <w:p>
      <w:pPr>
        <w:spacing w:after="0" w:line="137" w:lineRule="exact"/>
        <w:rPr>
          <w:sz w:val="20"/>
          <w:szCs w:val="20"/>
          <w:color w:val="auto"/>
        </w:rPr>
      </w:pPr>
    </w:p>
    <w:p>
      <w:pPr>
        <w:jc w:val="both"/>
        <w:ind w:firstLine="648"/>
        <w:spacing w:after="0" w:line="205" w:lineRule="auto"/>
        <w:rPr>
          <w:sz w:val="20"/>
          <w:szCs w:val="20"/>
          <w:color w:val="auto"/>
        </w:rPr>
      </w:pPr>
      <w:r>
        <w:rPr>
          <w:rFonts w:ascii="Arial" w:cs="Arial" w:eastAsia="Arial" w:hAnsi="Arial"/>
          <w:sz w:val="20"/>
          <w:szCs w:val="20"/>
          <w:b w:val="1"/>
          <w:bCs w:val="1"/>
          <w:color w:val="auto"/>
        </w:rPr>
        <w:t xml:space="preserve">3.4 Procedures for Borrowing. </w:t>
      </w:r>
      <w:r>
        <w:rPr>
          <w:rFonts w:ascii="Arial" w:cs="Arial" w:eastAsia="Arial" w:hAnsi="Arial"/>
          <w:sz w:val="20"/>
          <w:szCs w:val="20"/>
          <w:color w:val="auto"/>
        </w:rPr>
        <w:t>Subject to the prior satisfaction of all other applicable conditions to the making of a Term Loan set</w:t>
      </w:r>
      <w:r>
        <w:rPr>
          <w:rFonts w:ascii="Arial" w:cs="Arial" w:eastAsia="Arial" w:hAnsi="Arial"/>
          <w:sz w:val="20"/>
          <w:szCs w:val="20"/>
          <w:b w:val="1"/>
          <w:bCs w:val="1"/>
          <w:color w:val="auto"/>
        </w:rPr>
        <w:t xml:space="preserve"> </w:t>
      </w:r>
      <w:r>
        <w:rPr>
          <w:rFonts w:ascii="Arial" w:cs="Arial" w:eastAsia="Arial" w:hAnsi="Arial"/>
          <w:sz w:val="20"/>
          <w:szCs w:val="20"/>
          <w:color w:val="auto"/>
        </w:rPr>
        <w:t>forth in this Agreement, to obtain a Term Loan (other than the Term Loan funded on the Effective Date), Borrower shall notify the Lenders (which notice shall be irrevocable) by electronic mail, facsimile, or telephone by 2:00 p.m. New York City time three (3) Business Days prior to the date the Term Loan is to be made. Together with any such electronic, facsimile or telephonic notification, Borrower shall deliver to Collateral Agent by electronic mail or facsimile a completed Loan Payment Request Form executed by a Responsible Officer or his or her designee. The Collateral Agent may rely on any telephone notice given by a person whom Collateral Agent reasonably believes is a Responsible Officer or designee. On the Funding Date related to any Term Loan, each Lender shall credit and/or transfer (as applicable) to accounts designated by Borrower and agreed to by the Lenders, in an amount equal to its Term Loan Commitment in respect of such Term Loan.</w:t>
      </w:r>
    </w:p>
    <w:p>
      <w:pPr>
        <w:spacing w:after="0" w:line="163"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4.</w:t>
        <w:tab/>
        <w:t>CREATION OF SECURITY INTEREST</w:t>
      </w:r>
    </w:p>
    <w:p>
      <w:pPr>
        <w:spacing w:after="0" w:line="148"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b w:val="1"/>
          <w:bCs w:val="1"/>
          <w:color w:val="auto"/>
        </w:rPr>
        <w:t xml:space="preserve">4.1 Grant of Security Interest. </w:t>
      </w:r>
      <w:r>
        <w:rPr>
          <w:rFonts w:ascii="Arial" w:cs="Arial" w:eastAsia="Arial" w:hAnsi="Arial"/>
          <w:sz w:val="18"/>
          <w:szCs w:val="18"/>
          <w:color w:val="auto"/>
        </w:rPr>
        <w:t>Borrower hereby grants Collateral Agent, for the ratable benefit of the Secured Parties, to secure</w:t>
      </w:r>
      <w:r>
        <w:rPr>
          <w:rFonts w:ascii="Arial" w:cs="Arial" w:eastAsia="Arial" w:hAnsi="Arial"/>
          <w:sz w:val="18"/>
          <w:szCs w:val="18"/>
          <w:b w:val="1"/>
          <w:bCs w:val="1"/>
          <w:color w:val="auto"/>
        </w:rPr>
        <w:t xml:space="preserve"> </w:t>
      </w:r>
      <w:r>
        <w:rPr>
          <w:rFonts w:ascii="Arial" w:cs="Arial" w:eastAsia="Arial" w:hAnsi="Arial"/>
          <w:sz w:val="18"/>
          <w:szCs w:val="18"/>
          <w:color w:val="auto"/>
        </w:rPr>
        <w:t>the payment and performance in full of all of the Obligations in full and, until payment in cash of all Obligations (other than (a) inchoate indemnity obligations, and (b) other obligations that, by their terms, survive termination of this Agreement, in each case, for which no claim has been made), a continuing security interest in, and pledges to Collateral Agent, for the ratable benefit of the Secured Parties, the Collateral, wherever located, whether now owned or hereafter acquired or arising, and all proceeds and products and supporting obligations (as defined in the Code) in respect thereof. If Borrower shall acquire any commercial tort claim (as defined in the Code) in an amount greater than Fifty Thousand Dollars ($50,000), Borrower shall grant to Collateral Agent, for the ratable benefit of the Secured Parties, a security interest therein and in the proceeds and products and supporting obligations (as defined in the Code) thereof, all upon the terms of this Agreement, with such writing to be in form and substance reasonably satisfactory to Collateral Agent.</w:t>
      </w:r>
    </w:p>
    <w:p>
      <w:pPr>
        <w:spacing w:after="0" w:line="148"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If this Agreement is terminated, Collateral Agent’s Lien in the Collateral shall continue until the Obligations (other than (a) inchoate indemnity obligations, and (b) other obligations that, by their terms, survive termination of this Agreement, in each case, for which no claim has been made) are repaid in full in cash. Upon payment in full in cash of the Obligations (other than (a) inchoate indemnity obligations, and</w:t>
      </w:r>
    </w:p>
    <w:p>
      <w:pPr>
        <w:spacing w:after="0" w:line="1" w:lineRule="exact"/>
        <w:rPr>
          <w:sz w:val="20"/>
          <w:szCs w:val="20"/>
          <w:color w:val="auto"/>
        </w:rPr>
      </w:pPr>
    </w:p>
    <w:p>
      <w:pPr>
        <w:jc w:val="both"/>
        <w:ind w:firstLine="8"/>
        <w:spacing w:after="0" w:line="209" w:lineRule="auto"/>
        <w:tabs>
          <w:tab w:leader="none" w:pos="283" w:val="left"/>
        </w:tabs>
        <w:numPr>
          <w:ilvl w:val="0"/>
          <w:numId w:val="60"/>
        </w:numPr>
        <w:rPr>
          <w:rFonts w:ascii="Arial" w:cs="Arial" w:eastAsia="Arial" w:hAnsi="Arial"/>
          <w:sz w:val="20"/>
          <w:szCs w:val="20"/>
          <w:color w:val="auto"/>
        </w:rPr>
      </w:pPr>
      <w:r>
        <w:rPr>
          <w:rFonts w:ascii="Arial" w:cs="Arial" w:eastAsia="Arial" w:hAnsi="Arial"/>
          <w:sz w:val="20"/>
          <w:szCs w:val="20"/>
          <w:color w:val="auto"/>
        </w:rPr>
        <w:t>other obligations that, by their terms, survive termination of this Agreement, in each case, for which no claim has been made) and at such time as the Lenders’ obligation to extend Term Loans has terminated, Collateral Agent shall, at the sole cost and expense of Borrower, release its Liens in the Collateral (and enter into any documentation reasonably requested by Borrower) and all rights therein shall revert to Borrower.</w:t>
      </w:r>
    </w:p>
    <w:p>
      <w:pPr>
        <w:spacing w:after="0" w:line="135"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9"/>
          <w:szCs w:val="19"/>
          <w:b w:val="1"/>
          <w:bCs w:val="1"/>
          <w:color w:val="auto"/>
        </w:rPr>
        <w:t xml:space="preserve">4.2 Authorization to File Financing Statements. </w:t>
      </w:r>
      <w:r>
        <w:rPr>
          <w:rFonts w:ascii="Arial" w:cs="Arial" w:eastAsia="Arial" w:hAnsi="Arial"/>
          <w:sz w:val="19"/>
          <w:szCs w:val="19"/>
          <w:color w:val="auto"/>
        </w:rPr>
        <w:t>Borrower hereby authorizes Collateral Agent to file financing statements or take</w:t>
      </w:r>
      <w:r>
        <w:rPr>
          <w:rFonts w:ascii="Arial" w:cs="Arial" w:eastAsia="Arial" w:hAnsi="Arial"/>
          <w:sz w:val="19"/>
          <w:szCs w:val="19"/>
          <w:b w:val="1"/>
          <w:bCs w:val="1"/>
          <w:color w:val="auto"/>
        </w:rPr>
        <w:t xml:space="preserve"> </w:t>
      </w:r>
      <w:r>
        <w:rPr>
          <w:rFonts w:ascii="Arial" w:cs="Arial" w:eastAsia="Arial" w:hAnsi="Arial"/>
          <w:sz w:val="19"/>
          <w:szCs w:val="19"/>
          <w:color w:val="auto"/>
        </w:rPr>
        <w:t>any other action required to perfect Collateral Agent’s security interests in the Collateral (held for the ratable benefit of the Secured Parties), without notice to Borrower, with all appropriate jurisdictions to perfect or protect Collateral Agent’s interest or rights under the Loan Documents; provided, however, that Borrower shall have no obligation to deliver to Collateral Agent share certificates with respect to its security interests in any Immaterial Subsidiary unless and until the first to occur of (a) an Event of Default or (b) the value of such Immaterial Subsidiary, on a book value, equals or exceeds One Hundred Thousand Dollars ($100,000).</w:t>
      </w:r>
    </w:p>
    <w:p>
      <w:pPr>
        <w:spacing w:after="0" w:line="16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9"/>
          <w:szCs w:val="19"/>
          <w:b w:val="1"/>
          <w:bCs w:val="1"/>
          <w:color w:val="auto"/>
        </w:rPr>
        <w:t>REPRESENTATIONS AND WARRANTIES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Borrower represents and warrants to Collateral Agent and the Lenders as follows:</w:t>
      </w:r>
    </w:p>
    <w:p>
      <w:pPr>
        <w:spacing w:after="0" w:line="142"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b w:val="1"/>
          <w:bCs w:val="1"/>
          <w:color w:val="auto"/>
        </w:rPr>
        <w:t xml:space="preserve">5.1 Due Organization, Authorization: Power and Authority. </w:t>
      </w:r>
      <w:r>
        <w:rPr>
          <w:rFonts w:ascii="Arial" w:cs="Arial" w:eastAsia="Arial" w:hAnsi="Arial"/>
          <w:sz w:val="18"/>
          <w:szCs w:val="18"/>
          <w:color w:val="auto"/>
        </w:rPr>
        <w:t>Borrower and each of its Subsidiaries is duly existing and in good</w:t>
      </w:r>
      <w:r>
        <w:rPr>
          <w:rFonts w:ascii="Arial" w:cs="Arial" w:eastAsia="Arial" w:hAnsi="Arial"/>
          <w:sz w:val="18"/>
          <w:szCs w:val="18"/>
          <w:b w:val="1"/>
          <w:bCs w:val="1"/>
          <w:color w:val="auto"/>
        </w:rPr>
        <w:t xml:space="preserve"> </w:t>
      </w:r>
      <w:r>
        <w:rPr>
          <w:rFonts w:ascii="Arial" w:cs="Arial" w:eastAsia="Arial" w:hAnsi="Arial"/>
          <w:sz w:val="18"/>
          <w:szCs w:val="18"/>
          <w:color w:val="auto"/>
        </w:rPr>
        <w:t>standing as a Registered Organization in its jurisdictions of organization or formation and Borrower and each of its Subsidiaries is qualified and licensed to do business and is in good standing in any jurisdiction in which the conduct of its businesses or its ownership of property requires that it be so qualified except where the failure to do so could not reasonably be expected to have a Material Adverse Change. In connection with this Agreement, Borrower and each of its Subsidiaries has delivered to Collateral Agent a completed perfection certificate and any updates or supplements thereto on, before or after the Effective Date (each a “</w:t>
      </w:r>
      <w:r>
        <w:rPr>
          <w:rFonts w:ascii="Arial" w:cs="Arial" w:eastAsia="Arial" w:hAnsi="Arial"/>
          <w:sz w:val="18"/>
          <w:szCs w:val="18"/>
          <w:b w:val="1"/>
          <w:bCs w:val="1"/>
          <w:color w:val="auto"/>
        </w:rPr>
        <w:t>Perfection Certificate</w:t>
      </w:r>
      <w:r>
        <w:rPr>
          <w:rFonts w:ascii="Arial" w:cs="Arial" w:eastAsia="Arial" w:hAnsi="Arial"/>
          <w:sz w:val="18"/>
          <w:szCs w:val="18"/>
          <w:color w:val="auto"/>
        </w:rPr>
        <w:t>” and collectively, the “</w:t>
      </w:r>
      <w:r>
        <w:rPr>
          <w:rFonts w:ascii="Arial" w:cs="Arial" w:eastAsia="Arial" w:hAnsi="Arial"/>
          <w:sz w:val="18"/>
          <w:szCs w:val="18"/>
          <w:b w:val="1"/>
          <w:bCs w:val="1"/>
          <w:color w:val="auto"/>
        </w:rPr>
        <w:t>Perfection Certificates</w:t>
      </w:r>
      <w:r>
        <w:rPr>
          <w:rFonts w:ascii="Arial" w:cs="Arial" w:eastAsia="Arial" w:hAnsi="Arial"/>
          <w:sz w:val="18"/>
          <w:szCs w:val="18"/>
          <w:color w:val="auto"/>
        </w:rPr>
        <w:t>”). Borrower represents and warrants that all the information set forth on the Perfection Certificates pertaining to Borrower and each of its Subsidiaries is accurate and complete (other than clerical mistakes in addresses and other contact information).</w:t>
      </w:r>
    </w:p>
    <w:p>
      <w:pPr>
        <w:spacing w:after="0" w:line="147"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The execution, delivery and performance by Borrower and each of its Subsidiaries of the Loan Documents to which it is, or they are, a party have been duly authorized, and do not (i) conflict with any of Borrower’s or such Subsidiaries’ organizational documents, including its respective Operating Documents, (ii) contravene, conflict with, constitute a default under or violate any material Requirement of Law applicable thereto, (iii) contravene, conflict or violate any applicable order, writ, judgment, injunction, decree, determination or award of any Governmental Authority by which Borrower or such Subsidiary,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Section 6.1(b), or (v) constitute an event of default under any material agreement by which Borrower, any of its Subsidiaries or any of their respective properties, is bound. Neither Borrower nor any of its Subsidiaries is in default under any agreement to which it is a party or by which it or any of its assets is bound in which such default could reasonably be expected to have a Material Adverse Change.</w:t>
      </w:r>
    </w:p>
    <w:p>
      <w:pPr>
        <w:spacing w:after="0" w:line="13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18"/>
          <w:szCs w:val="18"/>
          <w:b w:val="1"/>
          <w:bCs w:val="1"/>
          <w:color w:val="auto"/>
        </w:rPr>
        <w:t>Collateral.</w:t>
      </w:r>
    </w:p>
    <w:p>
      <w:pPr>
        <w:spacing w:after="0" w:line="154" w:lineRule="exact"/>
        <w:rPr>
          <w:sz w:val="20"/>
          <w:szCs w:val="20"/>
          <w:color w:val="auto"/>
        </w:rPr>
      </w:pPr>
    </w:p>
    <w:p>
      <w:pPr>
        <w:jc w:val="both"/>
        <w:ind w:firstLine="1304"/>
        <w:spacing w:after="0" w:line="217" w:lineRule="auto"/>
        <w:tabs>
          <w:tab w:leader="none" w:pos="1934" w:val="left"/>
        </w:tabs>
        <w:numPr>
          <w:ilvl w:val="0"/>
          <w:numId w:val="61"/>
        </w:numPr>
        <w:rPr>
          <w:rFonts w:ascii="Arial" w:cs="Arial" w:eastAsia="Arial" w:hAnsi="Arial"/>
          <w:sz w:val="19"/>
          <w:szCs w:val="19"/>
          <w:color w:val="auto"/>
        </w:rPr>
      </w:pPr>
      <w:r>
        <w:rPr>
          <w:rFonts w:ascii="Arial" w:cs="Arial" w:eastAsia="Arial" w:hAnsi="Arial"/>
          <w:sz w:val="19"/>
          <w:szCs w:val="19"/>
          <w:color w:val="auto"/>
        </w:rPr>
        <w:t>Borrower and each of its Subsidiaries have good title to, have rights in, and the power to transfer each item of the Collateral upon which it purports to grant a Lien under the Loan Documents, free and clear of any and all Liens except Permitted Liens, and neither Borrower nor any of its Subsidiaries have any Deposit Accounts, Securities Accounts, Commodity Accounts or other investment accounts other than the Collateral Accounts or the other investment accounts, if any, described in the Perfection Certificates delivered to Collateral Agent in connection herewith in respect of which Borrower or such Subsidiary has given Collateral Agent notice and taken such actions as are necessary to give Collateral Agent a perfected security interest therein as required under this Agreement. The Accounts are bona fide, existing obligations of the Account Debtors.</w:t>
      </w:r>
    </w:p>
    <w:p>
      <w:pPr>
        <w:spacing w:after="0" w:line="142" w:lineRule="exact"/>
        <w:rPr>
          <w:rFonts w:ascii="Arial" w:cs="Arial" w:eastAsia="Arial" w:hAnsi="Arial"/>
          <w:sz w:val="19"/>
          <w:szCs w:val="19"/>
          <w:color w:val="auto"/>
        </w:rPr>
      </w:pPr>
    </w:p>
    <w:p>
      <w:pPr>
        <w:ind w:right="20" w:firstLine="1304"/>
        <w:spacing w:after="0" w:line="242" w:lineRule="auto"/>
        <w:tabs>
          <w:tab w:leader="none" w:pos="1932"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security interest granted herein is and shall at all times continue to be a first priority perfected security interest in the Collateral, subject only to Permitted Liens that, under applicable law, have priority over Collateral Agent’s Lien.</w:t>
      </w:r>
    </w:p>
    <w:p>
      <w:pPr>
        <w:spacing w:after="0" w:line="139" w:lineRule="exact"/>
        <w:rPr>
          <w:rFonts w:ascii="Arial" w:cs="Arial" w:eastAsia="Arial" w:hAnsi="Arial"/>
          <w:sz w:val="19"/>
          <w:szCs w:val="19"/>
          <w:color w:val="auto"/>
        </w:rPr>
      </w:pPr>
    </w:p>
    <w:p>
      <w:pPr>
        <w:jc w:val="both"/>
        <w:ind w:firstLine="1304"/>
        <w:spacing w:after="0" w:line="218" w:lineRule="auto"/>
        <w:tabs>
          <w:tab w:leader="none" w:pos="1934" w:val="left"/>
        </w:tabs>
        <w:numPr>
          <w:ilvl w:val="0"/>
          <w:numId w:val="61"/>
        </w:numPr>
        <w:rPr>
          <w:rFonts w:ascii="Arial" w:cs="Arial" w:eastAsia="Arial" w:hAnsi="Arial"/>
          <w:sz w:val="20"/>
          <w:szCs w:val="20"/>
          <w:color w:val="auto"/>
        </w:rPr>
      </w:pPr>
      <w:r>
        <w:rPr>
          <w:rFonts w:ascii="Arial" w:cs="Arial" w:eastAsia="Arial" w:hAnsi="Arial"/>
          <w:sz w:val="20"/>
          <w:szCs w:val="20"/>
          <w:color w:val="auto"/>
        </w:rPr>
        <w:t>On the Effective Date, and except as disclosed on the Disclosure Schedules (i) the Collateral is not in the possession of any third party bailee, and (ii) no such third party bailee possesses components of the Collateral in excess of Five Hundred Thousand Dollars ($500,000) in book value.</w:t>
      </w:r>
    </w:p>
    <w:p>
      <w:pPr>
        <w:spacing w:after="0" w:line="129" w:lineRule="exact"/>
        <w:rPr>
          <w:rFonts w:ascii="Arial" w:cs="Arial" w:eastAsia="Arial" w:hAnsi="Arial"/>
          <w:sz w:val="20"/>
          <w:szCs w:val="20"/>
          <w:color w:val="auto"/>
        </w:rPr>
      </w:pPr>
    </w:p>
    <w:p>
      <w:pPr>
        <w:ind w:left="1940" w:hanging="636"/>
        <w:spacing w:after="0"/>
        <w:tabs>
          <w:tab w:leader="none" w:pos="19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Inventory and Equipment is in all material respects of good and marketable quality, free from material defects.</w:t>
      </w:r>
    </w:p>
    <w:p>
      <w:pPr>
        <w:spacing w:after="0" w:line="184" w:lineRule="exact"/>
        <w:rPr>
          <w:rFonts w:ascii="Arial" w:cs="Arial" w:eastAsia="Arial" w:hAnsi="Arial"/>
          <w:sz w:val="18"/>
          <w:szCs w:val="18"/>
          <w:color w:val="auto"/>
        </w:rPr>
      </w:pPr>
    </w:p>
    <w:p>
      <w:pPr>
        <w:jc w:val="both"/>
        <w:ind w:firstLine="1304"/>
        <w:spacing w:after="0" w:line="210" w:lineRule="auto"/>
        <w:tabs>
          <w:tab w:leader="none" w:pos="1934" w:val="left"/>
        </w:tabs>
        <w:numPr>
          <w:ilvl w:val="0"/>
          <w:numId w:val="61"/>
        </w:numPr>
        <w:rPr>
          <w:rFonts w:ascii="Arial" w:cs="Arial" w:eastAsia="Arial" w:hAnsi="Arial"/>
          <w:sz w:val="20"/>
          <w:szCs w:val="20"/>
          <w:color w:val="auto"/>
        </w:rPr>
      </w:pPr>
      <w:r>
        <w:rPr>
          <w:rFonts w:ascii="Arial" w:cs="Arial" w:eastAsia="Arial" w:hAnsi="Arial"/>
          <w:sz w:val="20"/>
          <w:szCs w:val="20"/>
          <w:color w:val="auto"/>
        </w:rPr>
        <w:t>Borrower and each of its Subsidiaries is the sole owner of the Intellectual Property each respectively purports to own, free and clear of all Liens other than Permitted Liens. Except as noted on the Disclosure Schedules (which shall be updated within 45 days after the end of each fiscal quarter to reflect the consummation of any transaction not prohibited by this Agreement) or to be included in the next-delivered Compliance Certificate, neither Borrower nor any of its Subsidiaries is a party to, nor is bound by, any material license or other Material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6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b w:val="1"/>
          <w:bCs w:val="1"/>
          <w:color w:val="auto"/>
        </w:rPr>
        <w:t xml:space="preserve">5.3 Litigation. </w:t>
      </w:r>
      <w:r>
        <w:rPr>
          <w:rFonts w:ascii="Arial" w:cs="Arial" w:eastAsia="Arial" w:hAnsi="Arial"/>
          <w:sz w:val="18"/>
          <w:szCs w:val="18"/>
          <w:color w:val="auto"/>
        </w:rPr>
        <w:t>Except as disclosed on the Perfection Certificate or with respect to which Borrower has provided notice as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there are no actions, suits, investigations, or proceedings pending or, to the knowledge of the Responsible Officers, threatened in writing by or against Borrower or any of its Subsidiaries involving more than Two Hundred Fifty Thousand Dollars ($250,000).</w:t>
      </w:r>
    </w:p>
    <w:p>
      <w:pPr>
        <w:spacing w:after="0" w:line="117"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0"/>
          <w:szCs w:val="20"/>
          <w:b w:val="1"/>
          <w:bCs w:val="1"/>
          <w:color w:val="auto"/>
        </w:rPr>
        <w:t xml:space="preserve">5.4 No Material Adverse Change; Financial Statements. </w:t>
      </w:r>
      <w:r>
        <w:rPr>
          <w:rFonts w:ascii="Arial" w:cs="Arial" w:eastAsia="Arial" w:hAnsi="Arial"/>
          <w:sz w:val="20"/>
          <w:szCs w:val="20"/>
          <w:color w:val="auto"/>
        </w:rPr>
        <w:t>All consolidated financial statements for Borrower and its consolidated</w:t>
      </w:r>
      <w:r>
        <w:rPr>
          <w:rFonts w:ascii="Arial" w:cs="Arial" w:eastAsia="Arial" w:hAnsi="Arial"/>
          <w:sz w:val="20"/>
          <w:szCs w:val="20"/>
          <w:b w:val="1"/>
          <w:bCs w:val="1"/>
          <w:color w:val="auto"/>
        </w:rPr>
        <w:t xml:space="preserve"> </w:t>
      </w:r>
      <w:r>
        <w:rPr>
          <w:rFonts w:ascii="Arial" w:cs="Arial" w:eastAsia="Arial" w:hAnsi="Arial"/>
          <w:sz w:val="20"/>
          <w:szCs w:val="20"/>
          <w:color w:val="auto"/>
        </w:rPr>
        <w:t>Subsidiaries, delivered to Collateral Agent fairly present, in conformity with GAAP, and in all material respects the consolidated financial condition of Borrower and its consolidated Subsidiaries, and the consolidated results of operations of Borrower and its consolidated Subsidiaries. Since December 31, 2020, there has not been a Material Adverse Change.</w:t>
      </w:r>
    </w:p>
    <w:p>
      <w:pPr>
        <w:spacing w:after="0" w:line="13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5.5</w:t>
      </w:r>
      <w:r>
        <w:rPr>
          <w:sz w:val="20"/>
          <w:szCs w:val="20"/>
          <w:color w:val="auto"/>
        </w:rPr>
        <w:tab/>
      </w:r>
      <w:r>
        <w:rPr>
          <w:rFonts w:ascii="Arial" w:cs="Arial" w:eastAsia="Arial" w:hAnsi="Arial"/>
          <w:sz w:val="16"/>
          <w:szCs w:val="16"/>
          <w:b w:val="1"/>
          <w:bCs w:val="1"/>
          <w:color w:val="auto"/>
        </w:rPr>
        <w:t xml:space="preserve">Solvency. </w:t>
      </w:r>
      <w:r>
        <w:rPr>
          <w:rFonts w:ascii="Arial" w:cs="Arial" w:eastAsia="Arial" w:hAnsi="Arial"/>
          <w:sz w:val="16"/>
          <w:szCs w:val="16"/>
          <w:color w:val="auto"/>
        </w:rPr>
        <w:t>Borrower is Solvent. Borrower and each of its Subsidiaries, when taken as a whole, is Solvent.</w:t>
      </w:r>
    </w:p>
    <w:p>
      <w:pPr>
        <w:spacing w:after="0" w:line="162"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9"/>
          <w:szCs w:val="19"/>
          <w:b w:val="1"/>
          <w:bCs w:val="1"/>
          <w:color w:val="auto"/>
        </w:rPr>
        <w:t xml:space="preserve">5.6 Regulatory Compliance. </w:t>
      </w:r>
      <w:r>
        <w:rPr>
          <w:rFonts w:ascii="Arial" w:cs="Arial" w:eastAsia="Arial" w:hAnsi="Arial"/>
          <w:sz w:val="19"/>
          <w:szCs w:val="19"/>
          <w:color w:val="auto"/>
        </w:rPr>
        <w:t>Neither Borrower nor any of its Subsidiaries is an “investment company” or a company “controlled”</w:t>
      </w:r>
      <w:r>
        <w:rPr>
          <w:rFonts w:ascii="Arial" w:cs="Arial" w:eastAsia="Arial" w:hAnsi="Arial"/>
          <w:sz w:val="19"/>
          <w:szCs w:val="19"/>
          <w:b w:val="1"/>
          <w:bCs w:val="1"/>
          <w:color w:val="auto"/>
        </w:rPr>
        <w:t xml:space="preserve"> </w:t>
      </w:r>
      <w:r>
        <w:rPr>
          <w:rFonts w:ascii="Arial" w:cs="Arial" w:eastAsia="Arial" w:hAnsi="Arial"/>
          <w:sz w:val="19"/>
          <w:szCs w:val="19"/>
          <w:color w:val="auto"/>
        </w:rPr>
        <w:t>by an “investment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 nor any of its Subsidiaries has violated any laws, ordinances or rules, the violation of which could reasonably be expected to have a Material Adverse Change.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136"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None of Borrower, any of its Subsidiaries, or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w:t>
      </w:r>
    </w:p>
    <w:p>
      <w:pPr>
        <w:spacing w:after="0" w:line="135"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0"/>
          <w:szCs w:val="20"/>
          <w:b w:val="1"/>
          <w:bCs w:val="1"/>
          <w:color w:val="auto"/>
        </w:rPr>
        <w:t xml:space="preserve">5.7 Investments. </w:t>
      </w:r>
      <w:r>
        <w:rPr>
          <w:rFonts w:ascii="Arial" w:cs="Arial" w:eastAsia="Arial" w:hAnsi="Arial"/>
          <w:sz w:val="20"/>
          <w:szCs w:val="20"/>
          <w:color w:val="auto"/>
        </w:rPr>
        <w:t>Neither Borrower nor any of its Subsidiaries owns any stock, shares, partnership interests or other equity</w:t>
      </w:r>
      <w:r>
        <w:rPr>
          <w:rFonts w:ascii="Arial" w:cs="Arial" w:eastAsia="Arial" w:hAnsi="Arial"/>
          <w:sz w:val="20"/>
          <w:szCs w:val="20"/>
          <w:b w:val="1"/>
          <w:bCs w:val="1"/>
          <w:color w:val="auto"/>
        </w:rPr>
        <w:t xml:space="preserve"> </w:t>
      </w:r>
      <w:r>
        <w:rPr>
          <w:rFonts w:ascii="Arial" w:cs="Arial" w:eastAsia="Arial" w:hAnsi="Arial"/>
          <w:sz w:val="20"/>
          <w:szCs w:val="20"/>
          <w:color w:val="auto"/>
        </w:rPr>
        <w:t>securities except for Permitted Investments.</w:t>
      </w:r>
    </w:p>
    <w:p>
      <w:pPr>
        <w:spacing w:after="0" w:line="13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b w:val="1"/>
          <w:bCs w:val="1"/>
          <w:color w:val="auto"/>
        </w:rPr>
        <w:t xml:space="preserve">5.8 Tax Returns and Payments; Pension Contributions. </w:t>
      </w:r>
      <w:r>
        <w:rPr>
          <w:rFonts w:ascii="Arial" w:cs="Arial" w:eastAsia="Arial" w:hAnsi="Arial"/>
          <w:sz w:val="18"/>
          <w:szCs w:val="18"/>
          <w:color w:val="auto"/>
        </w:rPr>
        <w:t>Borrower and each of its Subsidiaries has timely filed all required tax</w:t>
      </w:r>
      <w:r>
        <w:rPr>
          <w:rFonts w:ascii="Arial" w:cs="Arial" w:eastAsia="Arial" w:hAnsi="Arial"/>
          <w:sz w:val="18"/>
          <w:szCs w:val="18"/>
          <w:b w:val="1"/>
          <w:bCs w:val="1"/>
          <w:color w:val="auto"/>
        </w:rPr>
        <w:t xml:space="preserve"> </w:t>
      </w:r>
      <w:r>
        <w:rPr>
          <w:rFonts w:ascii="Arial" w:cs="Arial" w:eastAsia="Arial" w:hAnsi="Arial"/>
          <w:sz w:val="18"/>
          <w:szCs w:val="18"/>
          <w:color w:val="auto"/>
        </w:rPr>
        <w:t>returns and reports, each such tax return is true, correct and complete in all material respects, and Borrower and each of its Subsidiaries, has timely paid all foreign, federal, state, and local taxes, assessments, deposits and contributions owed by Borrower and such Subsidiaries in an amount greater than Fifty Thousand Dollars ($50,000), in all jurisdictions in which Borrower or any such Subsidiary is subject to taxes, including the United States, unless such taxes are being contested in accordance with the next sentence. Borrower and each of its Subsidiaries, may defer payment of any contested taxes, provided that Borrower or such Subsidiary, (a) in good faith contests its obligation to pay the taxes by appropriate proceedings promptly and diligently instituted and conducted; (b) notifies Collateral Agent of the commencement of, and any material development in, the proceeding; and (c) maintains adequate reserves or other appropriate provisions on the books of such Borrower or Subsidiary, as applicable, in accordance with GAAP and which do not involve, in the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68" w:lineRule="exact"/>
        <w:rPr>
          <w:sz w:val="20"/>
          <w:szCs w:val="20"/>
          <w:color w:val="auto"/>
        </w:rPr>
      </w:pPr>
    </w:p>
    <w:p>
      <w:pPr>
        <w:jc w:val="both"/>
        <w:spacing w:after="0" w:line="205" w:lineRule="auto"/>
        <w:rPr>
          <w:sz w:val="20"/>
          <w:szCs w:val="20"/>
          <w:color w:val="auto"/>
        </w:rPr>
      </w:pPr>
      <w:r>
        <w:rPr>
          <w:rFonts w:ascii="Arial" w:cs="Arial" w:eastAsia="Arial" w:hAnsi="Arial"/>
          <w:sz w:val="20"/>
          <w:szCs w:val="20"/>
          <w:color w:val="auto"/>
        </w:rPr>
        <w:t>judgment of the Collateral Agent, any risk of the sale, forfeiture or loss of any material portion of the Collateral. Neither Borrower nor any of its Subsidiaries is aware of any claims or adjustments proposed for any of Borrower’s or such Subsidiaries’, prior tax years which could result in additional taxes becoming due and payable by Borrower or its Subsidiaries. Borrower and each of its Subsidiaries have paid all amounts necessary to fund all present pension, profit sharing and deferred compensation plans in accordance with their terms, and neither Borrower nor any of its Subsidiaries have, withdrawn from participation in, and have not permitted partial or complete termination of, or permitted the occurrence of any other event with respect to, any such plan which could reasonably be expected to result in any liability of Borrower or its Subsidiaries, including any liability to the Pension Benefit Guaranty Corporation or its successors or any other Governmental Authority.</w:t>
      </w:r>
    </w:p>
    <w:p>
      <w:pPr>
        <w:spacing w:after="0" w:line="123" w:lineRule="exact"/>
        <w:rPr>
          <w:sz w:val="20"/>
          <w:szCs w:val="20"/>
          <w:color w:val="auto"/>
        </w:rPr>
      </w:pPr>
    </w:p>
    <w:p>
      <w:pPr>
        <w:jc w:val="both"/>
        <w:ind w:right="20" w:firstLine="648"/>
        <w:spacing w:after="0" w:line="220" w:lineRule="auto"/>
        <w:rPr>
          <w:sz w:val="20"/>
          <w:szCs w:val="20"/>
          <w:color w:val="auto"/>
        </w:rPr>
      </w:pPr>
      <w:r>
        <w:rPr>
          <w:rFonts w:ascii="Arial" w:cs="Arial" w:eastAsia="Arial" w:hAnsi="Arial"/>
          <w:sz w:val="20"/>
          <w:szCs w:val="20"/>
          <w:b w:val="1"/>
          <w:bCs w:val="1"/>
          <w:color w:val="auto"/>
        </w:rPr>
        <w:t xml:space="preserve">5.9 Use of Proceeds. </w:t>
      </w:r>
      <w:r>
        <w:rPr>
          <w:rFonts w:ascii="Arial" w:cs="Arial" w:eastAsia="Arial" w:hAnsi="Arial"/>
          <w:sz w:val="20"/>
          <w:szCs w:val="20"/>
          <w:color w:val="auto"/>
        </w:rPr>
        <w:t>Borrower shall use the proceeds of the Term Loans to repay existing Indebtedness, as working capital</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without limitation, to fund Permitted Acquisitions) and to fund its general business requirements, and not for personal, family, household or agricultural purposes.</w:t>
      </w:r>
    </w:p>
    <w:p>
      <w:pPr>
        <w:spacing w:after="0" w:line="137"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9"/>
          <w:szCs w:val="19"/>
          <w:b w:val="1"/>
          <w:bCs w:val="1"/>
          <w:color w:val="auto"/>
        </w:rPr>
        <w:t xml:space="preserve">5.10 Full Disclosure. </w:t>
      </w:r>
      <w:r>
        <w:rPr>
          <w:rFonts w:ascii="Arial" w:cs="Arial" w:eastAsia="Arial" w:hAnsi="Arial"/>
          <w:sz w:val="19"/>
          <w:szCs w:val="19"/>
          <w:color w:val="auto"/>
        </w:rPr>
        <w:t>No written representation, warranty or other statement of Borrower or any of its Subsidiaries in any</w:t>
      </w:r>
      <w:r>
        <w:rPr>
          <w:rFonts w:ascii="Arial" w:cs="Arial" w:eastAsia="Arial" w:hAnsi="Arial"/>
          <w:sz w:val="19"/>
          <w:szCs w:val="19"/>
          <w:b w:val="1"/>
          <w:bCs w:val="1"/>
          <w:color w:val="auto"/>
        </w:rPr>
        <w:t xml:space="preserve"> </w:t>
      </w:r>
      <w:r>
        <w:rPr>
          <w:rFonts w:ascii="Arial" w:cs="Arial" w:eastAsia="Arial" w:hAnsi="Arial"/>
          <w:sz w:val="19"/>
          <w:szCs w:val="19"/>
          <w:color w:val="auto"/>
        </w:rPr>
        <w:t>certificate or written statement, when taken as a whole, given to Collateral Agent or any Lender, as of the date such representation, warranty, or other statement was made, taken together with all such written certificates and written statements given to Collateral Agent or any Lender, contains any untrue statement of a material fact or omits to state a material fact necessary to make the statements contained in the certificates or statements not misleading (it being recognized that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3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5.11</w:t>
      </w:r>
      <w:r>
        <w:rPr>
          <w:sz w:val="20"/>
          <w:szCs w:val="20"/>
          <w:color w:val="auto"/>
        </w:rPr>
        <w:tab/>
      </w:r>
      <w:r>
        <w:rPr>
          <w:rFonts w:ascii="Arial" w:cs="Arial" w:eastAsia="Arial" w:hAnsi="Arial"/>
          <w:sz w:val="18"/>
          <w:szCs w:val="18"/>
          <w:b w:val="1"/>
          <w:bCs w:val="1"/>
          <w:color w:val="auto"/>
        </w:rPr>
        <w:t>Healthcare Regulatory Matters.</w:t>
      </w:r>
    </w:p>
    <w:p>
      <w:pPr>
        <w:spacing w:after="0" w:line="154" w:lineRule="exact"/>
        <w:rPr>
          <w:sz w:val="20"/>
          <w:szCs w:val="20"/>
          <w:color w:val="auto"/>
        </w:rPr>
      </w:pPr>
    </w:p>
    <w:p>
      <w:pPr>
        <w:jc w:val="both"/>
        <w:ind w:firstLine="1304"/>
        <w:spacing w:after="0" w:line="205" w:lineRule="auto"/>
        <w:tabs>
          <w:tab w:leader="none" w:pos="1934" w:val="left"/>
        </w:tabs>
        <w:numPr>
          <w:ilvl w:val="1"/>
          <w:numId w:val="62"/>
        </w:numPr>
        <w:rPr>
          <w:rFonts w:ascii="Arial" w:cs="Arial" w:eastAsia="Arial" w:hAnsi="Arial"/>
          <w:sz w:val="20"/>
          <w:szCs w:val="20"/>
          <w:color w:val="auto"/>
        </w:rPr>
      </w:pPr>
      <w:r>
        <w:rPr>
          <w:rFonts w:ascii="Arial" w:cs="Arial" w:eastAsia="Arial" w:hAnsi="Arial"/>
          <w:sz w:val="20"/>
          <w:szCs w:val="20"/>
          <w:color w:val="auto"/>
        </w:rPr>
        <w:t>Borrower and each Subsidiary is, and during the past three (3) years has been, in compliance with all applicable Healthcare Laws, except for such noncompliance, whether individually or in the aggregate, as could not reasonably be expected to have a Material Adverse Change. Without limiting the generality of the foregoing, during the past three (3) years, none of Borrower or its Subsidiaries has received written notice by a Governmental Authority of any violation (or of any investigation, audit, or other proceeding involving allegations of any violation) of any Healthcare Laws, which if determined or resolved adversely to the Borrower or any Subsidiary, could reasonably be expected to have a Material Adverse Change, and no such investigation, inspection, audit or other proceeding involving allegations of any such violation is, to Borrower’s knowledge, threatened in writing or contemplated which could reasonably be expected to have a Material Adverse Change.</w:t>
      </w:r>
    </w:p>
    <w:p>
      <w:pPr>
        <w:spacing w:after="0" w:line="142" w:lineRule="exact"/>
        <w:rPr>
          <w:rFonts w:ascii="Arial" w:cs="Arial" w:eastAsia="Arial" w:hAnsi="Arial"/>
          <w:sz w:val="20"/>
          <w:szCs w:val="20"/>
          <w:color w:val="auto"/>
        </w:rPr>
      </w:pPr>
    </w:p>
    <w:p>
      <w:pPr>
        <w:ind w:left="1940" w:hanging="636"/>
        <w:spacing w:after="0"/>
        <w:tabs>
          <w:tab w:leader="none" w:pos="1940" w:val="left"/>
        </w:tabs>
        <w:numPr>
          <w:ilvl w:val="1"/>
          <w:numId w:val="62"/>
        </w:numPr>
        <w:rPr>
          <w:rFonts w:ascii="Arial" w:cs="Arial" w:eastAsia="Arial" w:hAnsi="Arial"/>
          <w:sz w:val="16"/>
          <w:szCs w:val="16"/>
          <w:color w:val="auto"/>
        </w:rPr>
      </w:pPr>
      <w:r>
        <w:rPr>
          <w:rFonts w:ascii="Arial" w:cs="Arial" w:eastAsia="Arial" w:hAnsi="Arial"/>
          <w:sz w:val="16"/>
          <w:szCs w:val="16"/>
          <w:color w:val="auto"/>
        </w:rPr>
        <w:t>Borrower and each Subsidiary, and its respective officers, directors, and employees are not and, during the past three</w:t>
      </w:r>
    </w:p>
    <w:p>
      <w:pPr>
        <w:spacing w:after="0" w:line="21" w:lineRule="exact"/>
        <w:rPr>
          <w:rFonts w:ascii="Arial" w:cs="Arial" w:eastAsia="Arial" w:hAnsi="Arial"/>
          <w:sz w:val="16"/>
          <w:szCs w:val="16"/>
          <w:color w:val="auto"/>
        </w:rPr>
      </w:pPr>
    </w:p>
    <w:p>
      <w:pPr>
        <w:jc w:val="both"/>
        <w:ind w:firstLine="8"/>
        <w:spacing w:after="0" w:line="206" w:lineRule="auto"/>
        <w:tabs>
          <w:tab w:leader="none" w:pos="291" w:val="left"/>
        </w:tabs>
        <w:numPr>
          <w:ilvl w:val="0"/>
          <w:numId w:val="63"/>
        </w:numPr>
        <w:rPr>
          <w:rFonts w:ascii="Arial" w:cs="Arial" w:eastAsia="Arial" w:hAnsi="Arial"/>
          <w:sz w:val="20"/>
          <w:szCs w:val="20"/>
          <w:color w:val="auto"/>
        </w:rPr>
      </w:pPr>
      <w:r>
        <w:rPr>
          <w:rFonts w:ascii="Arial" w:cs="Arial" w:eastAsia="Arial" w:hAnsi="Arial"/>
          <w:sz w:val="20"/>
          <w:szCs w:val="20"/>
          <w:color w:val="auto"/>
        </w:rPr>
        <w:t>years, has not been, excluded, debarred, suspended or otherwise ineligible to participate in any governmental healthcare program where the same could reasonably be expected to have a Material Adverse Change, and no such action is pending or, to Borrower’s knowledge, threatened in writing. None of the Borrower or its Subsidiaries: is a party to or has any reporting obligations under a corporate integrity agreement, deferred or non-prosecution agreement, monitoring agreement, consent decree, settlement order, or any similar agreement with any Governmental Authority.</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6.</w:t>
        <w:tab/>
        <w:t>AFFIRMATIVE COVENANTS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Borrower shall, and shall cause each of its Subsidiaries to, do all of the following:</w:t>
      </w:r>
    </w:p>
    <w:p>
      <w:pPr>
        <w:spacing w:after="0" w:line="15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6"/>
          <w:szCs w:val="16"/>
          <w:b w:val="1"/>
          <w:bCs w:val="1"/>
          <w:color w:val="auto"/>
        </w:rPr>
        <w:t>Government Compliance.</w:t>
      </w:r>
    </w:p>
    <w:p>
      <w:pPr>
        <w:spacing w:after="0" w:line="168" w:lineRule="exact"/>
        <w:rPr>
          <w:sz w:val="20"/>
          <w:szCs w:val="20"/>
          <w:color w:val="auto"/>
        </w:rPr>
      </w:pPr>
    </w:p>
    <w:p>
      <w:pPr>
        <w:jc w:val="both"/>
        <w:ind w:firstLine="1369"/>
        <w:spacing w:after="0" w:line="244" w:lineRule="auto"/>
        <w:tabs>
          <w:tab w:leader="none" w:pos="1808" w:val="left"/>
        </w:tabs>
        <w:numPr>
          <w:ilvl w:val="0"/>
          <w:numId w:val="64"/>
        </w:numPr>
        <w:rPr>
          <w:rFonts w:ascii="Arial" w:cs="Arial" w:eastAsia="Arial" w:hAnsi="Arial"/>
          <w:sz w:val="18"/>
          <w:szCs w:val="18"/>
          <w:color w:val="auto"/>
        </w:rPr>
      </w:pPr>
      <w:r>
        <w:rPr>
          <w:rFonts w:ascii="Arial" w:cs="Arial" w:eastAsia="Arial" w:hAnsi="Arial"/>
          <w:sz w:val="18"/>
          <w:szCs w:val="18"/>
          <w:color w:val="auto"/>
        </w:rPr>
        <w:t>Other than specifically permitted hereunder, maintain its and all its Subsidiaries’ legal existence and good standing in their respective jurisdictions of organization and maintain qualification in each jurisdiction in which the failure to so qualify could reasonably be expected to have a Material Adverse Change. Comply with all laws, ordinances and regulations, including all Healthcare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68"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Laws, to which Borrower or any of its Subsidiaries is subject, the noncompliance with which could reasonably be expected to have a Material Adverse Change.</w:t>
      </w:r>
    </w:p>
    <w:p>
      <w:pPr>
        <w:spacing w:after="0" w:line="128" w:lineRule="exact"/>
        <w:rPr>
          <w:sz w:val="20"/>
          <w:szCs w:val="20"/>
          <w:color w:val="auto"/>
        </w:rPr>
      </w:pPr>
    </w:p>
    <w:p>
      <w:pPr>
        <w:jc w:val="both"/>
        <w:ind w:firstLine="1369"/>
        <w:spacing w:after="0" w:line="218" w:lineRule="auto"/>
        <w:tabs>
          <w:tab w:leader="none" w:pos="1804" w:val="left"/>
        </w:tabs>
        <w:numPr>
          <w:ilvl w:val="0"/>
          <w:numId w:val="65"/>
        </w:numPr>
        <w:rPr>
          <w:rFonts w:ascii="Arial" w:cs="Arial" w:eastAsia="Arial" w:hAnsi="Arial"/>
          <w:sz w:val="20"/>
          <w:szCs w:val="20"/>
          <w:color w:val="auto"/>
        </w:rPr>
      </w:pPr>
      <w:r>
        <w:rPr>
          <w:rFonts w:ascii="Arial" w:cs="Arial" w:eastAsia="Arial" w:hAnsi="Arial"/>
          <w:sz w:val="20"/>
          <w:szCs w:val="20"/>
          <w:color w:val="auto"/>
        </w:rPr>
        <w:t>Obtain and keep in full force and effect, all of the material Governmental Approvals necessary for the performance by Borrower and its Subsidiaries of their respective businesses and obligations under the Loan Documents and the grant of a security interest to Collateral Agent for the ratable benefit of the Secured Parties, in all of the Collateral.</w:t>
      </w:r>
    </w:p>
    <w:p>
      <w:pPr>
        <w:spacing w:after="0" w:line="13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6"/>
          <w:szCs w:val="16"/>
          <w:b w:val="1"/>
          <w:bCs w:val="1"/>
          <w:color w:val="auto"/>
        </w:rPr>
        <w:t>Financial Statements, Reports, Certificates; Notices.</w:t>
      </w:r>
    </w:p>
    <w:p>
      <w:pPr>
        <w:spacing w:after="0" w:line="168" w:lineRule="exact"/>
        <w:rPr>
          <w:sz w:val="20"/>
          <w:szCs w:val="20"/>
          <w:color w:val="auto"/>
        </w:rPr>
      </w:pPr>
    </w:p>
    <w:p>
      <w:pPr>
        <w:ind w:left="1780" w:hanging="411"/>
        <w:spacing w:after="0"/>
        <w:tabs>
          <w:tab w:leader="none" w:pos="1780" w:val="left"/>
        </w:tabs>
        <w:numPr>
          <w:ilvl w:val="0"/>
          <w:numId w:val="66"/>
        </w:numPr>
        <w:rPr>
          <w:rFonts w:ascii="Arial" w:cs="Arial" w:eastAsia="Arial" w:hAnsi="Arial"/>
          <w:sz w:val="20"/>
          <w:szCs w:val="20"/>
          <w:color w:val="auto"/>
        </w:rPr>
      </w:pPr>
      <w:r>
        <w:rPr>
          <w:rFonts w:ascii="Arial" w:cs="Arial" w:eastAsia="Arial" w:hAnsi="Arial"/>
          <w:sz w:val="20"/>
          <w:szCs w:val="20"/>
          <w:color w:val="auto"/>
        </w:rPr>
        <w:t>Deliver to Collateral Agent:</w:t>
      </w:r>
    </w:p>
    <w:p>
      <w:pPr>
        <w:spacing w:after="0" w:line="148" w:lineRule="exact"/>
        <w:rPr>
          <w:rFonts w:ascii="Arial" w:cs="Arial" w:eastAsia="Arial" w:hAnsi="Arial"/>
          <w:sz w:val="20"/>
          <w:szCs w:val="20"/>
          <w:color w:val="auto"/>
        </w:rPr>
      </w:pPr>
    </w:p>
    <w:p>
      <w:pPr>
        <w:jc w:val="both"/>
        <w:ind w:firstLine="1952"/>
        <w:spacing w:after="0" w:line="210" w:lineRule="auto"/>
        <w:tabs>
          <w:tab w:leader="none" w:pos="2590" w:val="left"/>
        </w:tabs>
        <w:numPr>
          <w:ilvl w:val="1"/>
          <w:numId w:val="66"/>
        </w:numPr>
        <w:rPr>
          <w:rFonts w:ascii="Arial" w:cs="Arial" w:eastAsia="Arial" w:hAnsi="Arial"/>
          <w:sz w:val="20"/>
          <w:szCs w:val="20"/>
          <w:color w:val="auto"/>
        </w:rPr>
      </w:pPr>
      <w:r>
        <w:rPr>
          <w:rFonts w:ascii="Arial" w:cs="Arial" w:eastAsia="Arial" w:hAnsi="Arial"/>
          <w:sz w:val="20"/>
          <w:szCs w:val="20"/>
          <w:color w:val="auto"/>
        </w:rPr>
        <w:t>as soon as available, but no later than thirty (30) days after the last day of each month that is not a quarter-end, a company prepared consolidated and, if prepared by Borrower or if reasonably requested by the Lenders, consolidating balance sheet, income statement and cash flow statement, in each case subject to year-end adjustments and the absence of footnotes, covering the consolidated operations of Borrower and its consolidated Subsidiaries for such month certified by a Responsible Officer and in a form reasonably acceptable to the Collateral Agent;</w:t>
      </w:r>
    </w:p>
    <w:p>
      <w:pPr>
        <w:spacing w:after="0" w:line="141" w:lineRule="exact"/>
        <w:rPr>
          <w:rFonts w:ascii="Arial" w:cs="Arial" w:eastAsia="Arial" w:hAnsi="Arial"/>
          <w:sz w:val="20"/>
          <w:szCs w:val="20"/>
          <w:color w:val="auto"/>
        </w:rPr>
      </w:pPr>
    </w:p>
    <w:p>
      <w:pPr>
        <w:jc w:val="both"/>
        <w:ind w:firstLine="1952"/>
        <w:spacing w:after="0" w:line="210" w:lineRule="auto"/>
        <w:tabs>
          <w:tab w:leader="none" w:pos="2591" w:val="left"/>
        </w:tabs>
        <w:numPr>
          <w:ilvl w:val="1"/>
          <w:numId w:val="66"/>
        </w:numPr>
        <w:rPr>
          <w:rFonts w:ascii="Arial" w:cs="Arial" w:eastAsia="Arial" w:hAnsi="Arial"/>
          <w:sz w:val="20"/>
          <w:szCs w:val="20"/>
          <w:color w:val="auto"/>
        </w:rPr>
      </w:pPr>
      <w:r>
        <w:rPr>
          <w:rFonts w:ascii="Arial" w:cs="Arial" w:eastAsia="Arial" w:hAnsi="Arial"/>
          <w:sz w:val="20"/>
          <w:szCs w:val="20"/>
          <w:color w:val="auto"/>
        </w:rPr>
        <w:t>as soon as available, but no later than forty-five (45) days after the last day of each fiscal quarter, a company prepared consolidated and, if prepared by Borrower or if reasonably requested by the Lenders, consolidating balance sheet, income statement and cash flow statement, in each case subject to year-end adjustments and the absence of footnotes, covering the consolidated operations of Borrower and its consolidated Subsidiaries for such fiscal quarter certified by a Responsible Officer and in a form reasonably acceptable to the Collateral Agent;</w:t>
      </w:r>
    </w:p>
    <w:p>
      <w:pPr>
        <w:spacing w:after="0" w:line="141" w:lineRule="exact"/>
        <w:rPr>
          <w:rFonts w:ascii="Arial" w:cs="Arial" w:eastAsia="Arial" w:hAnsi="Arial"/>
          <w:sz w:val="20"/>
          <w:szCs w:val="20"/>
          <w:color w:val="auto"/>
        </w:rPr>
      </w:pPr>
    </w:p>
    <w:p>
      <w:pPr>
        <w:jc w:val="both"/>
        <w:ind w:firstLine="1952"/>
        <w:spacing w:after="0" w:line="233" w:lineRule="auto"/>
        <w:tabs>
          <w:tab w:leader="none" w:pos="2592" w:val="left"/>
        </w:tabs>
        <w:numPr>
          <w:ilvl w:val="1"/>
          <w:numId w:val="66"/>
        </w:numPr>
        <w:rPr>
          <w:rFonts w:ascii="Arial" w:cs="Arial" w:eastAsia="Arial" w:hAnsi="Arial"/>
          <w:sz w:val="18"/>
          <w:szCs w:val="18"/>
          <w:color w:val="auto"/>
        </w:rPr>
      </w:pPr>
      <w:r>
        <w:rPr>
          <w:rFonts w:ascii="Arial" w:cs="Arial" w:eastAsia="Arial" w:hAnsi="Arial"/>
          <w:sz w:val="18"/>
          <w:szCs w:val="18"/>
          <w:color w:val="auto"/>
        </w:rPr>
        <w:t>as soon as available, but no later than ninety (90) days after the last day of Borrower’s fiscal year or within five (5) days of filing of the same with the SEC, audited consolidated financial statements covering the consolidated operations of Borrower and its consolidated Subsidiaries for such fiscal year, prepared under GAAP, consistently applied, together with an unqualified opinion (other than with respect to a going concern limitation based solely on the amount of cash and Cash Equivalents held by Borrower) on the financial statements from an independent certified public accounting firm acceptable to Collateral Agent in its reasonable discretion;</w:t>
      </w:r>
    </w:p>
    <w:p>
      <w:pPr>
        <w:spacing w:after="0" w:line="129" w:lineRule="exact"/>
        <w:rPr>
          <w:rFonts w:ascii="Arial" w:cs="Arial" w:eastAsia="Arial" w:hAnsi="Arial"/>
          <w:sz w:val="18"/>
          <w:szCs w:val="18"/>
          <w:color w:val="auto"/>
        </w:rPr>
      </w:pPr>
    </w:p>
    <w:p>
      <w:pPr>
        <w:jc w:val="both"/>
        <w:ind w:firstLine="1952"/>
        <w:spacing w:after="0" w:line="224" w:lineRule="auto"/>
        <w:tabs>
          <w:tab w:leader="none" w:pos="2581" w:val="left"/>
        </w:tabs>
        <w:numPr>
          <w:ilvl w:val="1"/>
          <w:numId w:val="66"/>
        </w:numPr>
        <w:rPr>
          <w:rFonts w:ascii="Arial" w:cs="Arial" w:eastAsia="Arial" w:hAnsi="Arial"/>
          <w:sz w:val="19"/>
          <w:szCs w:val="19"/>
          <w:color w:val="auto"/>
        </w:rPr>
      </w:pPr>
      <w:r>
        <w:rPr>
          <w:rFonts w:ascii="Arial" w:cs="Arial" w:eastAsia="Arial" w:hAnsi="Arial"/>
          <w:sz w:val="19"/>
          <w:szCs w:val="19"/>
          <w:color w:val="auto"/>
        </w:rPr>
        <w:t>no later than sixty (60) days after the last day of Borrower’s fiscal year, but no later than ten (10) days’ after approval thereof by the Borrower’s board of directors, Borrower’s annual financial projections for the entire current fiscal year as approved by Borrower’s board of directors; provided that, any revisions to such projections approved by Borrower’s board of directors shall be delivered to Collateral Agent and the Lenders no later than seven (7) days after such approval);</w:t>
      </w:r>
    </w:p>
    <w:p>
      <w:pPr>
        <w:spacing w:after="0" w:line="142" w:lineRule="exact"/>
        <w:rPr>
          <w:rFonts w:ascii="Arial" w:cs="Arial" w:eastAsia="Arial" w:hAnsi="Arial"/>
          <w:sz w:val="19"/>
          <w:szCs w:val="19"/>
          <w:color w:val="auto"/>
        </w:rPr>
      </w:pPr>
    </w:p>
    <w:p>
      <w:pPr>
        <w:jc w:val="both"/>
        <w:ind w:firstLine="1952"/>
        <w:spacing w:after="0" w:line="233" w:lineRule="auto"/>
        <w:tabs>
          <w:tab w:leader="none" w:pos="25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together with the delivery of the Compliance Certificate, copies of all non-ministerial statements, reports and notices made available to Borrower’s security holders or holders of Subordinated Debt (except as otherwise required to be delivered hereunder, other than materials provided to members of Borrower’s board of directors solely in their capacities as board members or management of Borrower) or holders of Subordinated Debt (except as otherwise required to be delivered hereunder, other than materials provided to members of Borrower’s board of directors solely in their capacities as board members or management of Borrower);</w:t>
      </w:r>
    </w:p>
    <w:p>
      <w:pPr>
        <w:spacing w:after="0" w:line="142" w:lineRule="exact"/>
        <w:rPr>
          <w:rFonts w:ascii="Arial" w:cs="Arial" w:eastAsia="Arial" w:hAnsi="Arial"/>
          <w:sz w:val="18"/>
          <w:szCs w:val="18"/>
          <w:color w:val="auto"/>
        </w:rPr>
      </w:pPr>
    </w:p>
    <w:p>
      <w:pPr>
        <w:jc w:val="both"/>
        <w:ind w:firstLine="1952"/>
        <w:spacing w:after="0" w:line="218" w:lineRule="auto"/>
        <w:tabs>
          <w:tab w:leader="none" w:pos="2581" w:val="left"/>
        </w:tabs>
        <w:numPr>
          <w:ilvl w:val="1"/>
          <w:numId w:val="66"/>
        </w:numPr>
        <w:rPr>
          <w:rFonts w:ascii="Arial" w:cs="Arial" w:eastAsia="Arial" w:hAnsi="Arial"/>
          <w:sz w:val="20"/>
          <w:szCs w:val="20"/>
          <w:color w:val="auto"/>
        </w:rPr>
      </w:pPr>
      <w:r>
        <w:rPr>
          <w:rFonts w:ascii="Arial" w:cs="Arial" w:eastAsia="Arial" w:hAnsi="Arial"/>
          <w:sz w:val="20"/>
          <w:szCs w:val="20"/>
          <w:color w:val="auto"/>
        </w:rPr>
        <w:t>with each Compliance Certificate, copies of the month-end account statements for each Collateral Account maintained by Borrower or its Subsidiaries, which statements may be provided to Collateral Agent and each Lender by Borrower or directly from the applicable institution(s);</w:t>
      </w:r>
    </w:p>
    <w:p>
      <w:pPr>
        <w:spacing w:after="0" w:line="129" w:lineRule="exact"/>
        <w:rPr>
          <w:rFonts w:ascii="Arial" w:cs="Arial" w:eastAsia="Arial" w:hAnsi="Arial"/>
          <w:sz w:val="20"/>
          <w:szCs w:val="20"/>
          <w:color w:val="auto"/>
        </w:rPr>
      </w:pPr>
    </w:p>
    <w:p>
      <w:pPr>
        <w:jc w:val="both"/>
        <w:ind w:firstLine="1952"/>
        <w:spacing w:after="0" w:line="213" w:lineRule="auto"/>
        <w:tabs>
          <w:tab w:leader="none" w:pos="2581" w:val="left"/>
        </w:tabs>
        <w:numPr>
          <w:ilvl w:val="1"/>
          <w:numId w:val="66"/>
        </w:numPr>
        <w:rPr>
          <w:rFonts w:ascii="Arial" w:cs="Arial" w:eastAsia="Arial" w:hAnsi="Arial"/>
          <w:sz w:val="20"/>
          <w:szCs w:val="20"/>
          <w:color w:val="auto"/>
        </w:rPr>
      </w:pPr>
      <w:r>
        <w:rPr>
          <w:rFonts w:ascii="Arial" w:cs="Arial" w:eastAsia="Arial" w:hAnsi="Arial"/>
          <w:sz w:val="20"/>
          <w:szCs w:val="20"/>
          <w:color w:val="auto"/>
        </w:rPr>
        <w:t>prompt delivery of (and in any event within five (5) days after the same are sent or received) copies of all material correspondence, reports, documents and other filings with any Governmental Authority that could reasonably be expected to have a material adverse effect on any of the Governmental Approvals material to Borrower’s business or that otherwise could reasonably be expected to have a Material Adverse Change;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68" w:lineRule="exact"/>
        <w:rPr>
          <w:sz w:val="20"/>
          <w:szCs w:val="20"/>
          <w:color w:val="auto"/>
        </w:rPr>
      </w:pPr>
    </w:p>
    <w:p>
      <w:pPr>
        <w:ind w:firstLine="1952"/>
        <w:spacing w:after="0" w:line="229" w:lineRule="auto"/>
        <w:tabs>
          <w:tab w:leader="none" w:pos="2583" w:val="left"/>
        </w:tabs>
        <w:numPr>
          <w:ilvl w:val="0"/>
          <w:numId w:val="67"/>
        </w:numPr>
        <w:rPr>
          <w:rFonts w:ascii="Arial" w:cs="Arial" w:eastAsia="Arial" w:hAnsi="Arial"/>
          <w:sz w:val="20"/>
          <w:szCs w:val="20"/>
          <w:color w:val="auto"/>
        </w:rPr>
      </w:pPr>
      <w:r>
        <w:rPr>
          <w:rFonts w:ascii="Arial" w:cs="Arial" w:eastAsia="Arial" w:hAnsi="Arial"/>
          <w:sz w:val="20"/>
          <w:szCs w:val="20"/>
          <w:color w:val="auto"/>
        </w:rPr>
        <w:t>prompt notice of any event that (A) could reasonably be expected to materially and adversely affect the value of the Intellectual Property or (B) could reasonably be expected to result in a Material Adverse Change;</w:t>
      </w:r>
    </w:p>
    <w:p>
      <w:pPr>
        <w:spacing w:after="0" w:line="128" w:lineRule="exact"/>
        <w:rPr>
          <w:rFonts w:ascii="Arial" w:cs="Arial" w:eastAsia="Arial" w:hAnsi="Arial"/>
          <w:sz w:val="20"/>
          <w:szCs w:val="20"/>
          <w:color w:val="auto"/>
        </w:rPr>
      </w:pPr>
    </w:p>
    <w:p>
      <w:pPr>
        <w:ind w:firstLine="1952"/>
        <w:spacing w:after="0" w:line="229" w:lineRule="auto"/>
        <w:tabs>
          <w:tab w:leader="none" w:pos="2581" w:val="left"/>
        </w:tabs>
        <w:numPr>
          <w:ilvl w:val="0"/>
          <w:numId w:val="67"/>
        </w:numPr>
        <w:rPr>
          <w:rFonts w:ascii="Arial" w:cs="Arial" w:eastAsia="Arial" w:hAnsi="Arial"/>
          <w:sz w:val="20"/>
          <w:szCs w:val="20"/>
          <w:color w:val="auto"/>
        </w:rPr>
      </w:pPr>
      <w:r>
        <w:rPr>
          <w:rFonts w:ascii="Arial" w:cs="Arial" w:eastAsia="Arial" w:hAnsi="Arial"/>
          <w:sz w:val="20"/>
          <w:szCs w:val="20"/>
          <w:color w:val="auto"/>
        </w:rPr>
        <w:t>written notice delivered at least five (5) days’ prior to Borrower’s creation of a New Subsidiary in accordance with the terms of Section 6.10;</w:t>
      </w:r>
    </w:p>
    <w:p>
      <w:pPr>
        <w:spacing w:after="0" w:line="141" w:lineRule="exact"/>
        <w:rPr>
          <w:rFonts w:ascii="Arial" w:cs="Arial" w:eastAsia="Arial" w:hAnsi="Arial"/>
          <w:sz w:val="20"/>
          <w:szCs w:val="20"/>
          <w:color w:val="auto"/>
        </w:rPr>
      </w:pPr>
    </w:p>
    <w:p>
      <w:pPr>
        <w:jc w:val="both"/>
        <w:ind w:firstLine="1952"/>
        <w:spacing w:after="0" w:line="210" w:lineRule="auto"/>
        <w:tabs>
          <w:tab w:leader="none" w:pos="2580" w:val="left"/>
        </w:tabs>
        <w:numPr>
          <w:ilvl w:val="0"/>
          <w:numId w:val="67"/>
        </w:numPr>
        <w:rPr>
          <w:rFonts w:ascii="Arial" w:cs="Arial" w:eastAsia="Arial" w:hAnsi="Arial"/>
          <w:sz w:val="20"/>
          <w:szCs w:val="20"/>
          <w:color w:val="auto"/>
        </w:rPr>
      </w:pPr>
      <w:r>
        <w:rPr>
          <w:rFonts w:ascii="Arial" w:cs="Arial" w:eastAsia="Arial" w:hAnsi="Arial"/>
          <w:sz w:val="20"/>
          <w:szCs w:val="20"/>
          <w:color w:val="auto"/>
        </w:rPr>
        <w:t>written notice delivered at least twenty (20) days’ prior to Borrower’s (A) adding any new offices or business locations, including warehouses (unless such new offices or business locations contain less than Five Hundred Thousand Dollars ($500,000) in assets or property of Borrower or any of its Subsidiaries), (B) changing its respective jurisdiction of organization, (C) changing its organizational structure or type, (D) changing its respective legal name, or (E) changing any organizational number(s) (if any) assigned by its respective jurisdiction of organization;</w:t>
      </w:r>
    </w:p>
    <w:p>
      <w:pPr>
        <w:spacing w:after="0" w:line="141" w:lineRule="exact"/>
        <w:rPr>
          <w:rFonts w:ascii="Arial" w:cs="Arial" w:eastAsia="Arial" w:hAnsi="Arial"/>
          <w:sz w:val="20"/>
          <w:szCs w:val="20"/>
          <w:color w:val="auto"/>
        </w:rPr>
      </w:pPr>
    </w:p>
    <w:p>
      <w:pPr>
        <w:jc w:val="both"/>
        <w:ind w:firstLine="1952"/>
        <w:spacing w:after="0" w:line="210" w:lineRule="auto"/>
        <w:tabs>
          <w:tab w:leader="none" w:pos="2581" w:val="left"/>
        </w:tabs>
        <w:numPr>
          <w:ilvl w:val="0"/>
          <w:numId w:val="67"/>
        </w:numPr>
        <w:rPr>
          <w:rFonts w:ascii="Arial" w:cs="Arial" w:eastAsia="Arial" w:hAnsi="Arial"/>
          <w:sz w:val="20"/>
          <w:szCs w:val="20"/>
          <w:color w:val="auto"/>
        </w:rPr>
      </w:pPr>
      <w:r>
        <w:rPr>
          <w:rFonts w:ascii="Arial" w:cs="Arial" w:eastAsia="Arial" w:hAnsi="Arial"/>
          <w:sz w:val="20"/>
          <w:szCs w:val="20"/>
          <w:color w:val="auto"/>
        </w:rPr>
        <w:t>upon Borrower becoming aware of the existence of any Event of Default or event which, with the giving of notice or passage of time, or both, would constitute an Event of Default, prompt (and in any event within three (3) Business Days) written notice of such occurrence, which such notice shall include a reasonably detailed description of such Event of Default or event which, with the giving of notice or passage of time, or both, would constitute an Event of Default, and Borrower’s proposal regarding how to cure such Event of Default or event;</w:t>
      </w:r>
    </w:p>
    <w:p>
      <w:pPr>
        <w:spacing w:after="0" w:line="127" w:lineRule="exact"/>
        <w:rPr>
          <w:rFonts w:ascii="Arial" w:cs="Arial" w:eastAsia="Arial" w:hAnsi="Arial"/>
          <w:sz w:val="20"/>
          <w:szCs w:val="20"/>
          <w:color w:val="auto"/>
        </w:rPr>
      </w:pPr>
    </w:p>
    <w:p>
      <w:pPr>
        <w:jc w:val="both"/>
        <w:ind w:firstLine="1952"/>
        <w:spacing w:after="0" w:line="218" w:lineRule="auto"/>
        <w:tabs>
          <w:tab w:leader="none" w:pos="2581" w:val="left"/>
        </w:tabs>
        <w:numPr>
          <w:ilvl w:val="0"/>
          <w:numId w:val="67"/>
        </w:numPr>
        <w:rPr>
          <w:rFonts w:ascii="Arial" w:cs="Arial" w:eastAsia="Arial" w:hAnsi="Arial"/>
          <w:sz w:val="20"/>
          <w:szCs w:val="20"/>
          <w:color w:val="auto"/>
        </w:rPr>
      </w:pPr>
      <w:r>
        <w:rPr>
          <w:rFonts w:ascii="Arial" w:cs="Arial" w:eastAsia="Arial" w:hAnsi="Arial"/>
          <w:sz w:val="20"/>
          <w:szCs w:val="20"/>
          <w:color w:val="auto"/>
        </w:rPr>
        <w:t xml:space="preserve">immediate notice if Borrower or such Subsidiary has knowledge that Borrower, or any Subsidiary or Affiliate of Borrower, is listed on the OFAC Lists or (a) is convicted on, (b) pleads </w:t>
      </w:r>
      <w:r>
        <w:rPr>
          <w:rFonts w:ascii="Arial" w:cs="Arial" w:eastAsia="Arial" w:hAnsi="Arial"/>
          <w:sz w:val="20"/>
          <w:szCs w:val="20"/>
          <w:i w:val="1"/>
          <w:iCs w:val="1"/>
          <w:color w:val="auto"/>
        </w:rPr>
        <w:t>nolo contendere</w:t>
      </w:r>
      <w:r>
        <w:rPr>
          <w:rFonts w:ascii="Arial" w:cs="Arial" w:eastAsia="Arial" w:hAnsi="Arial"/>
          <w:sz w:val="20"/>
          <w:szCs w:val="20"/>
          <w:color w:val="auto"/>
        </w:rPr>
        <w:t xml:space="preserve"> to, (c) is indicted on, or (d) is arraigned and held over on charges involving money laundering or predicate crimes to money laundering;</w:t>
      </w:r>
    </w:p>
    <w:p>
      <w:pPr>
        <w:spacing w:after="0" w:line="142" w:lineRule="exact"/>
        <w:rPr>
          <w:rFonts w:ascii="Arial" w:cs="Arial" w:eastAsia="Arial" w:hAnsi="Arial"/>
          <w:sz w:val="20"/>
          <w:szCs w:val="20"/>
          <w:color w:val="auto"/>
        </w:rPr>
      </w:pPr>
    </w:p>
    <w:p>
      <w:pPr>
        <w:jc w:val="both"/>
        <w:ind w:firstLine="1952"/>
        <w:spacing w:after="0" w:line="218" w:lineRule="auto"/>
        <w:tabs>
          <w:tab w:leader="none" w:pos="2583" w:val="left"/>
        </w:tabs>
        <w:numPr>
          <w:ilvl w:val="0"/>
          <w:numId w:val="67"/>
        </w:numPr>
        <w:rPr>
          <w:rFonts w:ascii="Arial" w:cs="Arial" w:eastAsia="Arial" w:hAnsi="Arial"/>
          <w:sz w:val="20"/>
          <w:szCs w:val="20"/>
          <w:color w:val="auto"/>
        </w:rPr>
      </w:pPr>
      <w:r>
        <w:rPr>
          <w:rFonts w:ascii="Arial" w:cs="Arial" w:eastAsia="Arial" w:hAnsi="Arial"/>
          <w:sz w:val="20"/>
          <w:szCs w:val="20"/>
          <w:color w:val="auto"/>
        </w:rPr>
        <w:t>together with the delivery of the Compliance Certificate, notice of any commercial tort claim (as defined in the Code) or letter of credit rights (as defined in the Code) held by Borrower or any Guarantor, in each case in an amount greater than One Hundred Thousand Dollars ($100,000) and of the general details thereof;</w:t>
      </w:r>
    </w:p>
    <w:p>
      <w:pPr>
        <w:spacing w:after="0" w:line="142" w:lineRule="exact"/>
        <w:rPr>
          <w:rFonts w:ascii="Arial" w:cs="Arial" w:eastAsia="Arial" w:hAnsi="Arial"/>
          <w:sz w:val="20"/>
          <w:szCs w:val="20"/>
          <w:color w:val="auto"/>
        </w:rPr>
      </w:pPr>
    </w:p>
    <w:p>
      <w:pPr>
        <w:jc w:val="both"/>
        <w:ind w:firstLine="1952"/>
        <w:spacing w:after="0" w:line="218" w:lineRule="auto"/>
        <w:tabs>
          <w:tab w:leader="none" w:pos="2585" w:val="left"/>
        </w:tabs>
        <w:numPr>
          <w:ilvl w:val="0"/>
          <w:numId w:val="67"/>
        </w:numPr>
        <w:rPr>
          <w:rFonts w:ascii="Arial" w:cs="Arial" w:eastAsia="Arial" w:hAnsi="Arial"/>
          <w:sz w:val="20"/>
          <w:szCs w:val="20"/>
          <w:color w:val="auto"/>
        </w:rPr>
      </w:pPr>
      <w:r>
        <w:rPr>
          <w:rFonts w:ascii="Arial" w:cs="Arial" w:eastAsia="Arial" w:hAnsi="Arial"/>
          <w:sz w:val="20"/>
          <w:szCs w:val="20"/>
          <w:color w:val="auto"/>
        </w:rPr>
        <w:t>if Borrower has any Subsidiaries any of which is not a Registered Organization upon formation thereof but later becomes one, written notice of such occurrence and information regarding such Person’s organizational identification number within seven (7) Business Days of receiving such organizational identification number;</w:t>
      </w:r>
    </w:p>
    <w:p>
      <w:pPr>
        <w:spacing w:after="0" w:line="129" w:lineRule="exact"/>
        <w:rPr>
          <w:rFonts w:ascii="Arial" w:cs="Arial" w:eastAsia="Arial" w:hAnsi="Arial"/>
          <w:sz w:val="20"/>
          <w:szCs w:val="20"/>
          <w:color w:val="auto"/>
        </w:rPr>
      </w:pPr>
    </w:p>
    <w:p>
      <w:pPr>
        <w:ind w:firstLine="1952"/>
        <w:spacing w:after="0" w:line="242" w:lineRule="auto"/>
        <w:tabs>
          <w:tab w:leader="none" w:pos="2584" w:val="left"/>
        </w:tabs>
        <w:numPr>
          <w:ilvl w:val="0"/>
          <w:numId w:val="67"/>
        </w:numPr>
        <w:rPr>
          <w:rFonts w:ascii="Arial" w:cs="Arial" w:eastAsia="Arial" w:hAnsi="Arial"/>
          <w:sz w:val="19"/>
          <w:szCs w:val="19"/>
          <w:color w:val="auto"/>
        </w:rPr>
      </w:pPr>
      <w:r>
        <w:rPr>
          <w:rFonts w:ascii="Arial" w:cs="Arial" w:eastAsia="Arial" w:hAnsi="Arial"/>
          <w:sz w:val="19"/>
          <w:szCs w:val="19"/>
          <w:color w:val="auto"/>
        </w:rPr>
        <w:t>no later than 45 days after the end of each fiscal quarter an updated Perfection Certificate to reflect any amendments, modifications and updates, if any, to certain information in the Perfection Certificate after the Effective Date; and</w:t>
      </w:r>
    </w:p>
    <w:p>
      <w:pPr>
        <w:spacing w:after="0" w:line="139" w:lineRule="exact"/>
        <w:rPr>
          <w:rFonts w:ascii="Arial" w:cs="Arial" w:eastAsia="Arial" w:hAnsi="Arial"/>
          <w:sz w:val="19"/>
          <w:szCs w:val="19"/>
          <w:color w:val="auto"/>
        </w:rPr>
      </w:pPr>
    </w:p>
    <w:p>
      <w:pPr>
        <w:ind w:left="2600" w:hanging="648"/>
        <w:spacing w:after="0"/>
        <w:tabs>
          <w:tab w:leader="none" w:pos="2600" w:val="left"/>
        </w:tabs>
        <w:numPr>
          <w:ilvl w:val="0"/>
          <w:numId w:val="67"/>
        </w:numPr>
        <w:rPr>
          <w:rFonts w:ascii="Arial" w:cs="Arial" w:eastAsia="Arial" w:hAnsi="Arial"/>
          <w:sz w:val="20"/>
          <w:szCs w:val="20"/>
          <w:color w:val="auto"/>
        </w:rPr>
      </w:pPr>
      <w:r>
        <w:rPr>
          <w:rFonts w:ascii="Arial" w:cs="Arial" w:eastAsia="Arial" w:hAnsi="Arial"/>
          <w:sz w:val="20"/>
          <w:szCs w:val="20"/>
          <w:color w:val="auto"/>
        </w:rPr>
        <w:t>other information as reasonably requested by Collateral Agent or any Lender.</w:t>
      </w:r>
    </w:p>
    <w:p>
      <w:pPr>
        <w:spacing w:after="0" w:line="162"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Notwithstanding the terms herein, documents and notices required to be delivered pursuant to the terms hereof (to the extent any such documents and notices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w:t>
      </w:r>
    </w:p>
    <w:p>
      <w:pPr>
        <w:spacing w:after="0" w:line="127" w:lineRule="exact"/>
        <w:rPr>
          <w:sz w:val="20"/>
          <w:szCs w:val="20"/>
          <w:color w:val="auto"/>
        </w:rPr>
      </w:pPr>
    </w:p>
    <w:p>
      <w:pPr>
        <w:ind w:left="1780" w:hanging="476"/>
        <w:spacing w:after="0"/>
        <w:tabs>
          <w:tab w:leader="none" w:pos="17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Concurrently with the delivery of the financial statements specified in Section 6.2(a)(i) above but no later than thirty</w:t>
      </w:r>
    </w:p>
    <w:p>
      <w:pPr>
        <w:ind w:left="380" w:hanging="372"/>
        <w:spacing w:after="0"/>
        <w:tabs>
          <w:tab w:leader="none" w:pos="380" w:val="left"/>
        </w:tabs>
        <w:numPr>
          <w:ilvl w:val="0"/>
          <w:numId w:val="69"/>
        </w:numPr>
        <w:rPr>
          <w:rFonts w:ascii="Arial" w:cs="Arial" w:eastAsia="Arial" w:hAnsi="Arial"/>
          <w:sz w:val="20"/>
          <w:szCs w:val="20"/>
          <w:color w:val="auto"/>
        </w:rPr>
      </w:pPr>
      <w:r>
        <w:rPr>
          <w:rFonts w:ascii="Arial" w:cs="Arial" w:eastAsia="Arial" w:hAnsi="Arial"/>
          <w:sz w:val="20"/>
          <w:szCs w:val="20"/>
          <w:color w:val="auto"/>
        </w:rPr>
        <w:t>days after the last day of each month, deliver to Collateral Agent:</w:t>
      </w:r>
    </w:p>
    <w:p>
      <w:pPr>
        <w:spacing w:after="0" w:line="145" w:lineRule="exact"/>
        <w:rPr>
          <w:rFonts w:ascii="Arial" w:cs="Arial" w:eastAsia="Arial" w:hAnsi="Arial"/>
          <w:sz w:val="20"/>
          <w:szCs w:val="20"/>
          <w:color w:val="auto"/>
        </w:rPr>
      </w:pPr>
    </w:p>
    <w:p>
      <w:pPr>
        <w:ind w:left="2340" w:hanging="388"/>
        <w:spacing w:after="0"/>
        <w:tabs>
          <w:tab w:leader="none" w:pos="2340" w:val="left"/>
        </w:tabs>
        <w:numPr>
          <w:ilvl w:val="2"/>
          <w:numId w:val="69"/>
        </w:numPr>
        <w:rPr>
          <w:rFonts w:ascii="Arial" w:cs="Arial" w:eastAsia="Arial" w:hAnsi="Arial"/>
          <w:sz w:val="20"/>
          <w:szCs w:val="20"/>
          <w:color w:val="auto"/>
        </w:rPr>
      </w:pPr>
      <w:r>
        <w:rPr>
          <w:rFonts w:ascii="Arial" w:cs="Arial" w:eastAsia="Arial" w:hAnsi="Arial"/>
          <w:sz w:val="20"/>
          <w:szCs w:val="20"/>
          <w:color w:val="auto"/>
        </w:rPr>
        <w:t>a duly completed Compliance Certificate signed by a Responsible Officer;</w:t>
      </w:r>
    </w:p>
    <w:p>
      <w:pPr>
        <w:spacing w:after="0" w:line="161" w:lineRule="exact"/>
        <w:rPr>
          <w:rFonts w:ascii="Arial" w:cs="Arial" w:eastAsia="Arial" w:hAnsi="Arial"/>
          <w:sz w:val="20"/>
          <w:szCs w:val="20"/>
          <w:color w:val="auto"/>
        </w:rPr>
      </w:pPr>
    </w:p>
    <w:p>
      <w:pPr>
        <w:ind w:left="2400" w:hanging="448"/>
        <w:spacing w:after="0"/>
        <w:tabs>
          <w:tab w:leader="none" w:pos="2400" w:val="left"/>
        </w:tabs>
        <w:numPr>
          <w:ilvl w:val="2"/>
          <w:numId w:val="69"/>
        </w:numPr>
        <w:rPr>
          <w:rFonts w:ascii="Arial" w:cs="Arial" w:eastAsia="Arial" w:hAnsi="Arial"/>
          <w:sz w:val="20"/>
          <w:szCs w:val="20"/>
          <w:color w:val="auto"/>
        </w:rPr>
      </w:pPr>
      <w:r>
        <w:rPr>
          <w:rFonts w:ascii="Arial" w:cs="Arial" w:eastAsia="Arial" w:hAnsi="Arial"/>
          <w:sz w:val="20"/>
          <w:szCs w:val="20"/>
          <w:color w:val="auto"/>
        </w:rPr>
        <w:t>copies of any material Governmental Approvals obtained by Borrower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66" w:lineRule="exact"/>
        <w:rPr>
          <w:sz w:val="20"/>
          <w:szCs w:val="20"/>
          <w:color w:val="auto"/>
        </w:rPr>
      </w:pPr>
    </w:p>
    <w:p>
      <w:pPr>
        <w:ind w:left="2500" w:hanging="548"/>
        <w:spacing w:after="0"/>
        <w:tabs>
          <w:tab w:leader="none" w:pos="2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written notice of the commencement of, and any material development in, the proceedings contemplated by</w:t>
      </w:r>
    </w:p>
    <w:p>
      <w:pPr>
        <w:spacing w:after="0"/>
        <w:rPr>
          <w:sz w:val="20"/>
          <w:szCs w:val="20"/>
          <w:color w:val="auto"/>
        </w:rPr>
      </w:pPr>
      <w:r>
        <w:rPr>
          <w:rFonts w:ascii="Arial" w:cs="Arial" w:eastAsia="Arial" w:hAnsi="Arial"/>
          <w:sz w:val="20"/>
          <w:szCs w:val="20"/>
          <w:color w:val="auto"/>
        </w:rPr>
        <w:t>Section 5.8 hereof;</w:t>
      </w:r>
    </w:p>
    <w:p>
      <w:pPr>
        <w:spacing w:after="0" w:line="132" w:lineRule="exact"/>
        <w:rPr>
          <w:sz w:val="20"/>
          <w:szCs w:val="20"/>
          <w:color w:val="auto"/>
        </w:rPr>
      </w:pPr>
    </w:p>
    <w:p>
      <w:pPr>
        <w:jc w:val="both"/>
        <w:ind w:firstLine="1952"/>
        <w:spacing w:after="0" w:line="218" w:lineRule="auto"/>
        <w:tabs>
          <w:tab w:leader="none" w:pos="2590" w:val="left"/>
        </w:tabs>
        <w:numPr>
          <w:ilvl w:val="1"/>
          <w:numId w:val="71"/>
        </w:numPr>
        <w:rPr>
          <w:rFonts w:ascii="Arial" w:cs="Arial" w:eastAsia="Arial" w:hAnsi="Arial"/>
          <w:sz w:val="20"/>
          <w:szCs w:val="20"/>
          <w:color w:val="auto"/>
        </w:rPr>
      </w:pPr>
      <w:r>
        <w:rPr>
          <w:rFonts w:ascii="Arial" w:cs="Arial" w:eastAsia="Arial" w:hAnsi="Arial"/>
          <w:sz w:val="20"/>
          <w:szCs w:val="20"/>
          <w:color w:val="auto"/>
        </w:rPr>
        <w:t>written notice of any litigation or governmental proceedings pending or threatened (in writing) against Borrower or any of its Subsidiaries, which could reasonably be expected to result in damages or costs to Borrower or any of its Subsidiaries of Two Hundred Fifty Thousand Dollars ($250,000); and</w:t>
      </w:r>
    </w:p>
    <w:p>
      <w:pPr>
        <w:spacing w:after="0" w:line="142" w:lineRule="exact"/>
        <w:rPr>
          <w:rFonts w:ascii="Arial" w:cs="Arial" w:eastAsia="Arial" w:hAnsi="Arial"/>
          <w:sz w:val="20"/>
          <w:szCs w:val="20"/>
          <w:color w:val="auto"/>
        </w:rPr>
      </w:pPr>
    </w:p>
    <w:p>
      <w:pPr>
        <w:ind w:right="20" w:firstLine="1952"/>
        <w:spacing w:after="0" w:line="229" w:lineRule="auto"/>
        <w:tabs>
          <w:tab w:leader="none" w:pos="2429" w:val="left"/>
        </w:tabs>
        <w:numPr>
          <w:ilvl w:val="1"/>
          <w:numId w:val="71"/>
        </w:numPr>
        <w:rPr>
          <w:rFonts w:ascii="Arial" w:cs="Arial" w:eastAsia="Arial" w:hAnsi="Arial"/>
          <w:sz w:val="20"/>
          <w:szCs w:val="20"/>
          <w:color w:val="auto"/>
        </w:rPr>
      </w:pPr>
      <w:r>
        <w:rPr>
          <w:rFonts w:ascii="Arial" w:cs="Arial" w:eastAsia="Arial" w:hAnsi="Arial"/>
          <w:sz w:val="20"/>
          <w:szCs w:val="20"/>
          <w:color w:val="auto"/>
        </w:rPr>
        <w:t>written notice of all returns, recoveries, disputes and claims regarding Inventory that involve more than Five Hundred Thousand Dollars ($500,000) individually or in the aggregate in any calendar year.</w:t>
      </w:r>
    </w:p>
    <w:p>
      <w:pPr>
        <w:spacing w:after="0" w:line="141" w:lineRule="exact"/>
        <w:rPr>
          <w:rFonts w:ascii="Arial" w:cs="Arial" w:eastAsia="Arial" w:hAnsi="Arial"/>
          <w:sz w:val="20"/>
          <w:szCs w:val="20"/>
          <w:color w:val="auto"/>
        </w:rPr>
      </w:pPr>
    </w:p>
    <w:p>
      <w:pPr>
        <w:jc w:val="both"/>
        <w:ind w:firstLine="1304"/>
        <w:spacing w:after="0" w:line="218" w:lineRule="auto"/>
        <w:tabs>
          <w:tab w:leader="none" w:pos="1850" w:val="left"/>
        </w:tabs>
        <w:numPr>
          <w:ilvl w:val="0"/>
          <w:numId w:val="72"/>
        </w:numPr>
        <w:rPr>
          <w:rFonts w:ascii="Arial" w:cs="Arial" w:eastAsia="Arial" w:hAnsi="Arial"/>
          <w:sz w:val="19"/>
          <w:szCs w:val="19"/>
          <w:color w:val="auto"/>
        </w:rPr>
      </w:pPr>
      <w:r>
        <w:rPr>
          <w:rFonts w:ascii="Arial" w:cs="Arial" w:eastAsia="Arial" w:hAnsi="Arial"/>
          <w:sz w:val="19"/>
          <w:szCs w:val="19"/>
          <w:color w:val="auto"/>
        </w:rPr>
        <w:t>Keep proper, complete and true books of record and account in accordance with GAAP in all material respects. Borrower shall, and shall cause each of its Subsidiaries to, allow, at the sole cost of Borrower, Collateral Agent or any Lender, during regular business hours upon reasonable prior notice (provided that no notice shall be required when an Event of Default has occurred and is continuing), to visit and inspect any of its properties, to examine and make abstracts or copies from any of its books and records, and to conduct a collateral audit and analysis of its operations and the Collateral. Such audits shall be conducted no more often than twice every year unless (and more frequently if) an Event of Default has occurred and is continuing.</w:t>
      </w:r>
    </w:p>
    <w:p>
      <w:pPr>
        <w:spacing w:after="0" w:line="126"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b w:val="1"/>
          <w:bCs w:val="1"/>
          <w:color w:val="auto"/>
        </w:rPr>
        <w:t xml:space="preserve">6.3 Inventory; Returns. </w:t>
      </w:r>
      <w:r>
        <w:rPr>
          <w:rFonts w:ascii="Arial" w:cs="Arial" w:eastAsia="Arial" w:hAnsi="Arial"/>
          <w:sz w:val="20"/>
          <w:szCs w:val="20"/>
          <w:color w:val="auto"/>
        </w:rPr>
        <w:t>Keep all Inventory in good and marketable condition, free from material defects. Returns and allowances</w:t>
      </w:r>
      <w:r>
        <w:rPr>
          <w:rFonts w:ascii="Arial" w:cs="Arial" w:eastAsia="Arial" w:hAnsi="Arial"/>
          <w:sz w:val="20"/>
          <w:szCs w:val="20"/>
          <w:b w:val="1"/>
          <w:bCs w:val="1"/>
          <w:color w:val="auto"/>
        </w:rPr>
        <w:t xml:space="preserve"> </w:t>
      </w:r>
      <w:r>
        <w:rPr>
          <w:rFonts w:ascii="Arial" w:cs="Arial" w:eastAsia="Arial" w:hAnsi="Arial"/>
          <w:sz w:val="20"/>
          <w:szCs w:val="20"/>
          <w:color w:val="auto"/>
        </w:rPr>
        <w:t>between Borrower, or any of its Subsidiaries, as applicable, and their respective Account Debtors shall follow Borrower’s, or such Subsidiary’s, as applicable, customary practices.</w:t>
      </w:r>
    </w:p>
    <w:p>
      <w:pPr>
        <w:spacing w:after="0" w:line="137"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9"/>
          <w:szCs w:val="19"/>
          <w:b w:val="1"/>
          <w:bCs w:val="1"/>
          <w:color w:val="auto"/>
        </w:rPr>
        <w:t xml:space="preserve">6.4 Taxes; Pensions. </w:t>
      </w:r>
      <w:r>
        <w:rPr>
          <w:rFonts w:ascii="Arial" w:cs="Arial" w:eastAsia="Arial" w:hAnsi="Arial"/>
          <w:sz w:val="19"/>
          <w:szCs w:val="19"/>
          <w:color w:val="auto"/>
        </w:rPr>
        <w:t>Timely file and require each of its Subsidiaries to timely file, all required tax returns and reports and timely</w:t>
      </w:r>
      <w:r>
        <w:rPr>
          <w:rFonts w:ascii="Arial" w:cs="Arial" w:eastAsia="Arial" w:hAnsi="Arial"/>
          <w:sz w:val="19"/>
          <w:szCs w:val="19"/>
          <w:b w:val="1"/>
          <w:bCs w:val="1"/>
          <w:color w:val="auto"/>
        </w:rPr>
        <w:t xml:space="preserve"> </w:t>
      </w:r>
      <w:r>
        <w:rPr>
          <w:rFonts w:ascii="Arial" w:cs="Arial" w:eastAsia="Arial" w:hAnsi="Arial"/>
          <w:sz w:val="19"/>
          <w:szCs w:val="19"/>
          <w:color w:val="auto"/>
        </w:rPr>
        <w:t>pay, and require each of its Subsidiaries to timely pay, all foreign, federal, state, and local taxes, assessments, deposits and contributions owed by Borrower or its Subsidiaries, as applicable, except as otherwise permitted pursuant to the terms of Section 5.8 hereof, and shall deliver to Collateral Agent, on demand, appropriate certificates attesting to such payments, and pay all amounts necessary to fund all present pension, profit sharing and deferred compensation plans in accordance with the terms of such plans.</w:t>
      </w:r>
    </w:p>
    <w:p>
      <w:pPr>
        <w:spacing w:after="0" w:line="137"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b w:val="1"/>
          <w:bCs w:val="1"/>
          <w:color w:val="auto"/>
        </w:rPr>
        <w:t xml:space="preserve">6.5 Insurance. </w:t>
      </w:r>
      <w:r>
        <w:rPr>
          <w:rFonts w:ascii="Arial" w:cs="Arial" w:eastAsia="Arial" w:hAnsi="Arial"/>
          <w:sz w:val="18"/>
          <w:szCs w:val="18"/>
          <w:color w:val="auto"/>
        </w:rPr>
        <w:t>Keep Borrower’s and its Subsidiaries’ business and the Collateral insured for risks and in amounts standard for</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in Borrower’s and its Subsidiaries’ industry and location and as Collateral Agent may reasonably request. Insurance policies shall be in a form, with companies, and in amounts that are standard for companies in Borrower’s industry and location. All property policies shall have a lender’s loss payable endorsement showing Collateral Agent as lender loss payee and shall waive subrogation against Collateral Agent, and all liability policies shall show, or have endorsements showing, Collateral Agent (for the ratable benefit of the Secured Parties), as additional insured. The Collateral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the Collateral Agent, that it will give the Collateral Agent thirty (30) days prior written notice before any such policy or policies shall be canceled (except in the case of nonpayment). At Collateral Agent’s request, Borrower shall deliver to the Collateral Agent certified copies of policies and evidence of all premium payments. Proceeds payable under any policy shall, at Collateral Agent’s option, be payable to Collateral Agent, for the ratable benefit of the Secured Parties, on account of the then-outstanding Obligations. Notwithstanding the foregoing, (a) so long as no Event of Default has occurred and is continuing, Borrower shall have the option of applying the proceeds of any casualty policy within one hundred eighty (180) days of receipt thereof up to Seven Hundred Fifty Thousand Dollars ($750,000) with respect to any loss, but not exceeding One Million Five Hundred Thousand Dollars ($1,500,000),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Collateral Agent has been granted a first priority security interest, and (b) after the occurrence and during the continuance of an Event of Default, all proceeds payable under such casualty policy shall, at the option of Collateral Agent, be payable to Collateral Agent, for the ratable benefit of the Lenders, on account of the Obligations.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Borrower or any of its Subsidiaries fails to obtain insurance as required under this Section 6.5 or to pay any amount or furnish any required proof of payment to third persons, Collateral Agent may make (but has no obligation to do so), at Borrower’s expense, all or part of such payment or obtain such insurance policies required in this Section 6.5, and take any action under the policies Collateral Agent deems prudent.</w:t>
      </w:r>
    </w:p>
    <w:p>
      <w:pPr>
        <w:spacing w:after="0" w:line="8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6.6</w:t>
      </w:r>
      <w:r>
        <w:rPr>
          <w:sz w:val="20"/>
          <w:szCs w:val="20"/>
          <w:color w:val="auto"/>
        </w:rPr>
        <w:tab/>
      </w:r>
      <w:r>
        <w:rPr>
          <w:rFonts w:ascii="Arial" w:cs="Arial" w:eastAsia="Arial" w:hAnsi="Arial"/>
          <w:sz w:val="16"/>
          <w:szCs w:val="16"/>
          <w:b w:val="1"/>
          <w:bCs w:val="1"/>
          <w:color w:val="auto"/>
        </w:rPr>
        <w:t>Operating Accounts.</w:t>
      </w:r>
    </w:p>
    <w:p>
      <w:pPr>
        <w:spacing w:after="0" w:line="168" w:lineRule="exact"/>
        <w:rPr>
          <w:sz w:val="20"/>
          <w:szCs w:val="20"/>
          <w:color w:val="auto"/>
        </w:rPr>
      </w:pPr>
    </w:p>
    <w:p>
      <w:pPr>
        <w:jc w:val="both"/>
        <w:ind w:firstLine="1304"/>
        <w:spacing w:after="0" w:line="228" w:lineRule="auto"/>
        <w:tabs>
          <w:tab w:leader="none" w:pos="1844"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Maintain Borrower’s and Guarantors Collateral Accounts with depositary institutions that have agreed to execute Control Agreements in favor of Collateral Agent with respect to such Collateral Accounts. The provisions of the previous sentence shall not apply to Deposit Accounts exclusively used for cash collateral for Permitted Liens under clause (j) of the definition thereof, payroll, payroll taxes and other employee wage and benefit payments to or for the benefit of Borrower’s, or any Guarantor’s, employees in an aggregate amount not to exceed the amount reasonably expected to be due and payable for the next two (2) succeeding pay periods and identified to Collateral Agent by Borrower as such in the Disclosure Schedules and any deposit accounts at Western Alliance Bank (provided the accounts at Western Alliance Bank do not have an aggregate balance in excess of One Hundred Thousand Dollars ($100,000) from and after the date that is three (3) Business Days after the Effective Date and such accounts are closed as required by Section 6.12(b)).</w:t>
      </w:r>
    </w:p>
    <w:p>
      <w:pPr>
        <w:spacing w:after="0" w:line="141" w:lineRule="exact"/>
        <w:rPr>
          <w:rFonts w:ascii="Arial" w:cs="Arial" w:eastAsia="Arial" w:hAnsi="Arial"/>
          <w:sz w:val="18"/>
          <w:szCs w:val="18"/>
          <w:color w:val="auto"/>
        </w:rPr>
      </w:pPr>
    </w:p>
    <w:p>
      <w:pPr>
        <w:jc w:val="both"/>
        <w:ind w:firstLine="1304"/>
        <w:spacing w:after="0" w:line="225" w:lineRule="auto"/>
        <w:tabs>
          <w:tab w:leader="none" w:pos="18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Borrower shall provide Collateral Agent ten (10) days’ prior written notice before Borrower or any Guarantor establishes any Collateral Account. In addition, for each Collateral Account that Borrower or any Guarantor, at any time maintains, Borrower or such Guarantor shall cause the applicable bank or financial institution at or with which such Collateral Account is maintained to execute and deliver a Control Agreement or other appropriate instrument with respect to such Collateral Account to perfect Collateral Agent’s Lien in such Collateral Account (held for the ratable benefit of the Secured Parties) in accordance with the terms hereunder prior to the establishment of such Collateral Account. The provisions of the previous sentence shall not apply to Deposit Accounts exclusively used for cash collateral for Permitted Liens under clause (j) of the definition thereof, payroll, payroll taxes and other employee wage and benefit payments to or for the benefit of Borrower’s, or any Guarantor’s, employees in an aggregate amount not to exceed the amount reasonably expected to be due and payable for the next two (2) succeeding pay periods and identified to Collateral Agent by Borrower as such in the Disclosure Schedules or otherwise in writing to the Collateral Agent and any deposit accounts at Western Alliance Bank (provided the accounts at Western Alliance Bank do not have an aggregate balance in excess of One Hundred Thousand Dollars ($100,000) from and after the date that is three (3) Business Days after the Effective Date and such accounts are closed as required by Section 6.12(b)).</w:t>
      </w:r>
    </w:p>
    <w:p>
      <w:pPr>
        <w:spacing w:after="0" w:line="128" w:lineRule="exact"/>
        <w:rPr>
          <w:rFonts w:ascii="Arial" w:cs="Arial" w:eastAsia="Arial" w:hAnsi="Arial"/>
          <w:sz w:val="18"/>
          <w:szCs w:val="18"/>
          <w:color w:val="auto"/>
        </w:rPr>
      </w:pPr>
    </w:p>
    <w:p>
      <w:pPr>
        <w:ind w:firstLine="1304"/>
        <w:spacing w:after="0" w:line="229" w:lineRule="auto"/>
        <w:tabs>
          <w:tab w:leader="none" w:pos="1749" w:val="left"/>
        </w:tabs>
        <w:numPr>
          <w:ilvl w:val="0"/>
          <w:numId w:val="73"/>
        </w:numPr>
        <w:rPr>
          <w:rFonts w:ascii="Arial" w:cs="Arial" w:eastAsia="Arial" w:hAnsi="Arial"/>
          <w:sz w:val="20"/>
          <w:szCs w:val="20"/>
          <w:color w:val="auto"/>
        </w:rPr>
      </w:pPr>
      <w:r>
        <w:rPr>
          <w:rFonts w:ascii="Arial" w:cs="Arial" w:eastAsia="Arial" w:hAnsi="Arial"/>
          <w:sz w:val="20"/>
          <w:szCs w:val="20"/>
          <w:color w:val="auto"/>
        </w:rPr>
        <w:t>Neither Borrower nor any Guarantor shall maintain any Collateral Accounts except Collateral Accounts maintained in accordance with this Section 6.6.</w:t>
      </w:r>
    </w:p>
    <w:p>
      <w:pPr>
        <w:spacing w:after="0" w:line="136"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0"/>
          <w:szCs w:val="20"/>
          <w:b w:val="1"/>
          <w:bCs w:val="1"/>
          <w:color w:val="auto"/>
        </w:rPr>
        <w:t xml:space="preserve">6.7 Protection of Intellectual Property Rights. </w:t>
      </w:r>
      <w:r>
        <w:rPr>
          <w:rFonts w:ascii="Arial" w:cs="Arial" w:eastAsia="Arial" w:hAnsi="Arial"/>
          <w:sz w:val="20"/>
          <w:szCs w:val="20"/>
          <w:color w:val="auto"/>
        </w:rPr>
        <w:t>Borrower and each of its Subsidiaries shall: (a) use commercially reasonable</w:t>
      </w:r>
      <w:r>
        <w:rPr>
          <w:rFonts w:ascii="Arial" w:cs="Arial" w:eastAsia="Arial" w:hAnsi="Arial"/>
          <w:sz w:val="20"/>
          <w:szCs w:val="20"/>
          <w:b w:val="1"/>
          <w:bCs w:val="1"/>
          <w:color w:val="auto"/>
        </w:rPr>
        <w:t xml:space="preserve"> </w:t>
      </w:r>
      <w:r>
        <w:rPr>
          <w:rFonts w:ascii="Arial" w:cs="Arial" w:eastAsia="Arial" w:hAnsi="Arial"/>
          <w:sz w:val="20"/>
          <w:szCs w:val="20"/>
          <w:color w:val="auto"/>
        </w:rPr>
        <w:t>efforts to protect, defend and maintain the validity and enforceability of its respective Intellectual Property that is material to its business; (b) promptly advise Collateral Agent in writing of material infringement by a third party of its respective Intellectual Property; and (c) not allow any of its respective Intellectual Property material to its respective business to be abandoned, forfeited or dedicated to the public without Collateral Agent’s prior written consent.</w:t>
      </w:r>
    </w:p>
    <w:p>
      <w:pPr>
        <w:spacing w:after="0" w:line="13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b w:val="1"/>
          <w:bCs w:val="1"/>
          <w:color w:val="auto"/>
        </w:rPr>
        <w:t xml:space="preserve">6.8 Litigation Cooperation. </w:t>
      </w:r>
      <w:r>
        <w:rPr>
          <w:rFonts w:ascii="Arial" w:cs="Arial" w:eastAsia="Arial" w:hAnsi="Arial"/>
          <w:sz w:val="18"/>
          <w:szCs w:val="18"/>
          <w:color w:val="auto"/>
        </w:rPr>
        <w:t>Commencing on the Effective Date and continuing through the termination of this Agreement, make</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to Collateral Agent, without expense to Collateral Agent or the Lenders, Borrower and each of Borrower’s officers, employees and agents and Borrower’s Books, to the extent that Collateral Agent may reasonably deem them necessary to prosecute or defend any third-party suit or proceeding instituted by or against Collateral Agent with respect to any Collateral or relating to Borrower.</w:t>
      </w:r>
    </w:p>
    <w:p>
      <w:pPr>
        <w:spacing w:after="0" w:line="124"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9"/>
          <w:szCs w:val="19"/>
          <w:b w:val="1"/>
          <w:bCs w:val="1"/>
          <w:color w:val="auto"/>
        </w:rPr>
        <w:t xml:space="preserve">6.9 Landlord Waivers; Bailee Waivers. </w:t>
      </w:r>
      <w:r>
        <w:rPr>
          <w:rFonts w:ascii="Arial" w:cs="Arial" w:eastAsia="Arial" w:hAnsi="Arial"/>
          <w:sz w:val="19"/>
          <w:szCs w:val="19"/>
          <w:color w:val="auto"/>
        </w:rPr>
        <w:t>In the event that Borrower or any of its Subsidiaries, after the Effective Date, intends to</w:t>
      </w:r>
      <w:r>
        <w:rPr>
          <w:rFonts w:ascii="Arial" w:cs="Arial" w:eastAsia="Arial" w:hAnsi="Arial"/>
          <w:sz w:val="19"/>
          <w:szCs w:val="19"/>
          <w:b w:val="1"/>
          <w:bCs w:val="1"/>
          <w:color w:val="auto"/>
        </w:rPr>
        <w:t xml:space="preserve"> </w:t>
      </w:r>
      <w:r>
        <w:rPr>
          <w:rFonts w:ascii="Arial" w:cs="Arial" w:eastAsia="Arial" w:hAnsi="Arial"/>
          <w:sz w:val="19"/>
          <w:szCs w:val="19"/>
          <w:color w:val="auto"/>
        </w:rPr>
        <w:t>add any new offices or business locations, including warehouses, or otherwise store any portion of the Collateral with, or deliver any portion of the Collateral to, a bailee, in each case pursuant to Section 7.2, then, in the event that the Collateral at any new location is valued (based on book value) in excess of Five Hundred Thousand Dollars ($500,000) in the aggregate,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68"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at Collateral Agent’s election, Borrower or such Subsidiary shall use commercially reasonable efforts to cause such bailee or landlord, as applicable, to execute and deliver a bailee waiver or landlord waiver, as applicable, in form and substance reasonably satisfactory to Collateral Agent prior to the addition of any new offices or business locations, or any such storage with or delivery to any such bailee, as the case may be.</w:t>
      </w:r>
    </w:p>
    <w:p>
      <w:pPr>
        <w:spacing w:after="0" w:line="123"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9"/>
          <w:szCs w:val="19"/>
          <w:b w:val="1"/>
          <w:bCs w:val="1"/>
          <w:color w:val="auto"/>
        </w:rPr>
        <w:t xml:space="preserve">6.10 Creation/Acquisition of Subsidiaries. </w:t>
      </w:r>
      <w:r>
        <w:rPr>
          <w:rFonts w:ascii="Arial" w:cs="Arial" w:eastAsia="Arial" w:hAnsi="Arial"/>
          <w:sz w:val="19"/>
          <w:szCs w:val="19"/>
          <w:color w:val="auto"/>
        </w:rPr>
        <w:t>In the event any Borrower or any Subsidiary of any Borrower creates or acquires any</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Subsidiary after the Effective Date, Borrower or such Subsidiary shall promptly notify the Collateral Agent of such creation or acquisition, and Borrower or such Subsidiary shall take all actions reasonably requested by the Collateral Agent to achieve any of the following with respect to such “</w:t>
      </w:r>
      <w:r>
        <w:rPr>
          <w:rFonts w:ascii="Arial" w:cs="Arial" w:eastAsia="Arial" w:hAnsi="Arial"/>
          <w:sz w:val="19"/>
          <w:szCs w:val="19"/>
          <w:b w:val="1"/>
          <w:bCs w:val="1"/>
          <w:color w:val="auto"/>
        </w:rPr>
        <w:t>New Subsidiary</w:t>
      </w:r>
      <w:r>
        <w:rPr>
          <w:rFonts w:ascii="Arial" w:cs="Arial" w:eastAsia="Arial" w:hAnsi="Arial"/>
          <w:sz w:val="19"/>
          <w:szCs w:val="19"/>
          <w:color w:val="auto"/>
        </w:rPr>
        <w:t>” (defined as a Subsidiary formed after the date hereof during the term of this Agreement): (i) if such New Subsidiary is a Domestic Subsidiary (except for a Domestic Subsidiary (1) substantially all of the assets of which consist of the equity interests of one or more Foreign Subsidiaries or (2) that is a subsidiary of a Foreign Subsidiary (each, an “</w:t>
      </w:r>
      <w:r>
        <w:rPr>
          <w:rFonts w:ascii="Arial" w:cs="Arial" w:eastAsia="Arial" w:hAnsi="Arial"/>
          <w:sz w:val="19"/>
          <w:szCs w:val="19"/>
          <w:b w:val="1"/>
          <w:bCs w:val="1"/>
          <w:color w:val="auto"/>
        </w:rPr>
        <w:t>Excluded Domestic</w:t>
      </w:r>
      <w:r>
        <w:rPr>
          <w:rFonts w:ascii="Arial" w:cs="Arial" w:eastAsia="Arial" w:hAnsi="Arial"/>
          <w:sz w:val="19"/>
          <w:szCs w:val="19"/>
          <w:color w:val="auto"/>
        </w:rPr>
        <w:t xml:space="preserve"> </w:t>
      </w:r>
      <w:r>
        <w:rPr>
          <w:rFonts w:ascii="Arial" w:cs="Arial" w:eastAsia="Arial" w:hAnsi="Arial"/>
          <w:sz w:val="19"/>
          <w:szCs w:val="19"/>
          <w:b w:val="1"/>
          <w:bCs w:val="1"/>
          <w:color w:val="auto"/>
        </w:rPr>
        <w:t>Subsidiary</w:t>
      </w:r>
      <w:r>
        <w:rPr>
          <w:rFonts w:ascii="Arial" w:cs="Arial" w:eastAsia="Arial" w:hAnsi="Arial"/>
          <w:sz w:val="19"/>
          <w:szCs w:val="19"/>
          <w:color w:val="auto"/>
        </w:rPr>
        <w:t>”)), to cause such New Subsidiary to become either a co-Borrower hereunder, or a secured guarantor with respect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and (ii) with respect to New Subsidiaries owned directly by Borrower or a Guarantor, to grant and pledge to Collateral Agent a perfected security interest in (A) 100% of the stock, units or other evidence of ownership held by Borrower or its Subsidiaries of any such New Subsidiary that is a Domestic Subsidiary (except if such New Subsidiary is an Excluded Domestic Subsidiary), or (B) 65% of the stock, units or other evidence of ownership held by Borrower or a Guarantor of any such New Subsidiary which is a Foreign Subsidiary or an Excluded Domestic Subsidiary.</w:t>
      </w:r>
    </w:p>
    <w:p>
      <w:pPr>
        <w:spacing w:after="0" w:line="14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auto"/>
        </w:rPr>
        <w:t xml:space="preserve">6.11 Further Assurances. </w:t>
      </w:r>
      <w:r>
        <w:rPr>
          <w:rFonts w:ascii="Arial" w:cs="Arial" w:eastAsia="Arial" w:hAnsi="Arial"/>
          <w:sz w:val="20"/>
          <w:szCs w:val="20"/>
          <w:color w:val="auto"/>
        </w:rPr>
        <w:t>Execute any further instruments and take further action as Collateral Agent or any Lender reasonably</w:t>
      </w:r>
      <w:r>
        <w:rPr>
          <w:rFonts w:ascii="Arial" w:cs="Arial" w:eastAsia="Arial" w:hAnsi="Arial"/>
          <w:sz w:val="20"/>
          <w:szCs w:val="20"/>
          <w:b w:val="1"/>
          <w:bCs w:val="1"/>
          <w:color w:val="auto"/>
        </w:rPr>
        <w:t xml:space="preserve"> </w:t>
      </w:r>
      <w:r>
        <w:rPr>
          <w:rFonts w:ascii="Arial" w:cs="Arial" w:eastAsia="Arial" w:hAnsi="Arial"/>
          <w:sz w:val="20"/>
          <w:szCs w:val="20"/>
          <w:color w:val="auto"/>
        </w:rPr>
        <w:t>requests to perfect or continue Collateral Agent’s Lien in the Collateral or to effect the purposes of this Agreement.</w:t>
      </w:r>
    </w:p>
    <w:p>
      <w:pPr>
        <w:spacing w:after="0" w:line="136" w:lineRule="exact"/>
        <w:rPr>
          <w:sz w:val="20"/>
          <w:szCs w:val="20"/>
          <w:color w:val="auto"/>
        </w:rPr>
      </w:pPr>
    </w:p>
    <w:p>
      <w:pPr>
        <w:jc w:val="both"/>
        <w:ind w:right="20" w:firstLine="648"/>
        <w:spacing w:after="0" w:line="249" w:lineRule="auto"/>
        <w:rPr>
          <w:sz w:val="20"/>
          <w:szCs w:val="20"/>
          <w:color w:val="auto"/>
        </w:rPr>
      </w:pPr>
      <w:r>
        <w:rPr>
          <w:rFonts w:ascii="Arial" w:cs="Arial" w:eastAsia="Arial" w:hAnsi="Arial"/>
          <w:sz w:val="19"/>
          <w:szCs w:val="19"/>
          <w:b w:val="1"/>
          <w:bCs w:val="1"/>
          <w:color w:val="auto"/>
        </w:rPr>
        <w:t xml:space="preserve">6.12 Post-Effective Date Obligations. </w:t>
      </w:r>
      <w:r>
        <w:rPr>
          <w:rFonts w:ascii="Arial" w:cs="Arial" w:eastAsia="Arial" w:hAnsi="Arial"/>
          <w:sz w:val="19"/>
          <w:szCs w:val="19"/>
          <w:color w:val="auto"/>
        </w:rPr>
        <w:t>Notwithstanding any provision herein or in any other Loan Document to the contrary, to the</w:t>
      </w:r>
      <w:r>
        <w:rPr>
          <w:rFonts w:ascii="Arial" w:cs="Arial" w:eastAsia="Arial" w:hAnsi="Arial"/>
          <w:sz w:val="19"/>
          <w:szCs w:val="19"/>
          <w:b w:val="1"/>
          <w:bCs w:val="1"/>
          <w:color w:val="auto"/>
        </w:rPr>
        <w:t xml:space="preserve"> </w:t>
      </w:r>
      <w:r>
        <w:rPr>
          <w:rFonts w:ascii="Arial" w:cs="Arial" w:eastAsia="Arial" w:hAnsi="Arial"/>
          <w:sz w:val="19"/>
          <w:szCs w:val="19"/>
          <w:color w:val="auto"/>
        </w:rPr>
        <w:t>extent not actually delivered on or prior to the Effective Date, Borrower shall, and shall cause each Subsidiary to:</w:t>
      </w:r>
    </w:p>
    <w:p>
      <w:pPr>
        <w:spacing w:after="0" w:line="120" w:lineRule="exact"/>
        <w:rPr>
          <w:sz w:val="20"/>
          <w:szCs w:val="20"/>
          <w:color w:val="auto"/>
        </w:rPr>
      </w:pPr>
    </w:p>
    <w:p>
      <w:pPr>
        <w:ind w:firstLine="1304"/>
        <w:spacing w:after="0" w:line="229" w:lineRule="auto"/>
        <w:tabs>
          <w:tab w:leader="none" w:pos="1716" w:val="left"/>
        </w:tabs>
        <w:numPr>
          <w:ilvl w:val="0"/>
          <w:numId w:val="74"/>
        </w:numPr>
        <w:rPr>
          <w:rFonts w:ascii="Arial" w:cs="Arial" w:eastAsia="Arial" w:hAnsi="Arial"/>
          <w:sz w:val="20"/>
          <w:szCs w:val="20"/>
          <w:color w:val="auto"/>
        </w:rPr>
      </w:pPr>
      <w:r>
        <w:rPr>
          <w:rFonts w:ascii="Arial" w:cs="Arial" w:eastAsia="Arial" w:hAnsi="Arial"/>
          <w:sz w:val="20"/>
          <w:szCs w:val="20"/>
          <w:color w:val="auto"/>
        </w:rPr>
        <w:t>within thirty (30) days after the Effective Date (as such date may be extended by Collateral Agent in its sole discretion), deliver to Collateral Agent the insurance endorsements, in each case satisfying the requirements of Section 6.5;</w:t>
      </w:r>
    </w:p>
    <w:p>
      <w:pPr>
        <w:spacing w:after="0" w:line="141" w:lineRule="exact"/>
        <w:rPr>
          <w:rFonts w:ascii="Arial" w:cs="Arial" w:eastAsia="Arial" w:hAnsi="Arial"/>
          <w:sz w:val="20"/>
          <w:szCs w:val="20"/>
          <w:color w:val="auto"/>
        </w:rPr>
      </w:pPr>
    </w:p>
    <w:p>
      <w:pPr>
        <w:jc w:val="both"/>
        <w:ind w:firstLine="1304"/>
        <w:spacing w:after="0" w:line="218" w:lineRule="auto"/>
        <w:tabs>
          <w:tab w:leader="none" w:pos="1734" w:val="left"/>
        </w:tabs>
        <w:numPr>
          <w:ilvl w:val="0"/>
          <w:numId w:val="74"/>
        </w:numPr>
        <w:rPr>
          <w:rFonts w:ascii="Arial" w:cs="Arial" w:eastAsia="Arial" w:hAnsi="Arial"/>
          <w:sz w:val="20"/>
          <w:szCs w:val="20"/>
          <w:color w:val="auto"/>
        </w:rPr>
      </w:pPr>
      <w:r>
        <w:rPr>
          <w:rFonts w:ascii="Arial" w:cs="Arial" w:eastAsia="Arial" w:hAnsi="Arial"/>
          <w:sz w:val="20"/>
          <w:szCs w:val="20"/>
          <w:color w:val="auto"/>
        </w:rPr>
        <w:t>within sixty (60) days after the Effective Date (as such date may be extended by Collateral Agent in its sole discretion), deliver to Collateral Agent evidence in form and substance reasonably acceptable to Collateral Agent, that the Collateral Accounts of Borrower at Western Alliance Bank have been closed;</w:t>
      </w:r>
    </w:p>
    <w:p>
      <w:pPr>
        <w:spacing w:after="0" w:line="142" w:lineRule="exact"/>
        <w:rPr>
          <w:rFonts w:ascii="Arial" w:cs="Arial" w:eastAsia="Arial" w:hAnsi="Arial"/>
          <w:sz w:val="20"/>
          <w:szCs w:val="20"/>
          <w:color w:val="auto"/>
        </w:rPr>
      </w:pPr>
    </w:p>
    <w:p>
      <w:pPr>
        <w:jc w:val="both"/>
        <w:ind w:firstLine="1304"/>
        <w:spacing w:after="0" w:line="213" w:lineRule="auto"/>
        <w:tabs>
          <w:tab w:leader="none" w:pos="1751" w:val="left"/>
        </w:tabs>
        <w:numPr>
          <w:ilvl w:val="0"/>
          <w:numId w:val="74"/>
        </w:numPr>
        <w:rPr>
          <w:rFonts w:ascii="Arial" w:cs="Arial" w:eastAsia="Arial" w:hAnsi="Arial"/>
          <w:sz w:val="20"/>
          <w:szCs w:val="20"/>
          <w:color w:val="auto"/>
        </w:rPr>
      </w:pPr>
      <w:r>
        <w:rPr>
          <w:rFonts w:ascii="Arial" w:cs="Arial" w:eastAsia="Arial" w:hAnsi="Arial"/>
          <w:sz w:val="20"/>
          <w:szCs w:val="20"/>
          <w:color w:val="auto"/>
        </w:rPr>
        <w:t>use commercially reasonable efforts to deliver to Collateral Agent a landlord’s consent executed in favor of Collateral Agent in respect Borrower’s leased locations at 400 Fifth Avenue, Suites 210 &amp; 300, Waltham, MA 02451 and 34175 Ardenwood Blvd, Fremont, CA 94555 no later than sixty (60) days after the Effective Date (as such date may be extended by Collateral Agent in its sole discretion);</w:t>
      </w:r>
    </w:p>
    <w:p>
      <w:pPr>
        <w:spacing w:after="0" w:line="128" w:lineRule="exact"/>
        <w:rPr>
          <w:rFonts w:ascii="Arial" w:cs="Arial" w:eastAsia="Arial" w:hAnsi="Arial"/>
          <w:sz w:val="20"/>
          <w:szCs w:val="20"/>
          <w:color w:val="auto"/>
        </w:rPr>
      </w:pPr>
    </w:p>
    <w:p>
      <w:pPr>
        <w:jc w:val="both"/>
        <w:ind w:firstLine="1304"/>
        <w:spacing w:after="0" w:line="213" w:lineRule="auto"/>
        <w:tabs>
          <w:tab w:leader="none" w:pos="1730" w:val="left"/>
        </w:tabs>
        <w:numPr>
          <w:ilvl w:val="0"/>
          <w:numId w:val="74"/>
        </w:numPr>
        <w:rPr>
          <w:rFonts w:ascii="Arial" w:cs="Arial" w:eastAsia="Arial" w:hAnsi="Arial"/>
          <w:sz w:val="20"/>
          <w:szCs w:val="20"/>
          <w:color w:val="auto"/>
        </w:rPr>
      </w:pPr>
      <w:r>
        <w:rPr>
          <w:rFonts w:ascii="Arial" w:cs="Arial" w:eastAsia="Arial" w:hAnsi="Arial"/>
          <w:sz w:val="20"/>
          <w:szCs w:val="20"/>
          <w:color w:val="auto"/>
        </w:rPr>
        <w:t>use commercially reasonable efforts to deliver to Collateral Agent a bailee waiver executed in favor of Collateral Agent in respect of each third party bailee where Borrower or any Subsidiary maintains Collateral having a book value in excess of Five Hundred Thousand Dollars ($500,000) in the aggregate no later than sixty (60) days after the Effective Date (as such date may be extended by Collateral Agent in its sole discretion);</w:t>
      </w:r>
    </w:p>
    <w:p>
      <w:pPr>
        <w:spacing w:after="0" w:line="142" w:lineRule="exact"/>
        <w:rPr>
          <w:rFonts w:ascii="Arial" w:cs="Arial" w:eastAsia="Arial" w:hAnsi="Arial"/>
          <w:sz w:val="20"/>
          <w:szCs w:val="20"/>
          <w:color w:val="auto"/>
        </w:rPr>
      </w:pPr>
    </w:p>
    <w:p>
      <w:pPr>
        <w:jc w:val="both"/>
        <w:ind w:firstLine="1304"/>
        <w:spacing w:after="0" w:line="213" w:lineRule="auto"/>
        <w:tabs>
          <w:tab w:leader="none" w:pos="1779" w:val="left"/>
        </w:tabs>
        <w:numPr>
          <w:ilvl w:val="0"/>
          <w:numId w:val="74"/>
        </w:numPr>
        <w:rPr>
          <w:rFonts w:ascii="Arial" w:cs="Arial" w:eastAsia="Arial" w:hAnsi="Arial"/>
          <w:sz w:val="20"/>
          <w:szCs w:val="20"/>
          <w:color w:val="auto"/>
        </w:rPr>
      </w:pPr>
      <w:r>
        <w:rPr>
          <w:rFonts w:ascii="Arial" w:cs="Arial" w:eastAsia="Arial" w:hAnsi="Arial"/>
          <w:sz w:val="20"/>
          <w:szCs w:val="20"/>
          <w:color w:val="auto"/>
        </w:rPr>
        <w:t>within two (2) Business Days after the Effective Date (as such date may be extended by Collateral Agent in its sole discretion) deliver to Collateral Agent evidence in form and substance reasonably acceptable to Collateral Agent that Borrower has transferred all of its cash and Cash Equivalents from its Collateral Accounts at Western Alliance Bank to one or more Collateral Accounts at Silicon Valley Bank that are subject to Control Agreements in favor of Collateral Agent;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68" w:lineRule="exact"/>
        <w:rPr>
          <w:sz w:val="20"/>
          <w:szCs w:val="20"/>
          <w:color w:val="auto"/>
        </w:rPr>
      </w:pPr>
    </w:p>
    <w:p>
      <w:pPr>
        <w:jc w:val="both"/>
        <w:ind w:firstLine="1304"/>
        <w:spacing w:after="0" w:line="218" w:lineRule="auto"/>
        <w:tabs>
          <w:tab w:leader="none" w:pos="1755" w:val="left"/>
        </w:tabs>
        <w:numPr>
          <w:ilvl w:val="0"/>
          <w:numId w:val="75"/>
        </w:numPr>
        <w:rPr>
          <w:rFonts w:ascii="Arial" w:cs="Arial" w:eastAsia="Arial" w:hAnsi="Arial"/>
          <w:sz w:val="20"/>
          <w:szCs w:val="20"/>
          <w:color w:val="auto"/>
        </w:rPr>
      </w:pPr>
      <w:r>
        <w:rPr>
          <w:rFonts w:ascii="Arial" w:cs="Arial" w:eastAsia="Arial" w:hAnsi="Arial"/>
          <w:sz w:val="20"/>
          <w:szCs w:val="20"/>
          <w:color w:val="auto"/>
        </w:rPr>
        <w:t>within ten (10) Business Days after the Effective Date (as such date may be extended by Collateral Agent in its sole discretion) deliver to Collateral Agent good standing certificates for each jurisdiction in which Borrower and each Subsidiary is qualified to conduct business; and</w:t>
      </w:r>
    </w:p>
    <w:p>
      <w:pPr>
        <w:spacing w:after="0" w:line="129" w:lineRule="exact"/>
        <w:rPr>
          <w:rFonts w:ascii="Arial" w:cs="Arial" w:eastAsia="Arial" w:hAnsi="Arial"/>
          <w:sz w:val="20"/>
          <w:szCs w:val="20"/>
          <w:color w:val="auto"/>
        </w:rPr>
      </w:pPr>
    </w:p>
    <w:p>
      <w:pPr>
        <w:jc w:val="both"/>
        <w:ind w:firstLine="1304"/>
        <w:spacing w:after="0" w:line="213" w:lineRule="auto"/>
        <w:tabs>
          <w:tab w:leader="none" w:pos="1833" w:val="left"/>
        </w:tabs>
        <w:numPr>
          <w:ilvl w:val="0"/>
          <w:numId w:val="75"/>
        </w:numPr>
        <w:rPr>
          <w:rFonts w:ascii="Arial" w:cs="Arial" w:eastAsia="Arial" w:hAnsi="Arial"/>
          <w:sz w:val="20"/>
          <w:szCs w:val="20"/>
          <w:color w:val="auto"/>
        </w:rPr>
      </w:pPr>
      <w:r>
        <w:rPr>
          <w:rFonts w:ascii="Arial" w:cs="Arial" w:eastAsia="Arial" w:hAnsi="Arial"/>
          <w:sz w:val="20"/>
          <w:szCs w:val="20"/>
          <w:color w:val="auto"/>
        </w:rPr>
        <w:t>within ten (10) Business Days after the Effective Date (as such date may be extended by Collateral Agent in its sole discretion) deliver to Collateral Agent an executed Control Agreement in favor of Collateral Agent with respect to the Collateral Account at Capital Advisors Group; provided, however, until such time that the Collateral Account is subject to a Control Agreement, Borrower shall not Transfer any assets into such Collateral Account.</w:t>
      </w:r>
    </w:p>
    <w:p>
      <w:pPr>
        <w:spacing w:after="0" w:line="163"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9"/>
          <w:szCs w:val="19"/>
          <w:b w:val="1"/>
          <w:bCs w:val="1"/>
          <w:color w:val="auto"/>
        </w:rPr>
        <w:t>NEGATIVE COVENANTS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shall not, and shall not permit any of its Subsidiaries to, do any of the following without the prior written consent of the</w:t>
      </w:r>
    </w:p>
    <w:p>
      <w:pPr>
        <w:spacing w:after="0"/>
        <w:rPr>
          <w:sz w:val="20"/>
          <w:szCs w:val="20"/>
          <w:color w:val="auto"/>
        </w:rPr>
      </w:pPr>
      <w:r>
        <w:rPr>
          <w:rFonts w:ascii="Arial" w:cs="Arial" w:eastAsia="Arial" w:hAnsi="Arial"/>
          <w:sz w:val="20"/>
          <w:szCs w:val="20"/>
          <w:color w:val="auto"/>
        </w:rPr>
        <w:t>Required Lenders:</w:t>
      </w:r>
    </w:p>
    <w:p>
      <w:pPr>
        <w:spacing w:after="0" w:line="126" w:lineRule="exact"/>
        <w:rPr>
          <w:sz w:val="20"/>
          <w:szCs w:val="20"/>
          <w:color w:val="auto"/>
        </w:rPr>
      </w:pPr>
    </w:p>
    <w:p>
      <w:pPr>
        <w:jc w:val="both"/>
        <w:ind w:firstLine="648"/>
        <w:spacing w:after="0" w:line="208" w:lineRule="auto"/>
        <w:rPr>
          <w:sz w:val="20"/>
          <w:szCs w:val="20"/>
          <w:color w:val="auto"/>
        </w:rPr>
      </w:pPr>
      <w:r>
        <w:rPr>
          <w:rFonts w:ascii="Arial" w:cs="Arial" w:eastAsia="Arial" w:hAnsi="Arial"/>
          <w:sz w:val="20"/>
          <w:szCs w:val="20"/>
          <w:b w:val="1"/>
          <w:bCs w:val="1"/>
          <w:color w:val="auto"/>
        </w:rPr>
        <w:t xml:space="preserve">7.1 Dispositions. </w:t>
      </w:r>
      <w:r>
        <w:rPr>
          <w:rFonts w:ascii="Arial" w:cs="Arial" w:eastAsia="Arial" w:hAnsi="Arial"/>
          <w:sz w:val="20"/>
          <w:szCs w:val="20"/>
          <w:color w:val="auto"/>
        </w:rPr>
        <w:t>Convey, sell, lease, transfer, assign, dispose of, license (collectively, “</w:t>
      </w:r>
      <w:r>
        <w:rPr>
          <w:rFonts w:ascii="Arial" w:cs="Arial" w:eastAsia="Arial" w:hAnsi="Arial"/>
          <w:sz w:val="20"/>
          <w:szCs w:val="20"/>
          <w:b w:val="1"/>
          <w:bCs w:val="1"/>
          <w:color w:val="auto"/>
        </w:rPr>
        <w:t>Transfer</w:t>
      </w:r>
      <w:r>
        <w:rPr>
          <w:rFonts w:ascii="Arial" w:cs="Arial" w:eastAsia="Arial" w:hAnsi="Arial"/>
          <w:sz w:val="20"/>
          <w:szCs w:val="20"/>
          <w:color w:val="auto"/>
        </w:rPr>
        <w:t>”), or permit any of its</w:t>
      </w:r>
      <w:r>
        <w:rPr>
          <w:rFonts w:ascii="Arial" w:cs="Arial" w:eastAsia="Arial" w:hAnsi="Arial"/>
          <w:sz w:val="20"/>
          <w:szCs w:val="20"/>
          <w:b w:val="1"/>
          <w:bCs w:val="1"/>
          <w:color w:val="auto"/>
        </w:rPr>
        <w:t xml:space="preserve"> </w:t>
      </w:r>
      <w:r>
        <w:rPr>
          <w:rFonts w:ascii="Arial" w:cs="Arial" w:eastAsia="Arial" w:hAnsi="Arial"/>
          <w:sz w:val="20"/>
          <w:szCs w:val="20"/>
          <w:color w:val="auto"/>
        </w:rPr>
        <w:t>Subsidiaries to Transfer, all or any part of its business or property, except for Transfers (a) of Inventory in the ordinary course of business; (b) of worn-out, surplus, uneconomic or obsolete Equipment; (c) in connection with the Permitted Royalty Transaction, Permitted Liens, Permitted Investments and Permitted Licenses; (d) cash or Cash Equivalents pursuant to transactions not prohibited by this Agreement; (e) sales or discounting of delinquent accounts in the ordinary course of business; or (f) other Transfers not to exceed Two Hundred Fifty Thousand Dollars ($250,000) in any fiscal year.</w:t>
      </w:r>
    </w:p>
    <w:p>
      <w:pPr>
        <w:spacing w:after="0" w:line="141"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9"/>
          <w:szCs w:val="19"/>
          <w:b w:val="1"/>
          <w:bCs w:val="1"/>
          <w:color w:val="auto"/>
        </w:rPr>
        <w:t xml:space="preserve">7.2 Changes in Business, Management, Ownership, or Business Locations. </w:t>
      </w:r>
      <w:r>
        <w:rPr>
          <w:rFonts w:ascii="Arial" w:cs="Arial" w:eastAsia="Arial" w:hAnsi="Arial"/>
          <w:sz w:val="19"/>
          <w:szCs w:val="19"/>
          <w:color w:val="auto"/>
        </w:rPr>
        <w:t>(a) Engage in or permit any of its Subsidiaries to</w:t>
      </w:r>
      <w:r>
        <w:rPr>
          <w:rFonts w:ascii="Arial" w:cs="Arial" w:eastAsia="Arial" w:hAnsi="Arial"/>
          <w:sz w:val="19"/>
          <w:szCs w:val="19"/>
          <w:b w:val="1"/>
          <w:bCs w:val="1"/>
          <w:color w:val="auto"/>
        </w:rPr>
        <w:t xml:space="preserve"> </w:t>
      </w:r>
      <w:r>
        <w:rPr>
          <w:rFonts w:ascii="Arial" w:cs="Arial" w:eastAsia="Arial" w:hAnsi="Arial"/>
          <w:sz w:val="19"/>
          <w:szCs w:val="19"/>
          <w:color w:val="auto"/>
        </w:rPr>
        <w:t>engage in any business other than the businesses engaged in by Borrower or such Subsidiary, as applicable, as of the Effective Date or reasonably related thereto; (b) liquidate or dissolve; or (c) (i) permit any Key Person to cease being actively engaged in the management of Borrower unless written notice thereof is provided to Collateral Agent within ten (10) Business Days of such cessation, or (ii) enter into any transaction or series of related transactions in which (A) the stockholders of Borrower who were not stockholders immediately prior to the first such transaction own more than 49% of the voting stock of Borrower immediately after giving effect to such transaction or related series of such transactions and (B) except as permitted by Section 7.3, Borrower ceases to own, directly or indirectly, 100% of the ownership interests in each Subsidiary of Borrower. Borrower shall not, and shall not permit any of its Subsidiaries to, without at least twenty (20) days’ prior written notice to Collateral Agent: (A) add any new offices or business locations, including warehouses (unless such new offices or business locations contain less than Five Hundred Thousand Dollars ($500,000) in assets or property of Borrower or any of its Subsidiaries, as applicable); (B) change its respective jurisdiction of organization, (C) except as permitted by Section 7.3, change its respective organizational structure or type, (D) change its respective legal name, or (E) change any organizational number(s) (if any) assigned by its respective jurisdiction of organization.</w:t>
      </w:r>
    </w:p>
    <w:p>
      <w:pPr>
        <w:spacing w:after="0" w:line="139" w:lineRule="exact"/>
        <w:rPr>
          <w:sz w:val="20"/>
          <w:szCs w:val="20"/>
          <w:color w:val="auto"/>
        </w:rPr>
      </w:pPr>
    </w:p>
    <w:p>
      <w:pPr>
        <w:jc w:val="both"/>
        <w:ind w:firstLine="648"/>
        <w:spacing w:after="0" w:line="208" w:lineRule="auto"/>
        <w:rPr>
          <w:sz w:val="20"/>
          <w:szCs w:val="20"/>
          <w:color w:val="auto"/>
        </w:rPr>
      </w:pPr>
      <w:r>
        <w:rPr>
          <w:rFonts w:ascii="Arial" w:cs="Arial" w:eastAsia="Arial" w:hAnsi="Arial"/>
          <w:sz w:val="20"/>
          <w:szCs w:val="20"/>
          <w:b w:val="1"/>
          <w:bCs w:val="1"/>
          <w:color w:val="auto"/>
        </w:rPr>
        <w:t xml:space="preserve">7.3 Mergers or Acquisitions. </w:t>
      </w:r>
      <w:r>
        <w:rPr>
          <w:rFonts w:ascii="Arial" w:cs="Arial" w:eastAsia="Arial" w:hAnsi="Arial"/>
          <w:sz w:val="20"/>
          <w:szCs w:val="20"/>
          <w:color w:val="auto"/>
        </w:rPr>
        <w:t>Merge or consolidate, or permit any of its Subsidiaries to merge or consolidate, with any other</w:t>
      </w:r>
      <w:r>
        <w:rPr>
          <w:rFonts w:ascii="Arial" w:cs="Arial" w:eastAsia="Arial" w:hAnsi="Arial"/>
          <w:sz w:val="20"/>
          <w:szCs w:val="20"/>
          <w:b w:val="1"/>
          <w:bCs w:val="1"/>
          <w:color w:val="auto"/>
        </w:rPr>
        <w:t xml:space="preserve"> </w:t>
      </w:r>
      <w:r>
        <w:rPr>
          <w:rFonts w:ascii="Arial" w:cs="Arial" w:eastAsia="Arial" w:hAnsi="Arial"/>
          <w:sz w:val="20"/>
          <w:szCs w:val="20"/>
          <w:color w:val="auto"/>
        </w:rPr>
        <w:t>Person, or acquire, or permit any of its Subsidiaries to acquire, all or substantially all of the capital stock, shares or property of another Person, other than Permitted Acquisitions. A Subsidiary may merge or consolidate into another Subsidiary (provided such surviving Subsidiary is a “co-Borrower” hereunder or has provided a secured Guaranty of Borrower’s Obligations hereunder in accordance with Section 6.10) or with (or into) Borrower provided Borrower is the surviving legal entity, and as long as no Event of Default is occurring prior thereto or arises as a result therefrom.</w:t>
      </w:r>
    </w:p>
    <w:p>
      <w:pPr>
        <w:spacing w:after="0" w:line="12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auto"/>
        </w:rPr>
        <w:t xml:space="preserve">7.4 Indebtedness. </w:t>
      </w:r>
      <w:r>
        <w:rPr>
          <w:rFonts w:ascii="Arial" w:cs="Arial" w:eastAsia="Arial" w:hAnsi="Arial"/>
          <w:sz w:val="20"/>
          <w:szCs w:val="20"/>
          <w:color w:val="auto"/>
        </w:rPr>
        <w:t>Create, incur, assume, or be liable for any Indebtedness, or permit any Subsidiary to do so, other than Permitted</w:t>
      </w:r>
      <w:r>
        <w:rPr>
          <w:rFonts w:ascii="Arial" w:cs="Arial" w:eastAsia="Arial" w:hAnsi="Arial"/>
          <w:sz w:val="20"/>
          <w:szCs w:val="20"/>
          <w:b w:val="1"/>
          <w:bCs w:val="1"/>
          <w:color w:val="auto"/>
        </w:rPr>
        <w:t xml:space="preserve"> </w:t>
      </w:r>
      <w:r>
        <w:rPr>
          <w:rFonts w:ascii="Arial" w:cs="Arial" w:eastAsia="Arial" w:hAnsi="Arial"/>
          <w:sz w:val="20"/>
          <w:szCs w:val="20"/>
          <w:color w:val="auto"/>
        </w:rPr>
        <w:t>Indebtedness.</w:t>
      </w:r>
    </w:p>
    <w:p>
      <w:pPr>
        <w:spacing w:after="0" w:line="136"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0"/>
          <w:szCs w:val="20"/>
          <w:b w:val="1"/>
          <w:bCs w:val="1"/>
          <w:color w:val="auto"/>
        </w:rPr>
        <w:t xml:space="preserve">7.5 Encumbrance. </w:t>
      </w:r>
      <w:r>
        <w:rPr>
          <w:rFonts w:ascii="Arial" w:cs="Arial" w:eastAsia="Arial" w:hAnsi="Arial"/>
          <w:sz w:val="20"/>
          <w:szCs w:val="20"/>
          <w:color w:val="auto"/>
        </w:rPr>
        <w:t>Create, incur, allow, or suffer any Lien on any of its property, or assign or convey any right to receive income,</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the sale of any Accounts, or permit any of its Subsidiaries to do so, except for Permitted Liens, or permit any Collateral not to be subject to the first priority security interest granted herein (except for Permitted Liens), or enter into any agreement, document, instrument or other arrangement (except with or in favor of Collateral Agent, for the ratable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68"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benefit of the Secured Parties) with any Person which directly or indirectly prohibits or has the effect of prohibiting Borrower, or any of its Subsidiaries, from assigning, mortgaging, pledging, granting a security interest in or upon, or encumbering any of Borrower’s or such Subsidiary’s Intellectual Property, except as is otherwise permitted in Section 7.1 hereof and the definition of “Permitted Liens”.</w:t>
      </w:r>
    </w:p>
    <w:p>
      <w:pPr>
        <w:spacing w:after="0" w:line="12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auto"/>
        </w:rPr>
        <w:t xml:space="preserve">7.6 Maintenance of Collateral Accounts. </w:t>
      </w:r>
      <w:r>
        <w:rPr>
          <w:rFonts w:ascii="Arial" w:cs="Arial" w:eastAsia="Arial" w:hAnsi="Arial"/>
          <w:sz w:val="20"/>
          <w:szCs w:val="20"/>
          <w:color w:val="auto"/>
        </w:rPr>
        <w:t>With respect to Borrower and any Guarantors, maintain any Collateral Account except</w:t>
      </w:r>
      <w:r>
        <w:rPr>
          <w:rFonts w:ascii="Arial" w:cs="Arial" w:eastAsia="Arial" w:hAnsi="Arial"/>
          <w:sz w:val="20"/>
          <w:szCs w:val="20"/>
          <w:b w:val="1"/>
          <w:bCs w:val="1"/>
          <w:color w:val="auto"/>
        </w:rPr>
        <w:t xml:space="preserve"> </w:t>
      </w:r>
      <w:r>
        <w:rPr>
          <w:rFonts w:ascii="Arial" w:cs="Arial" w:eastAsia="Arial" w:hAnsi="Arial"/>
          <w:sz w:val="20"/>
          <w:szCs w:val="20"/>
          <w:color w:val="auto"/>
        </w:rPr>
        <w:t>pursuant to the terms of Section 6.6 hereof.</w:t>
      </w:r>
    </w:p>
    <w:p>
      <w:pPr>
        <w:spacing w:after="0" w:line="136"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9"/>
          <w:szCs w:val="19"/>
          <w:b w:val="1"/>
          <w:bCs w:val="1"/>
          <w:color w:val="auto"/>
        </w:rPr>
        <w:t xml:space="preserve">7.7 Restricted Payments. </w:t>
      </w:r>
      <w:r>
        <w:rPr>
          <w:rFonts w:ascii="Arial" w:cs="Arial" w:eastAsia="Arial" w:hAnsi="Arial"/>
          <w:sz w:val="19"/>
          <w:szCs w:val="19"/>
          <w:color w:val="auto"/>
        </w:rPr>
        <w:t>(a) Declare or pay any dividends (other than dividends payable solely in capital stock) or make any</w:t>
      </w:r>
      <w:r>
        <w:rPr>
          <w:rFonts w:ascii="Arial" w:cs="Arial" w:eastAsia="Arial" w:hAnsi="Arial"/>
          <w:sz w:val="19"/>
          <w:szCs w:val="19"/>
          <w:b w:val="1"/>
          <w:bCs w:val="1"/>
          <w:color w:val="auto"/>
        </w:rPr>
        <w:t xml:space="preserve"> </w:t>
      </w:r>
      <w:r>
        <w:rPr>
          <w:rFonts w:ascii="Arial" w:cs="Arial" w:eastAsia="Arial" w:hAnsi="Arial"/>
          <w:sz w:val="19"/>
          <w:szCs w:val="19"/>
          <w:color w:val="auto"/>
        </w:rPr>
        <w:t>other distribution or payment on account of or redeem, retire or purchase any capital stock (other than (i) the declaration or payment of dividends or other distributions to Borrower or any of its Subsidiaries, (ii) so long as no Event of Default or Default exists or would result therefrom, the declaration or payment of any dividends solely in the form of equity securities, and (iii) repurchases pursuant to the terms of employee stock purchase plans, employee restricted stock agreements, stockholder rights plans, director or consultant stock option plans, similar plans to any of the foregoing, or payments in connection with tax withholding obligations in connection with the foregoing, provided such repurchases do not exceed Three Hundred Fifty Thousand Dollars ($350,000) in the aggregate per fiscal year and One Million Dollars ($1,000,000) over the term of this Agreement), (b) other than the Obligations in accordance with the terms hereof, purchase, redeem, defease or prepay any principal of, premium, if any, interest or other amount payable in respect of any Indebtedness prior to its scheduled maturity unless being replaced with Indebtedness of at least the same principal amount and such new Indebtedness is Permitted Indebtedness, or (c) be a party to or bound by an agreement that restricts a Subsidiary from paying dividends or otherwise distributing property to Borrower other than this Agreement.</w:t>
      </w:r>
    </w:p>
    <w:p>
      <w:pPr>
        <w:spacing w:after="0" w:line="14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auto"/>
        </w:rPr>
        <w:t xml:space="preserve">7.8 Investments. </w:t>
      </w:r>
      <w:r>
        <w:rPr>
          <w:rFonts w:ascii="Arial" w:cs="Arial" w:eastAsia="Arial" w:hAnsi="Arial"/>
          <w:sz w:val="20"/>
          <w:szCs w:val="20"/>
          <w:color w:val="auto"/>
        </w:rPr>
        <w:t>Directly or indirectly make any Investment other than Permitted Investments, or permit any of its Subsidiaries to</w:t>
      </w:r>
      <w:r>
        <w:rPr>
          <w:rFonts w:ascii="Arial" w:cs="Arial" w:eastAsia="Arial" w:hAnsi="Arial"/>
          <w:sz w:val="20"/>
          <w:szCs w:val="20"/>
          <w:b w:val="1"/>
          <w:bCs w:val="1"/>
          <w:color w:val="auto"/>
        </w:rPr>
        <w:t xml:space="preserve"> </w:t>
      </w:r>
      <w:r>
        <w:rPr>
          <w:rFonts w:ascii="Arial" w:cs="Arial" w:eastAsia="Arial" w:hAnsi="Arial"/>
          <w:sz w:val="20"/>
          <w:szCs w:val="20"/>
          <w:color w:val="auto"/>
        </w:rPr>
        <w:t>do so other than Permitted Investments.</w:t>
      </w:r>
    </w:p>
    <w:p>
      <w:pPr>
        <w:spacing w:after="0" w:line="122" w:lineRule="exact"/>
        <w:rPr>
          <w:sz w:val="20"/>
          <w:szCs w:val="20"/>
          <w:color w:val="auto"/>
        </w:rPr>
      </w:pPr>
    </w:p>
    <w:p>
      <w:pPr>
        <w:jc w:val="both"/>
        <w:ind w:firstLine="648"/>
        <w:spacing w:after="0" w:line="208" w:lineRule="auto"/>
        <w:rPr>
          <w:sz w:val="20"/>
          <w:szCs w:val="20"/>
          <w:color w:val="auto"/>
        </w:rPr>
      </w:pPr>
      <w:r>
        <w:rPr>
          <w:rFonts w:ascii="Arial" w:cs="Arial" w:eastAsia="Arial" w:hAnsi="Arial"/>
          <w:sz w:val="20"/>
          <w:szCs w:val="20"/>
          <w:b w:val="1"/>
          <w:bCs w:val="1"/>
          <w:color w:val="auto"/>
        </w:rPr>
        <w:t xml:space="preserve">7.9 Transactions with Affiliates. </w:t>
      </w:r>
      <w:r>
        <w:rPr>
          <w:rFonts w:ascii="Arial" w:cs="Arial" w:eastAsia="Arial" w:hAnsi="Arial"/>
          <w:sz w:val="20"/>
          <w:szCs w:val="20"/>
          <w:color w:val="auto"/>
        </w:rPr>
        <w:t>Directly or indirectly enter into or permit to exist any material transaction with any Affiliate of</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 or any of its Subsidiaries, except for (a) transactions that are in the ordinary course of Borrower’s or such Subsidiary’s business, upon fair and reasonable terms that are no less favorable to Borrower or such Subsidiary than would be obtained in an arm’s length transaction with a non-affiliated Person, (b) Subordinated Debt or equity investments by Borrower’s investors in Borrower or its Subsidiaries, and (c) compensation arrangements for Borrower’s and its Subsidiaries’ officers, directors and employees that are customary in Borrower’s industry.</w:t>
      </w:r>
    </w:p>
    <w:p>
      <w:pPr>
        <w:spacing w:after="0" w:line="141"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0"/>
          <w:szCs w:val="20"/>
          <w:b w:val="1"/>
          <w:bCs w:val="1"/>
          <w:color w:val="auto"/>
        </w:rPr>
        <w:t xml:space="preserve">7.10 Subordinated Debt. </w:t>
      </w:r>
      <w:r>
        <w:rPr>
          <w:rFonts w:ascii="Arial" w:cs="Arial" w:eastAsia="Arial" w:hAnsi="Arial"/>
          <w:sz w:val="20"/>
          <w:szCs w:val="20"/>
          <w:color w:val="auto"/>
        </w:rPr>
        <w:t>(a) Make or permit any payment on any Subordinated Debt, except under the terms of the subordination,</w:t>
      </w:r>
      <w:r>
        <w:rPr>
          <w:rFonts w:ascii="Arial" w:cs="Arial" w:eastAsia="Arial" w:hAnsi="Arial"/>
          <w:sz w:val="20"/>
          <w:szCs w:val="20"/>
          <w:b w:val="1"/>
          <w:bCs w:val="1"/>
          <w:color w:val="auto"/>
        </w:rPr>
        <w:t xml:space="preserve"> </w:t>
      </w:r>
      <w:r>
        <w:rPr>
          <w:rFonts w:ascii="Arial" w:cs="Arial" w:eastAsia="Arial" w:hAnsi="Arial"/>
          <w:sz w:val="20"/>
          <w:szCs w:val="20"/>
          <w:color w:val="auto"/>
        </w:rPr>
        <w:t>intercreditor, or other similar agreement to which such Subordinated Debt is subject, or (b) amend any provision in any document relating to the Subordinated Debt which would increase the amount thereof or adversely affect the subordination thereof to Obligations owed to the Lenders.</w:t>
      </w:r>
    </w:p>
    <w:p>
      <w:pPr>
        <w:spacing w:after="0" w:line="138"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9"/>
          <w:szCs w:val="19"/>
          <w:b w:val="1"/>
          <w:bCs w:val="1"/>
          <w:color w:val="auto"/>
        </w:rPr>
        <w:t xml:space="preserve">7.11 Compliance. </w:t>
      </w:r>
      <w:r>
        <w:rPr>
          <w:rFonts w:ascii="Arial" w:cs="Arial" w:eastAsia="Arial" w:hAnsi="Arial"/>
          <w:sz w:val="19"/>
          <w:szCs w:val="19"/>
          <w:color w:val="auto"/>
        </w:rPr>
        <w:t>(a) Become an “investment company” or a company controlled by an “investment company”,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Investment Company Act of 1940, as amended, or undertake as one of its important activities extending credit to purchase or carry margin stock (as defined in Regulation U of the Board of Governors of the Federal Reserve System), or use the proceeds of any Term Loan for that purpose; (b) fail to meet the minimum funding requirements of ERISA; (c) permit a Reportable Event or Prohibited Transaction, as defined in ERISA, to occur; (d) fail to comply with the Federal Fair Labor Standards Act or violate any other law or regulation, if the violation could reasonably be expected to have a Material Adverse Change, or permit any of its Subsidiaries to do so; or (e)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or any of its Subsidiaries, including any liability to the Pension Benefit Guaranty Corporation or its successors or any other Governmental Authority.</w:t>
      </w:r>
    </w:p>
    <w:p>
      <w:pPr>
        <w:spacing w:after="0" w:line="122"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b w:val="1"/>
          <w:bCs w:val="1"/>
          <w:color w:val="auto"/>
        </w:rPr>
        <w:t xml:space="preserve">7.12 Compliance with Anti-Terrorism Laws. </w:t>
      </w:r>
      <w:r>
        <w:rPr>
          <w:rFonts w:ascii="Arial" w:cs="Arial" w:eastAsia="Arial" w:hAnsi="Arial"/>
          <w:sz w:val="20"/>
          <w:szCs w:val="20"/>
          <w:color w:val="auto"/>
        </w:rPr>
        <w:t>Neither Borrower nor any of its Subsidiaries shall, nor shall Borrower or any of its</w:t>
      </w:r>
      <w:r>
        <w:rPr>
          <w:rFonts w:ascii="Arial" w:cs="Arial" w:eastAsia="Arial" w:hAnsi="Arial"/>
          <w:sz w:val="20"/>
          <w:szCs w:val="20"/>
          <w:b w:val="1"/>
          <w:bCs w:val="1"/>
          <w:color w:val="auto"/>
        </w:rPr>
        <w:t xml:space="preserve"> </w:t>
      </w:r>
      <w:r>
        <w:rPr>
          <w:rFonts w:ascii="Arial" w:cs="Arial" w:eastAsia="Arial" w:hAnsi="Arial"/>
          <w:sz w:val="20"/>
          <w:szCs w:val="20"/>
          <w:color w:val="auto"/>
        </w:rPr>
        <w:t>Subsidiaries permit any Affiliate to, directly or indirectly, knowingly enter into any documents, instruments, agreements or contracts with any Person listed on the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68" w:lineRule="exact"/>
        <w:rPr>
          <w:sz w:val="20"/>
          <w:szCs w:val="20"/>
          <w:color w:val="auto"/>
        </w:rPr>
      </w:pPr>
    </w:p>
    <w:p>
      <w:pPr>
        <w:jc w:val="both"/>
        <w:spacing w:after="0" w:line="206" w:lineRule="auto"/>
        <w:rPr>
          <w:sz w:val="20"/>
          <w:szCs w:val="20"/>
          <w:color w:val="auto"/>
        </w:rPr>
      </w:pPr>
      <w:r>
        <w:rPr>
          <w:rFonts w:ascii="Arial" w:cs="Arial" w:eastAsia="Arial" w:hAnsi="Arial"/>
          <w:sz w:val="20"/>
          <w:szCs w:val="20"/>
          <w:color w:val="auto"/>
        </w:rPr>
        <w:t>OFAC Lists. Neither Borrower nor any of its Subsidiaries shall, nor shall Borrower or any of its Subsidiaries, permit any Affiliate to, directly or indirectly, (a) conduct any business or engage in any transaction or dealing with any Blocked Person, including, without limitation, the making or receiving of any contribution of funds, goods or services to or for the benefit of any Blocked Person, (b) deal in, or otherwise engage in any transaction relating to, any property or interests in property blocked pursuant to Executive Order No. 13224 or any similar executive order or other Anti-Terrorism Law, or (c) engage in or conspire to engage in any transaction that evades or avoids, or has the purpose of evading or avoiding, or attempts to violate, any of the prohibitions set forth in Executive Order No. 13224 or other Anti-Terrorism Law.</w:t>
      </w:r>
    </w:p>
    <w:p>
      <w:pPr>
        <w:spacing w:after="0" w:line="124"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0"/>
          <w:szCs w:val="20"/>
          <w:b w:val="1"/>
          <w:bCs w:val="1"/>
          <w:color w:val="auto"/>
        </w:rPr>
        <w:t xml:space="preserve">7.13 Minimum Liquidity. </w:t>
      </w:r>
      <w:r>
        <w:rPr>
          <w:rFonts w:ascii="Arial" w:cs="Arial" w:eastAsia="Arial" w:hAnsi="Arial"/>
          <w:sz w:val="20"/>
          <w:szCs w:val="20"/>
          <w:color w:val="auto"/>
        </w:rPr>
        <w:t>Borrower shall not allow, at any time, the consolidated aggregate balance of its unrestricted cash and</w:t>
      </w:r>
      <w:r>
        <w:rPr>
          <w:rFonts w:ascii="Arial" w:cs="Arial" w:eastAsia="Arial" w:hAnsi="Arial"/>
          <w:sz w:val="20"/>
          <w:szCs w:val="20"/>
          <w:b w:val="1"/>
          <w:bCs w:val="1"/>
          <w:color w:val="auto"/>
        </w:rPr>
        <w:t xml:space="preserve"> </w:t>
      </w:r>
      <w:r>
        <w:rPr>
          <w:rFonts w:ascii="Arial" w:cs="Arial" w:eastAsia="Arial" w:hAnsi="Arial"/>
          <w:sz w:val="20"/>
          <w:szCs w:val="20"/>
          <w:color w:val="auto"/>
        </w:rPr>
        <w:t>Cash Equivalents in Collateral Accounts that are subject to Control Agreements to be less than an amount equal to eighty percent (80%) of the outstanding principal balance of the Term Loans for any measurement period in which the Net Product Revenue of Borrower, calculated on a trailing six (6) month basis as of the last day of each month, is less than an amount equal to sixty percent (60%) of the outstanding principal balance of the Term Loans as of such date.</w:t>
      </w:r>
    </w:p>
    <w:p>
      <w:pPr>
        <w:spacing w:after="0" w:line="16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9"/>
          <w:szCs w:val="19"/>
          <w:b w:val="1"/>
          <w:bCs w:val="1"/>
          <w:color w:val="auto"/>
        </w:rPr>
        <w:t>EVENTS OF DEFAULT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Any one of the following shall constitute an event of default (an “</w:t>
      </w:r>
      <w:r>
        <w:rPr>
          <w:rFonts w:ascii="Arial" w:cs="Arial" w:eastAsia="Arial" w:hAnsi="Arial"/>
          <w:sz w:val="20"/>
          <w:szCs w:val="20"/>
          <w:b w:val="1"/>
          <w:bCs w:val="1"/>
          <w:color w:val="auto"/>
        </w:rPr>
        <w:t>Event of Default</w:t>
      </w:r>
      <w:r>
        <w:rPr>
          <w:rFonts w:ascii="Arial" w:cs="Arial" w:eastAsia="Arial" w:hAnsi="Arial"/>
          <w:sz w:val="20"/>
          <w:szCs w:val="20"/>
          <w:color w:val="auto"/>
        </w:rPr>
        <w:t>”) under this Agreement:</w:t>
      </w:r>
    </w:p>
    <w:p>
      <w:pPr>
        <w:spacing w:after="0" w:line="14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9"/>
          <w:szCs w:val="19"/>
          <w:b w:val="1"/>
          <w:bCs w:val="1"/>
          <w:color w:val="auto"/>
        </w:rPr>
        <w:t xml:space="preserve">8.1 Payment Default. </w:t>
      </w:r>
      <w:r>
        <w:rPr>
          <w:rFonts w:ascii="Arial" w:cs="Arial" w:eastAsia="Arial" w:hAnsi="Arial"/>
          <w:sz w:val="19"/>
          <w:szCs w:val="19"/>
          <w:color w:val="auto"/>
        </w:rPr>
        <w:t>Borrower fails to (a) make any payment of principal or interest on any Term Loan on its due date, or (b) pay</w:t>
      </w:r>
      <w:r>
        <w:rPr>
          <w:rFonts w:ascii="Arial" w:cs="Arial" w:eastAsia="Arial" w:hAnsi="Arial"/>
          <w:sz w:val="19"/>
          <w:szCs w:val="19"/>
          <w:b w:val="1"/>
          <w:bCs w:val="1"/>
          <w:color w:val="auto"/>
        </w:rPr>
        <w:t xml:space="preserve"> </w:t>
      </w:r>
      <w:r>
        <w:rPr>
          <w:rFonts w:ascii="Arial" w:cs="Arial" w:eastAsia="Arial" w:hAnsi="Arial"/>
          <w:sz w:val="19"/>
          <w:szCs w:val="19"/>
          <w:color w:val="auto"/>
        </w:rPr>
        <w:t>any other Obligation within three (3) Business Days after such Obligations are due and payable (which three (3) Business Day grace period shall not apply to payments due on the Maturity Date or the date or acceleration pursuant to Section 9.1(a) hereof).</w:t>
      </w:r>
    </w:p>
    <w:p>
      <w:pPr>
        <w:spacing w:after="0" w:line="13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8.2</w:t>
      </w:r>
      <w:r>
        <w:rPr>
          <w:sz w:val="20"/>
          <w:szCs w:val="20"/>
          <w:color w:val="auto"/>
        </w:rPr>
        <w:tab/>
      </w:r>
      <w:r>
        <w:rPr>
          <w:rFonts w:ascii="Arial" w:cs="Arial" w:eastAsia="Arial" w:hAnsi="Arial"/>
          <w:sz w:val="18"/>
          <w:szCs w:val="18"/>
          <w:b w:val="1"/>
          <w:bCs w:val="1"/>
          <w:color w:val="auto"/>
        </w:rPr>
        <w:t>Covenant Default.</w:t>
      </w:r>
    </w:p>
    <w:p>
      <w:pPr>
        <w:spacing w:after="0" w:line="168" w:lineRule="exact"/>
        <w:rPr>
          <w:sz w:val="20"/>
          <w:szCs w:val="20"/>
          <w:color w:val="auto"/>
        </w:rPr>
      </w:pPr>
    </w:p>
    <w:p>
      <w:pPr>
        <w:jc w:val="both"/>
        <w:ind w:firstLine="1304"/>
        <w:spacing w:after="0" w:line="213" w:lineRule="auto"/>
        <w:tabs>
          <w:tab w:leader="none" w:pos="1775" w:val="left"/>
        </w:tabs>
        <w:numPr>
          <w:ilvl w:val="0"/>
          <w:numId w:val="76"/>
        </w:numPr>
        <w:rPr>
          <w:rFonts w:ascii="Arial" w:cs="Arial" w:eastAsia="Arial" w:hAnsi="Arial"/>
          <w:sz w:val="20"/>
          <w:szCs w:val="20"/>
          <w:color w:val="auto"/>
        </w:rPr>
      </w:pPr>
      <w:r>
        <w:rPr>
          <w:rFonts w:ascii="Arial" w:cs="Arial" w:eastAsia="Arial" w:hAnsi="Arial"/>
          <w:sz w:val="20"/>
          <w:szCs w:val="20"/>
          <w:color w:val="auto"/>
        </w:rPr>
        <w:t>Borrower or any of its Subsidiaries fails or neglects to perform any obligation in Sections 6.2 (Financial Statements, Reports, Certificates), 6.4 (Taxes), 6.5 (Insurance), 6.6 (Operating Accounts), 6.7 (Protection of Intellectual Property Rights), 6.9 (Landlord Waivers; Bailee Waivers), 6.10 (Creation/Acquisition of Subsidiaries), 6.12 (Post-Effective Date Obligations) or Borrower violates any provision in Section 7; or</w:t>
      </w:r>
    </w:p>
    <w:p>
      <w:pPr>
        <w:spacing w:after="0" w:line="128" w:lineRule="exact"/>
        <w:rPr>
          <w:rFonts w:ascii="Arial" w:cs="Arial" w:eastAsia="Arial" w:hAnsi="Arial"/>
          <w:sz w:val="20"/>
          <w:szCs w:val="20"/>
          <w:color w:val="auto"/>
        </w:rPr>
      </w:pPr>
    </w:p>
    <w:p>
      <w:pPr>
        <w:jc w:val="both"/>
        <w:ind w:firstLine="1304"/>
        <w:spacing w:after="0" w:line="228" w:lineRule="auto"/>
        <w:tabs>
          <w:tab w:leader="none" w:pos="1742" w:val="left"/>
        </w:tabs>
        <w:numPr>
          <w:ilvl w:val="0"/>
          <w:numId w:val="76"/>
        </w:numPr>
        <w:rPr>
          <w:rFonts w:ascii="Arial" w:cs="Arial" w:eastAsia="Arial" w:hAnsi="Arial"/>
          <w:sz w:val="18"/>
          <w:szCs w:val="18"/>
          <w:color w:val="auto"/>
        </w:rPr>
      </w:pPr>
      <w:r>
        <w:rPr>
          <w:rFonts w:ascii="Arial" w:cs="Arial" w:eastAsia="Arial" w:hAnsi="Arial"/>
          <w:sz w:val="18"/>
          <w:szCs w:val="18"/>
          <w:color w:val="auto"/>
        </w:rPr>
        <w:t>Borrower, or any of its Subsidiaries, fails or neglects to perform, keep, or observe any other term, provision, condition, covenant or agreement contained in this Agreement or any other Loan Document to which such person is a party, and as to any default (other than those specified in this Section 8) under such other term, provision, condition, covenant or agreement that can be cured, has failed to cure the default within fifteen (15) days after the occurrence thereof; provided, however, that if the default cannot by its nature be cured within the fifteen (15) day period or cannot after diligent attempts by Borrower or such Subsidiary, as applicable, be cured within such fifteen (15)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Term Loans shall be made during such cure period).</w:t>
      </w:r>
    </w:p>
    <w:p>
      <w:pPr>
        <w:spacing w:after="0" w:line="13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8.3</w:t>
      </w:r>
      <w:r>
        <w:rPr>
          <w:sz w:val="20"/>
          <w:szCs w:val="20"/>
          <w:color w:val="auto"/>
        </w:rPr>
        <w:tab/>
      </w:r>
      <w:r>
        <w:rPr>
          <w:rFonts w:ascii="Arial" w:cs="Arial" w:eastAsia="Arial" w:hAnsi="Arial"/>
          <w:sz w:val="16"/>
          <w:szCs w:val="16"/>
          <w:b w:val="1"/>
          <w:bCs w:val="1"/>
          <w:color w:val="auto"/>
        </w:rPr>
        <w:t xml:space="preserve">Material Adverse Change. </w:t>
      </w:r>
      <w:r>
        <w:rPr>
          <w:rFonts w:ascii="Arial" w:cs="Arial" w:eastAsia="Arial" w:hAnsi="Arial"/>
          <w:sz w:val="16"/>
          <w:szCs w:val="16"/>
          <w:color w:val="auto"/>
        </w:rPr>
        <w:t>Required Lenders determine that a Material Adverse Change has occurred.</w:t>
      </w:r>
    </w:p>
    <w:p>
      <w:pPr>
        <w:spacing w:after="0" w:line="16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8.4</w:t>
      </w:r>
      <w:r>
        <w:rPr>
          <w:sz w:val="20"/>
          <w:szCs w:val="20"/>
          <w:color w:val="auto"/>
        </w:rPr>
        <w:tab/>
      </w:r>
      <w:r>
        <w:rPr>
          <w:rFonts w:ascii="Arial" w:cs="Arial" w:eastAsia="Arial" w:hAnsi="Arial"/>
          <w:sz w:val="16"/>
          <w:szCs w:val="16"/>
          <w:b w:val="1"/>
          <w:bCs w:val="1"/>
          <w:color w:val="auto"/>
        </w:rPr>
        <w:t>Attachment; Levy; Restraint on Business.</w:t>
      </w:r>
    </w:p>
    <w:p>
      <w:pPr>
        <w:spacing w:after="0" w:line="154" w:lineRule="exact"/>
        <w:rPr>
          <w:sz w:val="20"/>
          <w:szCs w:val="20"/>
          <w:color w:val="auto"/>
        </w:rPr>
      </w:pPr>
    </w:p>
    <w:p>
      <w:pPr>
        <w:jc w:val="both"/>
        <w:ind w:firstLine="1304"/>
        <w:spacing w:after="0" w:line="224" w:lineRule="auto"/>
        <w:tabs>
          <w:tab w:leader="none" w:pos="1862" w:val="left"/>
        </w:tabs>
        <w:numPr>
          <w:ilvl w:val="0"/>
          <w:numId w:val="77"/>
        </w:numPr>
        <w:rPr>
          <w:rFonts w:ascii="Arial" w:cs="Arial" w:eastAsia="Arial" w:hAnsi="Arial"/>
          <w:sz w:val="19"/>
          <w:szCs w:val="19"/>
          <w:color w:val="auto"/>
        </w:rPr>
      </w:pPr>
      <w:r>
        <w:rPr>
          <w:rFonts w:ascii="Arial" w:cs="Arial" w:eastAsia="Arial" w:hAnsi="Arial"/>
          <w:sz w:val="19"/>
          <w:szCs w:val="19"/>
          <w:color w:val="auto"/>
        </w:rPr>
        <w:t>(i) The service of process seeking to attach, by trustee or similar process, any funds of Borrower or any of its Subsidiaries or of any entity under control of Borrower or its Subsidiaries on deposit with any institution at which Borrower or any of its Subsidiaries maintains a Collateral Account, or (ii) a notice of lien, levy, or assessment is filed against Borrower or any of its Subsidiaries or their respective assets by any government agency, and the same under subclauses (i) and (ii) of this clause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68" w:lineRule="exact"/>
        <w:rPr>
          <w:sz w:val="20"/>
          <w:szCs w:val="20"/>
          <w:color w:val="auto"/>
        </w:rPr>
      </w:pPr>
    </w:p>
    <w:p>
      <w:pPr>
        <w:ind w:left="280" w:hanging="272"/>
        <w:spacing w:after="0"/>
        <w:tabs>
          <w:tab w:leader="none" w:pos="2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are not, within ten (10) days after the occurrence thereof, discharged or stayed (whether through the posting of a bond or otherwise); and</w:t>
      </w:r>
    </w:p>
    <w:p>
      <w:pPr>
        <w:spacing w:after="0" w:line="171" w:lineRule="exact"/>
        <w:rPr>
          <w:rFonts w:ascii="Arial" w:cs="Arial" w:eastAsia="Arial" w:hAnsi="Arial"/>
          <w:sz w:val="18"/>
          <w:szCs w:val="18"/>
          <w:color w:val="auto"/>
        </w:rPr>
      </w:pPr>
    </w:p>
    <w:p>
      <w:pPr>
        <w:jc w:val="both"/>
        <w:ind w:firstLine="1304"/>
        <w:spacing w:after="0" w:line="218" w:lineRule="auto"/>
        <w:tabs>
          <w:tab w:leader="none" w:pos="1797" w:val="left"/>
        </w:tabs>
        <w:numPr>
          <w:ilvl w:val="1"/>
          <w:numId w:val="78"/>
        </w:numPr>
        <w:rPr>
          <w:rFonts w:ascii="Arial" w:cs="Arial" w:eastAsia="Arial" w:hAnsi="Arial"/>
          <w:sz w:val="20"/>
          <w:szCs w:val="20"/>
          <w:color w:val="auto"/>
        </w:rPr>
      </w:pPr>
      <w:r>
        <w:rPr>
          <w:rFonts w:ascii="Arial" w:cs="Arial" w:eastAsia="Arial" w:hAnsi="Arial"/>
          <w:sz w:val="20"/>
          <w:szCs w:val="20"/>
          <w:color w:val="auto"/>
        </w:rPr>
        <w:t>(i) any material portion of Borrower’s or any of its Subsidiaries’ assets is attached, seized, levied on, or comes into possession of a trustee or receiver, or (ii) any court order enjoins, restrains, or prevents Borrower or any of its Subsidiaries from conducting any part of its business.</w:t>
      </w:r>
    </w:p>
    <w:p>
      <w:pPr>
        <w:spacing w:after="0" w:line="137"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0"/>
          <w:szCs w:val="20"/>
          <w:b w:val="1"/>
          <w:bCs w:val="1"/>
          <w:color w:val="auto"/>
        </w:rPr>
        <w:t xml:space="preserve">8.5 Insolvency. </w:t>
      </w:r>
      <w:r>
        <w:rPr>
          <w:rFonts w:ascii="Arial" w:cs="Arial" w:eastAsia="Arial" w:hAnsi="Arial"/>
          <w:sz w:val="20"/>
          <w:szCs w:val="20"/>
          <w:color w:val="auto"/>
        </w:rPr>
        <w:t>(a) Borrower or any of its Subsidiaries is or becomes Insolvent; (b) Borrower or any of its Subsidiaries begins an</w:t>
      </w:r>
      <w:r>
        <w:rPr>
          <w:rFonts w:ascii="Arial" w:cs="Arial" w:eastAsia="Arial" w:hAnsi="Arial"/>
          <w:sz w:val="20"/>
          <w:szCs w:val="20"/>
          <w:b w:val="1"/>
          <w:bCs w:val="1"/>
          <w:color w:val="auto"/>
        </w:rPr>
        <w:t xml:space="preserve"> </w:t>
      </w:r>
      <w:r>
        <w:rPr>
          <w:rFonts w:ascii="Arial" w:cs="Arial" w:eastAsia="Arial" w:hAnsi="Arial"/>
          <w:sz w:val="20"/>
          <w:szCs w:val="20"/>
          <w:color w:val="auto"/>
        </w:rPr>
        <w:t>Insolvency Proceeding; or (c) an Insolvency Proceeding is begun against Borrower or any of its Subsidiaries and not dismissed or stayed within forty-five (45) days (but no Term Loans shall be made while Borrower or any Subsidiary is Insolvent and/or until any Insolvency Proceeding is dismissed).</w:t>
      </w:r>
    </w:p>
    <w:p>
      <w:pPr>
        <w:spacing w:after="0" w:line="138"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0"/>
          <w:szCs w:val="20"/>
          <w:b w:val="1"/>
          <w:bCs w:val="1"/>
          <w:color w:val="auto"/>
        </w:rPr>
        <w:t xml:space="preserve">8.6 Other Agreements. </w:t>
      </w:r>
      <w:r>
        <w:rPr>
          <w:rFonts w:ascii="Arial" w:cs="Arial" w:eastAsia="Arial" w:hAnsi="Arial"/>
          <w:sz w:val="20"/>
          <w:szCs w:val="20"/>
          <w:color w:val="auto"/>
        </w:rPr>
        <w:t>There is a default in any agreement to which Borrower or any of its Subsidiaries is a party with a third</w:t>
      </w:r>
      <w:r>
        <w:rPr>
          <w:rFonts w:ascii="Arial" w:cs="Arial" w:eastAsia="Arial" w:hAnsi="Arial"/>
          <w:sz w:val="20"/>
          <w:szCs w:val="20"/>
          <w:b w:val="1"/>
          <w:bCs w:val="1"/>
          <w:color w:val="auto"/>
        </w:rPr>
        <w:t xml:space="preserve"> </w:t>
      </w:r>
      <w:r>
        <w:rPr>
          <w:rFonts w:ascii="Arial" w:cs="Arial" w:eastAsia="Arial" w:hAnsi="Arial"/>
          <w:sz w:val="20"/>
          <w:szCs w:val="20"/>
          <w:color w:val="auto"/>
        </w:rPr>
        <w:t>party or parties resulting in a right by such third party or parties, whether or not exercised, to accelerate the maturity of any Indebtedness in an amount in excess of Three Hundred Fifty Thousand Dollars ($350,000) or that could reasonably be expected to have a Material Adverse Change.</w:t>
      </w:r>
    </w:p>
    <w:p>
      <w:pPr>
        <w:spacing w:after="0" w:line="12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b w:val="1"/>
          <w:bCs w:val="1"/>
          <w:color w:val="auto"/>
        </w:rPr>
        <w:t xml:space="preserve">8.7 Judgments. </w:t>
      </w:r>
      <w:r>
        <w:rPr>
          <w:rFonts w:ascii="Arial" w:cs="Arial" w:eastAsia="Arial" w:hAnsi="Arial"/>
          <w:sz w:val="18"/>
          <w:szCs w:val="18"/>
          <w:color w:val="auto"/>
        </w:rPr>
        <w:t>One or more judgments, orders, or decrees for the payment of money in an amount, individually or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of at least Three Hundred Fifty Thousand Dollars ($350,000) (not covered by independent third-party insurance as to which (a) Borrower reasonably believes such insurance carrier will accept liability, (b) Borrower or the applicable Subsidiary has submitted such claim to such insurance carrier and (c) liability has not been rejected by such insurance carrier) shall be rendered against Borrower or any of its Subsidiaries and shall remain unsatisfied, unvacated, or unstayed for a period of ten (10) days after the entry thereof.</w:t>
      </w:r>
    </w:p>
    <w:p>
      <w:pPr>
        <w:spacing w:after="0" w:line="13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b w:val="1"/>
          <w:bCs w:val="1"/>
          <w:color w:val="auto"/>
        </w:rPr>
        <w:t xml:space="preserve">8.8 Misrepresentations. </w:t>
      </w:r>
      <w:r>
        <w:rPr>
          <w:rFonts w:ascii="Arial" w:cs="Arial" w:eastAsia="Arial" w:hAnsi="Arial"/>
          <w:sz w:val="18"/>
          <w:szCs w:val="18"/>
          <w:color w:val="auto"/>
        </w:rPr>
        <w:t>Borrower or any of its Subsidiaries or any Person acting for Borrower or any of its Subsidiaries makes</w:t>
      </w:r>
      <w:r>
        <w:rPr>
          <w:rFonts w:ascii="Arial" w:cs="Arial" w:eastAsia="Arial" w:hAnsi="Arial"/>
          <w:sz w:val="18"/>
          <w:szCs w:val="18"/>
          <w:b w:val="1"/>
          <w:bCs w:val="1"/>
          <w:color w:val="auto"/>
        </w:rPr>
        <w:t xml:space="preserve"> </w:t>
      </w:r>
      <w:r>
        <w:rPr>
          <w:rFonts w:ascii="Arial" w:cs="Arial" w:eastAsia="Arial" w:hAnsi="Arial"/>
          <w:sz w:val="18"/>
          <w:szCs w:val="18"/>
          <w:color w:val="auto"/>
        </w:rPr>
        <w:t>any representation, warranty, or other statement now or later in this Agreement, any Loan Document or in any writing delivered to Collateral Agent and/or the Lenders or to induce Collateral Agent and/or the Lenders to enter this Agreement or any Loan Document, and such representation, warranty, or other statement, when taken as a whole, is incorrect in any material respect when made.</w:t>
      </w:r>
    </w:p>
    <w:p>
      <w:pPr>
        <w:spacing w:after="0" w:line="13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auto"/>
        </w:rPr>
        <w:t xml:space="preserve">8.9 Subordinated Debt. </w:t>
      </w:r>
      <w:r>
        <w:rPr>
          <w:rFonts w:ascii="Arial" w:cs="Arial" w:eastAsia="Arial" w:hAnsi="Arial"/>
          <w:sz w:val="20"/>
          <w:szCs w:val="20"/>
          <w:color w:val="auto"/>
        </w:rPr>
        <w:t>A default or breach occurs under any subordination agreement, or any creditor that has signed such an</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with Collateral Agent or the Lenders breaches any terms of such agreement.</w:t>
      </w:r>
    </w:p>
    <w:p>
      <w:pPr>
        <w:spacing w:after="0" w:line="122" w:lineRule="exact"/>
        <w:rPr>
          <w:sz w:val="20"/>
          <w:szCs w:val="20"/>
          <w:color w:val="auto"/>
        </w:rPr>
      </w:pPr>
    </w:p>
    <w:p>
      <w:pPr>
        <w:jc w:val="both"/>
        <w:ind w:right="20" w:firstLine="648"/>
        <w:spacing w:after="0" w:line="340" w:lineRule="auto"/>
        <w:rPr>
          <w:sz w:val="20"/>
          <w:szCs w:val="20"/>
          <w:color w:val="auto"/>
        </w:rPr>
      </w:pPr>
      <w:r>
        <w:rPr>
          <w:rFonts w:ascii="Arial" w:cs="Arial" w:eastAsia="Arial" w:hAnsi="Arial"/>
          <w:sz w:val="16"/>
          <w:szCs w:val="16"/>
          <w:b w:val="1"/>
          <w:bCs w:val="1"/>
          <w:color w:val="auto"/>
        </w:rPr>
        <w:t xml:space="preserve">8.10 Guaranty. </w:t>
      </w:r>
      <w:r>
        <w:rPr>
          <w:rFonts w:ascii="Arial" w:cs="Arial" w:eastAsia="Arial" w:hAnsi="Arial"/>
          <w:sz w:val="16"/>
          <w:szCs w:val="16"/>
          <w:color w:val="auto"/>
        </w:rPr>
        <w:t>(a) Any Guaranty terminates or ceases for any reason to be in full force and effect; (b) any Guarantor does not</w:t>
      </w:r>
      <w:r>
        <w:rPr>
          <w:rFonts w:ascii="Arial" w:cs="Arial" w:eastAsia="Arial" w:hAnsi="Arial"/>
          <w:sz w:val="16"/>
          <w:szCs w:val="16"/>
          <w:b w:val="1"/>
          <w:bCs w:val="1"/>
          <w:color w:val="auto"/>
        </w:rPr>
        <w:t xml:space="preserve"> </w:t>
      </w:r>
      <w:r>
        <w:rPr>
          <w:rFonts w:ascii="Arial" w:cs="Arial" w:eastAsia="Arial" w:hAnsi="Arial"/>
          <w:sz w:val="16"/>
          <w:szCs w:val="16"/>
          <w:color w:val="auto"/>
        </w:rPr>
        <w:t>perform any obligation or covenant under any Guaranty; or (c) any circumstance described in Section 8 occurs with respect to any Guarantor.</w:t>
      </w:r>
    </w:p>
    <w:p>
      <w:pPr>
        <w:spacing w:after="0" w:line="5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b w:val="1"/>
          <w:bCs w:val="1"/>
          <w:color w:val="auto"/>
        </w:rPr>
        <w:t xml:space="preserve">8.11 Governmental Approvals; FDA Action. </w:t>
      </w:r>
      <w:r>
        <w:rPr>
          <w:rFonts w:ascii="Arial" w:cs="Arial" w:eastAsia="Arial" w:hAnsi="Arial"/>
          <w:sz w:val="18"/>
          <w:szCs w:val="18"/>
          <w:color w:val="auto"/>
        </w:rPr>
        <w:t>(a) Any Governmental Approval shall have been revoked, rescinded, suspended,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modified in an adverse manner, or not renewed in the ordinary course for a full term </w:t>
      </w:r>
      <w:r>
        <w:rPr>
          <w:rFonts w:ascii="Arial" w:cs="Arial" w:eastAsia="Arial" w:hAnsi="Arial"/>
          <w:sz w:val="18"/>
          <w:szCs w:val="18"/>
          <w:i w:val="1"/>
          <w:iCs w:val="1"/>
          <w:color w:val="auto"/>
        </w:rPr>
        <w:t>and</w:t>
      </w:r>
      <w:r>
        <w:rPr>
          <w:rFonts w:ascii="Arial" w:cs="Arial" w:eastAsia="Arial" w:hAnsi="Arial"/>
          <w:sz w:val="18"/>
          <w:szCs w:val="18"/>
          <w:color w:val="auto"/>
        </w:rPr>
        <w:t xml:space="preserve"> such revocation, rescission, suspension, modification or non-renewal has resulted in or could reasonably be expected to result in a Material Adverse Change; or (b) (i) the FDA or other Governmental Authority initiates a Regulatory Action or any other enforcement action against Borrower or any of its Subsidiaries or any supplier of Borrower or any of its Subsidiaries that causes Borrower or any of its Subsidiaries to recall, withdraw, remove or discontinue marketing any of its products; (ii) the FDA or any other comparable Governmental Authority issues a warning letter to Borrower or any of its Subsidiaries with respect to any of its activities or products which could reasonably be expected to result in a Material Adverse Change; (iii) Borrower or any of its Subsidiaries conducts a mandatory or voluntary recall which could reasonably be expected to result in liability and expense to Borrower or any of its Subsidiaries of the Applicable FDA Threshold or more; (iv) Borrower or any of its Subsidiaries enters into a settlement agreement with the FDA that results in aggregate liability as to any single or related series of transactions, incidents or conditions, of the Applicable FDA Threshold or more, or that could reasonably be expected to result in a Material Adverse Change; or (v) the FDA or any other comparable Governmental Authority revokes any authorization or permission granted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68"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Registration, or Borrower or any of its Subsidiaries withdraws any Registration, that could reasonably be expected to result in a Material Adverse Change.</w:t>
      </w:r>
    </w:p>
    <w:p>
      <w:pPr>
        <w:spacing w:after="0" w:line="122"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0"/>
          <w:szCs w:val="20"/>
          <w:b w:val="1"/>
          <w:bCs w:val="1"/>
          <w:color w:val="auto"/>
        </w:rPr>
        <w:t xml:space="preserve">8.12 Lien Priority. </w:t>
      </w:r>
      <w:r>
        <w:rPr>
          <w:rFonts w:ascii="Arial" w:cs="Arial" w:eastAsia="Arial" w:hAnsi="Arial"/>
          <w:sz w:val="20"/>
          <w:szCs w:val="20"/>
          <w:color w:val="auto"/>
        </w:rPr>
        <w:t>Except as the result of the action or inaction of the Collateral Agent or the Lenders, any Lien created hereunder</w:t>
      </w:r>
      <w:r>
        <w:rPr>
          <w:rFonts w:ascii="Arial" w:cs="Arial" w:eastAsia="Arial" w:hAnsi="Arial"/>
          <w:sz w:val="20"/>
          <w:szCs w:val="20"/>
          <w:b w:val="1"/>
          <w:bCs w:val="1"/>
          <w:color w:val="auto"/>
        </w:rPr>
        <w:t xml:space="preserve"> </w:t>
      </w:r>
      <w:r>
        <w:rPr>
          <w:rFonts w:ascii="Arial" w:cs="Arial" w:eastAsia="Arial" w:hAnsi="Arial"/>
          <w:sz w:val="20"/>
          <w:szCs w:val="20"/>
          <w:color w:val="auto"/>
        </w:rPr>
        <w:t>or by any other Loan Document shall at any time fail to constitute a valid and perfected Lien (to the extent required to be perfected) on any material Collateral purported to be secured thereby, subject to no prior or equal Lien, other than Permitted Liens arising as a matter of applicable law.</w:t>
      </w:r>
    </w:p>
    <w:p>
      <w:pPr>
        <w:spacing w:after="0" w:line="16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9"/>
          <w:szCs w:val="19"/>
          <w:b w:val="1"/>
          <w:bCs w:val="1"/>
          <w:color w:val="auto"/>
        </w:rPr>
        <w:t>RIGHTS AND REMEDIES</w:t>
      </w:r>
    </w:p>
    <w:p>
      <w:pPr>
        <w:spacing w:after="0" w:line="16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9.1</w:t>
      </w:r>
      <w:r>
        <w:rPr>
          <w:sz w:val="20"/>
          <w:szCs w:val="20"/>
          <w:color w:val="auto"/>
        </w:rPr>
        <w:tab/>
      </w:r>
      <w:r>
        <w:rPr>
          <w:rFonts w:ascii="Arial" w:cs="Arial" w:eastAsia="Arial" w:hAnsi="Arial"/>
          <w:sz w:val="16"/>
          <w:szCs w:val="16"/>
          <w:b w:val="1"/>
          <w:bCs w:val="1"/>
          <w:color w:val="auto"/>
        </w:rPr>
        <w:t>Rights and Remedies.</w:t>
      </w:r>
    </w:p>
    <w:p>
      <w:pPr>
        <w:spacing w:after="0" w:line="154" w:lineRule="exact"/>
        <w:rPr>
          <w:sz w:val="20"/>
          <w:szCs w:val="20"/>
          <w:color w:val="auto"/>
        </w:rPr>
      </w:pPr>
    </w:p>
    <w:p>
      <w:pPr>
        <w:jc w:val="both"/>
        <w:ind w:firstLine="1304"/>
        <w:spacing w:after="0" w:line="215" w:lineRule="auto"/>
        <w:tabs>
          <w:tab w:leader="none" w:pos="1743" w:val="left"/>
        </w:tabs>
        <w:numPr>
          <w:ilvl w:val="0"/>
          <w:numId w:val="79"/>
        </w:numPr>
        <w:rPr>
          <w:rFonts w:ascii="Arial" w:cs="Arial" w:eastAsia="Arial" w:hAnsi="Arial"/>
          <w:sz w:val="19"/>
          <w:szCs w:val="19"/>
          <w:color w:val="auto"/>
        </w:rPr>
      </w:pPr>
      <w:r>
        <w:rPr>
          <w:rFonts w:ascii="Arial" w:cs="Arial" w:eastAsia="Arial" w:hAnsi="Arial"/>
          <w:sz w:val="19"/>
          <w:szCs w:val="19"/>
          <w:color w:val="auto"/>
        </w:rPr>
        <w:t>Upon the occurrence and during the continuance of an Event of Default, Collateral Agent shall at the written direction of Required Lenders, without notice or demand, do any or all of the following: (i) deliver notice of the Event of Default to Borrower, (ii) by notice to Borrower declare all Obligations immediately due and payable (but if an Event of Default described in Section 8.5 occurs all Obligations shall be immediately due and payable without any action by Collateral Agent or the Lenders) or (iii) by notice to Borrower suspend or terminate the obligations, if any, of the Lenders to advance money or extend credit for Borrower’s benefit under this Agreement or under any other agreement between Borrower and Collateral Agent and/or the Lenders (but if an Event of Default described in Section 8.5 occurs all obligations, if any, of the Lenders to advance money or extend credit for Borrower’s benefit under this Agreement or under any other agreement between Borrower and Collateral Agent and/or the Lenders shall be immediately terminated without any action by Collateral Agent or the Lenders).</w:t>
      </w:r>
    </w:p>
    <w:p>
      <w:pPr>
        <w:spacing w:after="0" w:line="141" w:lineRule="exact"/>
        <w:rPr>
          <w:rFonts w:ascii="Arial" w:cs="Arial" w:eastAsia="Arial" w:hAnsi="Arial"/>
          <w:sz w:val="19"/>
          <w:szCs w:val="19"/>
          <w:color w:val="auto"/>
        </w:rPr>
      </w:pPr>
    </w:p>
    <w:p>
      <w:pPr>
        <w:jc w:val="both"/>
        <w:ind w:firstLine="1304"/>
        <w:spacing w:after="0" w:line="218" w:lineRule="auto"/>
        <w:tabs>
          <w:tab w:leader="none" w:pos="1760" w:val="left"/>
        </w:tabs>
        <w:numPr>
          <w:ilvl w:val="0"/>
          <w:numId w:val="79"/>
        </w:numPr>
        <w:rPr>
          <w:rFonts w:ascii="Arial" w:cs="Arial" w:eastAsia="Arial" w:hAnsi="Arial"/>
          <w:sz w:val="20"/>
          <w:szCs w:val="20"/>
          <w:color w:val="auto"/>
        </w:rPr>
      </w:pPr>
      <w:r>
        <w:rPr>
          <w:rFonts w:ascii="Arial" w:cs="Arial" w:eastAsia="Arial" w:hAnsi="Arial"/>
          <w:sz w:val="20"/>
          <w:szCs w:val="20"/>
          <w:color w:val="auto"/>
        </w:rPr>
        <w:t>Without limiting the rights of Collateral Agent and the Lenders set forth in Section 9.1(a) above, upon the occurrence and during the continuance of an Event of Default, Collateral Agent shall at the written direction of the Required Lenders, without notice or demand, to do any or all of the following:</w:t>
      </w:r>
    </w:p>
    <w:p>
      <w:pPr>
        <w:spacing w:after="0" w:line="142" w:lineRule="exact"/>
        <w:rPr>
          <w:rFonts w:ascii="Arial" w:cs="Arial" w:eastAsia="Arial" w:hAnsi="Arial"/>
          <w:sz w:val="20"/>
          <w:szCs w:val="20"/>
          <w:color w:val="auto"/>
        </w:rPr>
      </w:pPr>
    </w:p>
    <w:p>
      <w:pPr>
        <w:ind w:left="2340" w:hanging="388"/>
        <w:spacing w:after="0"/>
        <w:tabs>
          <w:tab w:leader="none" w:pos="2340" w:val="left"/>
        </w:tabs>
        <w:numPr>
          <w:ilvl w:val="1"/>
          <w:numId w:val="79"/>
        </w:numPr>
        <w:rPr>
          <w:rFonts w:ascii="Arial" w:cs="Arial" w:eastAsia="Arial" w:hAnsi="Arial"/>
          <w:sz w:val="20"/>
          <w:szCs w:val="20"/>
          <w:color w:val="auto"/>
        </w:rPr>
      </w:pPr>
      <w:r>
        <w:rPr>
          <w:rFonts w:ascii="Arial" w:cs="Arial" w:eastAsia="Arial" w:hAnsi="Arial"/>
          <w:sz w:val="20"/>
          <w:szCs w:val="20"/>
          <w:color w:val="auto"/>
        </w:rPr>
        <w:t>foreclose upon and/or sell or otherwise liquidate, the Collateral;</w:t>
      </w:r>
    </w:p>
    <w:p>
      <w:pPr>
        <w:spacing w:after="0" w:line="148" w:lineRule="exact"/>
        <w:rPr>
          <w:rFonts w:ascii="Arial" w:cs="Arial" w:eastAsia="Arial" w:hAnsi="Arial"/>
          <w:sz w:val="20"/>
          <w:szCs w:val="20"/>
          <w:color w:val="auto"/>
        </w:rPr>
      </w:pPr>
    </w:p>
    <w:p>
      <w:pPr>
        <w:ind w:left="2400" w:hanging="448"/>
        <w:spacing w:after="0"/>
        <w:tabs>
          <w:tab w:leader="none" w:pos="2400" w:val="left"/>
        </w:tabs>
        <w:numPr>
          <w:ilvl w:val="1"/>
          <w:numId w:val="79"/>
        </w:numPr>
        <w:rPr>
          <w:rFonts w:ascii="Arial" w:cs="Arial" w:eastAsia="Arial" w:hAnsi="Arial"/>
          <w:sz w:val="19"/>
          <w:szCs w:val="19"/>
          <w:color w:val="auto"/>
        </w:rPr>
      </w:pPr>
      <w:r>
        <w:rPr>
          <w:rFonts w:ascii="Arial" w:cs="Arial" w:eastAsia="Arial" w:hAnsi="Arial"/>
          <w:sz w:val="19"/>
          <w:szCs w:val="19"/>
          <w:color w:val="auto"/>
        </w:rPr>
        <w:t>make a demand for payment upon any Guarantor pursuant to the Guaranty delivered by such Guarantor;</w:t>
      </w:r>
    </w:p>
    <w:p>
      <w:pPr>
        <w:spacing w:after="0" w:line="173" w:lineRule="exact"/>
        <w:rPr>
          <w:rFonts w:ascii="Arial" w:cs="Arial" w:eastAsia="Arial" w:hAnsi="Arial"/>
          <w:sz w:val="19"/>
          <w:szCs w:val="19"/>
          <w:color w:val="auto"/>
        </w:rPr>
      </w:pPr>
    </w:p>
    <w:p>
      <w:pPr>
        <w:jc w:val="both"/>
        <w:ind w:firstLine="1952"/>
        <w:spacing w:after="0" w:line="244" w:lineRule="auto"/>
        <w:tabs>
          <w:tab w:leader="none" w:pos="2457" w:val="left"/>
        </w:tabs>
        <w:numPr>
          <w:ilvl w:val="1"/>
          <w:numId w:val="79"/>
        </w:numPr>
        <w:rPr>
          <w:rFonts w:ascii="Arial" w:cs="Arial" w:eastAsia="Arial" w:hAnsi="Arial"/>
          <w:sz w:val="18"/>
          <w:szCs w:val="18"/>
          <w:color w:val="auto"/>
        </w:rPr>
      </w:pPr>
      <w:r>
        <w:rPr>
          <w:rFonts w:ascii="Arial" w:cs="Arial" w:eastAsia="Arial" w:hAnsi="Arial"/>
          <w:sz w:val="18"/>
          <w:szCs w:val="18"/>
          <w:color w:val="auto"/>
        </w:rPr>
        <w:t>apply to the Obligations any (A) balances and deposits of Borrower that Collateral Agent or any Lender holds or controls, (B) any amount held or controlled by Collateral Agent or any Lender owing to or for the credit or the account of Borrower, or (C) amounts received from any Guarantors in accordance with the respective Guaranty delivered by such Guarantor; and/or</w:t>
      </w:r>
    </w:p>
    <w:p>
      <w:pPr>
        <w:spacing w:after="0" w:line="136" w:lineRule="exact"/>
        <w:rPr>
          <w:rFonts w:ascii="Arial" w:cs="Arial" w:eastAsia="Arial" w:hAnsi="Arial"/>
          <w:sz w:val="18"/>
          <w:szCs w:val="18"/>
          <w:color w:val="auto"/>
        </w:rPr>
      </w:pPr>
    </w:p>
    <w:p>
      <w:pPr>
        <w:ind w:left="2560" w:hanging="608"/>
        <w:spacing w:after="0"/>
        <w:tabs>
          <w:tab w:leader="none" w:pos="25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commence and prosecute an Insolvency Proceeding or consent to Borrower commencing any Insolvency</w:t>
      </w:r>
    </w:p>
    <w:p>
      <w:pPr>
        <w:spacing w:after="0"/>
        <w:rPr>
          <w:rFonts w:ascii="Arial" w:cs="Arial" w:eastAsia="Arial" w:hAnsi="Arial"/>
          <w:sz w:val="18"/>
          <w:szCs w:val="18"/>
          <w:color w:val="auto"/>
        </w:rPr>
      </w:pPr>
      <w:r>
        <w:rPr>
          <w:rFonts w:ascii="Arial" w:cs="Arial" w:eastAsia="Arial" w:hAnsi="Arial"/>
          <w:sz w:val="20"/>
          <w:szCs w:val="20"/>
          <w:color w:val="auto"/>
        </w:rPr>
        <w:t>Proceeding.</w:t>
      </w:r>
    </w:p>
    <w:p>
      <w:pPr>
        <w:spacing w:after="0" w:line="132" w:lineRule="exact"/>
        <w:rPr>
          <w:rFonts w:ascii="Arial" w:cs="Arial" w:eastAsia="Arial" w:hAnsi="Arial"/>
          <w:sz w:val="18"/>
          <w:szCs w:val="18"/>
          <w:color w:val="auto"/>
        </w:rPr>
      </w:pPr>
    </w:p>
    <w:p>
      <w:pPr>
        <w:jc w:val="both"/>
        <w:ind w:firstLine="1304"/>
        <w:spacing w:after="0" w:line="218" w:lineRule="auto"/>
        <w:tabs>
          <w:tab w:leader="none" w:pos="1787" w:val="left"/>
        </w:tabs>
        <w:numPr>
          <w:ilvl w:val="0"/>
          <w:numId w:val="79"/>
        </w:numPr>
        <w:rPr>
          <w:rFonts w:ascii="Arial" w:cs="Arial" w:eastAsia="Arial" w:hAnsi="Arial"/>
          <w:sz w:val="20"/>
          <w:szCs w:val="20"/>
          <w:color w:val="auto"/>
        </w:rPr>
      </w:pPr>
      <w:r>
        <w:rPr>
          <w:rFonts w:ascii="Arial" w:cs="Arial" w:eastAsia="Arial" w:hAnsi="Arial"/>
          <w:sz w:val="20"/>
          <w:szCs w:val="20"/>
          <w:color w:val="auto"/>
        </w:rPr>
        <w:t>Without limiting the rights of Collateral Agent and the Lenders set forth in Sections 9.1(a) and (b) above, upon the occurrence and during the continuance of an Event of Default, Collateral Agent shall at the written direction of the Required Lenders, without notice or demand, to do any or all of the following:</w:t>
      </w:r>
    </w:p>
    <w:p>
      <w:pPr>
        <w:spacing w:after="0" w:line="142" w:lineRule="exact"/>
        <w:rPr>
          <w:rFonts w:ascii="Arial" w:cs="Arial" w:eastAsia="Arial" w:hAnsi="Arial"/>
          <w:sz w:val="20"/>
          <w:szCs w:val="20"/>
          <w:color w:val="auto"/>
        </w:rPr>
      </w:pPr>
    </w:p>
    <w:p>
      <w:pPr>
        <w:jc w:val="both"/>
        <w:ind w:firstLine="1952"/>
        <w:spacing w:after="0" w:line="218" w:lineRule="auto"/>
        <w:tabs>
          <w:tab w:leader="none" w:pos="2378" w:val="left"/>
        </w:tabs>
        <w:numPr>
          <w:ilvl w:val="1"/>
          <w:numId w:val="79"/>
        </w:numPr>
        <w:rPr>
          <w:rFonts w:ascii="Arial" w:cs="Arial" w:eastAsia="Arial" w:hAnsi="Arial"/>
          <w:sz w:val="20"/>
          <w:szCs w:val="20"/>
          <w:color w:val="auto"/>
        </w:rPr>
      </w:pPr>
      <w:r>
        <w:rPr>
          <w:rFonts w:ascii="Arial" w:cs="Arial" w:eastAsia="Arial" w:hAnsi="Arial"/>
          <w:sz w:val="20"/>
          <w:szCs w:val="20"/>
          <w:color w:val="auto"/>
        </w:rPr>
        <w:t>settle or adjust disputes and claims directly with Account Debtors for amounts on terms and in any order that Collateral Agent considers advisable, notify any Person owing Borrower money of Collateral Agent’s security interest in such funds, and verify the amount of such account;</w:t>
      </w:r>
    </w:p>
    <w:p>
      <w:pPr>
        <w:spacing w:after="0" w:line="142" w:lineRule="exact"/>
        <w:rPr>
          <w:rFonts w:ascii="Arial" w:cs="Arial" w:eastAsia="Arial" w:hAnsi="Arial"/>
          <w:sz w:val="20"/>
          <w:szCs w:val="20"/>
          <w:color w:val="auto"/>
        </w:rPr>
      </w:pPr>
    </w:p>
    <w:p>
      <w:pPr>
        <w:jc w:val="both"/>
        <w:ind w:firstLine="1952"/>
        <w:spacing w:after="0" w:line="244" w:lineRule="auto"/>
        <w:tabs>
          <w:tab w:leader="none" w:pos="2458" w:val="left"/>
        </w:tabs>
        <w:numPr>
          <w:ilvl w:val="1"/>
          <w:numId w:val="79"/>
        </w:numPr>
        <w:rPr>
          <w:rFonts w:ascii="Arial" w:cs="Arial" w:eastAsia="Arial" w:hAnsi="Arial"/>
          <w:sz w:val="18"/>
          <w:szCs w:val="18"/>
          <w:color w:val="auto"/>
        </w:rPr>
      </w:pPr>
      <w:r>
        <w:rPr>
          <w:rFonts w:ascii="Arial" w:cs="Arial" w:eastAsia="Arial" w:hAnsi="Arial"/>
          <w:sz w:val="18"/>
          <w:szCs w:val="18"/>
          <w:color w:val="auto"/>
        </w:rPr>
        <w:t>make any payments and do any acts it considers necessary or reasonable to protect the Collateral and/or its Liens in the Collateral (held for the ratable benefit of the Secured Parties). Borrower shall assemble the Collateral if Collateral Agent requests and make it available at such location as Collateral Agent reasonably designates. Collateral Agent may enter premises where the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68"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Collateral is located, take and maintain possession of any part of the Collateral, and pay, purchase, contest, or compromise any Lien which appears to be prior or superior to its security interest and pay all expenses incurred. Borrower grants Collateral Agent a license to enter and occupy any of its premises, without charge, to exercise any of Collateral Agent’s rights or remedies;</w:t>
      </w:r>
    </w:p>
    <w:p>
      <w:pPr>
        <w:spacing w:after="0" w:line="128" w:lineRule="exact"/>
        <w:rPr>
          <w:sz w:val="20"/>
          <w:szCs w:val="20"/>
          <w:color w:val="auto"/>
        </w:rPr>
      </w:pPr>
    </w:p>
    <w:p>
      <w:pPr>
        <w:jc w:val="both"/>
        <w:ind w:firstLine="1952"/>
        <w:spacing w:after="0" w:line="231" w:lineRule="auto"/>
        <w:tabs>
          <w:tab w:leader="none" w:pos="2536" w:val="left"/>
        </w:tabs>
        <w:numPr>
          <w:ilvl w:val="0"/>
          <w:numId w:val="80"/>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and/or advertise for sale, any of the Collateral. Collateral Agent is hereby granted a non-exclusive, royalty-free license or other right to use, without charge, Borrower’s and each of its Subsidiaries’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Collateral Agent’s exercise of its rights under this Section 9.1, Borrower’s and each of its Subsidiaries’ rights under all licenses and all franchise agreements inure to Collateral Agent, for the benefit of the Lenders;</w:t>
      </w:r>
    </w:p>
    <w:p>
      <w:pPr>
        <w:spacing w:after="0" w:line="141" w:lineRule="exact"/>
        <w:rPr>
          <w:rFonts w:ascii="Arial" w:cs="Arial" w:eastAsia="Arial" w:hAnsi="Arial"/>
          <w:sz w:val="18"/>
          <w:szCs w:val="18"/>
          <w:color w:val="auto"/>
        </w:rPr>
      </w:pPr>
    </w:p>
    <w:p>
      <w:pPr>
        <w:jc w:val="both"/>
        <w:ind w:firstLine="1952"/>
        <w:spacing w:after="0" w:line="213" w:lineRule="auto"/>
        <w:tabs>
          <w:tab w:leader="none" w:pos="2517" w:val="left"/>
        </w:tabs>
        <w:numPr>
          <w:ilvl w:val="0"/>
          <w:numId w:val="80"/>
        </w:numPr>
        <w:rPr>
          <w:rFonts w:ascii="Arial" w:cs="Arial" w:eastAsia="Arial" w:hAnsi="Arial"/>
          <w:sz w:val="20"/>
          <w:szCs w:val="20"/>
          <w:color w:val="auto"/>
        </w:rPr>
      </w:pPr>
      <w:r>
        <w:rPr>
          <w:rFonts w:ascii="Arial" w:cs="Arial" w:eastAsia="Arial" w:hAnsi="Arial"/>
          <w:sz w:val="20"/>
          <w:szCs w:val="20"/>
          <w:color w:val="auto"/>
        </w:rPr>
        <w:t>place a “hold” on any Collateral Account maintained with Collateral Agent or any Lender or otherwise in respect of which a Control Agreement has been delivered in favor of Collateral Agent (for the ratable benefit of the Secured Parties) and/or deliver a notice of exclusive control, any entitlement order, or other directions or instructions pursuant to any Control Agreement or similar agreements providing control of any Collateral;</w:t>
      </w:r>
    </w:p>
    <w:p>
      <w:pPr>
        <w:spacing w:after="0" w:line="142" w:lineRule="exact"/>
        <w:rPr>
          <w:rFonts w:ascii="Arial" w:cs="Arial" w:eastAsia="Arial" w:hAnsi="Arial"/>
          <w:sz w:val="20"/>
          <w:szCs w:val="20"/>
          <w:color w:val="auto"/>
        </w:rPr>
      </w:pPr>
    </w:p>
    <w:p>
      <w:pPr>
        <w:ind w:left="2380" w:hanging="428"/>
        <w:spacing w:after="0"/>
        <w:tabs>
          <w:tab w:leader="none" w:pos="2380" w:val="left"/>
        </w:tabs>
        <w:numPr>
          <w:ilvl w:val="0"/>
          <w:numId w:val="80"/>
        </w:numPr>
        <w:rPr>
          <w:rFonts w:ascii="Arial" w:cs="Arial" w:eastAsia="Arial" w:hAnsi="Arial"/>
          <w:sz w:val="20"/>
          <w:szCs w:val="20"/>
          <w:color w:val="auto"/>
        </w:rPr>
      </w:pPr>
      <w:r>
        <w:rPr>
          <w:rFonts w:ascii="Arial" w:cs="Arial" w:eastAsia="Arial" w:hAnsi="Arial"/>
          <w:sz w:val="20"/>
          <w:szCs w:val="20"/>
          <w:color w:val="auto"/>
        </w:rPr>
        <w:t>demand and receive possession of Borrower’s Books;</w:t>
      </w:r>
    </w:p>
    <w:p>
      <w:pPr>
        <w:spacing w:after="0" w:line="148" w:lineRule="exact"/>
        <w:rPr>
          <w:rFonts w:ascii="Arial" w:cs="Arial" w:eastAsia="Arial" w:hAnsi="Arial"/>
          <w:sz w:val="20"/>
          <w:szCs w:val="20"/>
          <w:color w:val="auto"/>
        </w:rPr>
      </w:pPr>
    </w:p>
    <w:p>
      <w:pPr>
        <w:jc w:val="both"/>
        <w:ind w:firstLine="1952"/>
        <w:spacing w:after="0" w:line="218" w:lineRule="auto"/>
        <w:tabs>
          <w:tab w:leader="none" w:pos="2430" w:val="left"/>
        </w:tabs>
        <w:numPr>
          <w:ilvl w:val="0"/>
          <w:numId w:val="80"/>
        </w:numPr>
        <w:rPr>
          <w:rFonts w:ascii="Arial" w:cs="Arial" w:eastAsia="Arial" w:hAnsi="Arial"/>
          <w:sz w:val="20"/>
          <w:szCs w:val="20"/>
          <w:color w:val="auto"/>
        </w:rPr>
      </w:pPr>
      <w:r>
        <w:rPr>
          <w:rFonts w:ascii="Arial" w:cs="Arial" w:eastAsia="Arial" w:hAnsi="Arial"/>
          <w:sz w:val="20"/>
          <w:szCs w:val="20"/>
          <w:color w:val="auto"/>
        </w:rPr>
        <w:t>appoint a receiver to seize, manage and realize any of the Collateral, and such receiver shall have any right and authority as any competent court will grant or authorize in accordance with any applicable law, including any power or authority to manage the business of Borrower or any of its Subsidiaries; and</w:t>
      </w:r>
    </w:p>
    <w:p>
      <w:pPr>
        <w:spacing w:after="0" w:line="142" w:lineRule="exact"/>
        <w:rPr>
          <w:rFonts w:ascii="Arial" w:cs="Arial" w:eastAsia="Arial" w:hAnsi="Arial"/>
          <w:sz w:val="20"/>
          <w:szCs w:val="20"/>
          <w:color w:val="auto"/>
        </w:rPr>
      </w:pPr>
    </w:p>
    <w:p>
      <w:pPr>
        <w:jc w:val="both"/>
        <w:ind w:firstLine="1952"/>
        <w:spacing w:after="0" w:line="218" w:lineRule="auto"/>
        <w:tabs>
          <w:tab w:leader="none" w:pos="2593" w:val="left"/>
        </w:tabs>
        <w:numPr>
          <w:ilvl w:val="0"/>
          <w:numId w:val="80"/>
        </w:numPr>
        <w:rPr>
          <w:rFonts w:ascii="Arial" w:cs="Arial" w:eastAsia="Arial" w:hAnsi="Arial"/>
          <w:sz w:val="20"/>
          <w:szCs w:val="20"/>
          <w:color w:val="auto"/>
        </w:rPr>
      </w:pPr>
      <w:r>
        <w:rPr>
          <w:rFonts w:ascii="Arial" w:cs="Arial" w:eastAsia="Arial" w:hAnsi="Arial"/>
          <w:sz w:val="20"/>
          <w:szCs w:val="20"/>
          <w:color w:val="auto"/>
        </w:rPr>
        <w:t>subject to clauses 9.1(a) and (b), exercise all rights and remedies available to Collateral Agent and each Lender under the Loan Documents or at law or equity, including all remedies provided under the Code (including disposal of the Collateral pursuant to the terms thereof).</w:t>
      </w:r>
    </w:p>
    <w:p>
      <w:pPr>
        <w:spacing w:after="0" w:line="143"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Notwithstanding any provision of this Section 9.1 to the contrary, upon the occurrence of any Event of Default, Collateral Agent shall have the right to exercise any and all remedies referenced in this Section 9.1 without the written consent of Required Lenders following the occurrence and during the continuance of an Exigent Circumstance.</w:t>
      </w:r>
    </w:p>
    <w:p>
      <w:pPr>
        <w:spacing w:after="0" w:line="123"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b w:val="1"/>
          <w:bCs w:val="1"/>
          <w:color w:val="auto"/>
        </w:rPr>
        <w:t xml:space="preserve">9.2 Power of Attorney. </w:t>
      </w:r>
      <w:r>
        <w:rPr>
          <w:rFonts w:ascii="Arial" w:cs="Arial" w:eastAsia="Arial" w:hAnsi="Arial"/>
          <w:sz w:val="18"/>
          <w:szCs w:val="18"/>
          <w:color w:val="auto"/>
        </w:rPr>
        <w:t>Borrower hereby irrevocably appoints Collateral Agent as its lawful attorney-in-fact, exercisable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occurrence and during the continuance of an Event of Default, to: (a) endorse Borrower’s or any of its Subsidiaries’ name on any checks or other forms of payment or security; (b) sign Borrower’s or any of its Subsidiaries’ name on any invoice or bill of lading for any Account or drafts against Account Debtors; (c) settle and adjust disputes and claims about the Accounts of Borrower directly with the applicable Account Debtors, for amounts and on terms Collateral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Collateral Agent or a third party as the Code or any applicable law permits. Borrower hereby appoints Collateral Agent as its lawful attorney-in-fact to sign Borrower’s or any of its Subsidiaries’ name on any documents necessary to perfect or continue the perfection of Collateral Agent’s security interest in the Collateral regardless of whether an Event of Default has occurred until all Obligations (other than (a) inchoate indemnity obligations, and (b) other obligations that, by their terms, survive termination of this Agreement, in each case, for which no claim has been made) have been satisfied in full and Collateral Agent and the Lenders are under no further obligation to extend Term Loans hereunder. Collateral Agent’s foregoing appointment as Borrower’s or any of its Subsidiaries’ attorney in fact, and all of Collateral Agent’s rights and powers, coupled with an interest, are irrevocable until all Obligations (other than (a) inchoate indemnity obligations, and (b) other obligations that, by their terms, survive termination of this Agreement, in each case, for which no claim has been made) have been fully repaid and performed and Collateral Agent’s and the Lenders’ obligation to provide Term Loans terminates.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62"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8"/>
          <w:szCs w:val="18"/>
          <w:b w:val="1"/>
          <w:bCs w:val="1"/>
          <w:color w:val="auto"/>
        </w:rPr>
        <w:t xml:space="preserve">9.3 Protective Payments. </w:t>
      </w:r>
      <w:r>
        <w:rPr>
          <w:rFonts w:ascii="Arial" w:cs="Arial" w:eastAsia="Arial" w:hAnsi="Arial"/>
          <w:sz w:val="18"/>
          <w:szCs w:val="18"/>
          <w:color w:val="auto"/>
        </w:rPr>
        <w:t>If Borrower or any of its Subsidiaries fail to obtain the insurance called for by Section 6.5 or fail to pay</w:t>
      </w:r>
      <w:r>
        <w:rPr>
          <w:rFonts w:ascii="Arial" w:cs="Arial" w:eastAsia="Arial" w:hAnsi="Arial"/>
          <w:sz w:val="18"/>
          <w:szCs w:val="18"/>
          <w:b w:val="1"/>
          <w:bCs w:val="1"/>
          <w:color w:val="auto"/>
        </w:rPr>
        <w:t xml:space="preserve"> </w:t>
      </w:r>
      <w:r>
        <w:rPr>
          <w:rFonts w:ascii="Arial" w:cs="Arial" w:eastAsia="Arial" w:hAnsi="Arial"/>
          <w:sz w:val="18"/>
          <w:szCs w:val="18"/>
          <w:color w:val="auto"/>
        </w:rPr>
        <w:t>any premium thereon or fail to pay any other amount which Borrower or any of its Subsidiaries is obligated to pay under this Agreement or any other Loan Document, Collateral Agent may obtain such insurance or make such payment, and all amounts so paid by Collateral Agent are Lenders’ Expenses and immediately due and payable, bearing interest at the Default Rate, and secured by the Collateral. Collateral Agent will make reasonable efforts to provide Borrower with notice of Collateral Agent obtaining such insurance or making such payment at the time it is obtained or paid or within a reasonable time thereafter. No such payments by Collateral Agent are deemed an agreement to make similar payments in the future or Collateral Agent’s waiver of any Event of Default.</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color w:val="auto"/>
        </w:rPr>
        <w:t xml:space="preserve">9.4 Application of Payments and Proceeds. </w:t>
      </w:r>
      <w:r>
        <w:rPr>
          <w:rFonts w:ascii="Arial" w:cs="Arial" w:eastAsia="Arial" w:hAnsi="Arial"/>
          <w:sz w:val="16"/>
          <w:szCs w:val="16"/>
          <w:color w:val="auto"/>
        </w:rPr>
        <w:t>Notwithstanding anything to the contrary contained in this Agreement,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occurrence and during the continuance of an Event of Default, (a) Borrower irrevocably waives the right to direct the application of any and all payments at any time or times thereafter received by Collateral Agent from or on behalf of Borrower or any of its Subsidiaries of all or any part of the Obligations, and, as between Borrower on the one hand and Collateral Agent and Lenders on the other, Collateral Agent shall have the continuing and exclusive right to apply and to reapply any and all payments received against the Obligations in such manner as Collateral Agent may deem advisable notwithstanding any previous application by Collateral Agent, and (b) the proceeds of any sale of, or other realization upon all or any part of the Collateral shall be applied: first, to the Lenders’ Expenses; second, to accrued and unpaid interest on the Obligations (including any interest which, but for the provisions of the United States Bankruptcy Code, would have accrued on such amounts); third, to the principal amount of the Obligations outstanding; and fourth, to any other Obligations owing to Collateral Agent or any Lender under the Loan Documents. Any balance remaining shall be delivered to Borrower or to whoever may be lawfully entitled to receive such balance or as a court of competent jurisdiction may direct. In carrying out the foregoing, (x) 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the Lenders’ Pro Rata Shares unless expressly provided otherwise. Collateral Agent, or if applicable, each Lender, shall promptly remit to the other Lenders such sums as may be necessary to ensure the ratable repayment of each Lender’s Pro Rata Share of any Term Loan and the ratable distribution of interest, fees and reimbursements paid or made by Borrower. Notwithstanding the foregoing, a Lender receiving a scheduled payment shall not be responsible for determining whether the other Lenders also received their scheduled payment on such date; provided, however, if it is later determined that a Lender received more than its Pro Rata Share of scheduled payments made on any date or dates, then such Lender shall remit to Collateral Agent or other the Lenders such sums as may be necessary to ensure the ratable payment of such scheduled payments, as instructed by Collateral Agent. If any payment or distribution of any kind or character, whether in cash, properties or securities, shall be received by a Lender in excess of its Pro Rata Share, then the portion of such payment or distribution in excess of such Lender’s Pro Rata Share shall be received and held by such Lender in trust for and shall be promptly paid over to the other Lenders (in accordance with their respective Pro Rata Shares) for application to the payments of amounts due on such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the Secured Parties for purposes of perfecting Collateral Agent’s security interest therein (held for the ratable benefit of the Secured Parties).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0"/>
          <w:szCs w:val="20"/>
          <w:b w:val="1"/>
          <w:bCs w:val="1"/>
          <w:color w:val="auto"/>
        </w:rPr>
        <w:t xml:space="preserve">9.5 Liability for Collateral. </w:t>
      </w:r>
      <w:r>
        <w:rPr>
          <w:rFonts w:ascii="Arial" w:cs="Arial" w:eastAsia="Arial" w:hAnsi="Arial"/>
          <w:sz w:val="20"/>
          <w:szCs w:val="20"/>
          <w:color w:val="auto"/>
        </w:rPr>
        <w:t>So long as Collateral Agent and the Lenders comply with reasonable banking practices regarding the</w:t>
      </w:r>
      <w:r>
        <w:rPr>
          <w:rFonts w:ascii="Arial" w:cs="Arial" w:eastAsia="Arial" w:hAnsi="Arial"/>
          <w:sz w:val="20"/>
          <w:szCs w:val="20"/>
          <w:b w:val="1"/>
          <w:bCs w:val="1"/>
          <w:color w:val="auto"/>
        </w:rPr>
        <w:t xml:space="preserve"> </w:t>
      </w:r>
      <w:r>
        <w:rPr>
          <w:rFonts w:ascii="Arial" w:cs="Arial" w:eastAsia="Arial" w:hAnsi="Arial"/>
          <w:sz w:val="20"/>
          <w:szCs w:val="20"/>
          <w:color w:val="auto"/>
        </w:rPr>
        <w:t>safekeeping of the Collateral in the possession or under the control of Collateral Agent and the Lenders, Collateral Agent and the Lenders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3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auto"/>
        </w:rPr>
        <w:t xml:space="preserve">9.6 No Waiver; Remedies Cumulative. </w:t>
      </w:r>
      <w:r>
        <w:rPr>
          <w:rFonts w:ascii="Arial" w:cs="Arial" w:eastAsia="Arial" w:hAnsi="Arial"/>
          <w:sz w:val="20"/>
          <w:szCs w:val="20"/>
          <w:color w:val="auto"/>
        </w:rPr>
        <w:t>Failure by Collateral Agent or any Lender, at any time or times, to require strict</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by Borrower of any provision of this Agreement or by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35</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6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Borrower or any other Loan Document shall not waive, affect, or diminish any right of Collateral Agent or any Lender thereafter to demand strict performance and compliance herewith or therewith. No waiver hereunder shall be effective unless signed by 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 and Collateral Agent’s or any Lender’s waiver of any Event of Default is not a continuing waiver. Collateral Agent’s or any Lender’s delay in exercising any remedy is not a waiver, election, or acquiescence.</w:t>
      </w:r>
    </w:p>
    <w:p>
      <w:pPr>
        <w:spacing w:after="0" w:line="1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color w:val="auto"/>
        </w:rPr>
        <w:t xml:space="preserve">9.7 Demand Waiver. </w:t>
      </w:r>
      <w:r>
        <w:rPr>
          <w:rFonts w:ascii="Arial" w:cs="Arial" w:eastAsia="Arial" w:hAnsi="Arial"/>
          <w:sz w:val="16"/>
          <w:szCs w:val="16"/>
          <w:color w:val="auto"/>
        </w:rPr>
        <w:t>Borrower waives, to the fullest extent permitted by law, demand, notice of default or dishonor, notice of</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and nonpayment, notice of any default, nonpayment at maturity, release, compromise, settlement, extension, or renewal of accounts, documents, instruments, chattel paper, and guarantees held by Collateral Agent or any Lender on which Borrower or any Subsidiary is liable.</w:t>
      </w:r>
    </w:p>
    <w:p>
      <w:pPr>
        <w:spacing w:after="0" w:line="12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19"/>
          <w:szCs w:val="19"/>
          <w:b w:val="1"/>
          <w:bCs w:val="1"/>
          <w:color w:val="auto"/>
        </w:rPr>
        <w:t>NOTICES</w:t>
      </w:r>
    </w:p>
    <w:p>
      <w:pPr>
        <w:spacing w:after="0" w:line="16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Other than as specifically provided herein, all notices, consents, requests, approvals, demands, or other communication (collectively, “</w:t>
      </w:r>
      <w:r>
        <w:rPr>
          <w:rFonts w:ascii="Arial" w:cs="Arial" w:eastAsia="Arial" w:hAnsi="Arial"/>
          <w:sz w:val="18"/>
          <w:szCs w:val="18"/>
          <w:b w:val="1"/>
          <w:bCs w:val="1"/>
          <w:color w:val="auto"/>
        </w:rPr>
        <w:t>Communications</w:t>
      </w:r>
      <w:r>
        <w:rPr>
          <w:rFonts w:ascii="Arial" w:cs="Arial" w:eastAsia="Arial" w:hAnsi="Arial"/>
          <w:sz w:val="18"/>
          <w:szCs w:val="18"/>
          <w:color w:val="auto"/>
        </w:rPr>
        <w:t>”)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facsimile transmission;</w:t>
      </w:r>
    </w:p>
    <w:p>
      <w:pPr>
        <w:spacing w:after="0" w:line="3" w:lineRule="exact"/>
        <w:rPr>
          <w:sz w:val="20"/>
          <w:szCs w:val="20"/>
          <w:color w:val="auto"/>
        </w:rPr>
      </w:pPr>
    </w:p>
    <w:p>
      <w:pPr>
        <w:jc w:val="both"/>
        <w:ind w:firstLine="8"/>
        <w:spacing w:after="0" w:line="209" w:lineRule="auto"/>
        <w:tabs>
          <w:tab w:leader="none" w:pos="270" w:val="left"/>
        </w:tabs>
        <w:numPr>
          <w:ilvl w:val="0"/>
          <w:numId w:val="81"/>
        </w:numPr>
        <w:rPr>
          <w:rFonts w:ascii="Arial" w:cs="Arial" w:eastAsia="Arial" w:hAnsi="Arial"/>
          <w:sz w:val="20"/>
          <w:szCs w:val="20"/>
          <w:color w:val="auto"/>
        </w:rPr>
      </w:pPr>
      <w:r>
        <w:rPr>
          <w:rFonts w:ascii="Arial" w:cs="Arial" w:eastAsia="Arial" w:hAnsi="Arial"/>
          <w:sz w:val="20"/>
          <w:szCs w:val="20"/>
          <w:color w:val="auto"/>
        </w:rPr>
        <w:t>one (1) Business Day after deposit with a reputable overnight courier with all charges prepaid; or (d) when delivered, if hand-delivered by messenger, all of which shall be addressed to the party to be notified and sent to the address, facsimile number, or email address indicated below. Any of Collateral Agent, Lender or Borrower may change its mailing address or facsimile number by giving the other party written notice thereof in accordance with the terms of this Section 10.</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0"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If to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420"/>
        <w:spacing w:after="0" w:line="229" w:lineRule="auto"/>
        <w:rPr>
          <w:sz w:val="20"/>
          <w:szCs w:val="20"/>
          <w:color w:val="auto"/>
        </w:rPr>
      </w:pPr>
      <w:r>
        <w:rPr>
          <w:rFonts w:ascii="Arial" w:cs="Arial" w:eastAsia="Arial" w:hAnsi="Arial"/>
          <w:sz w:val="20"/>
          <w:szCs w:val="20"/>
          <w:color w:val="auto"/>
        </w:rPr>
        <w:t>with a copy (which shall not constitute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If to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420"/>
        <w:spacing w:after="0" w:line="229" w:lineRule="auto"/>
        <w:rPr>
          <w:sz w:val="20"/>
          <w:szCs w:val="20"/>
          <w:color w:val="auto"/>
        </w:rPr>
      </w:pPr>
      <w:r>
        <w:rPr>
          <w:rFonts w:ascii="Arial" w:cs="Arial" w:eastAsia="Arial" w:hAnsi="Arial"/>
          <w:sz w:val="20"/>
          <w:szCs w:val="20"/>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ARDELYX, INC.</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400 Fifth Avenue, Suite 210</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Waltham, MA 02451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Justin Renz</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LATHAM &amp; WATKINS LLP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140 Scott Drive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Menlo Park, CA 94025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Mark Roeder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w:t>
      </w:r>
    </w:p>
    <w:p>
      <w:pPr>
        <w:spacing w:after="0" w:line="58" w:lineRule="exact"/>
        <w:rPr>
          <w:sz w:val="20"/>
          <w:szCs w:val="20"/>
          <w:color w:val="auto"/>
        </w:rPr>
      </w:pPr>
    </w:p>
    <w:p>
      <w:pPr>
        <w:spacing w:after="0"/>
        <w:rPr>
          <w:sz w:val="20"/>
          <w:szCs w:val="20"/>
          <w:color w:val="auto"/>
        </w:rPr>
      </w:pPr>
      <w:r>
        <w:rPr>
          <w:rFonts w:ascii="Arial" w:cs="Arial" w:eastAsia="Arial" w:hAnsi="Arial"/>
          <w:sz w:val="21"/>
          <w:szCs w:val="21"/>
          <w:color w:val="auto"/>
        </w:rPr>
        <w:t>SLR INVESTMENT CORP.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500 Park Avenue, 3rd Floor</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10022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Anthony Storino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(212) 993-1698</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DLA Piper LLP (US)</w:t>
      </w:r>
    </w:p>
    <w:p>
      <w:pPr>
        <w:spacing w:after="0" w:line="200" w:lineRule="auto"/>
        <w:rPr>
          <w:sz w:val="20"/>
          <w:szCs w:val="20"/>
          <w:color w:val="auto"/>
        </w:rPr>
      </w:pPr>
      <w:r>
        <w:rPr>
          <w:rFonts w:ascii="Arial" w:cs="Arial" w:eastAsia="Arial" w:hAnsi="Arial"/>
          <w:sz w:val="22"/>
          <w:szCs w:val="22"/>
          <w:color w:val="auto"/>
        </w:rPr>
        <w:t>500 8</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Street, NW</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Washington, DC 20004</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Eric Eisenberg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(202) 799-5211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w:t>
      </w:r>
    </w:p>
    <w:p>
      <w:pPr>
        <w:spacing w:after="0" w:line="200" w:lineRule="exact"/>
        <w:rPr>
          <w:sz w:val="20"/>
          <w:szCs w:val="20"/>
          <w:color w:val="auto"/>
        </w:rPr>
      </w:pPr>
    </w:p>
    <w:p>
      <w:pPr>
        <w:sectPr>
          <w:pgSz w:w="11900" w:h="16838" w:orient="portrait"/>
          <w:cols w:equalWidth="0" w:num="2">
            <w:col w:w="3660" w:space="680"/>
            <w:col w:w="6900"/>
          </w:cols>
          <w:pgMar w:left="320" w:top="1440" w:right="339" w:bottom="1440" w:gutter="0" w:footer="0" w:header="0"/>
        </w:sectPr>
      </w:pPr>
    </w:p>
    <w:p>
      <w:pPr>
        <w:spacing w:after="0" w:line="111"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9"/>
          <w:szCs w:val="19"/>
          <w:b w:val="1"/>
          <w:bCs w:val="1"/>
          <w:color w:val="auto"/>
        </w:rPr>
        <w:t>CHOICE OF LAW, VENUE AND JURY TRIAL WAIVER</w:t>
      </w:r>
    </w:p>
    <w:p>
      <w:pPr>
        <w:spacing w:after="0" w:line="148"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9"/>
          <w:szCs w:val="19"/>
          <w:b w:val="1"/>
          <w:bCs w:val="1"/>
          <w:color w:val="auto"/>
        </w:rPr>
        <w:t xml:space="preserve">11.1 Waiver of Jury Trial. </w:t>
      </w:r>
      <w:r>
        <w:rPr>
          <w:rFonts w:ascii="Arial" w:cs="Arial" w:eastAsia="Arial" w:hAnsi="Arial"/>
          <w:sz w:val="19"/>
          <w:szCs w:val="19"/>
          <w:color w:val="auto"/>
        </w:rPr>
        <w:t>EACH OF BORROWER, COLLATERAL AGENT AND LENDERS UNCONDITIONALLY</w:t>
      </w:r>
      <w:r>
        <w:rPr>
          <w:rFonts w:ascii="Arial" w:cs="Arial" w:eastAsia="Arial" w:hAnsi="Arial"/>
          <w:sz w:val="19"/>
          <w:szCs w:val="19"/>
          <w:b w:val="1"/>
          <w:bCs w:val="1"/>
          <w:color w:val="auto"/>
        </w:rPr>
        <w:t xml:space="preserve"> </w:t>
      </w:r>
      <w:r>
        <w:rPr>
          <w:rFonts w:ascii="Arial" w:cs="Arial" w:eastAsia="Arial" w:hAnsi="Arial"/>
          <w:sz w:val="19"/>
          <w:szCs w:val="19"/>
          <w:color w:val="auto"/>
        </w:rPr>
        <w:t>WAIVES ANY AND ALL RIGHT TO A JURY TRIAL OF ANY CLAIM OR CAUSE OF ACTION BASED UPON OR ARISING OUT OF THIS AGREEMENT, ANY OF THE OTHER LOAN DOCUMENTS, ANY OF THE INDEBTEDNESS SECURED HEREBY, ANY DEALINGS AMONG BORROWER, COLLATERAL AGENT AND/OR LENDERS RELATING TO THE SUBJECT MATTER OF THIS TRANSACTION OR ANY RELATED TRANSACTIONS, AND/OR THE RELATIONSHIP THAT IS BEING ESTABLISHED AMONG BORROWER, COLLATERAL AGENT AND/OR LENDERS. THE SCOPE OF THIS WAIVER IS INTENDED TO BE ALL ENCOMPASSING OF ANY AND ALL DISPUTES THAT MAY BE FILED IN ANY COURT. THIS WAIVER IS IRREVOCABLE. THIS WAIVER MAY NOT BE MODIFIED EITHER ORALLY OR IN WRITING. THE WAIVER ALSO SHALL APPLY TO ANY SUBSEQUENT AMENDMENTS, RENEWALS, SUPPLEMENTS OR MODIFICATIONS TO THIS AGREEMENT, ANY OTHER LOAN DOCUMENTS, OR TO ANY OTHER DOCUMENTS OR AGREEMENTS RELATING TO THIS TRANSACTION OR ANY RELATED TRANSACTION. THIS AGREEMENT MAY BE FILED AS A WRITTEN CONSENT TO A TRIAL BY THE COURT.</w:t>
      </w:r>
    </w:p>
    <w:p>
      <w:pPr>
        <w:spacing w:after="0" w:line="139"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b w:val="1"/>
          <w:bCs w:val="1"/>
          <w:color w:val="auto"/>
        </w:rPr>
        <w:t xml:space="preserve">11.2 Governing Law and Jurisdiction. </w:t>
      </w:r>
      <w:r>
        <w:rPr>
          <w:rFonts w:ascii="Arial" w:cs="Arial" w:eastAsia="Arial" w:hAnsi="Arial"/>
          <w:sz w:val="20"/>
          <w:szCs w:val="20"/>
          <w:color w:val="auto"/>
        </w:rPr>
        <w:t>THIS AGREEMENT, THE OTHER LOAN DOCUMENTS (EXCLUDING THOSE</w:t>
      </w:r>
      <w:r>
        <w:rPr>
          <w:rFonts w:ascii="Arial" w:cs="Arial" w:eastAsia="Arial" w:hAnsi="Arial"/>
          <w:sz w:val="20"/>
          <w:szCs w:val="20"/>
          <w:b w:val="1"/>
          <w:bCs w:val="1"/>
          <w:color w:val="auto"/>
        </w:rPr>
        <w:t xml:space="preserve"> </w:t>
      </w:r>
      <w:r>
        <w:rPr>
          <w:rFonts w:ascii="Arial" w:cs="Arial" w:eastAsia="Arial" w:hAnsi="Arial"/>
          <w:sz w:val="20"/>
          <w:szCs w:val="20"/>
          <w:color w:val="auto"/>
        </w:rPr>
        <w:t>LOAN DOCUMENTS THAT BY THEIR OWN TERMS ARE EXPRESSLY GOVERNED BY THE LAWS OF ANOTHER JURISDICTION) AND THE RIGHTS AND OBLIGATIONS OF THE PARTIES HEREUNDER AND THEREUNDER SHALL IN ALL RESPECTS BE GOVERNED BY AND CONSTRUED IN ACCORDANCE WITH, THE INTERNAL LAWS OF THE STATE OF NEW YORK (WITHOUT REGARD TO THE CONFLICT OF LAWS PRINCIPLES THAT WOULD RESULT IN THE APPLICATION OF ANY LAW OTHER THAN THE LAW OF SUCH STATE (OTHER THAN SECTION 5-1401 OF THE GENERAL OBLIGATIONS LAW)), INCLUDING ALL MATTERS OF CONSTRUCTION, VALIDITY AND PERFORMANCE,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37</w:t>
      </w:r>
    </w:p>
    <w:p>
      <w:pPr>
        <w:sectPr>
          <w:pgSz w:w="11900" w:h="16838" w:orient="portrait"/>
          <w:cols w:equalWidth="0" w:num="1">
            <w:col w:w="11240"/>
          </w:cols>
          <w:pgMar w:left="320" w:top="1440" w:right="339" w:bottom="1440" w:gutter="0" w:footer="0" w:header="0"/>
          <w:type w:val="continuous"/>
        </w:sectPr>
      </w:pPr>
    </w:p>
    <w:bookmarkStart w:id="108" w:name="page109"/>
    <w:bookmarkEnd w:id="108"/>
    <w:p>
      <w:pPr>
        <w:spacing w:after="0" w:line="168"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 xml:space="preserve">REGARDLESS OF THE LOCATION OF THE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LAWS OF ANY JURISDICTION OTHER THAN NEW YORK SHALL GOVERN IN REGARD TO THE VALIDITY, PERFECTION OR EFFECT OF PERFECTION OF ANY LIEN OR IN REGARD TO PROCEDURAL MATTERS AFFECTING ENFORCEMENT OF ANY LIENS IN COLLATERAL, SUCH LAWS OF SUCH OTHER JURISDICTIONS SHALL CONTINUE TO APPLY TO THAT EXTENT.</w:t>
      </w:r>
    </w:p>
    <w:p>
      <w:pPr>
        <w:spacing w:after="0" w:line="123"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b w:val="1"/>
          <w:bCs w:val="1"/>
          <w:color w:val="auto"/>
        </w:rPr>
        <w:t xml:space="preserve">11.3 Submission to Jurisdiction. </w:t>
      </w:r>
      <w:r>
        <w:rPr>
          <w:rFonts w:ascii="Arial" w:cs="Arial" w:eastAsia="Arial" w:hAnsi="Arial"/>
          <w:sz w:val="18"/>
          <w:szCs w:val="18"/>
          <w:color w:val="auto"/>
        </w:rPr>
        <w:t>Any legal action or proceeding with respect to the Loan Documents shall be brought exclusively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the courts of the State of New York located in the City of New York, Borough of Manhattan, or of the United States of America for the Southern District of New York and, by execution and delivery of this Agreement, Borrower hereby accepts for itself and in respect of its Property, generally and unconditionally, the jurisdiction of the aforesaid courts. Notwithstanding the foregoing, Collateral Agent and Lenders shall have the right to bring any action or proceeding against Borrower (or any property of Borrower) in the court of any other jurisdiction Collateral Agent or Lenders deem necessary or appropriate in order to realize on the Collateral or other security for the Obligations. The parties hereto hereby irrevocably waive any objection, including any objection to the laying of venue or based on the grounds of </w:t>
      </w:r>
      <w:r>
        <w:rPr>
          <w:rFonts w:ascii="Arial" w:cs="Arial" w:eastAsia="Arial" w:hAnsi="Arial"/>
          <w:sz w:val="18"/>
          <w:szCs w:val="18"/>
          <w:i w:val="1"/>
          <w:iCs w:val="1"/>
          <w:color w:val="auto"/>
        </w:rPr>
        <w:t>forum non</w:t>
      </w:r>
      <w:r>
        <w:rPr>
          <w:rFonts w:ascii="Arial" w:cs="Arial" w:eastAsia="Arial" w:hAnsi="Arial"/>
          <w:sz w:val="18"/>
          <w:szCs w:val="18"/>
          <w:color w:val="auto"/>
        </w:rPr>
        <w:t xml:space="preserve"> </w:t>
      </w:r>
      <w:r>
        <w:rPr>
          <w:rFonts w:ascii="Arial" w:cs="Arial" w:eastAsia="Arial" w:hAnsi="Arial"/>
          <w:sz w:val="18"/>
          <w:szCs w:val="18"/>
          <w:i w:val="1"/>
          <w:iCs w:val="1"/>
          <w:color w:val="auto"/>
        </w:rPr>
        <w:t>conveniens</w:t>
      </w:r>
      <w:r>
        <w:rPr>
          <w:rFonts w:ascii="Arial" w:cs="Arial" w:eastAsia="Arial" w:hAnsi="Arial"/>
          <w:sz w:val="18"/>
          <w:szCs w:val="18"/>
          <w:color w:val="auto"/>
        </w:rPr>
        <w:t>, that any of them may now or hereafter have to the bringing of any such action or proceeding in such jurisdictions.</w:t>
      </w:r>
    </w:p>
    <w:p>
      <w:pPr>
        <w:spacing w:after="0" w:line="141"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b w:val="1"/>
          <w:bCs w:val="1"/>
          <w:color w:val="auto"/>
        </w:rPr>
        <w:t xml:space="preserve">11.4 Service of Process. </w:t>
      </w:r>
      <w:r>
        <w:rPr>
          <w:rFonts w:ascii="Arial" w:cs="Arial" w:eastAsia="Arial" w:hAnsi="Arial"/>
          <w:sz w:val="20"/>
          <w:szCs w:val="20"/>
          <w:color w:val="auto"/>
        </w:rPr>
        <w:t>Borrower irrevocably waives personal service of any and all legal process, summons, notices and other</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and other service of process of any kind and consents to such service in any suit, action or proceeding brought in the United States of America with respect to or otherwise arising out of or in connection with any Loan Document by any means permitted by applicable requirements of law, including by the mailing thereof (by registered or certified mail, postage prepaid) to the address of Borrower specified herein (and shall be effective when such mailing shall be effective, as provided therein). Borrower agrees that a final judgment in any such action or proceeding shall be conclusive and may be enforced in other jurisdictions by suit on the judgment or in any other manner provided by law.</w:t>
      </w:r>
    </w:p>
    <w:p>
      <w:pPr>
        <w:spacing w:after="0" w:line="137"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b w:val="1"/>
          <w:bCs w:val="1"/>
          <w:color w:val="auto"/>
        </w:rPr>
        <w:t xml:space="preserve">11.5 Non-exclusive Jurisdiction. </w:t>
      </w:r>
      <w:r>
        <w:rPr>
          <w:rFonts w:ascii="Arial" w:cs="Arial" w:eastAsia="Arial" w:hAnsi="Arial"/>
          <w:sz w:val="20"/>
          <w:szCs w:val="20"/>
          <w:color w:val="auto"/>
        </w:rPr>
        <w:t>Nothing contained in this Article 11 shall affect the right of Collateral Agent or Lenders to serve</w:t>
      </w:r>
      <w:r>
        <w:rPr>
          <w:rFonts w:ascii="Arial" w:cs="Arial" w:eastAsia="Arial" w:hAnsi="Arial"/>
          <w:sz w:val="20"/>
          <w:szCs w:val="20"/>
          <w:b w:val="1"/>
          <w:bCs w:val="1"/>
          <w:color w:val="auto"/>
        </w:rPr>
        <w:t xml:space="preserve"> </w:t>
      </w:r>
      <w:r>
        <w:rPr>
          <w:rFonts w:ascii="Arial" w:cs="Arial" w:eastAsia="Arial" w:hAnsi="Arial"/>
          <w:sz w:val="20"/>
          <w:szCs w:val="20"/>
          <w:color w:val="auto"/>
        </w:rPr>
        <w:t>process in any other manner permitted by applicable requirements of law or commence legal proceedings or otherwise proceed against Borrower in any other jurisdiction.</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9"/>
          <w:szCs w:val="19"/>
          <w:b w:val="1"/>
          <w:bCs w:val="1"/>
          <w:color w:val="auto"/>
        </w:rPr>
        <w:t>GENERAL PROVISIONS</w:t>
      </w:r>
    </w:p>
    <w:p>
      <w:pPr>
        <w:spacing w:after="0" w:line="162"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9"/>
          <w:szCs w:val="19"/>
          <w:b w:val="1"/>
          <w:bCs w:val="1"/>
          <w:color w:val="auto"/>
        </w:rPr>
        <w:t xml:space="preserve">12.1 Successors and Assigns. </w:t>
      </w:r>
      <w:r>
        <w:rPr>
          <w:rFonts w:ascii="Arial" w:cs="Arial" w:eastAsia="Arial" w:hAnsi="Arial"/>
          <w:sz w:val="19"/>
          <w:szCs w:val="19"/>
          <w:color w:val="auto"/>
        </w:rPr>
        <w:t>This Agreement binds and is for the benefit of the successors and permitted assigns of each party.</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 may not transfer, pledge or assign this Agreement or any rights or obligations under it without Collateral Agent’s prior written consent (which may be granted or withheld in Collateral Agent’s discretion, subject to Section 12.5). The Lenders have the right, without the consent of or notice to Borrower, to sell, transfer, assign, pledge, negotiate, or grant participation in (any such sale, transfer, assignment, negotiation</w:t>
      </w:r>
      <w:r>
        <w:rPr>
          <w:rFonts w:ascii="Arial" w:cs="Arial" w:eastAsia="Arial" w:hAnsi="Arial"/>
          <w:sz w:val="19"/>
          <w:szCs w:val="19"/>
          <w:b w:val="1"/>
          <w:bCs w:val="1"/>
          <w:color w:val="auto"/>
        </w:rPr>
        <w:t>,</w:t>
      </w:r>
      <w:r>
        <w:rPr>
          <w:rFonts w:ascii="Arial" w:cs="Arial" w:eastAsia="Arial" w:hAnsi="Arial"/>
          <w:sz w:val="19"/>
          <w:szCs w:val="19"/>
          <w:color w:val="auto"/>
        </w:rPr>
        <w:t xml:space="preserve"> or grant of a participation, a </w:t>
      </w:r>
      <w:r>
        <w:rPr>
          <w:rFonts w:ascii="Arial" w:cs="Arial" w:eastAsia="Arial" w:hAnsi="Arial"/>
          <w:sz w:val="19"/>
          <w:szCs w:val="19"/>
          <w:b w:val="1"/>
          <w:bCs w:val="1"/>
          <w:color w:val="auto"/>
        </w:rPr>
        <w:t>“Lender Transfer”</w:t>
      </w:r>
      <w:r>
        <w:rPr>
          <w:rFonts w:ascii="Arial" w:cs="Arial" w:eastAsia="Arial" w:hAnsi="Arial"/>
          <w:sz w:val="19"/>
          <w:szCs w:val="19"/>
          <w:color w:val="auto"/>
        </w:rPr>
        <w:t xml:space="preserve">) all or any part of, or any interest in, the Lenders’ obligations, rights, and benefits under this Agreement and the other Loan Documents;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such Lender Transfer (other than (i) any Transfer at any time that an Event of Default has occurred and is continuing, or (ii) a transfer, pledge, sale or assignment to an Eligible Assignee) of its obligations, rights, and benefits under this Agreement and the other Loan Documents shall require the prior written consent of the Collateral Agent (such approved assignee, an “</w:t>
      </w:r>
      <w:r>
        <w:rPr>
          <w:rFonts w:ascii="Arial" w:cs="Arial" w:eastAsia="Arial" w:hAnsi="Arial"/>
          <w:sz w:val="19"/>
          <w:szCs w:val="19"/>
          <w:b w:val="1"/>
          <w:bCs w:val="1"/>
          <w:color w:val="auto"/>
        </w:rPr>
        <w:t>Approved Lender</w:t>
      </w:r>
      <w:r>
        <w:rPr>
          <w:rFonts w:ascii="Arial" w:cs="Arial" w:eastAsia="Arial" w:hAnsi="Arial"/>
          <w:sz w:val="19"/>
          <w:szCs w:val="19"/>
          <w:color w:val="auto"/>
        </w:rPr>
        <w:t xml:space="preserve">”);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on the date it becomes a party to this Agreement, an Approved Lender must be capable, through its applicable lending office, of receiving payments of interest from Borrower without the imposition of any withholding taxes that would be required to be borne by Borrower or requiring the payment of any additional amounts by Borrower pursuant to Section 2.5 hereof. Borrower and Collateral Agent shall be entitled to continue to deal solely and directly with such Lender in connection with the interests so assigned until Collateral Agent shall have received and accepted an effective assignment agreement in form satisfactory to Collateral Agent executed, delivered and fully completed by the applicable parties thereto, and shall have received such other information regarding such Eligible Assignee or Approved Lender as Collateral Agent reasonably shall require. Collateral Agent shall use commercially reasonable efforts to provide notice to Borrower of each Lender Transfer promptly following such Lender Transfer. Notwithstanding anything to the contrary contained herein, so long as no Event of Default has occurred and is continuing, no Lender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38</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68"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(other than a Lender Transfer in connection with (x) assignments by a Lender due to a forced divestiture at the request of any regulatory agency; or (y) upon the occurrence of a default, event of default or similar occurrence with respect to a Lender’s own financing or securitization transactions) shall be permitted, without Borrower’s consent, to any Person which is an Affiliate or Subsidiary of Borrower, a direct competitor of Borrower, a vulture hedge fund or a distressed debt fund, each as reasonably determined by Collateral Agent at the time of such assignment. Collateral Agent, acting solely for this purpose as an agent of Borrower, shall maintain at one of its offices in the United States a register for the recordation of the names and addresses of the Lenders, and the Term Loan Commitments of, and principal amounts (and stated interest) of the Term Loans owing to each Lender pursuant to the terms hereof from time to time (the “</w:t>
      </w:r>
      <w:r>
        <w:rPr>
          <w:rFonts w:ascii="Arial" w:cs="Arial" w:eastAsia="Arial" w:hAnsi="Arial"/>
          <w:sz w:val="18"/>
          <w:szCs w:val="18"/>
          <w:b w:val="1"/>
          <w:bCs w:val="1"/>
          <w:color w:val="auto"/>
        </w:rPr>
        <w:t>Register</w:t>
      </w:r>
      <w:r>
        <w:rPr>
          <w:rFonts w:ascii="Arial" w:cs="Arial" w:eastAsia="Arial" w:hAnsi="Arial"/>
          <w:sz w:val="18"/>
          <w:szCs w:val="18"/>
          <w:color w:val="auto"/>
        </w:rPr>
        <w:t>”). The entries in the Register shall be conclusive absent manifest error, and Borrower, Collateral Agent and Lenders shall treat each Person whose name is recorded in the Register pursuant to the terms hereof as Lender hereunder for all purposes of this Agreement. The Register shall be available for inspection by Borrower and any Lender at any reasonable time and from time to time upon reasonable prior notice. Each Lender that sells a participation shall, acting solely for this purpose as a non-fiduciary agent of Borrower, maintain a register on which it enters the name and address of each participant and the principal amounts (and stated interest) of each participant’s interest in the Term Loans or other obligations under the Loan Documents (the “</w:t>
      </w:r>
      <w:r>
        <w:rPr>
          <w:rFonts w:ascii="Arial" w:cs="Arial" w:eastAsia="Arial" w:hAnsi="Arial"/>
          <w:sz w:val="18"/>
          <w:szCs w:val="18"/>
          <w:b w:val="1"/>
          <w:bCs w:val="1"/>
          <w:color w:val="auto"/>
        </w:rPr>
        <w:t>Participant Register</w:t>
      </w:r>
      <w:r>
        <w:rPr>
          <w:rFonts w:ascii="Arial" w:cs="Arial" w:eastAsia="Arial" w:hAnsi="Arial"/>
          <w:sz w:val="18"/>
          <w:szCs w:val="18"/>
          <w:color w:val="auto"/>
        </w:rPr>
        <w:t>”); provided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Collateral Agent (in its capacity as Collateral Agent) shall have no responsibility for maintaining a Participant Register. Borrower agrees that each participant shall be entitled to the benefits of the provisions in Exhibit C attached hereto (subject to the requirements and limitations therein, including the requirements under Section 7 of Exhibit C attached hereto (it being understood that the documentation required under Section 7 of Exhibit C attached hereto shall be delivered to the participating Lender)) to the same extent as if it were a Lender and had acquired its interest by assignment pursuant to this Section 12.1; provided that such participant shall not be entitled to receive any greater payment under Exhibit C attached hereto,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4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b w:val="1"/>
          <w:bCs w:val="1"/>
          <w:color w:val="auto"/>
        </w:rPr>
        <w:t xml:space="preserve">12.2 Indemnification. </w:t>
      </w:r>
      <w:r>
        <w:rPr>
          <w:rFonts w:ascii="Arial" w:cs="Arial" w:eastAsia="Arial" w:hAnsi="Arial"/>
          <w:sz w:val="18"/>
          <w:szCs w:val="18"/>
          <w:color w:val="auto"/>
        </w:rPr>
        <w:t>Subject to Section 2.5, Borrower agrees to indemnify, defend and hold each Secured Party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directors, officers, employees, consultants, agents, attorneys, or any other Person affiliated with or representing such Secured Party (each, an “</w:t>
      </w:r>
      <w:r>
        <w:rPr>
          <w:rFonts w:ascii="Arial" w:cs="Arial" w:eastAsia="Arial" w:hAnsi="Arial"/>
          <w:sz w:val="18"/>
          <w:szCs w:val="18"/>
          <w:b w:val="1"/>
          <w:bCs w:val="1"/>
          <w:color w:val="auto"/>
        </w:rPr>
        <w:t>Indemnified Person</w:t>
      </w:r>
      <w:r>
        <w:rPr>
          <w:rFonts w:ascii="Arial" w:cs="Arial" w:eastAsia="Arial" w:hAnsi="Arial"/>
          <w:sz w:val="18"/>
          <w:szCs w:val="18"/>
          <w:color w:val="auto"/>
        </w:rPr>
        <w:t>”) harmless against: (a) all obligations, demands, claims, and liabilities (collectively, “</w:t>
      </w:r>
      <w:r>
        <w:rPr>
          <w:rFonts w:ascii="Arial" w:cs="Arial" w:eastAsia="Arial" w:hAnsi="Arial"/>
          <w:sz w:val="18"/>
          <w:szCs w:val="18"/>
          <w:b w:val="1"/>
          <w:bCs w:val="1"/>
          <w:color w:val="auto"/>
        </w:rPr>
        <w:t>Claims</w:t>
      </w:r>
      <w:r>
        <w:rPr>
          <w:rFonts w:ascii="Arial" w:cs="Arial" w:eastAsia="Arial" w:hAnsi="Arial"/>
          <w:sz w:val="18"/>
          <w:szCs w:val="18"/>
          <w:color w:val="auto"/>
        </w:rPr>
        <w:t>”) asserted by any other party in connection with; related to; following; or arising from, out of or under, the transactions contemplated by the Loan Documents; and (b) all losses and Lenders’ Expenses incurred, or paid by Indemnified Person in connection with; related to; following; or arising from, out of or under, the transactions contemplated by the Loan Documents (including reasonable attorneys’ fees and expenses), except, in each case, for Claims and/or losses directly caused by such Indemnified Person’s gross negligence or willful misconduct. Borrower hereby further agrees to indemnify, defend and hold each Indemnified Person harmless from and against any and all liabilities, obligations, losses, damages, penalties, actions, judgments, suits, claims, costs, expenses and disbursements of any kind or nature 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gross negligence or willful misconduct. Notwithstanding the foregoing, if no 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68"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conflict of interest is apparent in connection with the defense of any Claim, Collateral Agent and the Lenders shall first take commercially reasonable efforts to use the same counsel as Borrower, or, if a conflict does exist, use only one counsel among all Indemnified Persons with respect to the defense of any Claim. This Section 12.2 shall not apply with respect to any Indemnified Taxes subject to indemnification under Section 2.5 or Excluded Taxes.</w:t>
      </w:r>
    </w:p>
    <w:p>
      <w:pPr>
        <w:spacing w:after="0" w:line="123" w:lineRule="exact"/>
        <w:rPr>
          <w:sz w:val="20"/>
          <w:szCs w:val="20"/>
          <w:color w:val="auto"/>
        </w:rPr>
      </w:pPr>
    </w:p>
    <w:p>
      <w:pPr>
        <w:ind w:right="460" w:firstLine="648"/>
        <w:spacing w:after="0" w:line="232" w:lineRule="auto"/>
        <w:rPr>
          <w:sz w:val="20"/>
          <w:szCs w:val="20"/>
          <w:color w:val="auto"/>
        </w:rPr>
      </w:pPr>
      <w:r>
        <w:rPr>
          <w:rFonts w:ascii="Arial" w:cs="Arial" w:eastAsia="Arial" w:hAnsi="Arial"/>
          <w:sz w:val="20"/>
          <w:szCs w:val="20"/>
          <w:b w:val="1"/>
          <w:bCs w:val="1"/>
          <w:color w:val="auto"/>
        </w:rPr>
        <w:t xml:space="preserve">12.3 Severability of Provisions. </w:t>
      </w:r>
      <w:r>
        <w:rPr>
          <w:rFonts w:ascii="Arial" w:cs="Arial" w:eastAsia="Arial" w:hAnsi="Arial"/>
          <w:sz w:val="20"/>
          <w:szCs w:val="20"/>
          <w:color w:val="auto"/>
        </w:rPr>
        <w:t>Each provision of this Agreement is severable from every other provision in determining the</w:t>
      </w:r>
      <w:r>
        <w:rPr>
          <w:rFonts w:ascii="Arial" w:cs="Arial" w:eastAsia="Arial" w:hAnsi="Arial"/>
          <w:sz w:val="20"/>
          <w:szCs w:val="20"/>
          <w:b w:val="1"/>
          <w:bCs w:val="1"/>
          <w:color w:val="auto"/>
        </w:rPr>
        <w:t xml:space="preserve"> </w:t>
      </w:r>
      <w:r>
        <w:rPr>
          <w:rFonts w:ascii="Arial" w:cs="Arial" w:eastAsia="Arial" w:hAnsi="Arial"/>
          <w:sz w:val="20"/>
          <w:szCs w:val="20"/>
          <w:color w:val="auto"/>
        </w:rPr>
        <w:t>enforceability of any provision.</w:t>
      </w:r>
    </w:p>
    <w:p>
      <w:pPr>
        <w:spacing w:after="0" w:line="136" w:lineRule="exact"/>
        <w:rPr>
          <w:sz w:val="20"/>
          <w:szCs w:val="20"/>
          <w:color w:val="auto"/>
        </w:rPr>
      </w:pPr>
    </w:p>
    <w:p>
      <w:pPr>
        <w:ind w:right="160" w:firstLine="648"/>
        <w:spacing w:after="0" w:line="232" w:lineRule="auto"/>
        <w:rPr>
          <w:sz w:val="20"/>
          <w:szCs w:val="20"/>
          <w:color w:val="auto"/>
        </w:rPr>
      </w:pPr>
      <w:r>
        <w:rPr>
          <w:rFonts w:ascii="Arial" w:cs="Arial" w:eastAsia="Arial" w:hAnsi="Arial"/>
          <w:sz w:val="20"/>
          <w:szCs w:val="20"/>
          <w:b w:val="1"/>
          <w:bCs w:val="1"/>
          <w:color w:val="auto"/>
        </w:rPr>
        <w:t xml:space="preserve">12.4 Correction of Loan Documents. </w:t>
      </w:r>
      <w:r>
        <w:rPr>
          <w:rFonts w:ascii="Arial" w:cs="Arial" w:eastAsia="Arial" w:hAnsi="Arial"/>
          <w:sz w:val="20"/>
          <w:szCs w:val="20"/>
          <w:color w:val="auto"/>
        </w:rPr>
        <w:t>Collateral Agent may correct patent errors and fill in any blanks in this Agreement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other Loan Documents consistent with the agreement of the parties</w:t>
      </w:r>
      <w:r>
        <w:rPr>
          <w:rFonts w:ascii="Arial" w:cs="Arial" w:eastAsia="Arial" w:hAnsi="Arial"/>
          <w:sz w:val="20"/>
          <w:szCs w:val="20"/>
          <w:b w:val="1"/>
          <w:bCs w:val="1"/>
          <w:color w:val="auto"/>
        </w:rPr>
        <w:t>.</w:t>
      </w:r>
    </w:p>
    <w:p>
      <w:pPr>
        <w:spacing w:after="0" w:line="13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12.5</w:t>
      </w:r>
      <w:r>
        <w:rPr>
          <w:sz w:val="20"/>
          <w:szCs w:val="20"/>
          <w:color w:val="auto"/>
        </w:rPr>
        <w:tab/>
      </w:r>
      <w:r>
        <w:rPr>
          <w:rFonts w:ascii="Arial" w:cs="Arial" w:eastAsia="Arial" w:hAnsi="Arial"/>
          <w:sz w:val="18"/>
          <w:szCs w:val="18"/>
          <w:b w:val="1"/>
          <w:bCs w:val="1"/>
          <w:color w:val="auto"/>
        </w:rPr>
        <w:t>Amendments in Writing; Integration.</w:t>
      </w:r>
    </w:p>
    <w:p>
      <w:pPr>
        <w:spacing w:after="0" w:line="154" w:lineRule="exact"/>
        <w:rPr>
          <w:sz w:val="20"/>
          <w:szCs w:val="20"/>
          <w:color w:val="auto"/>
        </w:rPr>
      </w:pPr>
    </w:p>
    <w:p>
      <w:pPr>
        <w:jc w:val="both"/>
        <w:ind w:right="20" w:firstLine="1304"/>
        <w:spacing w:after="0" w:line="244" w:lineRule="auto"/>
        <w:tabs>
          <w:tab w:leader="none" w:pos="1746" w:val="left"/>
        </w:tabs>
        <w:numPr>
          <w:ilvl w:val="1"/>
          <w:numId w:val="82"/>
        </w:numPr>
        <w:rPr>
          <w:rFonts w:ascii="Arial" w:cs="Arial" w:eastAsia="Arial" w:hAnsi="Arial"/>
          <w:sz w:val="18"/>
          <w:szCs w:val="18"/>
          <w:color w:val="auto"/>
        </w:rPr>
      </w:pPr>
      <w:r>
        <w:rPr>
          <w:rFonts w:ascii="Arial" w:cs="Arial" w:eastAsia="Arial" w:hAnsi="Arial"/>
          <w:sz w:val="18"/>
          <w:szCs w:val="18"/>
          <w:color w:val="auto"/>
        </w:rPr>
        <w:t>No amendment, modification, termination or waiver of any provision of this Agreement or any other Loan Document, no approval or consent thereunder, or any consent to any departure by Borrower or any of its Subsidiaries therefrom, shall in any event be effective unless the same shall be in writing and signed by Borrower, Collateral Agent and the Required Lenders provided that:</w:t>
      </w:r>
    </w:p>
    <w:p>
      <w:pPr>
        <w:spacing w:after="0" w:line="138" w:lineRule="exact"/>
        <w:rPr>
          <w:rFonts w:ascii="Arial" w:cs="Arial" w:eastAsia="Arial" w:hAnsi="Arial"/>
          <w:sz w:val="18"/>
          <w:szCs w:val="18"/>
          <w:color w:val="auto"/>
        </w:rPr>
      </w:pPr>
    </w:p>
    <w:p>
      <w:pPr>
        <w:ind w:firstLine="1952"/>
        <w:spacing w:after="0" w:line="269" w:lineRule="auto"/>
        <w:tabs>
          <w:tab w:leader="none" w:pos="2464" w:val="left"/>
        </w:tabs>
        <w:numPr>
          <w:ilvl w:val="2"/>
          <w:numId w:val="82"/>
        </w:numPr>
        <w:rPr>
          <w:rFonts w:ascii="Arial" w:cs="Arial" w:eastAsia="Arial" w:hAnsi="Arial"/>
          <w:sz w:val="18"/>
          <w:szCs w:val="18"/>
          <w:color w:val="auto"/>
        </w:rPr>
      </w:pPr>
      <w:r>
        <w:rPr>
          <w:rFonts w:ascii="Arial" w:cs="Arial" w:eastAsia="Arial" w:hAnsi="Arial"/>
          <w:sz w:val="18"/>
          <w:szCs w:val="18"/>
          <w:color w:val="auto"/>
        </w:rPr>
        <w:t>no such amendment, waiver or other modification that would have the effect of increasing or reducing a Lender’s Term Loan Commitment or Commitment Percentage shall be effective as to such Lender without such Lender’s written consent;</w:t>
      </w:r>
    </w:p>
    <w:p>
      <w:pPr>
        <w:spacing w:after="0" w:line="116" w:lineRule="exact"/>
        <w:rPr>
          <w:rFonts w:ascii="Arial" w:cs="Arial" w:eastAsia="Arial" w:hAnsi="Arial"/>
          <w:sz w:val="18"/>
          <w:szCs w:val="18"/>
          <w:color w:val="auto"/>
        </w:rPr>
      </w:pPr>
    </w:p>
    <w:p>
      <w:pPr>
        <w:ind w:firstLine="1952"/>
        <w:spacing w:after="0" w:line="229" w:lineRule="auto"/>
        <w:tabs>
          <w:tab w:leader="none" w:pos="2399" w:val="left"/>
        </w:tabs>
        <w:numPr>
          <w:ilvl w:val="2"/>
          <w:numId w:val="82"/>
        </w:numPr>
        <w:rPr>
          <w:rFonts w:ascii="Arial" w:cs="Arial" w:eastAsia="Arial" w:hAnsi="Arial"/>
          <w:sz w:val="20"/>
          <w:szCs w:val="20"/>
          <w:color w:val="auto"/>
        </w:rPr>
      </w:pPr>
      <w:r>
        <w:rPr>
          <w:rFonts w:ascii="Arial" w:cs="Arial" w:eastAsia="Arial" w:hAnsi="Arial"/>
          <w:sz w:val="20"/>
          <w:szCs w:val="20"/>
          <w:color w:val="auto"/>
        </w:rPr>
        <w:t>no such amendment, waiver or modification that would affect the rights and duties of Collateral Agent shall be effective without Collateral Agent’s written consent or signature; and</w:t>
      </w:r>
    </w:p>
    <w:p>
      <w:pPr>
        <w:spacing w:after="0" w:line="128" w:lineRule="exact"/>
        <w:rPr>
          <w:rFonts w:ascii="Arial" w:cs="Arial" w:eastAsia="Arial" w:hAnsi="Arial"/>
          <w:sz w:val="20"/>
          <w:szCs w:val="20"/>
          <w:color w:val="auto"/>
        </w:rPr>
      </w:pPr>
    </w:p>
    <w:p>
      <w:pPr>
        <w:jc w:val="both"/>
        <w:ind w:firstLine="1952"/>
        <w:spacing w:after="0" w:line="220" w:lineRule="auto"/>
        <w:tabs>
          <w:tab w:leader="none" w:pos="2532" w:val="left"/>
        </w:tabs>
        <w:numPr>
          <w:ilvl w:val="2"/>
          <w:numId w:val="82"/>
        </w:numPr>
        <w:rPr>
          <w:rFonts w:ascii="Arial" w:cs="Arial" w:eastAsia="Arial" w:hAnsi="Arial"/>
          <w:sz w:val="18"/>
          <w:szCs w:val="18"/>
          <w:color w:val="auto"/>
        </w:rPr>
      </w:pPr>
      <w:r>
        <w:rPr>
          <w:rFonts w:ascii="Arial" w:cs="Arial" w:eastAsia="Arial" w:hAnsi="Arial"/>
          <w:sz w:val="18"/>
          <w:szCs w:val="18"/>
          <w:color w:val="auto"/>
        </w:rPr>
        <w:t>no such amendment, waiver or other modification shall, unless signed by all the Lenders directly affected thereby, (A) reduce the principal of, rate of interest on or any fees with respect to any Term Loan or forgive any principal, interest (other than default interest) or fees (other than late charges) with respect to any Term Loan (B) postpone the date fixed for, or waive, any payment of principal of any Term Loan or of interest on any Term Loan (other than default interest) or any fees provided for hereunder (other than late charges or for any termination of any commitment); (C) change the definition of the term “Required Lenders” or the percentage of Lenders which shall be required for the Lenders to take any action hereunder; (D) release all or substantially all of any material portion of the Collateral, authorize Borrower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 disposition permitted hereunder); (E) amend, waive or otherwise modify this Section 12.5 or the definitions of the terms used in this Section 12.5 insofar as the definitions affect the substance of this Section 12.5;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w:t>
      </w:r>
    </w:p>
    <w:p>
      <w:pPr>
        <w:spacing w:after="0" w:line="6" w:lineRule="exact"/>
        <w:rPr>
          <w:rFonts w:ascii="Arial" w:cs="Arial" w:eastAsia="Arial" w:hAnsi="Arial"/>
          <w:sz w:val="18"/>
          <w:szCs w:val="18"/>
          <w:color w:val="auto"/>
        </w:rPr>
      </w:pPr>
    </w:p>
    <w:p>
      <w:pPr>
        <w:jc w:val="both"/>
        <w:ind w:firstLine="8"/>
        <w:spacing w:after="0" w:line="246" w:lineRule="auto"/>
        <w:tabs>
          <w:tab w:leader="none" w:pos="339" w:val="left"/>
        </w:tabs>
        <w:numPr>
          <w:ilvl w:val="0"/>
          <w:numId w:val="83"/>
        </w:numPr>
        <w:rPr>
          <w:rFonts w:ascii="Arial" w:cs="Arial" w:eastAsia="Arial" w:hAnsi="Arial"/>
          <w:sz w:val="16"/>
          <w:szCs w:val="16"/>
          <w:color w:val="auto"/>
        </w:rPr>
      </w:pPr>
      <w:r>
        <w:rPr>
          <w:rFonts w:ascii="Arial" w:cs="Arial" w:eastAsia="Arial" w:hAnsi="Arial"/>
          <w:sz w:val="16"/>
          <w:szCs w:val="16"/>
          <w:color w:val="auto"/>
        </w:rPr>
        <w:t>amend any of the provisions of Section 9.4 or amend any of the definitions of Pro Rata Share, Term Loan Commitment, Commitment Percentage or that provide for the Lenders to receive their Pro Rata Shares of any fees, payments, setoffs or proceeds of Collateral hereunder;</w:t>
      </w:r>
    </w:p>
    <w:p>
      <w:pPr>
        <w:jc w:val="both"/>
        <w:ind w:firstLine="8"/>
        <w:spacing w:after="0" w:line="236" w:lineRule="auto"/>
        <w:tabs>
          <w:tab w:leader="none" w:pos="326"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subordinate the Liens granted in favor of Collateral Agent securing the Obligations; or (I) amend any of the provisions of Section 12.7 or Section 12.8. It is hereby understood and agreed that all Lenders shall be deemed directly affected by an amendment, waiver or other modification of the type described in the preceding clauses (C), (D), (E), (F), (G) and (H) of the immediately preceding sentence.</w:t>
      </w:r>
    </w:p>
    <w:p>
      <w:pPr>
        <w:spacing w:after="0" w:line="142" w:lineRule="exact"/>
        <w:rPr>
          <w:rFonts w:ascii="Arial" w:cs="Arial" w:eastAsia="Arial" w:hAnsi="Arial"/>
          <w:sz w:val="18"/>
          <w:szCs w:val="18"/>
          <w:color w:val="auto"/>
        </w:rPr>
      </w:pPr>
    </w:p>
    <w:p>
      <w:pPr>
        <w:ind w:firstLine="1304"/>
        <w:spacing w:after="0" w:line="269" w:lineRule="auto"/>
        <w:tabs>
          <w:tab w:leader="none" w:pos="1819" w:val="left"/>
        </w:tabs>
        <w:numPr>
          <w:ilvl w:val="1"/>
          <w:numId w:val="83"/>
        </w:numPr>
        <w:rPr>
          <w:rFonts w:ascii="Arial" w:cs="Arial" w:eastAsia="Arial" w:hAnsi="Arial"/>
          <w:sz w:val="18"/>
          <w:szCs w:val="18"/>
          <w:color w:val="auto"/>
        </w:rPr>
      </w:pPr>
      <w:r>
        <w:rPr>
          <w:rFonts w:ascii="Arial" w:cs="Arial" w:eastAsia="Arial" w:hAnsi="Arial"/>
          <w:sz w:val="18"/>
          <w:szCs w:val="18"/>
          <w:color w:val="auto"/>
        </w:rPr>
        <w:t>Other than as expressly provided for in Section 12.5(a)(i)-(iii), Collateral Agent may, if requested by the Required Lenders, from time to time designate covenants in this Agreement less restrictive by notification to a representative of Borrower.</w:t>
      </w:r>
    </w:p>
    <w:p>
      <w:pPr>
        <w:spacing w:after="0" w:line="116" w:lineRule="exact"/>
        <w:rPr>
          <w:rFonts w:ascii="Arial" w:cs="Arial" w:eastAsia="Arial" w:hAnsi="Arial"/>
          <w:sz w:val="18"/>
          <w:szCs w:val="18"/>
          <w:color w:val="auto"/>
        </w:rPr>
      </w:pPr>
    </w:p>
    <w:p>
      <w:pPr>
        <w:jc w:val="both"/>
        <w:ind w:firstLine="1304"/>
        <w:spacing w:after="0" w:line="218" w:lineRule="auto"/>
        <w:tabs>
          <w:tab w:leader="none" w:pos="1745" w:val="left"/>
        </w:tabs>
        <w:numPr>
          <w:ilvl w:val="1"/>
          <w:numId w:val="83"/>
        </w:numPr>
        <w:rPr>
          <w:rFonts w:ascii="Arial" w:cs="Arial" w:eastAsia="Arial" w:hAnsi="Arial"/>
          <w:sz w:val="20"/>
          <w:szCs w:val="20"/>
          <w:color w:val="auto"/>
        </w:rPr>
      </w:pPr>
      <w:r>
        <w:rPr>
          <w:rFonts w:ascii="Arial" w:cs="Arial" w:eastAsia="Arial" w:hAnsi="Arial"/>
          <w:sz w:val="20"/>
          <w:szCs w:val="20"/>
          <w:color w:val="auto"/>
        </w:rPr>
        <w:t>This Agreement and the Loan Documents represent the entire agreement about this subject matter and supersede prior negotiations or agreements with respect to such subject matter. All prior agreements, understandings, representations, warranties, and negotiations between the parties about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the subject matter of this Agreement and the Loan Documents merge into this Agreement and the Loan Documents.</w:t>
      </w:r>
    </w:p>
    <w:p>
      <w:pPr>
        <w:spacing w:after="0" w:line="142"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0"/>
          <w:szCs w:val="20"/>
          <w:b w:val="1"/>
          <w:bCs w:val="1"/>
          <w:color w:val="auto"/>
        </w:rPr>
        <w:t xml:space="preserve">12.6 Counterparts. </w:t>
      </w:r>
      <w:r>
        <w:rPr>
          <w:rFonts w:ascii="Arial" w:cs="Arial" w:eastAsia="Arial" w:hAnsi="Arial"/>
          <w:sz w:val="20"/>
          <w:szCs w:val="20"/>
          <w:color w:val="auto"/>
        </w:rPr>
        <w:t>This Agreement may be executed in any number of counterparts and by different parties on separate</w:t>
      </w:r>
      <w:r>
        <w:rPr>
          <w:rFonts w:ascii="Arial" w:cs="Arial" w:eastAsia="Arial" w:hAnsi="Arial"/>
          <w:sz w:val="20"/>
          <w:szCs w:val="20"/>
          <w:b w:val="1"/>
          <w:bCs w:val="1"/>
          <w:color w:val="auto"/>
        </w:rPr>
        <w:t xml:space="preserve"> </w:t>
      </w:r>
      <w:r>
        <w:rPr>
          <w:rFonts w:ascii="Arial" w:cs="Arial" w:eastAsia="Arial" w:hAnsi="Arial"/>
          <w:sz w:val="20"/>
          <w:szCs w:val="20"/>
          <w:color w:val="auto"/>
        </w:rPr>
        <w:t>counterparts, each of which, when executed and delivered, is an original, and all taken together, constitute one Agreement. Delivery of an executed counterpart of a signature page of this Agreement by facsimile, portable document format (.pdf) or other electronic transmission will be as effective as delivery of a manually executed counterpart hereof.</w:t>
      </w:r>
    </w:p>
    <w:p>
      <w:pPr>
        <w:spacing w:after="0" w:line="13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b w:val="1"/>
          <w:bCs w:val="1"/>
          <w:color w:val="auto"/>
        </w:rPr>
        <w:t xml:space="preserve">12.7 Survival. </w:t>
      </w:r>
      <w:r>
        <w:rPr>
          <w:rFonts w:ascii="Arial" w:cs="Arial" w:eastAsia="Arial" w:hAnsi="Arial"/>
          <w:sz w:val="18"/>
          <w:szCs w:val="18"/>
          <w:color w:val="auto"/>
        </w:rPr>
        <w:t>All covenants, representations and warranties made in this Agreement continue in full force and effect until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has terminated pursuant to its terms and all Obligations (other than (a) inchoate indemnity obligations, and (b) other obligations that, by their terms, survive termination of this Agreement, in each case, for which no claim has been made) have been satisfied. The obligation of Borrower in Section 12.2 to indemnify each Lender and Collateral Agent, as well as the confidentiality provisions in Section 12.8 below, shall survive until the statute of limitations with respect to such claim or cause of action shall have run.</w:t>
      </w:r>
    </w:p>
    <w:p>
      <w:pPr>
        <w:spacing w:after="0" w:line="13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b w:val="1"/>
          <w:bCs w:val="1"/>
          <w:color w:val="auto"/>
        </w:rPr>
        <w:t xml:space="preserve">12.8 Confidentiality. </w:t>
      </w:r>
      <w:r>
        <w:rPr>
          <w:rFonts w:ascii="Arial" w:cs="Arial" w:eastAsia="Arial" w:hAnsi="Arial"/>
          <w:sz w:val="18"/>
          <w:szCs w:val="18"/>
          <w:color w:val="auto"/>
        </w:rPr>
        <w:t>In handling any confidential information of Borrower, each of the Lenders and Collateral Agent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the same degree of care that it exercises for their own proprietary information, but disclosure of information may be made: (a) subject to the terms and conditions of this Agreement, to the Lenders’ and Collateral Agent’s Subsidiaries or Affiliates, or in connection with a Lender’s own financing or securitization transactions and upon the occurrence of a default, event of default or similar occurrence with respect to such financing or securitization transaction; (b) to prospective transferees (other than those identified in (a) above) or purchasers of any interest in the Term Loans (provided, however, the Lenders and Collateral Agent shall obtain such prospective transferee’s or purchaser’s agreement to the terms of this provision or to similar confidentiality terms); (c) as required by law, regulation, subpoena, or other order; (d) to Lenders’ or Collateral Agent’s regulators or as otherwise required in connection with an examination or audit; (e) as Collateral Agent reasonably considers appropriate in exercising remedies under the Loan Documents; and (f) to third party service providers of the Lenders and/or Collateral Agent so long as such service providers have executed a confidentiality agreement or have agreed to similar confidentiality terms with the Lenders and/or Collateral Agent, as applicable, 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through no fault of the Lenders or the Collateral Agent; or (ii) is disclosed to the Lenders and/or Collateral Agent by a third party, if the Lenders and/or Collateral Agent does not know that the third party is prohibited from disclosing the information. Collateral Agent and the Lenders may use confidential information for any purpose, including, without limitation, for the development of client databases, reporting purposes, and market analysis. The provisions of the immediately preceding sentence shall survive the termination of this Agreement. The agreements provided under this Section 12.8 supersede all prior agreements, understanding, representations, warranties, and negotiations between the parties about the subject matter of this Section 12.8.</w:t>
      </w:r>
    </w:p>
    <w:p>
      <w:pPr>
        <w:spacing w:after="0" w:line="126"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9"/>
          <w:szCs w:val="19"/>
          <w:b w:val="1"/>
          <w:bCs w:val="1"/>
          <w:color w:val="auto"/>
        </w:rPr>
        <w:t xml:space="preserve">12.9 Right of Set Off. </w:t>
      </w:r>
      <w:r>
        <w:rPr>
          <w:rFonts w:ascii="Arial" w:cs="Arial" w:eastAsia="Arial" w:hAnsi="Arial"/>
          <w:sz w:val="19"/>
          <w:szCs w:val="19"/>
          <w:color w:val="auto"/>
        </w:rPr>
        <w:t>Borrower hereby grants to Collateral Agent and to each Lender, a Lien, security interest and right of set off</w:t>
      </w:r>
      <w:r>
        <w:rPr>
          <w:rFonts w:ascii="Arial" w:cs="Arial" w:eastAsia="Arial" w:hAnsi="Arial"/>
          <w:sz w:val="19"/>
          <w:szCs w:val="19"/>
          <w:b w:val="1"/>
          <w:bCs w:val="1"/>
          <w:color w:val="auto"/>
        </w:rPr>
        <w:t xml:space="preserve"> </w:t>
      </w:r>
      <w:r>
        <w:rPr>
          <w:rFonts w:ascii="Arial" w:cs="Arial" w:eastAsia="Arial" w:hAnsi="Arial"/>
          <w:sz w:val="19"/>
          <w:szCs w:val="19"/>
          <w:color w:val="auto"/>
        </w:rPr>
        <w:t>as security for all Obligations to Secured Parties hereunder, whether now existing or hereafter arising upon and against all deposits, credits, collateral and property, now or hereafter in the possession, custody, safekeeping or control of any Secured Party or any entity under the control of such Secured Party (including a Collateral Agent Affiliate) or in transit to any of them. At any time after the occurrence and during the continuance of an Event of Default, without demand or notice, any Secured Party may set off the same or any part thereof and apply the same to any liability or obligation of Borrower even though unmatured and regardless of the adequacy of any other collateral securing the Obligations. ANY AND ALL RIGHTS TO REQUIRE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 BY BORROWER.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41</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62"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9"/>
          <w:szCs w:val="19"/>
          <w:b w:val="1"/>
          <w:bCs w:val="1"/>
          <w:color w:val="auto"/>
        </w:rPr>
        <w:t xml:space="preserve">12.10 Cooperation of Borrower. </w:t>
      </w:r>
      <w:r>
        <w:rPr>
          <w:rFonts w:ascii="Arial" w:cs="Arial" w:eastAsia="Arial" w:hAnsi="Arial"/>
          <w:sz w:val="19"/>
          <w:szCs w:val="19"/>
          <w:color w:val="auto"/>
        </w:rPr>
        <w:t>If necessary, Borrower agrees to (i) execute any documents reasonably required to effectuate and</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 each assignment of a Term Loan Commitment (or portion thereof) or Term Loan (or portion thereof) to an assignee in accordance with Section 12.1, (ii) make Borrower’s management personnel available to meet with Collateral Agent and prospective participants and assignees of Term Loan Commitments, the Term Loans or portions thereof (which meetings shall be conducted no more often than twice every twelve months unless an Event of Default has occurred and is continuing), and (iii) assist Collateral Agent and the Lenders in the preparation of information relating to the financial affairs of Borrower for any prospective participant or assignee of a Term Loan Commitment (or portions thereof) or Term Loan (or portions thereof) as Collateral Agent or such Lender may reasonably may request. Subject to the provisions of Section 12.8, Borrower authorizes each Lender to disclose to any prospective participant or assignee of a Term Loan Commitment (or portions thereof), any and all information in such Lender’s possession concerning Borrower and its financial affairs which has been delivered to such Lender by or on behalf of Borrower pursuant to this Agreement, or which has been delivered to such Lender by or on behalf of Borrower in connection with such Lender’s credit evaluation of Borrower prior to entering into this Agreement, in each case subject to Section 12.8.</w:t>
      </w:r>
    </w:p>
    <w:p>
      <w:pPr>
        <w:spacing w:after="0" w:line="130"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b w:val="1"/>
          <w:bCs w:val="1"/>
          <w:color w:val="auto"/>
        </w:rPr>
        <w:t xml:space="preserve">12.11 Public Announcement. </w:t>
      </w:r>
      <w:r>
        <w:rPr>
          <w:rFonts w:ascii="Arial" w:cs="Arial" w:eastAsia="Arial" w:hAnsi="Arial"/>
          <w:sz w:val="20"/>
          <w:szCs w:val="20"/>
          <w:color w:val="auto"/>
        </w:rPr>
        <w:t>Collateral Agent and each Lender may, with the prior written consent of Borrower (which consent</w:t>
      </w:r>
      <w:r>
        <w:rPr>
          <w:rFonts w:ascii="Arial" w:cs="Arial" w:eastAsia="Arial" w:hAnsi="Arial"/>
          <w:sz w:val="20"/>
          <w:szCs w:val="20"/>
          <w:b w:val="1"/>
          <w:bCs w:val="1"/>
          <w:color w:val="auto"/>
        </w:rPr>
        <w:t xml:space="preserve"> </w:t>
      </w:r>
      <w:r>
        <w:rPr>
          <w:rFonts w:ascii="Arial" w:cs="Arial" w:eastAsia="Arial" w:hAnsi="Arial"/>
          <w:sz w:val="20"/>
          <w:szCs w:val="20"/>
          <w:color w:val="auto"/>
        </w:rPr>
        <w:t>may not be unreasonably conditioned, withheld or delayed), make a public announcement of the transactions contemplated by this Agreement, and may publicize the same in marketing materials, newspapers and other publications, and otherwise, and in connection therewith may use Borrower’s name, tradenames and logos. Notwithstanding the foregoing, such prior written consent from Borrower shall not be required for any disclosures by Collateral Agent or the Lenders required by the Securities and Exchange Commission or other governmental agency and any other public disclosure with investors, other governmental agencies or other related persons, in each case, subject to applicable law and regulations.</w:t>
      </w:r>
    </w:p>
    <w:p>
      <w:pPr>
        <w:spacing w:after="0" w:line="13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b w:val="1"/>
          <w:bCs w:val="1"/>
          <w:color w:val="auto"/>
        </w:rPr>
        <w:t xml:space="preserve">12.12 Collateral Agent and Lender Agreement. </w:t>
      </w:r>
      <w:r>
        <w:rPr>
          <w:rFonts w:ascii="Arial" w:cs="Arial" w:eastAsia="Arial" w:hAnsi="Arial"/>
          <w:sz w:val="18"/>
          <w:szCs w:val="18"/>
          <w:color w:val="auto"/>
        </w:rPr>
        <w:t>Collateral Agent and each Lender hereby agree to the terms and conditions set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Borrower acknowledges and agrees to the terms and conditions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10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12.13</w:t>
      </w:r>
      <w:r>
        <w:rPr>
          <w:sz w:val="20"/>
          <w:szCs w:val="20"/>
          <w:color w:val="auto"/>
        </w:rPr>
        <w:tab/>
      </w:r>
      <w:r>
        <w:rPr>
          <w:rFonts w:ascii="Arial" w:cs="Arial" w:eastAsia="Arial" w:hAnsi="Arial"/>
          <w:sz w:val="16"/>
          <w:szCs w:val="16"/>
          <w:b w:val="1"/>
          <w:bCs w:val="1"/>
          <w:color w:val="auto"/>
        </w:rPr>
        <w:t xml:space="preserve">Time of Essence. </w:t>
      </w:r>
      <w:r>
        <w:rPr>
          <w:rFonts w:ascii="Arial" w:cs="Arial" w:eastAsia="Arial" w:hAnsi="Arial"/>
          <w:sz w:val="16"/>
          <w:szCs w:val="16"/>
          <w:color w:val="auto"/>
        </w:rPr>
        <w:t>Time is of the essence for the performance of Obligations under this Agreement.</w:t>
      </w:r>
    </w:p>
    <w:p>
      <w:pPr>
        <w:spacing w:after="0" w:line="148"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9"/>
          <w:szCs w:val="19"/>
          <w:b w:val="1"/>
          <w:bCs w:val="1"/>
          <w:color w:val="auto"/>
        </w:rPr>
        <w:t xml:space="preserve">12.14 Termination Prior to Maturity Date; Survival. </w:t>
      </w:r>
      <w:r>
        <w:rPr>
          <w:rFonts w:ascii="Arial" w:cs="Arial" w:eastAsia="Arial" w:hAnsi="Arial"/>
          <w:sz w:val="19"/>
          <w:szCs w:val="19"/>
          <w:color w:val="auto"/>
        </w:rPr>
        <w:t>All covenants, representations and warranties made in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 in full force until this Agreement has terminated pursuant to its terms and all Obligations have been satisfied (other than (a) inchoate indemnity obligations, and (b) other obligations that, by their terms, survive termination of this Agreement, in each case, for which no claim has been made). So long as Borrower has satisfied the Obligations (other than (a) inchoate indemnity obligations, and (b) other obligations that, by their terms, survive termination of this Agreement, in each case, for which no claim has been made) in accordance with the terms of this Agreement, this Agreement may be terminated prior to the Maturity Date by Borrower, effective three (3) Business Days after written notice of termination is given to the Collateral Agent and the Lenders.</w:t>
      </w:r>
    </w:p>
    <w:p>
      <w:pPr>
        <w:spacing w:after="0" w:line="14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9"/>
          <w:szCs w:val="19"/>
          <w:b w:val="1"/>
          <w:bCs w:val="1"/>
          <w:color w:val="auto"/>
        </w:rPr>
        <w:t>12.15</w:t>
      </w:r>
      <w:r>
        <w:rPr>
          <w:sz w:val="20"/>
          <w:szCs w:val="20"/>
          <w:color w:val="auto"/>
        </w:rPr>
        <w:tab/>
      </w:r>
      <w:r>
        <w:rPr>
          <w:rFonts w:ascii="Arial" w:cs="Arial" w:eastAsia="Arial" w:hAnsi="Arial"/>
          <w:sz w:val="18"/>
          <w:szCs w:val="18"/>
          <w:b w:val="1"/>
          <w:bCs w:val="1"/>
          <w:color w:val="auto"/>
        </w:rPr>
        <w:t>Electronic Execution of Certain Other Documents</w:t>
      </w:r>
      <w:r>
        <w:rPr>
          <w:rFonts w:ascii="Arial" w:cs="Arial" w:eastAsia="Arial" w:hAnsi="Arial"/>
          <w:sz w:val="18"/>
          <w:szCs w:val="18"/>
          <w:color w:val="auto"/>
        </w:rPr>
        <w:t>. The words “execution,” “execute”, “signed,” “signature,” and words of</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9"/>
          <w:szCs w:val="19"/>
          <w:color w:val="auto"/>
        </w:rPr>
        <w:t>like import 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Collateral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Balance of Page Intentionally Left Blank</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ectPr>
          <w:pgSz w:w="11900" w:h="16838" w:orient="portrait"/>
          <w:cols w:equalWidth="0" w:num="1">
            <w:col w:w="11240"/>
          </w:cols>
          <w:pgMar w:left="320" w:top="1440" w:right="339" w:bottom="1440" w:gutter="0" w:footer="0" w:header="0"/>
        </w:sectPr>
      </w:pPr>
    </w:p>
    <w:bookmarkStart w:id="113" w:name="page114"/>
    <w:bookmarkEnd w:id="113"/>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executed as of the Effective Date.</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BORROWER:</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20"/>
          <w:szCs w:val="20"/>
          <w:color w:val="auto"/>
        </w:rPr>
        <w:t>ARDELYX, INC.</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 /s/ Justin A. Renz</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 Justin A. Renz</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Title: CFO</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COLLATERAL AGENT AND LENDER:</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20"/>
          <w:szCs w:val="20"/>
          <w:color w:val="auto"/>
        </w:rPr>
        <w:t>SLR INVESTMENT CORP.</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 /s/ Anthony Storino</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 Anthony Storino</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[Signature Page to Loan and Security Agreement]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EAST\188087115.8</w:t>
      </w:r>
    </w:p>
    <w:p>
      <w:pPr>
        <w:sectPr>
          <w:pgSz w:w="11900" w:h="16838" w:orient="portrait"/>
          <w:cols w:equalWidth="0" w:num="1">
            <w:col w:w="10139"/>
          </w:cols>
          <w:pgMar w:left="320" w:top="1399" w:right="1440" w:bottom="1440" w:gutter="0" w:footer="0" w:header="0"/>
        </w:sectPr>
      </w:pPr>
    </w:p>
    <w:bookmarkStart w:id="114" w:name="page115"/>
    <w:bookmarkEnd w:id="114"/>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LENDERS: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SLR SENIOR INVESTMENT CORP.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Anthony Storino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Anthony Storino</w:t>
      </w:r>
    </w:p>
    <w:p>
      <w:pPr>
        <w:spacing w:after="0"/>
        <w:rPr>
          <w:sz w:val="20"/>
          <w:szCs w:val="20"/>
          <w:color w:val="auto"/>
        </w:rPr>
      </w:pPr>
      <w:r>
        <w:rPr>
          <w:rFonts w:ascii="Arial" w:cs="Arial" w:eastAsia="Arial" w:hAnsi="Arial"/>
          <w:sz w:val="20"/>
          <w:szCs w:val="20"/>
          <w:color w:val="auto"/>
        </w:rPr>
        <w:t>Title: Authorized Signatory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SCP PRIVATE CREDIT INCOME FUND SPV, LLC</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Anthony Storino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Anthony Storino</w:t>
      </w:r>
    </w:p>
    <w:p>
      <w:pPr>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SCP PRIVATE CREDIT INCOME BDC SPV LLC</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Anthony Storino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Anthony Storino</w:t>
      </w:r>
    </w:p>
    <w:p>
      <w:pPr>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SCP PRIVATE CORPORATE LENDING FUND SPV LLC</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Anthony Storino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Anthony Storino</w:t>
      </w:r>
    </w:p>
    <w:p>
      <w:pPr>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SCP SF DEBT FUND 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Anthony Storino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Anthony Storino</w:t>
      </w:r>
    </w:p>
    <w:p>
      <w:pPr>
        <w:spacing w:after="0"/>
        <w:rPr>
          <w:sz w:val="20"/>
          <w:szCs w:val="20"/>
          <w:color w:val="auto"/>
        </w:rPr>
      </w:pPr>
      <w:r>
        <w:rPr>
          <w:rFonts w:ascii="Arial" w:cs="Arial" w:eastAsia="Arial" w:hAnsi="Arial"/>
          <w:sz w:val="20"/>
          <w:szCs w:val="20"/>
          <w:color w:val="auto"/>
        </w:rPr>
        <w:t>Title: Authorized Signatory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SLR HC FUND SPV, LLC</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Anthony Storino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Anthony Storino</w:t>
      </w:r>
    </w:p>
    <w:p>
      <w:pPr>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SLR HC BDC LLC</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Anthony Storino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Anthony Storino</w:t>
      </w:r>
    </w:p>
    <w:p>
      <w:pPr>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820"/>
        <w:spacing w:after="0"/>
        <w:rPr>
          <w:sz w:val="20"/>
          <w:szCs w:val="20"/>
          <w:color w:val="auto"/>
        </w:rPr>
      </w:pPr>
      <w:r>
        <w:rPr>
          <w:rFonts w:ascii="Arial" w:cs="Arial" w:eastAsia="Arial" w:hAnsi="Arial"/>
          <w:sz w:val="16"/>
          <w:szCs w:val="16"/>
          <w:color w:val="auto"/>
        </w:rPr>
        <w:t>[Signature Page to Loan and Security Agreement]</w:t>
      </w:r>
    </w:p>
    <w:p>
      <w:pPr>
        <w:sectPr>
          <w:pgSz w:w="11900" w:h="16838" w:orient="portrait"/>
          <w:cols w:equalWidth="0" w:num="1">
            <w:col w:w="10139"/>
          </w:cols>
          <w:pgMar w:left="320" w:top="1440" w:right="1440" w:bottom="1440" w:gutter="0" w:footer="0" w:header="0"/>
          <w:type w:val="continuous"/>
        </w:sectPr>
      </w:pPr>
    </w:p>
    <w:bookmarkStart w:id="115" w:name="page116"/>
    <w:bookmarkEnd w:id="115"/>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SCHEDULE 1.1</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Lenders and Commitments</w:t>
      </w: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Term A Loans</w:t>
      </w:r>
    </w:p>
    <w:p>
      <w:pPr>
        <w:spacing w:after="0" w:line="22"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Lender</w:t>
            </w:r>
          </w:p>
        </w:tc>
        <w:tc>
          <w:tcPr>
            <w:tcW w:w="3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Term A Loan Commitment</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Commitment Percentage</w:t>
            </w:r>
          </w:p>
        </w:tc>
      </w:tr>
      <w:tr>
        <w:trPr>
          <w:trHeight w:val="236"/>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SLR INVESTMENT CORP.</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$7,846,125.90</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28.53%</w:t>
            </w:r>
          </w:p>
        </w:tc>
      </w:tr>
      <w:tr>
        <w:trPr>
          <w:trHeight w:val="237"/>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SLR SENIOR INVESTMENT CORP.</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$1,629,125.26</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5.92%</w:t>
            </w:r>
          </w:p>
        </w:tc>
      </w:tr>
      <w:tr>
        <w:trPr>
          <w:trHeight w:val="183"/>
        </w:trPr>
        <w:tc>
          <w:tcPr>
            <w:tcW w:w="376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SCP PRIVATE CREDIT INCOME FUND</w:t>
            </w:r>
          </w:p>
        </w:tc>
        <w:tc>
          <w:tcPr>
            <w:tcW w:w="37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9"/>
              </w:rPr>
              <w:t>$4,449,548.38</w:t>
            </w:r>
          </w:p>
        </w:tc>
        <w:tc>
          <w:tcPr>
            <w:tcW w:w="37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91"/>
              </w:rPr>
              <w:t>16.18%</w:t>
            </w:r>
          </w:p>
        </w:tc>
      </w:tr>
      <w:tr>
        <w:trPr>
          <w:trHeight w:val="24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SPV, LLC</w:t>
            </w:r>
          </w:p>
        </w:tc>
        <w:tc>
          <w:tcPr>
            <w:tcW w:w="3780" w:type="dxa"/>
            <w:vAlign w:val="bottom"/>
            <w:tcBorders>
              <w:bottom w:val="single" w:sz="8" w:color="auto"/>
              <w:right w:val="single" w:sz="8" w:color="auto"/>
            </w:tcBorders>
          </w:tcPr>
          <w:p>
            <w:pPr>
              <w:spacing w:after="0"/>
              <w:rPr>
                <w:sz w:val="21"/>
                <w:szCs w:val="21"/>
                <w:color w:val="auto"/>
              </w:rPr>
            </w:pPr>
          </w:p>
        </w:tc>
        <w:tc>
          <w:tcPr>
            <w:tcW w:w="3720" w:type="dxa"/>
            <w:vAlign w:val="bottom"/>
            <w:tcBorders>
              <w:bottom w:val="single" w:sz="8" w:color="auto"/>
              <w:right w:val="single" w:sz="8" w:color="auto"/>
            </w:tcBorders>
          </w:tcPr>
          <w:p>
            <w:pPr>
              <w:spacing w:after="0"/>
              <w:rPr>
                <w:sz w:val="21"/>
                <w:szCs w:val="21"/>
                <w:color w:val="auto"/>
              </w:rPr>
            </w:pPr>
          </w:p>
        </w:tc>
      </w:tr>
      <w:tr>
        <w:trPr>
          <w:trHeight w:val="183"/>
        </w:trPr>
        <w:tc>
          <w:tcPr>
            <w:tcW w:w="376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SCP PRIVATE CREDIT INCOME BDC</w:t>
            </w:r>
          </w:p>
        </w:tc>
        <w:tc>
          <w:tcPr>
            <w:tcW w:w="37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9"/>
              </w:rPr>
              <w:t>$3,319,342.73</w:t>
            </w:r>
          </w:p>
        </w:tc>
        <w:tc>
          <w:tcPr>
            <w:tcW w:w="37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91"/>
              </w:rPr>
              <w:t>12.07%</w:t>
            </w:r>
          </w:p>
        </w:tc>
      </w:tr>
      <w:tr>
        <w:trPr>
          <w:trHeight w:val="24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SPV LLC</w:t>
            </w:r>
          </w:p>
        </w:tc>
        <w:tc>
          <w:tcPr>
            <w:tcW w:w="3780" w:type="dxa"/>
            <w:vAlign w:val="bottom"/>
            <w:tcBorders>
              <w:bottom w:val="single" w:sz="8" w:color="auto"/>
              <w:right w:val="single" w:sz="8" w:color="auto"/>
            </w:tcBorders>
          </w:tcPr>
          <w:p>
            <w:pPr>
              <w:spacing w:after="0"/>
              <w:rPr>
                <w:sz w:val="21"/>
                <w:szCs w:val="21"/>
                <w:color w:val="auto"/>
              </w:rPr>
            </w:pPr>
          </w:p>
        </w:tc>
        <w:tc>
          <w:tcPr>
            <w:tcW w:w="3720" w:type="dxa"/>
            <w:vAlign w:val="bottom"/>
            <w:tcBorders>
              <w:bottom w:val="single" w:sz="8" w:color="auto"/>
              <w:right w:val="single" w:sz="8" w:color="auto"/>
            </w:tcBorders>
          </w:tcPr>
          <w:p>
            <w:pPr>
              <w:spacing w:after="0"/>
              <w:rPr>
                <w:sz w:val="21"/>
                <w:szCs w:val="21"/>
                <w:color w:val="auto"/>
              </w:rPr>
            </w:pPr>
          </w:p>
        </w:tc>
      </w:tr>
      <w:tr>
        <w:trPr>
          <w:trHeight w:val="183"/>
        </w:trPr>
        <w:tc>
          <w:tcPr>
            <w:tcW w:w="376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SCP PRIVATE CORPORATE LENDING</w:t>
            </w:r>
          </w:p>
        </w:tc>
        <w:tc>
          <w:tcPr>
            <w:tcW w:w="37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9"/>
              </w:rPr>
              <w:t>$4,321,998.05</w:t>
            </w:r>
          </w:p>
        </w:tc>
        <w:tc>
          <w:tcPr>
            <w:tcW w:w="37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91"/>
              </w:rPr>
              <w:t>15.72%</w:t>
            </w:r>
          </w:p>
        </w:tc>
      </w:tr>
      <w:tr>
        <w:trPr>
          <w:trHeight w:val="24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FUND SPV LLC</w:t>
            </w:r>
          </w:p>
        </w:tc>
        <w:tc>
          <w:tcPr>
            <w:tcW w:w="3780" w:type="dxa"/>
            <w:vAlign w:val="bottom"/>
            <w:tcBorders>
              <w:bottom w:val="single" w:sz="8" w:color="auto"/>
              <w:right w:val="single" w:sz="8" w:color="auto"/>
            </w:tcBorders>
          </w:tcPr>
          <w:p>
            <w:pPr>
              <w:spacing w:after="0"/>
              <w:rPr>
                <w:sz w:val="21"/>
                <w:szCs w:val="21"/>
                <w:color w:val="auto"/>
              </w:rPr>
            </w:pPr>
          </w:p>
        </w:tc>
        <w:tc>
          <w:tcPr>
            <w:tcW w:w="3720" w:type="dxa"/>
            <w:vAlign w:val="bottom"/>
            <w:tcBorders>
              <w:bottom w:val="single" w:sz="8" w:color="auto"/>
              <w:right w:val="single" w:sz="8" w:color="auto"/>
            </w:tcBorders>
          </w:tcPr>
          <w:p>
            <w:pPr>
              <w:spacing w:after="0"/>
              <w:rPr>
                <w:sz w:val="21"/>
                <w:szCs w:val="21"/>
                <w:color w:val="auto"/>
              </w:rPr>
            </w:pPr>
          </w:p>
        </w:tc>
      </w:tr>
      <w:tr>
        <w:trPr>
          <w:trHeight w:val="237"/>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SCP SF DEBT FUND L.P.</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$1,038,567.36</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3.78%</w:t>
            </w:r>
          </w:p>
        </w:tc>
      </w:tr>
      <w:tr>
        <w:trPr>
          <w:trHeight w:val="236"/>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SLR HC FUND SPV, LLC</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$4,044,074.37</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14.71%</w:t>
            </w:r>
          </w:p>
        </w:tc>
      </w:tr>
      <w:tr>
        <w:trPr>
          <w:trHeight w:val="237"/>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SLR HC BDC LLC</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$851,217.95</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3.10%</w:t>
            </w:r>
          </w:p>
        </w:tc>
      </w:tr>
      <w:tr>
        <w:trPr>
          <w:trHeight w:val="237"/>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rPr>
              <w:t>TOTAL</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$27,500,000</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100.00%</w:t>
            </w:r>
          </w:p>
        </w:tc>
      </w:tr>
      <w:tr>
        <w:trPr>
          <w:trHeight w:val="497"/>
        </w:trPr>
        <w:tc>
          <w:tcPr>
            <w:tcW w:w="376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Arial" w:cs="Arial" w:eastAsia="Arial" w:hAnsi="Arial"/>
                <w:sz w:val="20"/>
                <w:szCs w:val="20"/>
                <w:b w:val="1"/>
                <w:bCs w:val="1"/>
                <w:color w:val="auto"/>
                <w:w w:val="89"/>
              </w:rPr>
              <w:t>Term B Loans</w:t>
            </w:r>
          </w:p>
        </w:tc>
        <w:tc>
          <w:tcPr>
            <w:tcW w:w="3720" w:type="dxa"/>
            <w:vAlign w:val="bottom"/>
          </w:tcPr>
          <w:p>
            <w:pPr>
              <w:spacing w:after="0"/>
              <w:rPr>
                <w:sz w:val="24"/>
                <w:szCs w:val="24"/>
                <w:color w:val="auto"/>
              </w:rPr>
            </w:pPr>
          </w:p>
        </w:tc>
      </w:tr>
      <w:tr>
        <w:trPr>
          <w:trHeight w:val="239"/>
        </w:trPr>
        <w:tc>
          <w:tcPr>
            <w:tcW w:w="37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tcPr>
          <w:p>
            <w:pPr>
              <w:spacing w:after="0"/>
              <w:rPr>
                <w:sz w:val="20"/>
                <w:szCs w:val="20"/>
                <w:color w:val="auto"/>
              </w:rPr>
            </w:pPr>
          </w:p>
        </w:tc>
      </w:tr>
      <w:tr>
        <w:trPr>
          <w:trHeight w:val="237"/>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Lender</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Term B Loan Commitment</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Commitment Percentage</w:t>
            </w:r>
          </w:p>
        </w:tc>
      </w:tr>
      <w:tr>
        <w:trPr>
          <w:trHeight w:val="236"/>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SLR INVESTMENT CORP.</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$6,419,557.56</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28.53%</w:t>
            </w:r>
          </w:p>
        </w:tc>
      </w:tr>
      <w:tr>
        <w:trPr>
          <w:trHeight w:val="237"/>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SLR SENIOR INVESTMENT CORP.</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$1,332,920.67</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5.92%</w:t>
            </w:r>
          </w:p>
        </w:tc>
      </w:tr>
      <w:tr>
        <w:trPr>
          <w:trHeight w:val="183"/>
        </w:trPr>
        <w:tc>
          <w:tcPr>
            <w:tcW w:w="376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SCP PRIVATE CREDIT INCOME FUND</w:t>
            </w:r>
          </w:p>
        </w:tc>
        <w:tc>
          <w:tcPr>
            <w:tcW w:w="37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9"/>
              </w:rPr>
              <w:t>$3,640,539.58</w:t>
            </w:r>
          </w:p>
        </w:tc>
        <w:tc>
          <w:tcPr>
            <w:tcW w:w="37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8"/>
              </w:rPr>
              <w:t>16.18%</w:t>
            </w:r>
          </w:p>
        </w:tc>
      </w:tr>
      <w:tr>
        <w:trPr>
          <w:trHeight w:val="24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SPV, LLC</w:t>
            </w:r>
          </w:p>
        </w:tc>
        <w:tc>
          <w:tcPr>
            <w:tcW w:w="3780" w:type="dxa"/>
            <w:vAlign w:val="bottom"/>
            <w:tcBorders>
              <w:bottom w:val="single" w:sz="8" w:color="auto"/>
              <w:right w:val="single" w:sz="8" w:color="auto"/>
            </w:tcBorders>
          </w:tcPr>
          <w:p>
            <w:pPr>
              <w:spacing w:after="0"/>
              <w:rPr>
                <w:sz w:val="21"/>
                <w:szCs w:val="21"/>
                <w:color w:val="auto"/>
              </w:rPr>
            </w:pPr>
          </w:p>
        </w:tc>
        <w:tc>
          <w:tcPr>
            <w:tcW w:w="3720" w:type="dxa"/>
            <w:vAlign w:val="bottom"/>
            <w:tcBorders>
              <w:bottom w:val="single" w:sz="8" w:color="auto"/>
              <w:right w:val="single" w:sz="8" w:color="auto"/>
            </w:tcBorders>
          </w:tcPr>
          <w:p>
            <w:pPr>
              <w:spacing w:after="0"/>
              <w:rPr>
                <w:sz w:val="21"/>
                <w:szCs w:val="21"/>
                <w:color w:val="auto"/>
              </w:rPr>
            </w:pPr>
          </w:p>
        </w:tc>
      </w:tr>
      <w:tr>
        <w:trPr>
          <w:trHeight w:val="183"/>
        </w:trPr>
        <w:tc>
          <w:tcPr>
            <w:tcW w:w="376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SCP PRIVATE CREDIT INCOME BDC</w:t>
            </w:r>
          </w:p>
        </w:tc>
        <w:tc>
          <w:tcPr>
            <w:tcW w:w="37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9"/>
              </w:rPr>
              <w:t>$2,715,825.87</w:t>
            </w:r>
          </w:p>
        </w:tc>
        <w:tc>
          <w:tcPr>
            <w:tcW w:w="37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8"/>
              </w:rPr>
              <w:t>12.07%</w:t>
            </w:r>
          </w:p>
        </w:tc>
      </w:tr>
      <w:tr>
        <w:trPr>
          <w:trHeight w:val="24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SPV LLC</w:t>
            </w:r>
          </w:p>
        </w:tc>
        <w:tc>
          <w:tcPr>
            <w:tcW w:w="3780" w:type="dxa"/>
            <w:vAlign w:val="bottom"/>
            <w:tcBorders>
              <w:bottom w:val="single" w:sz="8" w:color="auto"/>
              <w:right w:val="single" w:sz="8" w:color="auto"/>
            </w:tcBorders>
          </w:tcPr>
          <w:p>
            <w:pPr>
              <w:spacing w:after="0"/>
              <w:rPr>
                <w:sz w:val="21"/>
                <w:szCs w:val="21"/>
                <w:color w:val="auto"/>
              </w:rPr>
            </w:pPr>
          </w:p>
        </w:tc>
        <w:tc>
          <w:tcPr>
            <w:tcW w:w="3720" w:type="dxa"/>
            <w:vAlign w:val="bottom"/>
            <w:tcBorders>
              <w:bottom w:val="single" w:sz="8" w:color="auto"/>
              <w:right w:val="single" w:sz="8" w:color="auto"/>
            </w:tcBorders>
          </w:tcPr>
          <w:p>
            <w:pPr>
              <w:spacing w:after="0"/>
              <w:rPr>
                <w:sz w:val="21"/>
                <w:szCs w:val="21"/>
                <w:color w:val="auto"/>
              </w:rPr>
            </w:pPr>
          </w:p>
        </w:tc>
      </w:tr>
      <w:tr>
        <w:trPr>
          <w:trHeight w:val="183"/>
        </w:trPr>
        <w:tc>
          <w:tcPr>
            <w:tcW w:w="376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SCP PRIVATE CORPORATE LENDING</w:t>
            </w:r>
          </w:p>
        </w:tc>
        <w:tc>
          <w:tcPr>
            <w:tcW w:w="37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9"/>
              </w:rPr>
              <w:t>$3,536,180.22</w:t>
            </w:r>
          </w:p>
        </w:tc>
        <w:tc>
          <w:tcPr>
            <w:tcW w:w="37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8"/>
              </w:rPr>
              <w:t>15.72%</w:t>
            </w:r>
          </w:p>
        </w:tc>
      </w:tr>
      <w:tr>
        <w:trPr>
          <w:trHeight w:val="24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FUND SPV LLC</w:t>
            </w:r>
          </w:p>
        </w:tc>
        <w:tc>
          <w:tcPr>
            <w:tcW w:w="3780" w:type="dxa"/>
            <w:vAlign w:val="bottom"/>
            <w:tcBorders>
              <w:bottom w:val="single" w:sz="8" w:color="auto"/>
              <w:right w:val="single" w:sz="8" w:color="auto"/>
            </w:tcBorders>
          </w:tcPr>
          <w:p>
            <w:pPr>
              <w:spacing w:after="0"/>
              <w:rPr>
                <w:sz w:val="21"/>
                <w:szCs w:val="21"/>
                <w:color w:val="auto"/>
              </w:rPr>
            </w:pPr>
          </w:p>
        </w:tc>
        <w:tc>
          <w:tcPr>
            <w:tcW w:w="3720" w:type="dxa"/>
            <w:vAlign w:val="bottom"/>
            <w:tcBorders>
              <w:bottom w:val="single" w:sz="8" w:color="auto"/>
              <w:right w:val="single" w:sz="8" w:color="auto"/>
            </w:tcBorders>
          </w:tcPr>
          <w:p>
            <w:pPr>
              <w:spacing w:after="0"/>
              <w:rPr>
                <w:sz w:val="21"/>
                <w:szCs w:val="21"/>
                <w:color w:val="auto"/>
              </w:rPr>
            </w:pPr>
          </w:p>
        </w:tc>
      </w:tr>
      <w:tr>
        <w:trPr>
          <w:trHeight w:val="237"/>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SCP SF DEBT FUND L.P.</w:t>
            </w:r>
          </w:p>
        </w:tc>
        <w:tc>
          <w:tcPr>
            <w:tcW w:w="3780" w:type="dxa"/>
            <w:vAlign w:val="bottom"/>
            <w:tcBorders>
              <w:bottom w:val="single" w:sz="8" w:color="auto"/>
              <w:right w:val="single" w:sz="8" w:color="auto"/>
            </w:tcBorders>
          </w:tcPr>
          <w:p>
            <w:pPr>
              <w:jc w:val="center"/>
              <w:ind w:right="1"/>
              <w:spacing w:after="0"/>
              <w:rPr>
                <w:sz w:val="20"/>
                <w:szCs w:val="20"/>
                <w:color w:val="auto"/>
              </w:rPr>
            </w:pPr>
            <w:r>
              <w:rPr>
                <w:rFonts w:ascii="Arial" w:cs="Arial" w:eastAsia="Arial" w:hAnsi="Arial"/>
                <w:sz w:val="20"/>
                <w:szCs w:val="20"/>
                <w:color w:val="auto"/>
                <w:w w:val="89"/>
              </w:rPr>
              <w:t>$849,736.93</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3.78%</w:t>
            </w:r>
          </w:p>
        </w:tc>
      </w:tr>
      <w:tr>
        <w:trPr>
          <w:trHeight w:val="236"/>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SLR HC FUND SPV, LLC</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$3,308,788.12</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14.71%</w:t>
            </w:r>
          </w:p>
        </w:tc>
      </w:tr>
      <w:tr>
        <w:trPr>
          <w:trHeight w:val="237"/>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SLR HC BDC LLC</w:t>
            </w:r>
          </w:p>
        </w:tc>
        <w:tc>
          <w:tcPr>
            <w:tcW w:w="3780" w:type="dxa"/>
            <w:vAlign w:val="bottom"/>
            <w:tcBorders>
              <w:bottom w:val="single" w:sz="8" w:color="auto"/>
              <w:right w:val="single" w:sz="8" w:color="auto"/>
            </w:tcBorders>
          </w:tcPr>
          <w:p>
            <w:pPr>
              <w:jc w:val="center"/>
              <w:ind w:right="1"/>
              <w:spacing w:after="0"/>
              <w:rPr>
                <w:sz w:val="20"/>
                <w:szCs w:val="20"/>
                <w:color w:val="auto"/>
              </w:rPr>
            </w:pPr>
            <w:r>
              <w:rPr>
                <w:rFonts w:ascii="Arial" w:cs="Arial" w:eastAsia="Arial" w:hAnsi="Arial"/>
                <w:sz w:val="20"/>
                <w:szCs w:val="20"/>
                <w:color w:val="auto"/>
                <w:w w:val="89"/>
              </w:rPr>
              <w:t>$696,451.05</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3.10%</w:t>
            </w:r>
          </w:p>
        </w:tc>
      </w:tr>
      <w:tr>
        <w:trPr>
          <w:trHeight w:val="23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TOTAL</w:t>
            </w:r>
          </w:p>
        </w:tc>
        <w:tc>
          <w:tcPr>
            <w:tcW w:w="3780" w:type="dxa"/>
            <w:vAlign w:val="bottom"/>
            <w:tcBorders>
              <w:bottom w:val="single" w:sz="8" w:color="auto"/>
              <w:right w:val="single" w:sz="8" w:color="auto"/>
            </w:tcBorders>
          </w:tcPr>
          <w:p>
            <w:pPr>
              <w:jc w:val="center"/>
              <w:ind w:right="1"/>
              <w:spacing w:after="0"/>
              <w:rPr>
                <w:sz w:val="20"/>
                <w:szCs w:val="20"/>
                <w:color w:val="auto"/>
              </w:rPr>
            </w:pPr>
            <w:r>
              <w:rPr>
                <w:rFonts w:ascii="Arial" w:cs="Arial" w:eastAsia="Arial" w:hAnsi="Arial"/>
                <w:sz w:val="20"/>
                <w:szCs w:val="20"/>
                <w:b w:val="1"/>
                <w:bCs w:val="1"/>
                <w:color w:val="auto"/>
                <w:w w:val="89"/>
              </w:rPr>
              <w:t>$22,500,000</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100.00%</w:t>
            </w:r>
          </w:p>
        </w:tc>
      </w:tr>
    </w:tbl>
    <w:p>
      <w:pPr>
        <w:sectPr>
          <w:pgSz w:w="11900" w:h="16838" w:orient="portrait"/>
          <w:cols w:equalWidth="0" w:num="1">
            <w:col w:w="11260"/>
          </w:cols>
          <w:pgMar w:left="320" w:top="1440" w:right="319" w:bottom="1440" w:gutter="0" w:footer="0" w:header="0"/>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Aggregate (all Term Loans)</w:t>
      </w: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720" w:type="dxa"/>
            <w:vAlign w:val="bottom"/>
            <w:tcBorders>
              <w:top w:val="single" w:sz="8" w:color="auto"/>
              <w:left w:val="single" w:sz="8" w:color="auto"/>
              <w:bottom w:val="single" w:sz="8" w:color="auto"/>
              <w:right w:val="single" w:sz="8" w:color="auto"/>
            </w:tcBorders>
          </w:tcPr>
          <w:p>
            <w:pPr>
              <w:ind w:left="1560"/>
              <w:spacing w:after="0"/>
              <w:rPr>
                <w:sz w:val="20"/>
                <w:szCs w:val="20"/>
                <w:color w:val="auto"/>
              </w:rPr>
            </w:pPr>
            <w:r>
              <w:rPr>
                <w:rFonts w:ascii="Arial" w:cs="Arial" w:eastAsia="Arial" w:hAnsi="Arial"/>
                <w:sz w:val="20"/>
                <w:szCs w:val="20"/>
                <w:b w:val="1"/>
                <w:bCs w:val="1"/>
                <w:color w:val="auto"/>
              </w:rPr>
              <w:t>Lender</w:t>
            </w:r>
          </w:p>
        </w:tc>
        <w:tc>
          <w:tcPr>
            <w:tcW w:w="3780" w:type="dxa"/>
            <w:vAlign w:val="bottom"/>
            <w:tcBorders>
              <w:top w:val="single" w:sz="8" w:color="auto"/>
              <w:bottom w:val="single" w:sz="8" w:color="auto"/>
              <w:right w:val="single" w:sz="8" w:color="auto"/>
            </w:tcBorders>
          </w:tcPr>
          <w:p>
            <w:pPr>
              <w:ind w:left="820"/>
              <w:spacing w:after="0"/>
              <w:rPr>
                <w:sz w:val="20"/>
                <w:szCs w:val="20"/>
                <w:color w:val="auto"/>
              </w:rPr>
            </w:pPr>
            <w:r>
              <w:rPr>
                <w:rFonts w:ascii="Arial" w:cs="Arial" w:eastAsia="Arial" w:hAnsi="Arial"/>
                <w:sz w:val="20"/>
                <w:szCs w:val="20"/>
                <w:b w:val="1"/>
                <w:bCs w:val="1"/>
                <w:color w:val="auto"/>
              </w:rPr>
              <w:t>Term Loan Commitment</w:t>
            </w:r>
          </w:p>
        </w:tc>
        <w:tc>
          <w:tcPr>
            <w:tcW w:w="3760" w:type="dxa"/>
            <w:vAlign w:val="bottom"/>
            <w:tcBorders>
              <w:top w:val="single" w:sz="8" w:color="auto"/>
              <w:bottom w:val="single" w:sz="8" w:color="auto"/>
              <w:right w:val="single" w:sz="8" w:color="auto"/>
            </w:tcBorders>
          </w:tcPr>
          <w:p>
            <w:pPr>
              <w:ind w:left="820"/>
              <w:spacing w:after="0"/>
              <w:rPr>
                <w:sz w:val="20"/>
                <w:szCs w:val="20"/>
                <w:color w:val="auto"/>
              </w:rPr>
            </w:pPr>
            <w:r>
              <w:rPr>
                <w:rFonts w:ascii="Arial" w:cs="Arial" w:eastAsia="Arial" w:hAnsi="Arial"/>
                <w:sz w:val="20"/>
                <w:szCs w:val="20"/>
                <w:b w:val="1"/>
                <w:bCs w:val="1"/>
                <w:color w:val="auto"/>
              </w:rPr>
              <w:t>Commitment Percentage</w:t>
            </w:r>
          </w:p>
        </w:tc>
      </w:tr>
      <w:tr>
        <w:trPr>
          <w:trHeight w:val="196"/>
        </w:trPr>
        <w:tc>
          <w:tcPr>
            <w:tcW w:w="3720" w:type="dxa"/>
            <w:vAlign w:val="bottom"/>
            <w:tcBorders>
              <w:left w:val="single" w:sz="8" w:color="auto"/>
              <w:bottom w:val="single" w:sz="8" w:color="auto"/>
              <w:right w:val="single" w:sz="8" w:color="auto"/>
            </w:tcBorders>
          </w:tcPr>
          <w:p>
            <w:pPr>
              <w:spacing w:after="0"/>
              <w:rPr>
                <w:sz w:val="17"/>
                <w:szCs w:val="17"/>
                <w:color w:val="auto"/>
              </w:rPr>
            </w:pPr>
          </w:p>
        </w:tc>
        <w:tc>
          <w:tcPr>
            <w:tcW w:w="3780" w:type="dxa"/>
            <w:vAlign w:val="bottom"/>
            <w:tcBorders>
              <w:bottom w:val="single" w:sz="8" w:color="auto"/>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r>
      <w:tr>
        <w:trPr>
          <w:trHeight w:val="237"/>
        </w:trPr>
        <w:tc>
          <w:tcPr>
            <w:tcW w:w="3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SLR INVESTMENT CORP.</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$14,265,683.46</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28.53%</w:t>
            </w:r>
          </w:p>
        </w:tc>
      </w:tr>
      <w:tr>
        <w:trPr>
          <w:trHeight w:val="236"/>
        </w:trPr>
        <w:tc>
          <w:tcPr>
            <w:tcW w:w="3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SLR SENIOR INVESTMENT CORP.</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$2,962,045.93</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5.92%</w:t>
            </w:r>
          </w:p>
        </w:tc>
      </w:tr>
      <w:tr>
        <w:trPr>
          <w:trHeight w:val="183"/>
        </w:trPr>
        <w:tc>
          <w:tcPr>
            <w:tcW w:w="37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SCP PRIVATE CREDIT INCOME FUND</w:t>
            </w:r>
          </w:p>
        </w:tc>
        <w:tc>
          <w:tcPr>
            <w:tcW w:w="37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9"/>
              </w:rPr>
              <w:t>$8,090,087.96</w:t>
            </w:r>
          </w:p>
        </w:tc>
        <w:tc>
          <w:tcPr>
            <w:tcW w:w="37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8"/>
              </w:rPr>
              <w:t>16.18%</w:t>
            </w:r>
          </w:p>
        </w:tc>
      </w:tr>
      <w:tr>
        <w:trPr>
          <w:trHeight w:val="243"/>
        </w:trPr>
        <w:tc>
          <w:tcPr>
            <w:tcW w:w="3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SPV, LLC</w:t>
            </w:r>
          </w:p>
        </w:tc>
        <w:tc>
          <w:tcPr>
            <w:tcW w:w="378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r>
      <w:tr>
        <w:trPr>
          <w:trHeight w:val="183"/>
        </w:trPr>
        <w:tc>
          <w:tcPr>
            <w:tcW w:w="37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SCP PRIVATE CREDIT INCOME BDC</w:t>
            </w:r>
          </w:p>
        </w:tc>
        <w:tc>
          <w:tcPr>
            <w:tcW w:w="37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9"/>
              </w:rPr>
              <w:t>$6,035,168.60</w:t>
            </w:r>
          </w:p>
        </w:tc>
        <w:tc>
          <w:tcPr>
            <w:tcW w:w="37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8"/>
              </w:rPr>
              <w:t>12.07%</w:t>
            </w:r>
          </w:p>
        </w:tc>
      </w:tr>
      <w:tr>
        <w:trPr>
          <w:trHeight w:val="243"/>
        </w:trPr>
        <w:tc>
          <w:tcPr>
            <w:tcW w:w="3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SPV LLC</w:t>
            </w:r>
          </w:p>
        </w:tc>
        <w:tc>
          <w:tcPr>
            <w:tcW w:w="378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r>
      <w:tr>
        <w:trPr>
          <w:trHeight w:val="183"/>
        </w:trPr>
        <w:tc>
          <w:tcPr>
            <w:tcW w:w="37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SCP PRIVATE CORPORATE LENDING</w:t>
            </w:r>
          </w:p>
        </w:tc>
        <w:tc>
          <w:tcPr>
            <w:tcW w:w="37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9"/>
              </w:rPr>
              <w:t>$7,858,178.27</w:t>
            </w:r>
          </w:p>
        </w:tc>
        <w:tc>
          <w:tcPr>
            <w:tcW w:w="37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8"/>
              </w:rPr>
              <w:t>15.72%</w:t>
            </w:r>
          </w:p>
        </w:tc>
      </w:tr>
      <w:tr>
        <w:trPr>
          <w:trHeight w:val="243"/>
        </w:trPr>
        <w:tc>
          <w:tcPr>
            <w:tcW w:w="3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FUND SPV LLC</w:t>
            </w:r>
          </w:p>
        </w:tc>
        <w:tc>
          <w:tcPr>
            <w:tcW w:w="378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r>
      <w:tr>
        <w:trPr>
          <w:trHeight w:val="237"/>
        </w:trPr>
        <w:tc>
          <w:tcPr>
            <w:tcW w:w="3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SCP SF DEBT FUND L.P.</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$1,888,304.29</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3.78%</w:t>
            </w:r>
          </w:p>
        </w:tc>
      </w:tr>
      <w:tr>
        <w:trPr>
          <w:trHeight w:val="237"/>
        </w:trPr>
        <w:tc>
          <w:tcPr>
            <w:tcW w:w="3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SLR HC FUND SPV, LLC</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$7,352,862.49</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14.71%</w:t>
            </w:r>
          </w:p>
        </w:tc>
      </w:tr>
      <w:tr>
        <w:trPr>
          <w:trHeight w:val="236"/>
        </w:trPr>
        <w:tc>
          <w:tcPr>
            <w:tcW w:w="3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SLR HC BDC LLC</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$1,547,669.00</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3.10%</w:t>
            </w:r>
          </w:p>
        </w:tc>
      </w:tr>
      <w:tr>
        <w:trPr>
          <w:trHeight w:val="237"/>
        </w:trPr>
        <w:tc>
          <w:tcPr>
            <w:tcW w:w="3720" w:type="dxa"/>
            <w:vAlign w:val="bottom"/>
            <w:tcBorders>
              <w:left w:val="single" w:sz="8" w:color="auto"/>
              <w:bottom w:val="single" w:sz="8" w:color="auto"/>
              <w:right w:val="single" w:sz="8" w:color="auto"/>
            </w:tcBorders>
          </w:tcPr>
          <w:p>
            <w:pPr>
              <w:ind w:left="1520"/>
              <w:spacing w:after="0"/>
              <w:rPr>
                <w:sz w:val="20"/>
                <w:szCs w:val="20"/>
                <w:color w:val="auto"/>
              </w:rPr>
            </w:pPr>
            <w:r>
              <w:rPr>
                <w:rFonts w:ascii="Arial" w:cs="Arial" w:eastAsia="Arial" w:hAnsi="Arial"/>
                <w:sz w:val="20"/>
                <w:szCs w:val="20"/>
                <w:b w:val="1"/>
                <w:bCs w:val="1"/>
                <w:color w:val="auto"/>
              </w:rPr>
              <w:t>TOTAL</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$50,000,000</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100.00%</w:t>
            </w:r>
          </w:p>
        </w:tc>
      </w:tr>
    </w:tbl>
    <w:p>
      <w:pPr>
        <w:sectPr>
          <w:pgSz w:w="11900" w:h="16838" w:orient="portrait"/>
          <w:cols w:equalWidth="0" w:num="1">
            <w:col w:w="11260"/>
          </w:cols>
          <w:pgMar w:left="320" w:top="1440" w:right="319" w:bottom="1440" w:gutter="0" w:footer="0" w:header="0"/>
        </w:sectPr>
      </w:pPr>
    </w:p>
    <w:bookmarkStart w:id="117" w:name="page118"/>
    <w:bookmarkEnd w:id="117"/>
    <w:p>
      <w:pPr>
        <w:spacing w:after="0" w:line="162"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EXHIBIT A</w:t>
      </w:r>
    </w:p>
    <w:p>
      <w:pPr>
        <w:spacing w:after="0" w:line="148" w:lineRule="exact"/>
        <w:rPr>
          <w:sz w:val="20"/>
          <w:szCs w:val="20"/>
          <w:color w:val="auto"/>
        </w:rPr>
      </w:pPr>
    </w:p>
    <w:p>
      <w:pPr>
        <w:ind w:left="4500"/>
        <w:spacing w:after="0"/>
        <w:rPr>
          <w:sz w:val="20"/>
          <w:szCs w:val="20"/>
          <w:color w:val="auto"/>
        </w:rPr>
      </w:pPr>
      <w:r>
        <w:rPr>
          <w:rFonts w:ascii="Arial" w:cs="Arial" w:eastAsia="Arial" w:hAnsi="Arial"/>
          <w:sz w:val="20"/>
          <w:szCs w:val="20"/>
          <w:b w:val="1"/>
          <w:bCs w:val="1"/>
          <w:u w:val="single" w:color="auto"/>
          <w:color w:val="auto"/>
        </w:rPr>
        <w:t>Description of Collateral</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The Collateral consists of all of Borrower’s and Guarantors’ right, title and interest in and to the following personal property:</w:t>
      </w:r>
    </w:p>
    <w:p>
      <w:pPr>
        <w:spacing w:after="0" w:line="162"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8"/>
          <w:szCs w:val="18"/>
          <w:color w:val="auto"/>
        </w:rPr>
        <w:t>All goods, Accounts (including health care receivables), Equipment, Inventory, contract rights or rights to payment of money, leases, license agreements, franchise agreements, General Intangibles (except as noted below),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2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43"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Notwithstanding the foregoing, the Collateral does not include (a) (1) more than 65% of the presently existing and hereafter arising issued and outstanding shares of capital stock owned by Borrower or any Guarantor of any Foreign Subsidiary or any Excluded Domestic Subsidiary which shares entitle the holder thereof to vote for directors or any other matter or (2) any of the stock or other equity interests in any Foreign Subsidiary that is not owned by Borrower or a Guarantor, (b) any interest of Borrower as a lessee or sublessee under a real property lease; (c) rights held under a license or other agreement that are not assignable by their terms without the consent of the counterparty thereof (but only to the extent such restriction on assignment is effective under Section 9-406, 9-407, 9408 or 9-409 of the Code (or any successor provision or provisions) of any relevant jurisdiction or any other applicable law (including the Bankruptcy Code) or principles of equity); (d) any interest of Borrower or any Guarantor as a lessee or borrower under an Equipment lease or Equipment financing if Borrower or such Guarantor, as applicable, is prohibited by the terms of such agreement from granting a security interest in such lease or agreement or under which such an assignment or Lien would cause a default to occur under such lease; provided, however, that upon termination of such prohibition, such interest shall immediately become Collateral without any action by Borrower (or such Guarantor, as applicable), Collateral Agent or any Lender, or (e) any Intellectual Property; provided, however, the Collateral shall include, all Accounts with respect to Intellectual Property and all proceeds of Intellectual Property and any sale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Collateral Agent’s security interest in such Accounts and such other property of Borrower that are proceeds of the Intellectual Property.</w:t>
      </w:r>
    </w:p>
    <w:p>
      <w:pPr>
        <w:sectPr>
          <w:pgSz w:w="11900" w:h="16838" w:orient="portrait"/>
          <w:cols w:equalWidth="0" w:num="1">
            <w:col w:w="11160"/>
          </w:cols>
          <w:pgMar w:left="400" w:top="1440" w:right="339" w:bottom="1440" w:gutter="0" w:footer="0" w:header="0"/>
        </w:sectPr>
      </w:pPr>
    </w:p>
    <w:bookmarkStart w:id="118" w:name="page119"/>
    <w:bookmarkEnd w:id="118"/>
    <w:p>
      <w:pPr>
        <w:spacing w:after="0" w:line="54"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EXHIBIT B</w:t>
      </w:r>
    </w:p>
    <w:p>
      <w:pPr>
        <w:spacing w:after="0" w:line="40"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Collateral Agent and Lender Terms</w:t>
      </w:r>
    </w:p>
    <w:p>
      <w:pPr>
        <w:spacing w:after="0" w:line="297" w:lineRule="exact"/>
        <w:rPr>
          <w:sz w:val="20"/>
          <w:szCs w:val="20"/>
          <w:color w:val="auto"/>
        </w:rPr>
      </w:pPr>
    </w:p>
    <w:p>
      <w:pPr>
        <w:ind w:left="1292" w:hanging="320"/>
        <w:spacing w:after="0"/>
        <w:tabs>
          <w:tab w:leader="none" w:pos="1292" w:val="left"/>
        </w:tabs>
        <w:numPr>
          <w:ilvl w:val="1"/>
          <w:numId w:val="84"/>
        </w:numPr>
        <w:rPr>
          <w:rFonts w:ascii="Arial" w:cs="Arial" w:eastAsia="Arial" w:hAnsi="Arial"/>
          <w:sz w:val="20"/>
          <w:szCs w:val="20"/>
          <w:color w:val="auto"/>
        </w:rPr>
      </w:pPr>
      <w:r>
        <w:rPr>
          <w:rFonts w:ascii="Arial" w:cs="Arial" w:eastAsia="Arial" w:hAnsi="Arial"/>
          <w:sz w:val="20"/>
          <w:szCs w:val="20"/>
          <w:b w:val="1"/>
          <w:bCs w:val="1"/>
          <w:color w:val="auto"/>
        </w:rPr>
        <w:t>Appointment of Collateral Agent.</w:t>
      </w:r>
    </w:p>
    <w:p>
      <w:pPr>
        <w:spacing w:after="0" w:line="165" w:lineRule="exact"/>
        <w:rPr>
          <w:rFonts w:ascii="Arial" w:cs="Arial" w:eastAsia="Arial" w:hAnsi="Arial"/>
          <w:sz w:val="20"/>
          <w:szCs w:val="20"/>
          <w:color w:val="auto"/>
        </w:rPr>
      </w:pPr>
    </w:p>
    <w:p>
      <w:pPr>
        <w:ind w:left="1752" w:hanging="456"/>
        <w:spacing w:after="0"/>
        <w:tabs>
          <w:tab w:leader="none" w:pos="1752" w:val="left"/>
        </w:tabs>
        <w:numPr>
          <w:ilvl w:val="2"/>
          <w:numId w:val="84"/>
        </w:numPr>
        <w:rPr>
          <w:rFonts w:ascii="Arial" w:cs="Arial" w:eastAsia="Arial" w:hAnsi="Arial"/>
          <w:sz w:val="18"/>
          <w:szCs w:val="18"/>
          <w:color w:val="auto"/>
        </w:rPr>
      </w:pPr>
      <w:r>
        <w:rPr>
          <w:rFonts w:ascii="Arial" w:cs="Arial" w:eastAsia="Arial" w:hAnsi="Arial"/>
          <w:sz w:val="18"/>
          <w:szCs w:val="18"/>
          <w:color w:val="auto"/>
        </w:rPr>
        <w:t>Each Lender hereby appoints SLR (together with any successor Collateral Agent pursuant to Section 7 of this Exhibit</w:t>
      </w:r>
    </w:p>
    <w:p>
      <w:pPr>
        <w:jc w:val="both"/>
        <w:ind w:left="-8" w:firstLine="8"/>
        <w:spacing w:after="0" w:line="209" w:lineRule="auto"/>
        <w:tabs>
          <w:tab w:leader="none" w:pos="243" w:val="left"/>
        </w:tabs>
        <w:numPr>
          <w:ilvl w:val="0"/>
          <w:numId w:val="85"/>
        </w:numPr>
        <w:rPr>
          <w:rFonts w:ascii="Arial" w:cs="Arial" w:eastAsia="Arial" w:hAnsi="Arial"/>
          <w:sz w:val="20"/>
          <w:szCs w:val="20"/>
          <w:color w:val="auto"/>
        </w:rPr>
      </w:pPr>
      <w:r>
        <w:rPr>
          <w:rFonts w:ascii="Arial" w:cs="Arial" w:eastAsia="Arial" w:hAnsi="Arial"/>
          <w:sz w:val="20"/>
          <w:szCs w:val="20"/>
          <w:color w:val="auto"/>
        </w:rPr>
        <w:t>as Collateral Agent under the Loan Documents and authorizes Collateral Agent to (i) execute and deliver the Loan Documents and accept delivery thereof on its behalf from Borrower, (ii) take such action on its behalf and to exercise all rights, powers and remedies and perform the duties as are expressly delegated to Collateral Agent under such Loan Documents and (iii) exercise such powers as are reasonably incidental thereto.</w:t>
      </w:r>
    </w:p>
    <w:p>
      <w:pPr>
        <w:spacing w:after="0" w:line="127" w:lineRule="exact"/>
        <w:rPr>
          <w:rFonts w:ascii="Arial" w:cs="Arial" w:eastAsia="Arial" w:hAnsi="Arial"/>
          <w:sz w:val="20"/>
          <w:szCs w:val="20"/>
          <w:color w:val="auto"/>
        </w:rPr>
      </w:pPr>
    </w:p>
    <w:p>
      <w:pPr>
        <w:jc w:val="both"/>
        <w:ind w:left="-8" w:firstLine="1304"/>
        <w:spacing w:after="0" w:line="222" w:lineRule="auto"/>
        <w:tabs>
          <w:tab w:leader="none" w:pos="1847" w:val="left"/>
        </w:tabs>
        <w:numPr>
          <w:ilvl w:val="2"/>
          <w:numId w:val="85"/>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clause (a) above, Collateral Agent shall have the sole and exclusive right and authority (to the exclusion of the Lenders), and is hereby authorized, to (i) act as the disbursing and collecting agent for the Lenders with respect to all payments and collections arising in connection with the Loan Documents (including in any other bankruptcy, insolvency or similar proceeding), and each Person making any payment in connection with any Loan Document to any Lender is hereby authorized to make such payment to Collateral Agent, (ii) file and prove claims and file other documents necessary or desirable to allow the claims of Collateral Agent and Lenders with respect to any Obligation in any bankruptcy, insolvency or similar proceeding (but not to vote, consent or otherwise act on behalf of such Lender), (iii) act as collateral agent for the Secured Parties for purposes of the perfection of all Liens created by the Loan Documents and all other purposes stated therein, (iv) manage, supervise and otherwise deal with the Collateral as permitted pursuant to the Loan Agreement, (v) take such other action as is necessary or desirable to maintain the perfection and priority of the Liens created or purported to be created by the Loan Documents, (vi) except as may be otherwise specified in any Loan Document, exercise all remedies given to Collateral Agent and the other Lenders with respect to the Borrower and/or the Collateral, whether under the Loan Documents, applicable Requirements of Law or otherwise and (vii) execute any amendment, consent or waiver under the Loan Documents on behalf of any Lender that has consented in writing to such amendment, consent or waiver;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Collateral Agent hereby appoints, authorizes and directs each Lender to act as collateral sub-agent for Collateral Agent and the Lenders for purposes of the perfection of all Liens with respect to the Collateral, including any Deposit Account maintained by Borrower or any Guarantor with, and cash and Cash Equivalents held by, such Lender, and may further authorize and direct the Lenders to take further actions as collateral sub-agents for purposes of enforcing such Liens or otherwise to transfer the Collateral subject thereto to Collateral Agent, and each Lender hereby agrees to take such further actions to the extent, and only to the extent, so authorized and directed. Collateral Agent may, upon any term or condition it specifies, delegate or exercise any of its rights, powers and remedies under, and delegate or perform any of its duties or any other action with respect to, any Loan Document by or through any trustee, co-agent, employee, attorney-in-fact and any other Person (including any Lender). Any such Person shall benefit from this Exhibit B to the extent provided by Collateral Agent.</w:t>
      </w:r>
    </w:p>
    <w:p>
      <w:pPr>
        <w:spacing w:after="0" w:line="150" w:lineRule="exact"/>
        <w:rPr>
          <w:rFonts w:ascii="Arial" w:cs="Arial" w:eastAsia="Arial" w:hAnsi="Arial"/>
          <w:sz w:val="18"/>
          <w:szCs w:val="18"/>
          <w:color w:val="auto"/>
        </w:rPr>
      </w:pPr>
    </w:p>
    <w:p>
      <w:pPr>
        <w:jc w:val="both"/>
        <w:ind w:left="-8" w:firstLine="1304"/>
        <w:spacing w:after="0" w:line="214" w:lineRule="auto"/>
        <w:tabs>
          <w:tab w:leader="none" w:pos="1735" w:val="left"/>
        </w:tabs>
        <w:numPr>
          <w:ilvl w:val="2"/>
          <w:numId w:val="85"/>
        </w:numPr>
        <w:rPr>
          <w:rFonts w:ascii="Arial" w:cs="Arial" w:eastAsia="Arial" w:hAnsi="Arial"/>
          <w:sz w:val="19"/>
          <w:szCs w:val="19"/>
          <w:color w:val="auto"/>
        </w:rPr>
      </w:pPr>
      <w:r>
        <w:rPr>
          <w:rFonts w:ascii="Arial" w:cs="Arial" w:eastAsia="Arial" w:hAnsi="Arial"/>
          <w:sz w:val="19"/>
          <w:szCs w:val="19"/>
          <w:color w:val="auto"/>
        </w:rPr>
        <w:t>Under the Loan Documents, and except as expressly set forth in this Exhibit B, Collateral Agent (i) is acting solely on behalf of the Lenders, with duties that are entirely administrative in nature, notwithstanding the use of the defined term “Collateral Agent”, the terms “agent”, “Collateral Agent” and “collateral agent” and similar terms in any Loan Document to refer to Collateral Agent, which terms are used for title purposes only, (ii) is not assuming any obligation under any Loan Document other than as expressly set forth therein or any role as agent, fiduciary or trustee of or for any Lender or any other Person and (iii) shall have no implied functions, responsibilities, duties, obligations or other liabilities under any Loan Document, and each Lender, by accepting the benefits of the Loan Documents, hereby waives and agrees not to assert any claim against Collateral Agent based on the roles, duties and legal relationships expressly disclaimed in clauses (i) through (iii) above. Except as expressly set forth in the Loan Documents, Collateral Agent shall not have any duty to disclose, and shall not be liable for failure to disclose, any information relating to Borrower or any of its Subsidiaries that is communicated to or obtained by SLR or any of its Affiliates in any capacity.</w:t>
      </w:r>
    </w:p>
    <w:p>
      <w:pPr>
        <w:spacing w:after="0" w:line="138" w:lineRule="exact"/>
        <w:rPr>
          <w:rFonts w:ascii="Arial" w:cs="Arial" w:eastAsia="Arial" w:hAnsi="Arial"/>
          <w:sz w:val="19"/>
          <w:szCs w:val="19"/>
          <w:color w:val="auto"/>
        </w:rPr>
      </w:pPr>
    </w:p>
    <w:p>
      <w:pPr>
        <w:ind w:left="1292" w:hanging="320"/>
        <w:spacing w:after="0"/>
        <w:tabs>
          <w:tab w:leader="none" w:pos="1292" w:val="left"/>
        </w:tabs>
        <w:numPr>
          <w:ilvl w:val="1"/>
          <w:numId w:val="85"/>
        </w:numPr>
        <w:rPr>
          <w:rFonts w:ascii="Arial" w:cs="Arial" w:eastAsia="Arial" w:hAnsi="Arial"/>
          <w:sz w:val="20"/>
          <w:szCs w:val="20"/>
          <w:color w:val="auto"/>
        </w:rPr>
      </w:pPr>
      <w:r>
        <w:rPr>
          <w:rFonts w:ascii="Arial" w:cs="Arial" w:eastAsia="Arial" w:hAnsi="Arial"/>
          <w:sz w:val="20"/>
          <w:szCs w:val="20"/>
          <w:b w:val="1"/>
          <w:bCs w:val="1"/>
          <w:color w:val="auto"/>
        </w:rPr>
        <w:t>Binding Effect; Use of Discretion; E-Systems.</w:t>
      </w:r>
    </w:p>
    <w:p>
      <w:pPr>
        <w:spacing w:after="0" w:line="154" w:lineRule="exact"/>
        <w:rPr>
          <w:rFonts w:ascii="Arial" w:cs="Arial" w:eastAsia="Arial" w:hAnsi="Arial"/>
          <w:sz w:val="20"/>
          <w:szCs w:val="20"/>
          <w:color w:val="auto"/>
        </w:rPr>
      </w:pPr>
    </w:p>
    <w:p>
      <w:pPr>
        <w:ind w:left="-8" w:firstLine="1304"/>
        <w:spacing w:after="0" w:line="229" w:lineRule="auto"/>
        <w:tabs>
          <w:tab w:leader="none" w:pos="1736" w:val="left"/>
        </w:tabs>
        <w:numPr>
          <w:ilvl w:val="2"/>
          <w:numId w:val="86"/>
        </w:numPr>
        <w:rPr>
          <w:rFonts w:ascii="Arial" w:cs="Arial" w:eastAsia="Arial" w:hAnsi="Arial"/>
          <w:sz w:val="20"/>
          <w:szCs w:val="20"/>
          <w:color w:val="auto"/>
        </w:rPr>
      </w:pPr>
      <w:r>
        <w:rPr>
          <w:rFonts w:ascii="Arial" w:cs="Arial" w:eastAsia="Arial" w:hAnsi="Arial"/>
          <w:sz w:val="20"/>
          <w:szCs w:val="20"/>
          <w:color w:val="auto"/>
        </w:rPr>
        <w:t>Each Lender, by accepting the benefits of the Loan Documents, agrees that (i) any action taken by Collateral Agent or the Required Lenders (or, if expressly required in any Loan Document, a</w:t>
      </w:r>
    </w:p>
    <w:p>
      <w:pPr>
        <w:sectPr>
          <w:pgSz w:w="11900" w:h="16838" w:orient="portrait"/>
          <w:cols w:equalWidth="0" w:num="1">
            <w:col w:w="11232"/>
          </w:cols>
          <w:pgMar w:left="328" w:top="1440" w:right="339" w:bottom="1440" w:gutter="0" w:footer="0" w:header="0"/>
        </w:sectPr>
      </w:pPr>
    </w:p>
    <w:bookmarkStart w:id="119" w:name="page120"/>
    <w:bookmarkEnd w:id="119"/>
    <w:p>
      <w:pPr>
        <w:jc w:val="both"/>
        <w:spacing w:after="0" w:line="224" w:lineRule="auto"/>
        <w:rPr>
          <w:sz w:val="20"/>
          <w:szCs w:val="20"/>
          <w:color w:val="auto"/>
        </w:rPr>
      </w:pPr>
      <w:r>
        <w:rPr>
          <w:rFonts w:ascii="Arial" w:cs="Arial" w:eastAsia="Arial" w:hAnsi="Arial"/>
          <w:sz w:val="19"/>
          <w:szCs w:val="19"/>
          <w:color w:val="auto"/>
        </w:rPr>
        <w:t>greater proportion of the Lenders) in accordance with the provisions of the Loan Documents, (ii) any action taken by Collateral Agent in reliance upon the instructions of the Required Lenders (or, where so required, such greater proportion) and (iii) the exercise by Collateral Agent or the Required Lenders (or, where so required, such greater proportion) of the powers set forth herein or therein, together with such other powers as are reasonably incidental thereto, shall be authorized and binding upon all of Lenders.</w:t>
      </w:r>
    </w:p>
    <w:p>
      <w:pPr>
        <w:spacing w:after="0" w:line="143" w:lineRule="exact"/>
        <w:rPr>
          <w:sz w:val="20"/>
          <w:szCs w:val="20"/>
          <w:color w:val="auto"/>
        </w:rPr>
      </w:pPr>
    </w:p>
    <w:p>
      <w:pPr>
        <w:jc w:val="both"/>
        <w:ind w:firstLine="1304"/>
        <w:spacing w:after="0" w:line="226" w:lineRule="auto"/>
        <w:tabs>
          <w:tab w:leader="none" w:pos="1752" w:val="left"/>
        </w:tabs>
        <w:numPr>
          <w:ilvl w:val="1"/>
          <w:numId w:val="87"/>
        </w:numPr>
        <w:rPr>
          <w:rFonts w:ascii="Arial" w:cs="Arial" w:eastAsia="Arial" w:hAnsi="Arial"/>
          <w:sz w:val="18"/>
          <w:szCs w:val="18"/>
          <w:color w:val="auto"/>
        </w:rPr>
      </w:pPr>
      <w:r>
        <w:rPr>
          <w:rFonts w:ascii="Arial" w:cs="Arial" w:eastAsia="Arial" w:hAnsi="Arial"/>
          <w:sz w:val="18"/>
          <w:szCs w:val="18"/>
          <w:color w:val="auto"/>
        </w:rPr>
        <w:t>If Collateral Agent shall request instructions from the Required Lenders or all affected Lenders with respect to any act or action (including failure to act) in connection with any Loan Document, then Collateral Agent shall be entitled to refrain from such act or taking such action unless and until Collateral Agent shall have received instructions from the Required Lenders or all affected Lenders, as the case may be, and Collateral Agent shall not incur liability to any Person by reason of so refraining. Collateral Agent shall be fully justified in failing or refusing to take any action under any Loan Document (i) if such action would, in the opinion of Collateral Agent, be contrary to any Requirement of Law or any Loan Document, (ii) if such action would, in the opinion of Collateral Agent, expose Collateral Agent to any potential liability under any Requirement of Law or (iii) if Collateral Agent shall not first be indemnified to its satisfaction against any and all liability and expense which may be incurred by it by reason of taking or continuing to take any such action. Without limiting the foregoing, no Lender shall have any right of action whatsoever against Collateral Agent as a result of Collateral Agent acting or refraining from acting under any Loan Document in accordance with the instructions of the Required Lenders or all affected Lenders, as applicable.</w:t>
      </w:r>
    </w:p>
    <w:p>
      <w:pPr>
        <w:spacing w:after="0" w:line="129" w:lineRule="exact"/>
        <w:rPr>
          <w:rFonts w:ascii="Arial" w:cs="Arial" w:eastAsia="Arial" w:hAnsi="Arial"/>
          <w:sz w:val="18"/>
          <w:szCs w:val="18"/>
          <w:color w:val="auto"/>
        </w:rPr>
      </w:pPr>
    </w:p>
    <w:p>
      <w:pPr>
        <w:jc w:val="both"/>
        <w:ind w:firstLine="1304"/>
        <w:spacing w:after="0" w:line="223" w:lineRule="auto"/>
        <w:tabs>
          <w:tab w:leader="none" w:pos="1848" w:val="left"/>
        </w:tabs>
        <w:numPr>
          <w:ilvl w:val="1"/>
          <w:numId w:val="87"/>
        </w:numPr>
        <w:rPr>
          <w:rFonts w:ascii="Arial" w:cs="Arial" w:eastAsia="Arial" w:hAnsi="Arial"/>
          <w:sz w:val="18"/>
          <w:szCs w:val="18"/>
          <w:color w:val="auto"/>
        </w:rPr>
      </w:pPr>
      <w:r>
        <w:rPr>
          <w:rFonts w:ascii="Arial" w:cs="Arial" w:eastAsia="Arial" w:hAnsi="Arial"/>
          <w:sz w:val="18"/>
          <w:szCs w:val="18"/>
          <w:color w:val="auto"/>
        </w:rPr>
        <w:t>Collateral Agent is hereby authorized by Borrower and each Lender to establish procedures (and to amend such procedures from time to time) to facilitate administration and servicing of the Term Loans and other matters incidental thereto. Without limiting the generality of the foregoing, Collateral Agent is hereby authorized to establish procedures to make available or deliver, or to accept, notices, documents (including, without limitation, borrowing base certificates) and similar items on, by posting to or submitting and/or completion, on E-Systems. Borrower and each Lender acknowledges and agrees that the use of transmissions via an E-System or electronic mail is not necessarily secure and that there are risks associated with such use, including risks of interception, disclosure and abuse, and Borrower and each Lender assumes and accepts such risks by hereby authorizing the transmission via E-Systems or electronic mail. Each “e-signature” on any such posting shall be deemed sufficient to satisfy any requirement for a “signature”, and each such posting shall be deemed sufficient to satisfy any requirement for a “writing”, in each case including pursuant to any Loan Document, any applicable provision of any Code, the federal Uniform Electronic Transactions Act, the Electronic Signatures in Global and National Commerce Act and any substantive or procedural Requirement of Law governing such subject matter. All uses of an E-System shall be governed by and subject to, in addition to this Section, the separate terms, conditions and privacy policy posted or referenced in such E-System (or such terms, conditions and privacy policy as may be updated from time to time, including on such E-System) and related contractual obligations executed by Collateral Agent, Borrower and/or Lenders in connection with the use of such E-System. ALL E-SYSTEMS AND ELECTRONIC TRANSMISSIONS SHALL BE PROVIDED “AS IS” AND “AS AVAILABLE”. NO REPRESENTATION OR WARRANTY OF ANY KIND IS MADE BY AGENT, ANY LENDER OR ANY OF THEIR RELATED PERSONS IN CONNECTION WITH ANY E-SYSTEMS.</w:t>
      </w:r>
    </w:p>
    <w:p>
      <w:pPr>
        <w:spacing w:after="0" w:line="143" w:lineRule="exact"/>
        <w:rPr>
          <w:rFonts w:ascii="Arial" w:cs="Arial" w:eastAsia="Arial" w:hAnsi="Arial"/>
          <w:sz w:val="18"/>
          <w:szCs w:val="18"/>
          <w:color w:val="auto"/>
        </w:rPr>
      </w:pPr>
    </w:p>
    <w:p>
      <w:pPr>
        <w:ind w:left="1300" w:hanging="320"/>
        <w:spacing w:after="0"/>
        <w:tabs>
          <w:tab w:leader="none" w:pos="1300" w:val="left"/>
        </w:tabs>
        <w:numPr>
          <w:ilvl w:val="0"/>
          <w:numId w:val="88"/>
        </w:numPr>
        <w:rPr>
          <w:rFonts w:ascii="Arial" w:cs="Arial" w:eastAsia="Arial" w:hAnsi="Arial"/>
          <w:sz w:val="20"/>
          <w:szCs w:val="20"/>
          <w:color w:val="auto"/>
        </w:rPr>
      </w:pPr>
      <w:r>
        <w:rPr>
          <w:rFonts w:ascii="Arial" w:cs="Arial" w:eastAsia="Arial" w:hAnsi="Arial"/>
          <w:sz w:val="20"/>
          <w:szCs w:val="20"/>
          <w:b w:val="1"/>
          <w:bCs w:val="1"/>
          <w:color w:val="auto"/>
        </w:rPr>
        <w:t>Collateral Agent’s Reliance, Etc</w:t>
      </w:r>
    </w:p>
    <w:p>
      <w:pPr>
        <w:spacing w:after="0" w:line="168" w:lineRule="exact"/>
        <w:rPr>
          <w:sz w:val="20"/>
          <w:szCs w:val="20"/>
          <w:color w:val="auto"/>
        </w:rPr>
      </w:pPr>
    </w:p>
    <w:p>
      <w:pPr>
        <w:jc w:val="both"/>
        <w:ind w:firstLine="980"/>
        <w:spacing w:after="0" w:line="225" w:lineRule="auto"/>
        <w:tabs>
          <w:tab w:leader="none" w:pos="1071"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Collateral Agent may, without incurring any liability hereunder, (a) consult with any of its Related Persons and, whether or not selected by it, any other advisors, accountants and other experts (including advisors to, and accountants and experts engaged by, Borrower) and (b) rely and act upon any document and information (including those transmitted by electronic transmission) and any telephone message or conversation, in each case believed by it in good faith to be genuine and transmitted, signed or otherwise authenticated by the appropriate parties. None of Collateral Agent and its Related Persons shall be liable for any action taken or omitted to be taken by any of them under or in connection with any Loan Document, and each Lender and Borrower hereby waives and shall not assert (and Borrower shall cause its Subsidiaries to waive and agree not to assert) any right, claim or cause of action based thereon, except to the extent of liabilities resulting from the gross negligence or willful misconduct of Collateral Agent or, as the case may be, such Related Person (each as determined in a final, non-appealable judgment of a court of competent jurisdiction) in connection with the duties of Collateral Agent expressly set forth herein. Without limiting the foregoing, Collateral Agent: (i) shall not be responsible or otherwise incur liability for any action or omission taken in reliance upon the instructions of the Required Lenders or for the actions or omissions of</w:t>
      </w:r>
    </w:p>
    <w:p>
      <w:pPr>
        <w:sectPr>
          <w:pgSz w:w="11900" w:h="16838" w:orient="portrait"/>
          <w:cols w:equalWidth="0" w:num="1">
            <w:col w:w="11240"/>
          </w:cols>
          <w:pgMar w:left="320" w:top="1405" w:right="339" w:bottom="1440" w:gutter="0" w:footer="0" w:header="0"/>
        </w:sectPr>
      </w:pPr>
    </w:p>
    <w:bookmarkStart w:id="120" w:name="page121"/>
    <w:bookmarkEnd w:id="120"/>
    <w:p>
      <w:pPr>
        <w:jc w:val="both"/>
        <w:spacing w:after="0" w:line="220" w:lineRule="auto"/>
        <w:rPr>
          <w:sz w:val="20"/>
          <w:szCs w:val="20"/>
          <w:color w:val="auto"/>
        </w:rPr>
      </w:pPr>
      <w:r>
        <w:rPr>
          <w:rFonts w:ascii="Arial" w:cs="Arial" w:eastAsia="Arial" w:hAnsi="Arial"/>
          <w:sz w:val="18"/>
          <w:szCs w:val="18"/>
          <w:color w:val="auto"/>
        </w:rPr>
        <w:t xml:space="preserve">any of its Related Persons, except to the extent that a court of competent jurisdiction determines in a final non-appealable judgment that Collateral Agent acted with gross negligence or willful misconduct in the selection of such Related Person; (ii) shall not be responsible to any Lender or other Person for the due execution, legality, validity, enforceability, effectiveness, genuineness, sufficiency or value of, or the attachment, perfection or priority of any Lien created or purported to be created under or in connection with, any Loan Document; (iii) makes no warranty or representation, and shall not be responsible, to any Lender or other Person for any statement, document, information, representation or warranty made or furnished by or on behalf of Borrower or any Related Person of Borrower in connection with any Loan Document or any transaction contemplated therein or any other document or information with respect to Borrower, whether or not transmitted or (except for documents expressly required under any Loan Document to be transmitted to the Lenders) omitted to be transmitted by Collateral Agent, including as to completeness, accuracy, scope or adequacy thereof, or for the scope, nature or results of any due diligence performed by Collateral Agent in connection with the Loan Documents; and (iv) shall not have any duty to ascertain or to inquire as to the performance or observance of any provision of any Loan Document, whether any condition set forth in any Loan Document is satisfied or waived, as to the financial condition of Borrower or as to the existence or continuation or possible occurrence or continuation of any Event of Default, and shall not be deemed to have notice or knowledge of such occurrence or continuation unless it has received a notice from Borrower or any Lender describing such Event of Default that is clearly labelled “notice of default” (in which case Collateral Agent shall promptly give notice of such receipt to all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Collateral Agent shall not be liable to any Lender for any failure to do so, except to the extent that such failure is attributable to Collateral Agent’s gross negligence or willful misconduct as determined by a final non-appealable judgment of a court of competent jurisdiction); and, for each of the items set forth in clauses (i) through</w:t>
      </w:r>
    </w:p>
    <w:p>
      <w:pPr>
        <w:spacing w:after="0" w:line="3" w:lineRule="exact"/>
        <w:rPr>
          <w:sz w:val="20"/>
          <w:szCs w:val="20"/>
          <w:color w:val="auto"/>
        </w:rPr>
      </w:pPr>
    </w:p>
    <w:p>
      <w:pPr>
        <w:ind w:firstLine="8"/>
        <w:spacing w:after="0" w:line="220" w:lineRule="auto"/>
        <w:tabs>
          <w:tab w:leader="none" w:pos="345" w:val="left"/>
        </w:tabs>
        <w:numPr>
          <w:ilvl w:val="0"/>
          <w:numId w:val="90"/>
        </w:numPr>
        <w:rPr>
          <w:rFonts w:ascii="Arial" w:cs="Arial" w:eastAsia="Arial" w:hAnsi="Arial"/>
          <w:sz w:val="20"/>
          <w:szCs w:val="20"/>
          <w:color w:val="auto"/>
        </w:rPr>
      </w:pPr>
      <w:r>
        <w:rPr>
          <w:rFonts w:ascii="Arial" w:cs="Arial" w:eastAsia="Arial" w:hAnsi="Arial"/>
          <w:sz w:val="20"/>
          <w:szCs w:val="20"/>
          <w:color w:val="auto"/>
        </w:rPr>
        <w:t>above, each Lender and Borrower hereby waives and agrees not to assert (and Borrower shall cause its Subsidiaries to waive and agree not to assert) any right, claim or cause of action it might have against Collateral Agent based thereon.</w:t>
      </w:r>
    </w:p>
    <w:p>
      <w:pPr>
        <w:spacing w:after="0" w:line="136" w:lineRule="exact"/>
        <w:rPr>
          <w:rFonts w:ascii="Arial" w:cs="Arial" w:eastAsia="Arial" w:hAnsi="Arial"/>
          <w:sz w:val="20"/>
          <w:szCs w:val="20"/>
          <w:color w:val="auto"/>
        </w:rPr>
      </w:pPr>
    </w:p>
    <w:p>
      <w:pPr>
        <w:jc w:val="both"/>
        <w:ind w:firstLine="980"/>
        <w:spacing w:after="0" w:line="218" w:lineRule="auto"/>
        <w:tabs>
          <w:tab w:leader="none" w:pos="1296" w:val="left"/>
        </w:tabs>
        <w:numPr>
          <w:ilvl w:val="1"/>
          <w:numId w:val="90"/>
        </w:numPr>
        <w:rPr>
          <w:rFonts w:ascii="Arial" w:cs="Arial" w:eastAsia="Arial" w:hAnsi="Arial"/>
          <w:sz w:val="19"/>
          <w:szCs w:val="19"/>
          <w:color w:val="auto"/>
        </w:rPr>
      </w:pPr>
      <w:r>
        <w:rPr>
          <w:rFonts w:ascii="Arial" w:cs="Arial" w:eastAsia="Arial" w:hAnsi="Arial"/>
          <w:sz w:val="19"/>
          <w:szCs w:val="19"/>
          <w:b w:val="1"/>
          <w:bCs w:val="1"/>
          <w:color w:val="auto"/>
        </w:rPr>
        <w:t xml:space="preserve">Collateral Agent Individually. </w:t>
      </w:r>
      <w:r>
        <w:rPr>
          <w:rFonts w:ascii="Arial" w:cs="Arial" w:eastAsia="Arial" w:hAnsi="Arial"/>
          <w:sz w:val="19"/>
          <w:szCs w:val="19"/>
          <w:color w:val="auto"/>
        </w:rPr>
        <w:t>Collateral Agent and its Affiliates may make loans and other extensions of credit to, acquire</w:t>
      </w:r>
      <w:r>
        <w:rPr>
          <w:rFonts w:ascii="Arial" w:cs="Arial" w:eastAsia="Arial" w:hAnsi="Arial"/>
          <w:sz w:val="19"/>
          <w:szCs w:val="19"/>
          <w:b w:val="1"/>
          <w:bCs w:val="1"/>
          <w:color w:val="auto"/>
        </w:rPr>
        <w:t xml:space="preserve"> </w:t>
      </w:r>
      <w:r>
        <w:rPr>
          <w:rFonts w:ascii="Arial" w:cs="Arial" w:eastAsia="Arial" w:hAnsi="Arial"/>
          <w:sz w:val="19"/>
          <w:szCs w:val="19"/>
          <w:color w:val="auto"/>
        </w:rPr>
        <w:t>stock and stock equivalents of, engage in any kind of business with, Borrower or any Affiliate of Borrower as though it were not acting as Collateral Agent and may receive separate fees and other payments therefor. To the extent Collateral Agent or any of its Affiliates makes any Term Loans or otherwise becomes a Lender hereunder, it shall have and may exercise the same rights and powers hereunder and shall be subject to the same obligations and liabilities as any other Lender and the terms “Lender”, “Required Lender” and any similar terms shall, except where otherwise expressly provided in any Loan Document, include, without limitation, Collateral Agent or such Affiliate, as the case may be, in its individual capacity as Lender, or as one of the Required Lenders.</w:t>
      </w:r>
    </w:p>
    <w:p>
      <w:pPr>
        <w:spacing w:after="0" w:line="122" w:lineRule="exact"/>
        <w:rPr>
          <w:rFonts w:ascii="Arial" w:cs="Arial" w:eastAsia="Arial" w:hAnsi="Arial"/>
          <w:sz w:val="19"/>
          <w:szCs w:val="19"/>
          <w:color w:val="auto"/>
        </w:rPr>
      </w:pPr>
    </w:p>
    <w:p>
      <w:pPr>
        <w:jc w:val="both"/>
        <w:ind w:firstLine="980"/>
        <w:spacing w:after="0" w:line="223" w:lineRule="auto"/>
        <w:tabs>
          <w:tab w:leader="none" w:pos="1296" w:val="left"/>
        </w:tabs>
        <w:numPr>
          <w:ilvl w:val="1"/>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Lender Credit Decision; Collateral Agent Report. </w:t>
      </w:r>
      <w:r>
        <w:rPr>
          <w:rFonts w:ascii="Arial" w:cs="Arial" w:eastAsia="Arial" w:hAnsi="Arial"/>
          <w:sz w:val="18"/>
          <w:szCs w:val="18"/>
          <w:color w:val="auto"/>
        </w:rPr>
        <w:t>Each Lender acknowledges that it shall, independently and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reliance upon Collateral Agent, any Lender or any of their Related Persons or upon any document solely or in part because such document was transmitted by Collateral Agent or any of its Related Persons, conduct its own independent investigation of the financial condition and affairs of Borrower and make and continue to make its own credit decisions in connection with entering into, and taking or not taking any action under, any Loan Document or with respect to any transaction contemplated in any Loan Document, in each case based on such documents and information as it shall deem appropriate. Except for documents expressly required by any Loan Document to be transmitted by Collateral Agent to the Lenders, Collateral Agent shall not have any duty or responsibility to provide any Lender with any credit or other information concerning the business, prospects, operations, Property, financial and other condition or creditworthiness of Borrower or any Affiliate of Borrower that may come in to the possession of Collateral Agent or any of its Related Persons. Each Lender agrees that is shall not rely on any field examination, audit or other report provided by Collateral Agent or its Related Persons (an “</w:t>
      </w:r>
      <w:r>
        <w:rPr>
          <w:rFonts w:ascii="Arial" w:cs="Arial" w:eastAsia="Arial" w:hAnsi="Arial"/>
          <w:sz w:val="18"/>
          <w:szCs w:val="18"/>
          <w:b w:val="1"/>
          <w:bCs w:val="1"/>
          <w:color w:val="auto"/>
        </w:rPr>
        <w:t>Collateral Agent Report</w:t>
      </w:r>
      <w:r>
        <w:rPr>
          <w:rFonts w:ascii="Arial" w:cs="Arial" w:eastAsia="Arial" w:hAnsi="Arial"/>
          <w:sz w:val="18"/>
          <w:szCs w:val="18"/>
          <w:color w:val="auto"/>
        </w:rPr>
        <w:t>”). Each Lender further acknowledges that any Collateral Agent Report (a) is provided to the Lenders solely as a courtesy, without consideration, and based upon the understanding that such Lender will not rely on such Collateral Agent Report, (b) was prepared by Collateral Agent or its Related Persons based upon information provided by Borrower solely for Collateral Agent’s own internal use, and (c) may not be complete and may not reflect all information and findings obtained by Collateral Agent or its Related Persons regarding the operations and condition of Borrower. Neither Collateral Agent nor any of its Related Persons makes any representations or warranties of any kind with respect to (i) any existing or proposed financing, (ii) the accuracy or completeness of the information contained in any Collateral Agent Report or in any related documentation, (iii) the scope or adequacy of Collateral Agent’s and its Related Persons’ due diligence, or the presence or absence of any errors or omissions contained in any Collateral Agent Report or in any related documentation, and (iv) any work performed by Collateral Agent or Collateral Agent’s Related Persons in</w:t>
      </w:r>
    </w:p>
    <w:p>
      <w:pPr>
        <w:sectPr>
          <w:pgSz w:w="11900" w:h="16838" w:orient="portrait"/>
          <w:cols w:equalWidth="0" w:num="1">
            <w:col w:w="11240"/>
          </w:cols>
          <w:pgMar w:left="320" w:top="1405" w:right="339" w:bottom="1440" w:gutter="0" w:footer="0" w:header="0"/>
        </w:sectPr>
      </w:pPr>
    </w:p>
    <w:bookmarkStart w:id="121" w:name="page122"/>
    <w:bookmarkEnd w:id="121"/>
    <w:p>
      <w:pPr>
        <w:jc w:val="both"/>
        <w:spacing w:after="0" w:line="226" w:lineRule="auto"/>
        <w:rPr>
          <w:sz w:val="20"/>
          <w:szCs w:val="20"/>
          <w:color w:val="auto"/>
        </w:rPr>
      </w:pPr>
      <w:r>
        <w:rPr>
          <w:rFonts w:ascii="Arial" w:cs="Arial" w:eastAsia="Arial" w:hAnsi="Arial"/>
          <w:sz w:val="18"/>
          <w:szCs w:val="18"/>
          <w:color w:val="auto"/>
        </w:rPr>
        <w:t>connection with or using any Collateral Agent Report or any related documentation. Neither Collateral Agent nor any of its Related Persons shall have any duties or obligations in connection with or as a result of any Lender receiving a copy of any Collateral Agent Report. Without limiting the generality of the forgoing, neither Collateral Agent nor any of its Related Persons shall have any responsibility for the accuracy or completeness of any Collateral Agent Report, or the appropriateness of any Collateral Agent Report for any Lender’s purposes, and shall have no duty or responsibility to correct or update any Collateral Agent Report or disclose to any Lender any other information not embodied in any Collateral Agent Report, including any supplemental information obtained after the date of any Collateral Agent Report. Each Lender releases, and agrees that it will not assert, any claim against Collateral Agent or its Related Persons that in any way relates to any Collateral Agent Report or arises out of any Lender having access to any Collateral Agent Report or any discussion of its contents, and agrees to indemnify and hold harmless Collateral Agent and its Related Persons from all claims, liabilities and expenses relating to a breach by any Lender arising out of such Lender’s access to any Collateral Agent Report or any discussion of its contents.</w:t>
      </w:r>
    </w:p>
    <w:p>
      <w:pPr>
        <w:spacing w:after="0" w:line="137" w:lineRule="exact"/>
        <w:rPr>
          <w:sz w:val="20"/>
          <w:szCs w:val="20"/>
          <w:color w:val="auto"/>
        </w:rPr>
      </w:pPr>
    </w:p>
    <w:p>
      <w:pPr>
        <w:jc w:val="both"/>
        <w:ind w:firstLine="980"/>
        <w:spacing w:after="0" w:line="221" w:lineRule="auto"/>
        <w:tabs>
          <w:tab w:leader="none" w:pos="1296" w:val="left"/>
        </w:tabs>
        <w:numPr>
          <w:ilvl w:val="1"/>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Indemnification. </w:t>
      </w:r>
      <w:r>
        <w:rPr>
          <w:rFonts w:ascii="Arial" w:cs="Arial" w:eastAsia="Arial" w:hAnsi="Arial"/>
          <w:sz w:val="18"/>
          <w:szCs w:val="18"/>
          <w:color w:val="auto"/>
        </w:rPr>
        <w:t>Each Lender agrees to reimburse Collateral Agent and each of its Related Persons (to the extent not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reimbursed by Borrower as required under the Loan Documents (including pursuant to Section 12.2 of the Agreement)) promptly upon demand for its Pro Rata Share of any out-of-pocket costs and expenses (including, without limitation, fees, charges and disbursements of financial, legal and other advisors and any Taxes or insurance paid in the name of, or on behalf of, Borrower) incurred by Collateral Agent or any of its Related Persons in connection with the preparation, syndication, execution, delivery, administration, modification, amendment, consent, waiver or enforcement of, or the taking of any other action (whether through negotiations, through any work-out, bankruptcy, restructuring or other legal or other proceeding (including, without limitation, preparation for and/or response to any subpoena or request for document production relating thereto) or otherwise) in respect of, or legal advice with respect to, its rights or responsibilities under, any Loan Document. Each Lender further agrees to indemnify Collateral Agent and each of its Related Persons (to the extent not reimbursed by Borrower as required under the Loan Documents (including pursuant to Section 12.2 of the Agreement)), ratably according to its Pro Rata Share, from and against any and all liabilities, obligations, losses, damages, penalties, actions, judgments, suits, costs, expenses or disbursements of any kind or nature whatsoever (including, to the extent not indemnified by the applicable Lender, Taxes, interests and penalties imposed for not properly withholding or backup withholding on payments made to or for the account of any Lender) that may be imposed on, incurred by, or asserted against Collateral Agent or any of its Related Persons in any matter relating to or arising out of, in connection with or as a result of any Loan Document or any other act, event or transaction related, contemplated in or attendant to any such document, or, in each case, any action taken or omitted to be taken by Collateral Agent or any of its Related Persons under or with respect to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be liable to Collateral Agent or any of its Related Persons under this Section 6 of this Exhibit B to the extent such liability has resulted from the gross negligence or willful misconduct of Collateral Agent or, as the case may be, such Related Person, as determined by a final non-appealable judgment of a court of competent jurisdiction. To the extent required by any applicable Requirement of Law, Collateral Agent may withhold from any payment to any Lender under a Loan Document an amount equal to any applicable withholding Tax. If the IRS or any other Governmental Authority asserts a claim that Collateral Agent did not properly withhold Tax from amounts paid to or for the account of any Lender for any reason, or if Collateral Agent reasonably determines that it was required to withhold Taxes from a prior payment to or for the account of any Lender but failed to do so, such Lender shall promptly indemnify Collateral Agent fully for all amounts paid, directly or indirectly, by Collateral Agent as Tax or otherwise, including penalties and interest, and together with all expenses incurred by Collateral Agent. Collateral Agent may offset against any payment to any Lender under a Loan Document, any applicable withholding Tax that was required to be withheld from any prior payment to such Lender but which was not so withheld, as well as any other amounts for which Collateral Agent is entitled to indemnification from such Lender under the immediately preceding sentence of this Section 6 of this Exhibit B.</w:t>
      </w:r>
    </w:p>
    <w:p>
      <w:pPr>
        <w:spacing w:after="0" w:line="144" w:lineRule="exact"/>
        <w:rPr>
          <w:rFonts w:ascii="Arial" w:cs="Arial" w:eastAsia="Arial" w:hAnsi="Arial"/>
          <w:sz w:val="18"/>
          <w:szCs w:val="18"/>
          <w:color w:val="auto"/>
        </w:rPr>
      </w:pPr>
    </w:p>
    <w:p>
      <w:pPr>
        <w:jc w:val="both"/>
        <w:ind w:firstLine="656"/>
        <w:spacing w:after="0" w:line="207" w:lineRule="auto"/>
        <w:tabs>
          <w:tab w:leader="none" w:pos="1296" w:val="left"/>
        </w:tabs>
        <w:numPr>
          <w:ilvl w:val="0"/>
          <w:numId w:val="92"/>
        </w:numPr>
        <w:rPr>
          <w:rFonts w:ascii="Arial" w:cs="Arial" w:eastAsia="Arial" w:hAnsi="Arial"/>
          <w:sz w:val="20"/>
          <w:szCs w:val="20"/>
          <w:color w:val="auto"/>
        </w:rPr>
      </w:pPr>
      <w:r>
        <w:rPr>
          <w:rFonts w:ascii="Arial" w:cs="Arial" w:eastAsia="Arial" w:hAnsi="Arial"/>
          <w:sz w:val="20"/>
          <w:szCs w:val="20"/>
          <w:b w:val="1"/>
          <w:bCs w:val="1"/>
          <w:color w:val="auto"/>
        </w:rPr>
        <w:t xml:space="preserve">Successor Collateral Agent. </w:t>
      </w:r>
      <w:r>
        <w:rPr>
          <w:rFonts w:ascii="Arial" w:cs="Arial" w:eastAsia="Arial" w:hAnsi="Arial"/>
          <w:sz w:val="20"/>
          <w:szCs w:val="20"/>
          <w:color w:val="auto"/>
        </w:rPr>
        <w:t>Collateral Agent may resign at any time by delivering notice of such resignation to the Lenders</w:t>
      </w:r>
      <w:r>
        <w:rPr>
          <w:rFonts w:ascii="Arial" w:cs="Arial" w:eastAsia="Arial" w:hAnsi="Arial"/>
          <w:sz w:val="20"/>
          <w:szCs w:val="20"/>
          <w:b w:val="1"/>
          <w:bCs w:val="1"/>
          <w:color w:val="auto"/>
        </w:rPr>
        <w:t xml:space="preserve"> </w:t>
      </w:r>
      <w:r>
        <w:rPr>
          <w:rFonts w:ascii="Arial" w:cs="Arial" w:eastAsia="Arial" w:hAnsi="Arial"/>
          <w:sz w:val="20"/>
          <w:szCs w:val="20"/>
          <w:color w:val="auto"/>
        </w:rPr>
        <w:t>and Borrower, effective on the date set forth in such notice or, if no such date is set forth therein, upon the date such notice shall be effective, in accordance with the terms of this Section 7 of this Exhibit B. If Collateral Agent delivers any such notice, the Required Lenders shall have the right to appoint a successor Collateral Agent. If, after thirty (30) days after the date of the retiring Collateral Agent’s notice of resignation, no successor Collateral Agent has been appointed by the Required Lenders and has accepted such appointment, then the retiring Collateral Agent may, on behalf of the Lenders, appoint a successor Collateral Agent from among the Lenders. Effective immediately upon its resignation, (a) the</w:t>
      </w:r>
    </w:p>
    <w:p>
      <w:pPr>
        <w:sectPr>
          <w:pgSz w:w="11900" w:h="16838" w:orient="portrait"/>
          <w:cols w:equalWidth="0" w:num="1">
            <w:col w:w="11240"/>
          </w:cols>
          <w:pgMar w:left="320" w:top="1405" w:right="339" w:bottom="1440" w:gutter="0" w:footer="0" w:header="0"/>
        </w:sectPr>
      </w:pPr>
    </w:p>
    <w:bookmarkStart w:id="122" w:name="page123"/>
    <w:bookmarkEnd w:id="122"/>
    <w:p>
      <w:pPr>
        <w:jc w:val="both"/>
        <w:spacing w:after="0" w:line="215" w:lineRule="auto"/>
        <w:rPr>
          <w:sz w:val="20"/>
          <w:szCs w:val="20"/>
          <w:color w:val="auto"/>
        </w:rPr>
      </w:pPr>
      <w:r>
        <w:rPr>
          <w:rFonts w:ascii="Arial" w:cs="Arial" w:eastAsia="Arial" w:hAnsi="Arial"/>
          <w:sz w:val="19"/>
          <w:szCs w:val="19"/>
          <w:color w:val="auto"/>
        </w:rPr>
        <w:t>retiring Collateral Agent shall be discharged from its duties and obligations under the Loan Documents, (b) the Lenders shall assume and perform all of the duties of Collateral Agent until a successor Collateral Agent shall have accepted a valid appointment hereunder, (c) the retiring Collateral Agent and its Related Persons shall no longer have the benefit of any provision of any Loan Document other than with respect to any actions taken or omitted to be taken while such retiring Collateral Agent was, or because such Collateral Agent had been, validly acting as Collateral Agent under the Loan Documents, and (iv) subject to its rights under Section 2(b) of this Exhibit B, the retiring Collateral Agent shall take such action as may be reasonably necessary to assign to the successor Collateral Agent its rights as Collateral Agent under the Loan Documents. Effective immediately upon its acceptance of a valid appointment as Collateral Agent, a successor Collateral Agent shall succeed to, and become vested with, all the rights, powers, privileges and duties of the retiring Collateral Agent under the Loan Documents.</w:t>
      </w:r>
    </w:p>
    <w:p>
      <w:pPr>
        <w:spacing w:after="0" w:line="136" w:lineRule="exact"/>
        <w:rPr>
          <w:sz w:val="20"/>
          <w:szCs w:val="20"/>
          <w:color w:val="auto"/>
        </w:rPr>
      </w:pPr>
    </w:p>
    <w:p>
      <w:pPr>
        <w:ind w:firstLine="656"/>
        <w:spacing w:after="0" w:line="232" w:lineRule="auto"/>
        <w:tabs>
          <w:tab w:leader="none" w:pos="1296" w:val="left"/>
        </w:tabs>
        <w:numPr>
          <w:ilvl w:val="1"/>
          <w:numId w:val="93"/>
        </w:numPr>
        <w:rPr>
          <w:rFonts w:ascii="Arial" w:cs="Arial" w:eastAsia="Arial" w:hAnsi="Arial"/>
          <w:sz w:val="20"/>
          <w:szCs w:val="20"/>
          <w:color w:val="auto"/>
        </w:rPr>
      </w:pPr>
      <w:r>
        <w:rPr>
          <w:rFonts w:ascii="Arial" w:cs="Arial" w:eastAsia="Arial" w:hAnsi="Arial"/>
          <w:sz w:val="20"/>
          <w:szCs w:val="20"/>
          <w:b w:val="1"/>
          <w:bCs w:val="1"/>
          <w:color w:val="auto"/>
        </w:rPr>
        <w:t xml:space="preserve">Release of Collateral. </w:t>
      </w:r>
      <w:r>
        <w:rPr>
          <w:rFonts w:ascii="Arial" w:cs="Arial" w:eastAsia="Arial" w:hAnsi="Arial"/>
          <w:sz w:val="20"/>
          <w:szCs w:val="20"/>
          <w:color w:val="auto"/>
        </w:rPr>
        <w:t>Each Lender hereby consents to the release and hereby directs Collateral Agent to release (or in the</w:t>
      </w:r>
      <w:r>
        <w:rPr>
          <w:rFonts w:ascii="Arial" w:cs="Arial" w:eastAsia="Arial" w:hAnsi="Arial"/>
          <w:sz w:val="20"/>
          <w:szCs w:val="20"/>
          <w:b w:val="1"/>
          <w:bCs w:val="1"/>
          <w:color w:val="auto"/>
        </w:rPr>
        <w:t xml:space="preserve"> </w:t>
      </w:r>
      <w:r>
        <w:rPr>
          <w:rFonts w:ascii="Arial" w:cs="Arial" w:eastAsia="Arial" w:hAnsi="Arial"/>
          <w:sz w:val="20"/>
          <w:szCs w:val="20"/>
          <w:color w:val="auto"/>
        </w:rPr>
        <w:t>case of clause (b)(ii) below, release or subordinate) the following:</w:t>
      </w:r>
    </w:p>
    <w:p>
      <w:pPr>
        <w:spacing w:after="0" w:line="128" w:lineRule="exact"/>
        <w:rPr>
          <w:rFonts w:ascii="Arial" w:cs="Arial" w:eastAsia="Arial" w:hAnsi="Arial"/>
          <w:sz w:val="20"/>
          <w:szCs w:val="20"/>
          <w:color w:val="auto"/>
        </w:rPr>
      </w:pPr>
    </w:p>
    <w:p>
      <w:pPr>
        <w:jc w:val="both"/>
        <w:ind w:firstLine="1278"/>
        <w:spacing w:after="0" w:line="218" w:lineRule="auto"/>
        <w:tabs>
          <w:tab w:leader="none" w:pos="1705" w:val="left"/>
        </w:tabs>
        <w:numPr>
          <w:ilvl w:val="2"/>
          <w:numId w:val="93"/>
        </w:numPr>
        <w:rPr>
          <w:rFonts w:ascii="Arial" w:cs="Arial" w:eastAsia="Arial" w:hAnsi="Arial"/>
          <w:sz w:val="20"/>
          <w:szCs w:val="20"/>
          <w:color w:val="auto"/>
        </w:rPr>
      </w:pPr>
      <w:r>
        <w:rPr>
          <w:rFonts w:ascii="Arial" w:cs="Arial" w:eastAsia="Arial" w:hAnsi="Arial"/>
          <w:sz w:val="20"/>
          <w:szCs w:val="20"/>
          <w:color w:val="auto"/>
        </w:rPr>
        <w:t>any Guarantor if all of the stock of such Subsidiary owned by Borrower is sold or transferred in a transaction permitted under the Loan Documents (including pursuant to a valid waiver or consent), to the extent that, after giving effect to such transaction, such Subsidiary would not be required to guaranty any Obligations pursuant to any Loan Document; and</w:t>
      </w:r>
    </w:p>
    <w:p>
      <w:pPr>
        <w:spacing w:after="0" w:line="142" w:lineRule="exact"/>
        <w:rPr>
          <w:rFonts w:ascii="Arial" w:cs="Arial" w:eastAsia="Arial" w:hAnsi="Arial"/>
          <w:sz w:val="20"/>
          <w:szCs w:val="20"/>
          <w:color w:val="auto"/>
        </w:rPr>
      </w:pPr>
    </w:p>
    <w:p>
      <w:pPr>
        <w:jc w:val="both"/>
        <w:ind w:firstLine="1278"/>
        <w:spacing w:after="0" w:line="223" w:lineRule="auto"/>
        <w:tabs>
          <w:tab w:leader="none" w:pos="1822" w:val="left"/>
        </w:tabs>
        <w:numPr>
          <w:ilvl w:val="2"/>
          <w:numId w:val="93"/>
        </w:numPr>
        <w:rPr>
          <w:rFonts w:ascii="Arial" w:cs="Arial" w:eastAsia="Arial" w:hAnsi="Arial"/>
          <w:sz w:val="18"/>
          <w:szCs w:val="18"/>
          <w:color w:val="auto"/>
        </w:rPr>
      </w:pPr>
      <w:r>
        <w:rPr>
          <w:rFonts w:ascii="Arial" w:cs="Arial" w:eastAsia="Arial" w:hAnsi="Arial"/>
          <w:sz w:val="18"/>
          <w:szCs w:val="18"/>
          <w:color w:val="auto"/>
        </w:rPr>
        <w:t>any Lien held by Collateral Agent for the benefit of the Secured Parties against (i) any Collateral that is sold or otherwise disposed of by Borrower in a transaction permitted by the Loan Documents (including pursuant to a valid waiver or consent), (ii) any Collateral subject to a Lien that is expressly permitted under clause (c) of the definition of the term “Permitted Lien” and (iii) all of the Collateral and Borrower, upon (A) termination of all of the Commitments, (B) the payment in full in cash of all of the Obligations (other than</w:t>
      </w:r>
    </w:p>
    <w:p>
      <w:pPr>
        <w:spacing w:after="0" w:line="2" w:lineRule="exact"/>
        <w:rPr>
          <w:rFonts w:ascii="Arial" w:cs="Arial" w:eastAsia="Arial" w:hAnsi="Arial"/>
          <w:sz w:val="18"/>
          <w:szCs w:val="18"/>
          <w:color w:val="auto"/>
        </w:rPr>
      </w:pPr>
    </w:p>
    <w:p>
      <w:pPr>
        <w:jc w:val="both"/>
        <w:ind w:firstLine="8"/>
        <w:spacing w:after="0" w:line="209" w:lineRule="auto"/>
        <w:tabs>
          <w:tab w:leader="none" w:pos="291" w:val="left"/>
        </w:tabs>
        <w:numPr>
          <w:ilvl w:val="0"/>
          <w:numId w:val="94"/>
        </w:numPr>
        <w:rPr>
          <w:rFonts w:ascii="Arial" w:cs="Arial" w:eastAsia="Arial" w:hAnsi="Arial"/>
          <w:sz w:val="20"/>
          <w:szCs w:val="20"/>
          <w:color w:val="auto"/>
        </w:rPr>
      </w:pPr>
      <w:r>
        <w:rPr>
          <w:rFonts w:ascii="Arial" w:cs="Arial" w:eastAsia="Arial" w:hAnsi="Arial"/>
          <w:sz w:val="20"/>
          <w:szCs w:val="20"/>
          <w:color w:val="auto"/>
        </w:rPr>
        <w:t>inchoate indemnity obligations, and (ii) other obligations that, by their terms, survive termination of this Agreement, in each case for which no claim has been made), and (C) to the extent requested by Collateral Agent, receipt by Collateral Agent and Lenders of liability releases from Borrower in form and substance acceptable to Collateral Agent (the satisfaction of the conditions in this clause (iii), the “</w:t>
      </w:r>
      <w:r>
        <w:rPr>
          <w:rFonts w:ascii="Arial" w:cs="Arial" w:eastAsia="Arial" w:hAnsi="Arial"/>
          <w:sz w:val="20"/>
          <w:szCs w:val="20"/>
          <w:b w:val="1"/>
          <w:bCs w:val="1"/>
          <w:color w:val="auto"/>
        </w:rPr>
        <w:t>Termination Date</w:t>
      </w:r>
      <w:r>
        <w:rPr>
          <w:rFonts w:ascii="Arial" w:cs="Arial" w:eastAsia="Arial" w:hAnsi="Arial"/>
          <w:sz w:val="20"/>
          <w:szCs w:val="20"/>
          <w:color w:val="auto"/>
        </w:rPr>
        <w:t>”).</w:t>
      </w:r>
    </w:p>
    <w:p>
      <w:pPr>
        <w:spacing w:after="0" w:line="135" w:lineRule="exact"/>
        <w:rPr>
          <w:rFonts w:ascii="Arial" w:cs="Arial" w:eastAsia="Arial" w:hAnsi="Arial"/>
          <w:sz w:val="20"/>
          <w:szCs w:val="20"/>
          <w:color w:val="auto"/>
        </w:rPr>
      </w:pPr>
    </w:p>
    <w:p>
      <w:pPr>
        <w:jc w:val="both"/>
        <w:ind w:firstLine="656"/>
        <w:spacing w:after="0" w:line="223" w:lineRule="auto"/>
        <w:tabs>
          <w:tab w:leader="none" w:pos="1296" w:val="left"/>
        </w:tabs>
        <w:numPr>
          <w:ilvl w:val="1"/>
          <w:numId w:val="94"/>
        </w:numPr>
        <w:rPr>
          <w:rFonts w:ascii="Arial" w:cs="Arial" w:eastAsia="Arial" w:hAnsi="Arial"/>
          <w:sz w:val="18"/>
          <w:szCs w:val="18"/>
          <w:color w:val="auto"/>
        </w:rPr>
      </w:pPr>
      <w:r>
        <w:rPr>
          <w:rFonts w:ascii="Arial" w:cs="Arial" w:eastAsia="Arial" w:hAnsi="Arial"/>
          <w:sz w:val="18"/>
          <w:szCs w:val="18"/>
          <w:b w:val="1"/>
          <w:bCs w:val="1"/>
          <w:color w:val="auto"/>
        </w:rPr>
        <w:t xml:space="preserve">Setoff and Sharing of Payments. </w:t>
      </w:r>
      <w:r>
        <w:rPr>
          <w:rFonts w:ascii="Arial" w:cs="Arial" w:eastAsia="Arial" w:hAnsi="Arial"/>
          <w:sz w:val="18"/>
          <w:szCs w:val="18"/>
          <w:color w:val="auto"/>
        </w:rPr>
        <w:t>In addition to any rights now or hereafter granted under any applicable Requirement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Law and not by way of limitation of any such rights, upon the occurrence and during the continuance of any Event of Default and subject to Section 10(d) of this Exhibit B, each Lender is hereby authorized at any time or from time to time upon the direction of Collateral Agent, without notice to Borrower or any other Person, any such notice being hereby expressly waived, to setoff and to appropriate and to apply any and all balances held by it at any of its offices for the account of Borrower (regardless of whether such balances are then due to Borrower) and any other properties or assets at any time held or owing by that Lender or that holder to or for the credit or for the account of Borrower against and on account of any of the Obligations that are not paid when due. Any Lender exercising a right of setoff or otherwise receiving any payment on account of the Obligations in excess of its Pro Rata Share thereof shall purchase for cash (and the other Lenders or holders shall sell) such participations in each such other Lender’s or holder’s Pro Rata Share of the Obligations as would be necessary to cause such Lender to share the amount so offset or otherwise received with each other Lender or holder in accordance with their respective Pro Rata Shares of the Obligations. Borrower agrees, to the fullest extent permitted by law, that (a) any Lender may exercise its right to offset with respect to amounts in excess of its Pro Rata Share of the Obligations and may purchase participations in accordance with the preceding sentence and (b) any Lender so purchasing a participation in the Term Loans made or other Obligations held by other Lenders or holders may exercise all rights of offset, bankers’ liens, counterclaims or similar rights with respect to such participation as fully as if such Lender or holder were a direct holder of the Term Loans and the other Obligations in the amount of such participation. Notwithstanding the foregoing, if all or any portion of the offset amount or payment otherwise received is thereafter recovered from the Lender that has exercised the right of offset, the purchase of participations by that Lender shall be rescinded and the purchase price restored without interest.</w:t>
      </w:r>
    </w:p>
    <w:p>
      <w:pPr>
        <w:spacing w:after="0" w:line="132" w:lineRule="exact"/>
        <w:rPr>
          <w:rFonts w:ascii="Arial" w:cs="Arial" w:eastAsia="Arial" w:hAnsi="Arial"/>
          <w:sz w:val="18"/>
          <w:szCs w:val="18"/>
          <w:color w:val="auto"/>
        </w:rPr>
      </w:pPr>
    </w:p>
    <w:p>
      <w:pPr>
        <w:ind w:left="1300" w:hanging="644"/>
        <w:spacing w:after="0"/>
        <w:tabs>
          <w:tab w:leader="none" w:pos="1300" w:val="left"/>
        </w:tabs>
        <w:numPr>
          <w:ilvl w:val="1"/>
          <w:numId w:val="94"/>
        </w:numPr>
        <w:rPr>
          <w:rFonts w:ascii="Arial" w:cs="Arial" w:eastAsia="Arial" w:hAnsi="Arial"/>
          <w:sz w:val="20"/>
          <w:szCs w:val="20"/>
          <w:color w:val="auto"/>
        </w:rPr>
      </w:pPr>
      <w:r>
        <w:rPr>
          <w:rFonts w:ascii="Arial" w:cs="Arial" w:eastAsia="Arial" w:hAnsi="Arial"/>
          <w:sz w:val="20"/>
          <w:szCs w:val="20"/>
          <w:b w:val="1"/>
          <w:bCs w:val="1"/>
          <w:color w:val="auto"/>
        </w:rPr>
        <w:t>Advances; Payments; Non-Funding Lenders; Actions in Concert.</w:t>
      </w:r>
    </w:p>
    <w:p>
      <w:pPr>
        <w:spacing w:after="0" w:line="167" w:lineRule="exact"/>
        <w:rPr>
          <w:rFonts w:ascii="Arial" w:cs="Arial" w:eastAsia="Arial" w:hAnsi="Arial"/>
          <w:sz w:val="20"/>
          <w:szCs w:val="20"/>
          <w:color w:val="auto"/>
        </w:rPr>
      </w:pPr>
    </w:p>
    <w:p>
      <w:pPr>
        <w:jc w:val="both"/>
        <w:ind w:firstLine="1278"/>
        <w:spacing w:after="0" w:line="218" w:lineRule="auto"/>
        <w:tabs>
          <w:tab w:leader="none" w:pos="1782" w:val="left"/>
        </w:tabs>
        <w:numPr>
          <w:ilvl w:val="2"/>
          <w:numId w:val="94"/>
        </w:numPr>
        <w:rPr>
          <w:rFonts w:ascii="Arial" w:cs="Arial" w:eastAsia="Arial" w:hAnsi="Arial"/>
          <w:sz w:val="20"/>
          <w:szCs w:val="20"/>
          <w:color w:val="auto"/>
        </w:rPr>
      </w:pPr>
      <w:r>
        <w:rPr>
          <w:rFonts w:ascii="Arial" w:cs="Arial" w:eastAsia="Arial" w:hAnsi="Arial"/>
          <w:sz w:val="20"/>
          <w:szCs w:val="20"/>
          <w:u w:val="single" w:color="auto"/>
          <w:color w:val="auto"/>
        </w:rPr>
        <w:t>Advances; Payments</w:t>
      </w:r>
      <w:r>
        <w:rPr>
          <w:rFonts w:ascii="Arial" w:cs="Arial" w:eastAsia="Arial" w:hAnsi="Arial"/>
          <w:sz w:val="20"/>
          <w:szCs w:val="20"/>
          <w:color w:val="auto"/>
        </w:rPr>
        <w:t>. If Collateral Agent receives any payment with respect to a Term Loan for the account of the Lenders on or prior to 2:00 p.m. (New York time) on any Business Day, Collateral Agent shall pay to each applicable Lender such Lender’s Pro Rata Share of such payment on such</w:t>
      </w:r>
    </w:p>
    <w:p>
      <w:pPr>
        <w:sectPr>
          <w:pgSz w:w="11900" w:h="16838" w:orient="portrait"/>
          <w:cols w:equalWidth="0" w:num="1">
            <w:col w:w="11240"/>
          </w:cols>
          <w:pgMar w:left="320" w:top="1405" w:right="339" w:bottom="1440" w:gutter="0" w:footer="0" w:header="0"/>
        </w:sectPr>
      </w:pPr>
    </w:p>
    <w:bookmarkStart w:id="123" w:name="page124"/>
    <w:bookmarkEnd w:id="123"/>
    <w:p>
      <w:pPr>
        <w:jc w:val="both"/>
        <w:spacing w:after="0" w:line="218" w:lineRule="auto"/>
        <w:rPr>
          <w:sz w:val="20"/>
          <w:szCs w:val="20"/>
          <w:color w:val="auto"/>
        </w:rPr>
      </w:pPr>
      <w:r>
        <w:rPr>
          <w:rFonts w:ascii="Arial" w:cs="Arial" w:eastAsia="Arial" w:hAnsi="Arial"/>
          <w:sz w:val="20"/>
          <w:szCs w:val="20"/>
          <w:color w:val="auto"/>
        </w:rPr>
        <w:t>Business Day. If Collateral Agent receives any payment with respect to a Term Loan for the account of Lenders after 2:00 p.m. (New York time) on any Business Day, Collateral Agent shall pay to each applicable Lender such Lender’s Pro Rata Share of such payment on the next Business Day.</w:t>
      </w:r>
    </w:p>
    <w:p>
      <w:pPr>
        <w:spacing w:after="0" w:line="143" w:lineRule="exact"/>
        <w:rPr>
          <w:sz w:val="20"/>
          <w:szCs w:val="20"/>
          <w:color w:val="auto"/>
        </w:rPr>
      </w:pPr>
    </w:p>
    <w:p>
      <w:pPr>
        <w:ind w:left="1700" w:hanging="422"/>
        <w:spacing w:after="0"/>
        <w:tabs>
          <w:tab w:leader="none" w:pos="1700"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Return of Payments</w:t>
      </w:r>
      <w:r>
        <w:rPr>
          <w:rFonts w:ascii="Arial" w:cs="Arial" w:eastAsia="Arial" w:hAnsi="Arial"/>
          <w:sz w:val="20"/>
          <w:szCs w:val="20"/>
          <w:color w:val="auto"/>
        </w:rPr>
        <w:t>.</w:t>
      </w:r>
    </w:p>
    <w:p>
      <w:pPr>
        <w:spacing w:after="0" w:line="148" w:lineRule="exact"/>
        <w:rPr>
          <w:rFonts w:ascii="Arial" w:cs="Arial" w:eastAsia="Arial" w:hAnsi="Arial"/>
          <w:sz w:val="20"/>
          <w:szCs w:val="20"/>
          <w:color w:val="auto"/>
        </w:rPr>
      </w:pPr>
    </w:p>
    <w:p>
      <w:pPr>
        <w:jc w:val="both"/>
        <w:ind w:firstLine="1939"/>
        <w:spacing w:after="0" w:line="236" w:lineRule="auto"/>
        <w:tabs>
          <w:tab w:leader="none" w:pos="2344" w:val="left"/>
        </w:tabs>
        <w:numPr>
          <w:ilvl w:val="1"/>
          <w:numId w:val="95"/>
        </w:numPr>
        <w:rPr>
          <w:rFonts w:ascii="Arial" w:cs="Arial" w:eastAsia="Arial" w:hAnsi="Arial"/>
          <w:sz w:val="18"/>
          <w:szCs w:val="18"/>
          <w:color w:val="auto"/>
        </w:rPr>
      </w:pPr>
      <w:r>
        <w:rPr>
          <w:rFonts w:ascii="Arial" w:cs="Arial" w:eastAsia="Arial" w:hAnsi="Arial"/>
          <w:sz w:val="18"/>
          <w:szCs w:val="18"/>
          <w:color w:val="auto"/>
        </w:rPr>
        <w:t>If Collateral Agent pays an amount to a Lender under this Agreement in the belief or expectation that a related payment has been or will be received by Collateral Agent or on behalf of from Borrower and such related payment is not received by Collateral Agent, then Collateral Agent will be entitled to recover such amount (including interest accruing on such amount at the rate otherwise applicable to such Obligation) from such Lender on demand without setoff, counterclaim or deduction of any kind.</w:t>
      </w:r>
    </w:p>
    <w:p>
      <w:pPr>
        <w:spacing w:after="0" w:line="144" w:lineRule="exact"/>
        <w:rPr>
          <w:rFonts w:ascii="Arial" w:cs="Arial" w:eastAsia="Arial" w:hAnsi="Arial"/>
          <w:sz w:val="18"/>
          <w:szCs w:val="18"/>
          <w:color w:val="auto"/>
        </w:rPr>
      </w:pPr>
    </w:p>
    <w:p>
      <w:pPr>
        <w:jc w:val="both"/>
        <w:ind w:firstLine="1939"/>
        <w:spacing w:after="0" w:line="206" w:lineRule="auto"/>
        <w:tabs>
          <w:tab w:leader="none" w:pos="2484" w:val="left"/>
        </w:tabs>
        <w:numPr>
          <w:ilvl w:val="1"/>
          <w:numId w:val="95"/>
        </w:numPr>
        <w:rPr>
          <w:rFonts w:ascii="Arial" w:cs="Arial" w:eastAsia="Arial" w:hAnsi="Arial"/>
          <w:sz w:val="20"/>
          <w:szCs w:val="20"/>
          <w:color w:val="auto"/>
        </w:rPr>
      </w:pPr>
      <w:r>
        <w:rPr>
          <w:rFonts w:ascii="Arial" w:cs="Arial" w:eastAsia="Arial" w:hAnsi="Arial"/>
          <w:sz w:val="20"/>
          <w:szCs w:val="20"/>
          <w:color w:val="auto"/>
        </w:rPr>
        <w:t>If Collateral Agent determines at any time that any amount received by Collateral Agent under any Loan Document must be returned to Borrower or paid to any other Person pursuant to any insolvency law or otherwise, then, notwithstanding any other term or condition of any Loan Document, Collateral Agent will not be required to distribute any portion thereof to any Lender. In addition, each Lender will repay to Collateral Agent on demand any portion of such amount that Collateral Agent has distributed to such Lender, together with interest at such rate, if any, as Collateral Agent is required to pay to Borrower or such other Person, without setoff, counterclaim or deduction of any kind and Collateral Agent will be entitled to set off against future distributions to such Lender any such amounts (with interest) that are not repaid on demand.</w:t>
      </w:r>
    </w:p>
    <w:p>
      <w:pPr>
        <w:spacing w:after="0" w:line="143" w:lineRule="exact"/>
        <w:rPr>
          <w:rFonts w:ascii="Arial" w:cs="Arial" w:eastAsia="Arial" w:hAnsi="Arial"/>
          <w:sz w:val="20"/>
          <w:szCs w:val="20"/>
          <w:color w:val="auto"/>
        </w:rPr>
      </w:pPr>
    </w:p>
    <w:p>
      <w:pPr>
        <w:ind w:left="1700" w:hanging="422"/>
        <w:spacing w:after="0"/>
        <w:tabs>
          <w:tab w:leader="none" w:pos="1700"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Non-Funding Lenders</w:t>
      </w:r>
      <w:r>
        <w:rPr>
          <w:rFonts w:ascii="Arial" w:cs="Arial" w:eastAsia="Arial" w:hAnsi="Arial"/>
          <w:sz w:val="20"/>
          <w:szCs w:val="20"/>
          <w:color w:val="auto"/>
        </w:rPr>
        <w:t>.</w:t>
      </w:r>
    </w:p>
    <w:p>
      <w:pPr>
        <w:spacing w:after="0" w:line="148" w:lineRule="exact"/>
        <w:rPr>
          <w:rFonts w:ascii="Arial" w:cs="Arial" w:eastAsia="Arial" w:hAnsi="Arial"/>
          <w:sz w:val="20"/>
          <w:szCs w:val="20"/>
          <w:color w:val="auto"/>
        </w:rPr>
      </w:pPr>
    </w:p>
    <w:p>
      <w:pPr>
        <w:jc w:val="both"/>
        <w:ind w:firstLine="1939"/>
        <w:spacing w:after="0" w:line="226" w:lineRule="auto"/>
        <w:tabs>
          <w:tab w:leader="none" w:pos="2350" w:val="left"/>
        </w:tabs>
        <w:numPr>
          <w:ilvl w:val="1"/>
          <w:numId w:val="95"/>
        </w:numPr>
        <w:rPr>
          <w:rFonts w:ascii="Arial" w:cs="Arial" w:eastAsia="Arial" w:hAnsi="Arial"/>
          <w:sz w:val="18"/>
          <w:szCs w:val="18"/>
          <w:color w:val="auto"/>
        </w:rPr>
      </w:pPr>
      <w:r>
        <w:rPr>
          <w:rFonts w:ascii="Arial" w:cs="Arial" w:eastAsia="Arial" w:hAnsi="Arial"/>
          <w:sz w:val="18"/>
          <w:szCs w:val="18"/>
          <w:color w:val="auto"/>
        </w:rPr>
        <w:t>Unless Collateral Agent shall have received notice from a Lender prior to the date of any Term Loan that such Lender will not make available to Collateral Agent such Lender’s Pro Rata Share of such Term Loan, Collateral Agent may assume that such Lender will make such amount available to it on the date of such Term Loan in accordance with Section 2(b) of this Exhibit B, and Collateral Agent may (but shall not be obligated to), in reliance upon such assumption, make available a corresponding amount for the account of Borrower on such date. If and to the extent that such Lender shall not have made such amount available to Collateral Agent, such Lender and Borrower severally agree to repay to Collateral Agent forthwith on demand such corresponding amount together with interest thereon, for each day from the day such amount is made available to Borrower until the day such amount is repaid to Collateral Agent, at a rate per annum equal to the interest rate applicable to the Obligation that would have been created when Collateral Agent made available such amount to Borrower had such Lender made a corresponding payment available. If such Lender shall repay such corresponding amount to Collateral Agent, the amount so repaid shall constitute such Lender’s portion of such Term Loan for purposes of this Agreement.</w:t>
      </w:r>
    </w:p>
    <w:p>
      <w:pPr>
        <w:spacing w:after="0" w:line="143" w:lineRule="exact"/>
        <w:rPr>
          <w:rFonts w:ascii="Arial" w:cs="Arial" w:eastAsia="Arial" w:hAnsi="Arial"/>
          <w:sz w:val="18"/>
          <w:szCs w:val="18"/>
          <w:color w:val="auto"/>
        </w:rPr>
      </w:pPr>
    </w:p>
    <w:p>
      <w:pPr>
        <w:jc w:val="both"/>
        <w:ind w:firstLine="1939"/>
        <w:spacing w:after="0" w:line="223" w:lineRule="auto"/>
        <w:tabs>
          <w:tab w:leader="none" w:pos="2369" w:val="left"/>
        </w:tabs>
        <w:numPr>
          <w:ilvl w:val="1"/>
          <w:numId w:val="95"/>
        </w:numPr>
        <w:rPr>
          <w:rFonts w:ascii="Arial" w:cs="Arial" w:eastAsia="Arial" w:hAnsi="Arial"/>
          <w:sz w:val="18"/>
          <w:szCs w:val="18"/>
          <w:color w:val="auto"/>
        </w:rPr>
      </w:pPr>
      <w:r>
        <w:rPr>
          <w:rFonts w:ascii="Arial" w:cs="Arial" w:eastAsia="Arial" w:hAnsi="Arial"/>
          <w:sz w:val="18"/>
          <w:szCs w:val="18"/>
          <w:color w:val="auto"/>
        </w:rPr>
        <w:t>To the extent that any Lender has failed to fund any Term Loan or any other payments required to be made by it under the Loan Documents after any such Term Loan is required to be made or such payment is due (a “</w:t>
      </w:r>
      <w:r>
        <w:rPr>
          <w:rFonts w:ascii="Arial" w:cs="Arial" w:eastAsia="Arial" w:hAnsi="Arial"/>
          <w:sz w:val="18"/>
          <w:szCs w:val="18"/>
          <w:b w:val="1"/>
          <w:bCs w:val="1"/>
          <w:color w:val="auto"/>
        </w:rPr>
        <w:t>Non-Funding Lender</w:t>
      </w:r>
      <w:r>
        <w:rPr>
          <w:rFonts w:ascii="Arial" w:cs="Arial" w:eastAsia="Arial" w:hAnsi="Arial"/>
          <w:sz w:val="18"/>
          <w:szCs w:val="18"/>
          <w:color w:val="auto"/>
        </w:rPr>
        <w:t>”), Collateral Agent shall be entitled to set off the funding short-fall against that Non-Funding Lender’s Pro Rata Share of all payments received from or on behalf of Borrower thereunder. The failure of any Non-Funding Lender to make any Term Loan or any payment required by it hereunder shall not relieve any other Lender (each such other Lender, an “</w:t>
      </w:r>
      <w:r>
        <w:rPr>
          <w:rFonts w:ascii="Arial" w:cs="Arial" w:eastAsia="Arial" w:hAnsi="Arial"/>
          <w:sz w:val="18"/>
          <w:szCs w:val="18"/>
          <w:b w:val="1"/>
          <w:bCs w:val="1"/>
          <w:color w:val="auto"/>
        </w:rPr>
        <w:t>Other Lender</w:t>
      </w:r>
      <w:r>
        <w:rPr>
          <w:rFonts w:ascii="Arial" w:cs="Arial" w:eastAsia="Arial" w:hAnsi="Arial"/>
          <w:sz w:val="18"/>
          <w:szCs w:val="18"/>
          <w:color w:val="auto"/>
        </w:rPr>
        <w:t>”) of its obligations to make such Term Loan, but neither any Other Lender nor Collateral Agent shall be responsible for the failure of any Non-Funding Lender to make such Term Loan or make any other payment required hereunder. Notwithstanding anything set forth herein to the contrary, a Non-Funding Lender shall not have any voting or consent rights under or with respect to any Loan Document or constitute a “Lender” (or be included in the calculation of “Required Lenders” hereunder) for any voting or consent rights under or with respect to any Loan Document. At Borrower’s request, Collateral Agent or a Person reasonably acceptable to Collateral Agent shall have the right with Collateral Agent’s consent and in Collateral Agent’s sole discretion (but Collateral Agent or any such Person shall have no obligation) to purchase from any Non-Funding Lender, and each Lender agrees that if it becomes a Non-Funding Lender it shall, at Collateral Agent’s request, sell and assign to Collateral Agent or such Person, all of the Term Loan Commitment (if any), and all of the outstanding Term Loan of that Non-Funding Lender for an amount equal to the aggregate outstanding principal balance of the Term Loan held by such Non-Funding Lender and all accrued interest with respect thereto through the date of sale, such purchase and sale to be consummated pursuant to an executed assignment agreement in form and substance reasonably satisfactory to, and acknowledged by, Collateral Agent.</w:t>
      </w:r>
    </w:p>
    <w:p>
      <w:pPr>
        <w:sectPr>
          <w:pgSz w:w="11900" w:h="16838" w:orient="portrait"/>
          <w:cols w:equalWidth="0" w:num="1">
            <w:col w:w="11240"/>
          </w:cols>
          <w:pgMar w:left="320" w:top="1405" w:right="339" w:bottom="1440" w:gutter="0" w:footer="0" w:header="0"/>
        </w:sectPr>
      </w:pPr>
    </w:p>
    <w:bookmarkStart w:id="124" w:name="page125"/>
    <w:bookmarkEnd w:id="124"/>
    <w:p>
      <w:pPr>
        <w:jc w:val="both"/>
        <w:ind w:left="-1120" w:firstLine="1278"/>
        <w:spacing w:after="0" w:line="210" w:lineRule="auto"/>
        <w:tabs>
          <w:tab w:leader="none" w:pos="605"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Actions in Concert</w:t>
      </w:r>
      <w:r>
        <w:rPr>
          <w:rFonts w:ascii="Arial" w:cs="Arial" w:eastAsia="Arial" w:hAnsi="Arial"/>
          <w:sz w:val="20"/>
          <w:szCs w:val="20"/>
          <w:color w:val="auto"/>
        </w:rPr>
        <w:t>. Anything in this Agreement to the contrary notwithstanding, each Lender hereby agrees with each other Lender that no Lender shall take any action to protect or enforce its rights arising out of any Loan Document (including exercising any rights of setoff) without first obtaining the prior written consent of Collateral Agent or Required Lenders, it being the intent of Lenders that any such action to protect or enforce rights under any Loan Document shall be taken in concert and at the direction or with the consent of Collateral Agent or Required Lenders.</w:t>
      </w:r>
    </w:p>
    <w:p>
      <w:pPr>
        <w:sectPr>
          <w:pgSz w:w="11900" w:h="16838" w:orient="portrait"/>
          <w:cols w:equalWidth="0" w:num="1">
            <w:col w:w="10120"/>
          </w:cols>
          <w:pgMar w:left="1440" w:top="1405" w:right="339" w:bottom="1440" w:gutter="0" w:footer="0" w:header="0"/>
        </w:sectPr>
      </w:pPr>
    </w:p>
    <w:bookmarkStart w:id="125" w:name="page126"/>
    <w:bookmarkEnd w:id="125"/>
    <w:p>
      <w:pPr>
        <w:spacing w:after="0" w:line="54"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EXHIBIT C</w:t>
      </w:r>
    </w:p>
    <w:p>
      <w:pPr>
        <w:spacing w:after="0" w:line="40"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Taxes; Increased Costs.</w:t>
      </w:r>
    </w:p>
    <w:p>
      <w:pPr>
        <w:spacing w:after="0" w:line="54" w:lineRule="exact"/>
        <w:rPr>
          <w:sz w:val="20"/>
          <w:szCs w:val="20"/>
          <w:color w:val="auto"/>
        </w:rPr>
      </w:pPr>
    </w:p>
    <w:p>
      <w:pPr>
        <w:ind w:left="1300" w:hanging="320"/>
        <w:spacing w:after="0"/>
        <w:tabs>
          <w:tab w:leader="none" w:pos="1300" w:val="left"/>
        </w:tabs>
        <w:numPr>
          <w:ilvl w:val="0"/>
          <w:numId w:val="97"/>
        </w:numPr>
        <w:rPr>
          <w:rFonts w:ascii="Arial" w:cs="Arial" w:eastAsia="Arial" w:hAnsi="Arial"/>
          <w:sz w:val="20"/>
          <w:szCs w:val="20"/>
          <w:color w:val="auto"/>
        </w:rPr>
      </w:pPr>
      <w:r>
        <w:rPr>
          <w:rFonts w:ascii="Arial" w:cs="Arial" w:eastAsia="Arial" w:hAnsi="Arial"/>
          <w:sz w:val="20"/>
          <w:szCs w:val="20"/>
          <w:b w:val="1"/>
          <w:bCs w:val="1"/>
          <w:color w:val="auto"/>
        </w:rPr>
        <w:t>Defined Terms</w:t>
      </w:r>
    </w:p>
    <w:p>
      <w:pPr>
        <w:spacing w:after="0" w:line="168" w:lineRule="exact"/>
        <w:rPr>
          <w:sz w:val="20"/>
          <w:szCs w:val="20"/>
          <w:color w:val="auto"/>
        </w:rPr>
      </w:pPr>
    </w:p>
    <w:p>
      <w:pPr>
        <w:ind w:left="760" w:hanging="104"/>
        <w:spacing w:after="0"/>
        <w:tabs>
          <w:tab w:leader="none" w:pos="760" w:val="left"/>
        </w:tabs>
        <w:numPr>
          <w:ilvl w:val="0"/>
          <w:numId w:val="98"/>
        </w:numPr>
        <w:rPr>
          <w:rFonts w:ascii="Arial" w:cs="Arial" w:eastAsia="Arial" w:hAnsi="Arial"/>
          <w:sz w:val="20"/>
          <w:szCs w:val="20"/>
          <w:b w:val="1"/>
          <w:bCs w:val="1"/>
          <w:color w:val="auto"/>
        </w:rPr>
      </w:pPr>
      <w:r>
        <w:rPr>
          <w:rFonts w:ascii="Arial" w:cs="Arial" w:eastAsia="Arial" w:hAnsi="Arial"/>
          <w:sz w:val="20"/>
          <w:szCs w:val="20"/>
          <w:color w:val="auto"/>
        </w:rPr>
        <w:t>For purposes of this Exhibit C:</w:t>
      </w:r>
    </w:p>
    <w:p>
      <w:pPr>
        <w:spacing w:after="0" w:line="142" w:lineRule="exact"/>
        <w:rPr>
          <w:rFonts w:ascii="Arial" w:cs="Arial" w:eastAsia="Arial" w:hAnsi="Arial"/>
          <w:sz w:val="20"/>
          <w:szCs w:val="20"/>
          <w:b w:val="1"/>
          <w:bCs w:val="1"/>
          <w:color w:val="auto"/>
        </w:rPr>
      </w:pPr>
    </w:p>
    <w:p>
      <w:pPr>
        <w:ind w:firstLine="935"/>
        <w:spacing w:after="0" w:line="232" w:lineRule="auto"/>
        <w:tabs>
          <w:tab w:leader="none" w:pos="1425" w:val="left"/>
        </w:tabs>
        <w:numPr>
          <w:ilvl w:val="2"/>
          <w:numId w:val="9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35" w:lineRule="exact"/>
        <w:rPr>
          <w:rFonts w:ascii="Arial" w:cs="Arial" w:eastAsia="Arial" w:hAnsi="Arial"/>
          <w:sz w:val="20"/>
          <w:szCs w:val="20"/>
          <w:color w:val="auto"/>
        </w:rPr>
      </w:pPr>
    </w:p>
    <w:p>
      <w:pPr>
        <w:jc w:val="both"/>
        <w:ind w:firstLine="854"/>
        <w:spacing w:after="0" w:line="214" w:lineRule="auto"/>
        <w:tabs>
          <w:tab w:leader="none" w:pos="1274" w:val="left"/>
        </w:tabs>
        <w:numPr>
          <w:ilvl w:val="1"/>
          <w:numId w:val="9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Taxes</w:t>
      </w:r>
      <w:r>
        <w:rPr>
          <w:rFonts w:ascii="Arial" w:cs="Arial" w:eastAsia="Arial" w:hAnsi="Arial"/>
          <w:sz w:val="19"/>
          <w:szCs w:val="19"/>
          <w:color w:val="auto"/>
        </w:rPr>
        <w:t>” means any of the following Taxes imposed on or with respect to a Recipient or required to be withheld or deducted from a payment to a Recipient, (i) Taxes imposed on or measured by net income (however denominated), franchise Taxes, and branch profits Taxes, in each case, (A) imposed as a result of such Recipient being organized under the laws of, or having its principal office or, in the case of any Lender, its applicable lending office located in, the jurisdiction imposing such Tax (or any political subdivision thereof) or (B) that are Other Connection Taxes, (ii) in the case of a Lender, U.S. federal withholding Taxes imposed on amounts payable to or for the account of such Lender with respect to an applicable interest in a Term Loan or Term Loan Commitment pursuant to a law in effect on the date on which (A) such Lender acquires such interest in the Term Loan or Term Commitment or (B) such Lender changes its lending office, except in each case to the extent that, pursuant to Section 2 or Section 4 of this Exhibit C, amounts with respect to such Taxes were payable either to such Lender’s assignor immediately before such Lender became a party hereto or to such Lender immediately before it changed its lending office, (iii) Taxes attributable to such Recipient’s failure to comply with Section 7 of this Exhibit C and (iv) any withholding Taxes imposed under FATCA.</w:t>
      </w:r>
    </w:p>
    <w:p>
      <w:pPr>
        <w:spacing w:after="0" w:line="138" w:lineRule="exact"/>
        <w:rPr>
          <w:rFonts w:ascii="Arial" w:cs="Arial" w:eastAsia="Arial" w:hAnsi="Arial"/>
          <w:sz w:val="19"/>
          <w:szCs w:val="19"/>
          <w:color w:val="auto"/>
        </w:rPr>
      </w:pPr>
    </w:p>
    <w:p>
      <w:pPr>
        <w:jc w:val="both"/>
        <w:ind w:firstLine="948"/>
        <w:spacing w:after="0" w:line="222" w:lineRule="auto"/>
        <w:tabs>
          <w:tab w:leader="none" w:pos="1452" w:val="left"/>
        </w:tabs>
        <w:numPr>
          <w:ilvl w:val="3"/>
          <w:numId w:val="9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FATCA</w:t>
      </w:r>
      <w:r>
        <w:rPr>
          <w:rFonts w:ascii="Arial" w:cs="Arial" w:eastAsia="Arial" w:hAnsi="Arial"/>
          <w:sz w:val="19"/>
          <w:szCs w:val="19"/>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and any fiscal or regulatory legislation, rules or practices adopted pursuant to any intergovernmental agreement, treaty or convention among Governmental Authorities and implementing such Sections of the Internal Revenue Code.</w:t>
      </w:r>
    </w:p>
    <w:p>
      <w:pPr>
        <w:spacing w:after="0" w:line="123" w:lineRule="exact"/>
        <w:rPr>
          <w:sz w:val="20"/>
          <w:szCs w:val="20"/>
          <w:color w:val="auto"/>
        </w:rPr>
      </w:pPr>
    </w:p>
    <w:p>
      <w:pPr>
        <w:ind w:left="1280" w:hanging="426"/>
        <w:spacing w:after="0"/>
        <w:tabs>
          <w:tab w:leader="none" w:pos="128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Foreign Lender</w:t>
      </w:r>
      <w:r>
        <w:rPr>
          <w:rFonts w:ascii="Arial" w:cs="Arial" w:eastAsia="Arial" w:hAnsi="Arial"/>
          <w:sz w:val="20"/>
          <w:szCs w:val="20"/>
          <w:color w:val="auto"/>
        </w:rPr>
        <w:t>” means a Lender that is not a U.S. Person.</w:t>
      </w:r>
    </w:p>
    <w:p>
      <w:pPr>
        <w:spacing w:after="0" w:line="161" w:lineRule="exact"/>
        <w:rPr>
          <w:rFonts w:ascii="Arial" w:cs="Arial" w:eastAsia="Arial" w:hAnsi="Arial"/>
          <w:sz w:val="20"/>
          <w:szCs w:val="20"/>
          <w:color w:val="auto"/>
        </w:rPr>
      </w:pPr>
    </w:p>
    <w:p>
      <w:pPr>
        <w:ind w:firstLine="854"/>
        <w:spacing w:after="0" w:line="276" w:lineRule="auto"/>
        <w:tabs>
          <w:tab w:leader="none" w:pos="126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means (i) Taxes, other than Excluded Taxes, imposed on or with respect to any payment made by or on account of any obligation of Borrower under any Loan Document and (ii) to the extent not otherwise described in clause (i), Other Taxes.</w:t>
      </w:r>
    </w:p>
    <w:p>
      <w:pPr>
        <w:spacing w:after="0" w:line="104" w:lineRule="exact"/>
        <w:rPr>
          <w:rFonts w:ascii="Arial" w:cs="Arial" w:eastAsia="Arial" w:hAnsi="Arial"/>
          <w:sz w:val="18"/>
          <w:szCs w:val="18"/>
          <w:color w:val="auto"/>
        </w:rPr>
      </w:pPr>
    </w:p>
    <w:p>
      <w:pPr>
        <w:jc w:val="both"/>
        <w:ind w:firstLine="989"/>
        <w:spacing w:after="0" w:line="211" w:lineRule="auto"/>
        <w:tabs>
          <w:tab w:leader="none" w:pos="1511" w:val="left"/>
        </w:tabs>
        <w:numPr>
          <w:ilvl w:val="2"/>
          <w:numId w:val="10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Connection Taxes</w:t>
      </w:r>
      <w:r>
        <w:rPr>
          <w:rFonts w:ascii="Arial" w:cs="Arial" w:eastAsia="Arial" w:hAnsi="Arial"/>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Term Loan or Loan Document).</w:t>
      </w:r>
    </w:p>
    <w:p>
      <w:pPr>
        <w:spacing w:after="0" w:line="123" w:lineRule="exact"/>
        <w:rPr>
          <w:rFonts w:ascii="Arial" w:cs="Arial" w:eastAsia="Arial" w:hAnsi="Arial"/>
          <w:sz w:val="20"/>
          <w:szCs w:val="20"/>
          <w:color w:val="auto"/>
        </w:rPr>
      </w:pPr>
    </w:p>
    <w:p>
      <w:pPr>
        <w:jc w:val="both"/>
        <w:ind w:firstLine="908"/>
        <w:spacing w:after="0" w:line="214" w:lineRule="auto"/>
        <w:tabs>
          <w:tab w:leader="none" w:pos="1382" w:val="left"/>
        </w:tabs>
        <w:numPr>
          <w:ilvl w:val="1"/>
          <w:numId w:val="10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Taxes</w:t>
      </w:r>
      <w:r>
        <w:rPr>
          <w:rFonts w:ascii="Arial" w:cs="Arial" w:eastAsia="Arial" w:hAnsi="Arial"/>
          <w:sz w:val="20"/>
          <w:szCs w:val="20"/>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38"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20"/>
          <w:szCs w:val="20"/>
          <w:color w:val="auto"/>
        </w:rPr>
        <w:t>(h)</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means Collateral Agent or any Lender, as applicable.</w:t>
      </w:r>
    </w:p>
    <w:p>
      <w:pPr>
        <w:spacing w:after="0" w:line="162" w:lineRule="exact"/>
        <w:rPr>
          <w:sz w:val="20"/>
          <w:szCs w:val="20"/>
          <w:color w:val="auto"/>
        </w:rPr>
      </w:pPr>
    </w:p>
    <w:p>
      <w:pPr>
        <w:ind w:left="1300" w:hanging="419"/>
        <w:spacing w:after="0"/>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means any Person that is a “United States person” as defined in Section 7701(a)(30) of the Internal Revenue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Code.</w:t>
      </w:r>
    </w:p>
    <w:p>
      <w:pPr>
        <w:spacing w:after="0" w:line="126" w:lineRule="exact"/>
        <w:rPr>
          <w:sz w:val="20"/>
          <w:szCs w:val="20"/>
          <w:color w:val="auto"/>
        </w:rPr>
      </w:pPr>
    </w:p>
    <w:p>
      <w:pPr>
        <w:ind w:left="1240" w:hanging="386"/>
        <w:spacing w:after="0"/>
        <w:tabs>
          <w:tab w:leader="none" w:pos="1240" w:val="left"/>
        </w:tabs>
        <w:numPr>
          <w:ilvl w:val="1"/>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Withholding Agent</w:t>
      </w:r>
      <w:r>
        <w:rPr>
          <w:rFonts w:ascii="Arial" w:cs="Arial" w:eastAsia="Arial" w:hAnsi="Arial"/>
          <w:sz w:val="20"/>
          <w:szCs w:val="20"/>
          <w:color w:val="auto"/>
        </w:rPr>
        <w:t>” means Borrower and Collateral Agent.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103"/>
        </w:numPr>
        <w:rPr>
          <w:rFonts w:ascii="Arial" w:cs="Arial" w:eastAsia="Arial" w:hAnsi="Arial"/>
          <w:sz w:val="20"/>
          <w:szCs w:val="20"/>
          <w:color w:val="auto"/>
        </w:rPr>
      </w:pPr>
      <w:r>
        <w:rPr>
          <w:rFonts w:ascii="Arial" w:cs="Arial" w:eastAsia="Arial" w:hAnsi="Arial"/>
          <w:sz w:val="20"/>
          <w:szCs w:val="20"/>
          <w:b w:val="1"/>
          <w:bCs w:val="1"/>
          <w:color w:val="auto"/>
        </w:rPr>
        <w:t>Payments Free of Taxes</w:t>
      </w:r>
    </w:p>
    <w:p>
      <w:pPr>
        <w:sectPr>
          <w:pgSz w:w="11900" w:h="16838" w:orient="portrait"/>
          <w:cols w:equalWidth="0" w:num="1">
            <w:col w:w="11240"/>
          </w:cols>
          <w:pgMar w:left="320" w:top="1440" w:right="339" w:bottom="1440" w:gutter="0" w:footer="0" w:header="0"/>
        </w:sectPr>
      </w:pPr>
    </w:p>
    <w:bookmarkStart w:id="126" w:name="page127"/>
    <w:bookmarkEnd w:id="126"/>
    <w:p>
      <w:pPr>
        <w:jc w:val="both"/>
        <w:ind w:left="-656" w:firstLine="656"/>
        <w:spacing w:after="0" w:line="228" w:lineRule="auto"/>
        <w:tabs>
          <w:tab w:leader="none" w:pos="91" w:val="left"/>
        </w:tabs>
        <w:numPr>
          <w:ilvl w:val="0"/>
          <w:numId w:val="104"/>
        </w:numPr>
        <w:rPr>
          <w:rFonts w:ascii="Arial" w:cs="Arial" w:eastAsia="Arial" w:hAnsi="Arial"/>
          <w:sz w:val="18"/>
          <w:szCs w:val="18"/>
          <w:b w:val="1"/>
          <w:bCs w:val="1"/>
          <w:color w:val="auto"/>
        </w:rPr>
      </w:pPr>
      <w:r>
        <w:rPr>
          <w:rFonts w:ascii="Arial" w:cs="Arial" w:eastAsia="Arial" w:hAnsi="Arial"/>
          <w:sz w:val="18"/>
          <w:szCs w:val="18"/>
          <w:color w:val="auto"/>
        </w:rPr>
        <w:t>Any and all payments by or on account of any obligation of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Borrower shall be increased as necessary so that after such deduction or withholding has been made (including such deductions and withholdings applicable to additional sums payable under this Section 2 or Section 4 of this Exhibit C) the applicable Recipient receives an amount equal to the sum it would have received had no such deduction or withholding been made.</w:t>
      </w:r>
    </w:p>
    <w:p>
      <w:pPr>
        <w:spacing w:after="0" w:line="135" w:lineRule="exact"/>
        <w:rPr>
          <w:sz w:val="20"/>
          <w:szCs w:val="20"/>
          <w:color w:val="auto"/>
        </w:rPr>
      </w:pPr>
    </w:p>
    <w:p>
      <w:pPr>
        <w:ind w:left="-656" w:firstLine="656"/>
        <w:spacing w:after="0" w:line="232" w:lineRule="auto"/>
        <w:tabs>
          <w:tab w:leader="none" w:pos="640" w:val="left"/>
        </w:tabs>
        <w:numPr>
          <w:ilvl w:val="0"/>
          <w:numId w:val="105"/>
        </w:numPr>
        <w:rPr>
          <w:rFonts w:ascii="Arial" w:cs="Arial" w:eastAsia="Arial" w:hAnsi="Arial"/>
          <w:sz w:val="20"/>
          <w:szCs w:val="20"/>
          <w:color w:val="auto"/>
        </w:rPr>
      </w:pPr>
      <w:r>
        <w:rPr>
          <w:rFonts w:ascii="Arial" w:cs="Arial" w:eastAsia="Arial" w:hAnsi="Arial"/>
          <w:sz w:val="20"/>
          <w:szCs w:val="20"/>
          <w:b w:val="1"/>
          <w:bCs w:val="1"/>
          <w:color w:val="auto"/>
        </w:rPr>
        <w:t xml:space="preserve">Payment of Other Taxes by Borrower. </w:t>
      </w:r>
      <w:r>
        <w:rPr>
          <w:rFonts w:ascii="Arial" w:cs="Arial" w:eastAsia="Arial" w:hAnsi="Arial"/>
          <w:sz w:val="20"/>
          <w:szCs w:val="20"/>
          <w:color w:val="auto"/>
        </w:rPr>
        <w:t>Borrower shall timely pay to the relevant Governmental Authority in accordance</w:t>
      </w:r>
      <w:r>
        <w:rPr>
          <w:rFonts w:ascii="Arial" w:cs="Arial" w:eastAsia="Arial" w:hAnsi="Arial"/>
          <w:sz w:val="20"/>
          <w:szCs w:val="20"/>
          <w:b w:val="1"/>
          <w:bCs w:val="1"/>
          <w:color w:val="auto"/>
        </w:rPr>
        <w:t xml:space="preserve"> </w:t>
      </w:r>
      <w:r>
        <w:rPr>
          <w:rFonts w:ascii="Arial" w:cs="Arial" w:eastAsia="Arial" w:hAnsi="Arial"/>
          <w:sz w:val="20"/>
          <w:szCs w:val="20"/>
          <w:color w:val="auto"/>
        </w:rPr>
        <w:t>with applicable law, or at the option of Collateral Agent timely reimburse it for the payment of, any Other Taxes.</w:t>
      </w:r>
    </w:p>
    <w:p>
      <w:pPr>
        <w:spacing w:after="0" w:line="122" w:lineRule="exact"/>
        <w:rPr>
          <w:rFonts w:ascii="Arial" w:cs="Arial" w:eastAsia="Arial" w:hAnsi="Arial"/>
          <w:sz w:val="20"/>
          <w:szCs w:val="20"/>
          <w:color w:val="auto"/>
        </w:rPr>
      </w:pPr>
    </w:p>
    <w:p>
      <w:pPr>
        <w:jc w:val="both"/>
        <w:ind w:left="-656" w:firstLine="656"/>
        <w:spacing w:after="0" w:line="207" w:lineRule="auto"/>
        <w:tabs>
          <w:tab w:leader="none" w:pos="640" w:val="left"/>
        </w:tabs>
        <w:numPr>
          <w:ilvl w:val="0"/>
          <w:numId w:val="105"/>
        </w:numPr>
        <w:rPr>
          <w:rFonts w:ascii="Arial" w:cs="Arial" w:eastAsia="Arial" w:hAnsi="Arial"/>
          <w:sz w:val="20"/>
          <w:szCs w:val="20"/>
          <w:color w:val="auto"/>
        </w:rPr>
      </w:pPr>
      <w:r>
        <w:rPr>
          <w:rFonts w:ascii="Arial" w:cs="Arial" w:eastAsia="Arial" w:hAnsi="Arial"/>
          <w:sz w:val="20"/>
          <w:szCs w:val="20"/>
          <w:b w:val="1"/>
          <w:bCs w:val="1"/>
          <w:color w:val="auto"/>
        </w:rPr>
        <w:t xml:space="preserve">Indemnification by Borrower. </w:t>
      </w:r>
      <w:r>
        <w:rPr>
          <w:rFonts w:ascii="Arial" w:cs="Arial" w:eastAsia="Arial" w:hAnsi="Arial"/>
          <w:sz w:val="20"/>
          <w:szCs w:val="20"/>
          <w:color w:val="auto"/>
        </w:rPr>
        <w:t>Borrower shall indemnify each Recipient, within 10 days after demand therefor, for the full</w:t>
      </w:r>
      <w:r>
        <w:rPr>
          <w:rFonts w:ascii="Arial" w:cs="Arial" w:eastAsia="Arial" w:hAnsi="Arial"/>
          <w:sz w:val="20"/>
          <w:szCs w:val="20"/>
          <w:b w:val="1"/>
          <w:bCs w:val="1"/>
          <w:color w:val="auto"/>
        </w:rPr>
        <w:t xml:space="preserve"> </w:t>
      </w:r>
      <w:r>
        <w:rPr>
          <w:rFonts w:ascii="Arial" w:cs="Arial" w:eastAsia="Arial" w:hAnsi="Arial"/>
          <w:sz w:val="20"/>
          <w:szCs w:val="20"/>
          <w:color w:val="auto"/>
        </w:rPr>
        <w:t>amount of any Indemnified Taxes (including Indemnified Taxes imposed or asserted on or attributable to amounts payable under Section 2 of this Exhibit C or this Section 4)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Borrower by a Lender (with a copy to Collateral Agent), or by Collateral Agent on its own behalf or on behalf of a Lender, shall be conclusive absent manifest error.</w:t>
      </w:r>
    </w:p>
    <w:p>
      <w:pPr>
        <w:spacing w:after="0" w:line="137" w:lineRule="exact"/>
        <w:rPr>
          <w:rFonts w:ascii="Arial" w:cs="Arial" w:eastAsia="Arial" w:hAnsi="Arial"/>
          <w:sz w:val="20"/>
          <w:szCs w:val="20"/>
          <w:color w:val="auto"/>
        </w:rPr>
      </w:pPr>
    </w:p>
    <w:p>
      <w:pPr>
        <w:jc w:val="both"/>
        <w:ind w:left="-656" w:firstLine="656"/>
        <w:spacing w:after="0" w:line="226" w:lineRule="auto"/>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 xml:space="preserve">Indemnification by the Lenders. </w:t>
      </w:r>
      <w:r>
        <w:rPr>
          <w:rFonts w:ascii="Arial" w:cs="Arial" w:eastAsia="Arial" w:hAnsi="Arial"/>
          <w:sz w:val="18"/>
          <w:szCs w:val="18"/>
          <w:color w:val="auto"/>
        </w:rPr>
        <w:t>Each Lender shall severally indemnify Collateral Agent, within 10 days after demand</w:t>
      </w:r>
      <w:r>
        <w:rPr>
          <w:rFonts w:ascii="Arial" w:cs="Arial" w:eastAsia="Arial" w:hAnsi="Arial"/>
          <w:sz w:val="18"/>
          <w:szCs w:val="18"/>
          <w:b w:val="1"/>
          <w:bCs w:val="1"/>
          <w:color w:val="auto"/>
        </w:rPr>
        <w:t xml:space="preserve"> </w:t>
      </w:r>
      <w:r>
        <w:rPr>
          <w:rFonts w:ascii="Arial" w:cs="Arial" w:eastAsia="Arial" w:hAnsi="Arial"/>
          <w:sz w:val="18"/>
          <w:szCs w:val="18"/>
          <w:color w:val="auto"/>
        </w:rPr>
        <w:t>therefor, for (a) any Indemnified Taxes attributable to such Lender (but only to the extent that Borrower has not already indemnified Collateral Agent for such Indemnified Taxes and without limiting the obligation of Borrower to do so), (b) any Taxes attributable to such Lender’s failure to comply with the provisions of Section 12.1 of the Agreement relating to the maintenance of a Participant Register and (c) any Excluded Taxes attributable to such Lender, in each case, that are payable or paid by Collateral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Collateral Agent shall be conclusive absent manifest error. Each Lender hereby authorizes Collateral Agent to set off and apply any and all amounts at any time owing to such Lender under any Loan Document or otherwise payable by Collateral Agent to the Lender from any other source against any amount due to Collateral Agent under this Section 5.</w:t>
      </w:r>
    </w:p>
    <w:p>
      <w:pPr>
        <w:spacing w:after="0" w:line="143" w:lineRule="exact"/>
        <w:rPr>
          <w:rFonts w:ascii="Arial" w:cs="Arial" w:eastAsia="Arial" w:hAnsi="Arial"/>
          <w:sz w:val="18"/>
          <w:szCs w:val="18"/>
          <w:color w:val="auto"/>
        </w:rPr>
      </w:pPr>
    </w:p>
    <w:p>
      <w:pPr>
        <w:jc w:val="both"/>
        <w:ind w:left="-656" w:firstLine="656"/>
        <w:spacing w:after="0" w:line="214" w:lineRule="auto"/>
        <w:tabs>
          <w:tab w:leader="none" w:pos="640" w:val="left"/>
        </w:tabs>
        <w:numPr>
          <w:ilvl w:val="0"/>
          <w:numId w:val="105"/>
        </w:numPr>
        <w:rPr>
          <w:rFonts w:ascii="Arial" w:cs="Arial" w:eastAsia="Arial" w:hAnsi="Arial"/>
          <w:sz w:val="20"/>
          <w:szCs w:val="20"/>
          <w:color w:val="auto"/>
        </w:rPr>
      </w:pPr>
      <w:r>
        <w:rPr>
          <w:rFonts w:ascii="Arial" w:cs="Arial" w:eastAsia="Arial" w:hAnsi="Arial"/>
          <w:sz w:val="20"/>
          <w:szCs w:val="20"/>
          <w:b w:val="1"/>
          <w:bCs w:val="1"/>
          <w:color w:val="auto"/>
        </w:rPr>
        <w:t xml:space="preserve">Evidence of Payments. </w:t>
      </w:r>
      <w:r>
        <w:rPr>
          <w:rFonts w:ascii="Arial" w:cs="Arial" w:eastAsia="Arial" w:hAnsi="Arial"/>
          <w:sz w:val="20"/>
          <w:szCs w:val="20"/>
          <w:color w:val="auto"/>
        </w:rPr>
        <w:t>As soon as practicable after any payment of Taxes by Borrower to a Governmental Authority</w:t>
      </w:r>
      <w:r>
        <w:rPr>
          <w:rFonts w:ascii="Arial" w:cs="Arial" w:eastAsia="Arial" w:hAnsi="Arial"/>
          <w:sz w:val="20"/>
          <w:szCs w:val="20"/>
          <w:b w:val="1"/>
          <w:bCs w:val="1"/>
          <w:color w:val="auto"/>
        </w:rPr>
        <w:t xml:space="preserve"> </w:t>
      </w:r>
      <w:r>
        <w:rPr>
          <w:rFonts w:ascii="Arial" w:cs="Arial" w:eastAsia="Arial" w:hAnsi="Arial"/>
          <w:sz w:val="20"/>
          <w:szCs w:val="20"/>
          <w:color w:val="auto"/>
        </w:rPr>
        <w:t>pursuant to the provisions of this Exhibit C, Borrower shall deliver to Collateral Agent the original or a certified copy of a receipt issued by such Governmental Authority evidencing such payment, a copy of the return reporting such payment or other evidence of such payment reasonably satisfactory to Collateral Agent.</w:t>
      </w:r>
    </w:p>
    <w:p>
      <w:pPr>
        <w:spacing w:after="0" w:line="124" w:lineRule="exact"/>
        <w:rPr>
          <w:rFonts w:ascii="Arial" w:cs="Arial" w:eastAsia="Arial" w:hAnsi="Arial"/>
          <w:sz w:val="20"/>
          <w:szCs w:val="20"/>
          <w:color w:val="auto"/>
        </w:rPr>
      </w:pPr>
    </w:p>
    <w:p>
      <w:pPr>
        <w:ind w:left="644" w:hanging="644"/>
        <w:spacing w:after="0"/>
        <w:tabs>
          <w:tab w:leader="none" w:pos="644" w:val="left"/>
        </w:tabs>
        <w:numPr>
          <w:ilvl w:val="0"/>
          <w:numId w:val="105"/>
        </w:numPr>
        <w:rPr>
          <w:rFonts w:ascii="Arial" w:cs="Arial" w:eastAsia="Arial" w:hAnsi="Arial"/>
          <w:sz w:val="20"/>
          <w:szCs w:val="20"/>
          <w:color w:val="auto"/>
        </w:rPr>
      </w:pPr>
      <w:r>
        <w:rPr>
          <w:rFonts w:ascii="Arial" w:cs="Arial" w:eastAsia="Arial" w:hAnsi="Arial"/>
          <w:sz w:val="20"/>
          <w:szCs w:val="20"/>
          <w:b w:val="1"/>
          <w:bCs w:val="1"/>
          <w:color w:val="auto"/>
        </w:rPr>
        <w:t>Status of Lenders</w:t>
      </w:r>
      <w:r>
        <w:rPr>
          <w:rFonts w:ascii="Arial" w:cs="Arial" w:eastAsia="Arial" w:hAnsi="Arial"/>
          <w:sz w:val="20"/>
          <w:szCs w:val="20"/>
          <w:color w:val="auto"/>
        </w:rPr>
        <w:t>.</w:t>
      </w:r>
    </w:p>
    <w:p>
      <w:pPr>
        <w:spacing w:after="0" w:line="167" w:lineRule="exact"/>
        <w:rPr>
          <w:rFonts w:ascii="Arial" w:cs="Arial" w:eastAsia="Arial" w:hAnsi="Arial"/>
          <w:sz w:val="20"/>
          <w:szCs w:val="20"/>
          <w:color w:val="auto"/>
        </w:rPr>
      </w:pPr>
    </w:p>
    <w:p>
      <w:pPr>
        <w:jc w:val="both"/>
        <w:ind w:left="-656" w:firstLine="1278"/>
        <w:spacing w:after="0" w:line="226" w:lineRule="auto"/>
        <w:tabs>
          <w:tab w:leader="none" w:pos="1037"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Lender that is entitled to an exemption from or reduction of withholding Tax with respect to payments made under any Loan Document shall deliver to Borrower and Collateral Agent, at the time or times reasonably requested by Borrower or Collateral Agent, such properly completed and executed documentation reasonably requested by Borrower or Collateral Agent as will permit such payments to be made without withholding or at a reduced rate of withholding. In addition, any Lender, if reasonably requested by Borrower or Collateral Agent, shall deliver such other documentation prescribed by applicable law or reasonably requested by Borrower or Collateral Agent as will enable Borrower or Collateral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7(b)(i), 7(b)(ii) and 7(b)(iv) of this Exhibit C) shall not be required if in the Lender’s reasonable judgment such completion, execution or submission would subject such Lender to any material unreimbursed cost or expense or would materially prejudice the legal or commercial position of such Lender.</w:t>
      </w:r>
    </w:p>
    <w:p>
      <w:pPr>
        <w:sectPr>
          <w:pgSz w:w="11900" w:h="16838" w:orient="portrait"/>
          <w:cols w:equalWidth="0" w:num="1">
            <w:col w:w="10584"/>
          </w:cols>
          <w:pgMar w:left="976" w:top="1405" w:right="339" w:bottom="1440" w:gutter="0" w:footer="0" w:header="0"/>
        </w:sectPr>
      </w:pPr>
    </w:p>
    <w:bookmarkStart w:id="127" w:name="page128"/>
    <w:bookmarkEnd w:id="127"/>
    <w:p>
      <w:pPr>
        <w:ind w:left="580" w:hanging="422"/>
        <w:spacing w:after="0"/>
        <w:tabs>
          <w:tab w:leader="none" w:pos="58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Borrower is a U.S. Person,</w:t>
      </w:r>
    </w:p>
    <w:p>
      <w:pPr>
        <w:spacing w:after="0" w:line="161" w:lineRule="exact"/>
        <w:rPr>
          <w:rFonts w:ascii="Arial" w:cs="Arial" w:eastAsia="Arial" w:hAnsi="Arial"/>
          <w:sz w:val="20"/>
          <w:szCs w:val="20"/>
          <w:color w:val="auto"/>
        </w:rPr>
      </w:pPr>
    </w:p>
    <w:p>
      <w:pPr>
        <w:jc w:val="both"/>
        <w:ind w:left="-1120" w:firstLine="1939"/>
        <w:spacing w:after="0" w:line="244" w:lineRule="auto"/>
        <w:tabs>
          <w:tab w:leader="none" w:pos="1209" w:val="left"/>
        </w:tabs>
        <w:numPr>
          <w:ilvl w:val="2"/>
          <w:numId w:val="106"/>
        </w:numPr>
        <w:rPr>
          <w:rFonts w:ascii="Arial" w:cs="Arial" w:eastAsia="Arial" w:hAnsi="Arial"/>
          <w:sz w:val="18"/>
          <w:szCs w:val="18"/>
          <w:color w:val="auto"/>
        </w:rPr>
      </w:pPr>
      <w:r>
        <w:rPr>
          <w:rFonts w:ascii="Arial" w:cs="Arial" w:eastAsia="Arial" w:hAnsi="Arial"/>
          <w:sz w:val="18"/>
          <w:szCs w:val="18"/>
          <w:color w:val="auto"/>
        </w:rPr>
        <w:t>any Lender that is a U.S. Person shall deliver to Borrower and Collateral Agent on or prior to the date on which such Lender becomes a Lender under this Agreement (and from time to time thereafter upon the reasonable request of Borrower or Collateral Agent), executed copies of IRS Form W-9 certifying that such Lender is exempt from U.S. federal backup withholding tax;</w:t>
      </w:r>
    </w:p>
    <w:p>
      <w:pPr>
        <w:spacing w:after="0" w:line="124" w:lineRule="exact"/>
        <w:rPr>
          <w:rFonts w:ascii="Arial" w:cs="Arial" w:eastAsia="Arial" w:hAnsi="Arial"/>
          <w:sz w:val="18"/>
          <w:szCs w:val="18"/>
          <w:color w:val="auto"/>
        </w:rPr>
      </w:pPr>
    </w:p>
    <w:p>
      <w:pPr>
        <w:jc w:val="both"/>
        <w:ind w:left="-1120" w:firstLine="1939"/>
        <w:spacing w:after="0" w:line="213" w:lineRule="auto"/>
        <w:tabs>
          <w:tab w:leader="none" w:pos="1284" w:val="left"/>
        </w:tabs>
        <w:numPr>
          <w:ilvl w:val="2"/>
          <w:numId w:val="106"/>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Borrower and Collateral Agent (in such number of copies as shall be requested by the recipient) on or prior to the date on which such Foreign Lender becomes a Lender under this Agreement (and from time to time thereafter upon the reasonable request of Borrower or Collateral Agent), whichever of the following is applicable:</w:t>
      </w:r>
    </w:p>
    <w:p>
      <w:pPr>
        <w:spacing w:after="0" w:line="142" w:lineRule="exact"/>
        <w:rPr>
          <w:rFonts w:ascii="Arial" w:cs="Arial" w:eastAsia="Arial" w:hAnsi="Arial"/>
          <w:sz w:val="20"/>
          <w:szCs w:val="20"/>
          <w:color w:val="auto"/>
        </w:rPr>
      </w:pPr>
    </w:p>
    <w:p>
      <w:pPr>
        <w:ind w:left="1440" w:hanging="639"/>
        <w:spacing w:after="0" w:line="206" w:lineRule="auto"/>
        <w:tabs>
          <w:tab w:leader="none" w:pos="1329" w:val="left"/>
        </w:tabs>
        <w:numPr>
          <w:ilvl w:val="1"/>
          <w:numId w:val="106"/>
        </w:numPr>
        <w:rPr>
          <w:rFonts w:ascii="Arial" w:cs="Arial" w:eastAsia="Arial" w:hAnsi="Arial"/>
          <w:sz w:val="20"/>
          <w:szCs w:val="20"/>
          <w:color w:val="auto"/>
        </w:rPr>
      </w:pPr>
      <w:r>
        <w:rPr>
          <w:rFonts w:ascii="Arial" w:cs="Arial" w:eastAsia="Arial" w:hAnsi="Arial"/>
          <w:sz w:val="20"/>
          <w:szCs w:val="20"/>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43" w:lineRule="exact"/>
        <w:rPr>
          <w:rFonts w:ascii="Arial" w:cs="Arial" w:eastAsia="Arial" w:hAnsi="Arial"/>
          <w:sz w:val="20"/>
          <w:szCs w:val="20"/>
          <w:color w:val="auto"/>
        </w:rPr>
      </w:pPr>
    </w:p>
    <w:p>
      <w:pPr>
        <w:ind w:left="1260" w:hanging="459"/>
        <w:spacing w:after="0"/>
        <w:tabs>
          <w:tab w:leader="none" w:pos="1260" w:val="left"/>
        </w:tabs>
        <w:numPr>
          <w:ilvl w:val="1"/>
          <w:numId w:val="106"/>
        </w:numPr>
        <w:rPr>
          <w:rFonts w:ascii="Arial" w:cs="Arial" w:eastAsia="Arial" w:hAnsi="Arial"/>
          <w:sz w:val="20"/>
          <w:szCs w:val="20"/>
          <w:color w:val="auto"/>
        </w:rPr>
      </w:pPr>
      <w:r>
        <w:rPr>
          <w:rFonts w:ascii="Arial" w:cs="Arial" w:eastAsia="Arial" w:hAnsi="Arial"/>
          <w:sz w:val="20"/>
          <w:szCs w:val="20"/>
          <w:color w:val="auto"/>
        </w:rPr>
        <w:t>executed copies of IRS Form W-8ECI;</w:t>
      </w:r>
    </w:p>
    <w:p>
      <w:pPr>
        <w:spacing w:after="0" w:line="148" w:lineRule="exact"/>
        <w:rPr>
          <w:rFonts w:ascii="Arial" w:cs="Arial" w:eastAsia="Arial" w:hAnsi="Arial"/>
          <w:sz w:val="20"/>
          <w:szCs w:val="20"/>
          <w:color w:val="auto"/>
        </w:rPr>
      </w:pPr>
    </w:p>
    <w:p>
      <w:pPr>
        <w:ind w:left="1440" w:hanging="639"/>
        <w:spacing w:after="0" w:line="216" w:lineRule="auto"/>
        <w:tabs>
          <w:tab w:leader="none" w:pos="1359" w:val="left"/>
        </w:tabs>
        <w:numPr>
          <w:ilvl w:val="1"/>
          <w:numId w:val="106"/>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the exemption for portfolio interest under Section 881(c) of the Internal Revenue Code, (x) a certificate, in form and substance reasonably acceptable to Borrower and Collateral Agent, to the effect that such Foreign Lender (or other applicable Person) is not a “bank” within the meaning of Section 881(c)(3)(A) of the Internal Revenue Code, a “10 percent shareholder” of Borrower within the meaning of Section 871(h)(3)(B) of the Internal Revenue Code, or a “controlled foreign corporation” related to Borrower as described in Section 881(c)(3)(C) of the Internal Revenue Code (a “</w:t>
      </w:r>
      <w:r>
        <w:rPr>
          <w:rFonts w:ascii="Arial" w:cs="Arial" w:eastAsia="Arial" w:hAnsi="Arial"/>
          <w:sz w:val="19"/>
          <w:szCs w:val="19"/>
          <w:b w:val="1"/>
          <w:bCs w:val="1"/>
          <w:color w:val="auto"/>
        </w:rPr>
        <w:t>U.S. Tax Compliance Certificate</w:t>
      </w:r>
      <w:r>
        <w:rPr>
          <w:rFonts w:ascii="Arial" w:cs="Arial" w:eastAsia="Arial" w:hAnsi="Arial"/>
          <w:sz w:val="19"/>
          <w:szCs w:val="19"/>
          <w:color w:val="auto"/>
        </w:rPr>
        <w:t>”) and (y) executed copies of IRS Form W-8BEN or IRS Form W-8BEN-E; or</w:t>
      </w:r>
    </w:p>
    <w:p>
      <w:pPr>
        <w:spacing w:after="0" w:line="141" w:lineRule="exact"/>
        <w:rPr>
          <w:rFonts w:ascii="Arial" w:cs="Arial" w:eastAsia="Arial" w:hAnsi="Arial"/>
          <w:sz w:val="19"/>
          <w:szCs w:val="19"/>
          <w:color w:val="auto"/>
        </w:rPr>
      </w:pPr>
    </w:p>
    <w:p>
      <w:pPr>
        <w:ind w:left="1440" w:hanging="639"/>
        <w:spacing w:after="0" w:line="218" w:lineRule="auto"/>
        <w:tabs>
          <w:tab w:leader="none" w:pos="1277" w:val="left"/>
        </w:tabs>
        <w:numPr>
          <w:ilvl w:val="1"/>
          <w:numId w:val="106"/>
        </w:numPr>
        <w:rPr>
          <w:rFonts w:ascii="Arial" w:cs="Arial" w:eastAsia="Arial" w:hAnsi="Arial"/>
          <w:sz w:val="19"/>
          <w:szCs w:val="19"/>
          <w:color w:val="auto"/>
        </w:rPr>
      </w:pPr>
      <w:r>
        <w:rPr>
          <w:rFonts w:ascii="Arial" w:cs="Arial" w:eastAsia="Arial" w:hAnsi="Arial"/>
          <w:sz w:val="19"/>
          <w:szCs w:val="19"/>
          <w:color w:val="auto"/>
        </w:rPr>
        <w:t>to the extent a Foreign Lender is not the beneficial owner, executed copies of IRS Form W-8IMY, accompanied by IRS Form W-8ECI, IRS Form W-8BEN, IRS Form W-8BEN-E, a U.S. Tax Compliance Certificate,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on behalf of each such direct and indirect partner;</w:t>
      </w:r>
    </w:p>
    <w:p>
      <w:pPr>
        <w:spacing w:after="0" w:line="145" w:lineRule="exact"/>
        <w:rPr>
          <w:rFonts w:ascii="Arial" w:cs="Arial" w:eastAsia="Arial" w:hAnsi="Arial"/>
          <w:sz w:val="19"/>
          <w:szCs w:val="19"/>
          <w:color w:val="auto"/>
        </w:rPr>
      </w:pPr>
    </w:p>
    <w:p>
      <w:pPr>
        <w:jc w:val="both"/>
        <w:ind w:left="-1120" w:firstLine="1939"/>
        <w:spacing w:after="0" w:line="218" w:lineRule="auto"/>
        <w:tabs>
          <w:tab w:leader="none" w:pos="1329" w:val="left"/>
        </w:tabs>
        <w:numPr>
          <w:ilvl w:val="2"/>
          <w:numId w:val="107"/>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Borrower and Collateral Agent (in such number of copies as shall be requested by the recipient) on or prior to the date on which such Foreign Lender becomes a Lender under this Agreement (and from time to time thereafter upon the reasonable request of Borrower or Collateral Agent), executed copies of any other form prescribed by applicable law as a basis for claiming exemption from or a reduction in U.S. federal withholding Tax, duly completed, together with such supplementary documentation as may be prescribed by applicable law to permit Borrower or Collateral Agent to determine the withholding or deduction required to be made; and</w:t>
      </w:r>
    </w:p>
    <w:p>
      <w:pPr>
        <w:spacing w:after="0" w:line="132" w:lineRule="exact"/>
        <w:rPr>
          <w:rFonts w:ascii="Arial" w:cs="Arial" w:eastAsia="Arial" w:hAnsi="Arial"/>
          <w:sz w:val="19"/>
          <w:szCs w:val="19"/>
          <w:color w:val="auto"/>
        </w:rPr>
      </w:pPr>
    </w:p>
    <w:p>
      <w:pPr>
        <w:jc w:val="both"/>
        <w:ind w:left="-1120" w:firstLine="1939"/>
        <w:spacing w:after="0" w:line="218" w:lineRule="auto"/>
        <w:tabs>
          <w:tab w:leader="none" w:pos="1346" w:val="left"/>
        </w:tabs>
        <w:numPr>
          <w:ilvl w:val="2"/>
          <w:numId w:val="107"/>
        </w:numPr>
        <w:rPr>
          <w:rFonts w:ascii="Arial" w:cs="Arial" w:eastAsia="Arial" w:hAnsi="Arial"/>
          <w:sz w:val="20"/>
          <w:szCs w:val="20"/>
          <w:color w:val="auto"/>
        </w:rPr>
      </w:pPr>
      <w:r>
        <w:rPr>
          <w:rFonts w:ascii="Arial" w:cs="Arial" w:eastAsia="Arial" w:hAnsi="Arial"/>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Internal</w:t>
      </w:r>
    </w:p>
    <w:p>
      <w:pPr>
        <w:sectPr>
          <w:pgSz w:w="11900" w:h="16838" w:orient="portrait"/>
          <w:cols w:equalWidth="0" w:num="1">
            <w:col w:w="10120"/>
          </w:cols>
          <w:pgMar w:left="1440" w:top="1405" w:right="339" w:bottom="1440" w:gutter="0" w:footer="0" w:header="0"/>
        </w:sectPr>
      </w:pPr>
    </w:p>
    <w:bookmarkStart w:id="128" w:name="page129"/>
    <w:bookmarkEnd w:id="128"/>
    <w:p>
      <w:pPr>
        <w:jc w:val="both"/>
        <w:spacing w:after="0" w:line="206" w:lineRule="auto"/>
        <w:rPr>
          <w:sz w:val="20"/>
          <w:szCs w:val="20"/>
          <w:color w:val="auto"/>
        </w:rPr>
      </w:pPr>
      <w:r>
        <w:rPr>
          <w:rFonts w:ascii="Arial" w:cs="Arial" w:eastAsia="Arial" w:hAnsi="Arial"/>
          <w:sz w:val="20"/>
          <w:szCs w:val="20"/>
          <w:color w:val="auto"/>
        </w:rPr>
        <w:t>Revenue Code, as applicable), such Lender shall deliver to Borrower and Collateral Agent at the time or times prescribed by law and at such time or times reasonably requested by Borrower or Collateral Agent such documentation prescribed by applicable law (including as prescribed by Section 1471(b)(3)(C)(i) of the Internal Revenue Code) and such additional documentation reasonably requested by Borrower or Collateral Agent as may be necessary for Borrower and Collateral Agent to comply with their obligations under FATCA and to determine that such Lender has complied with such Lender’s obligations under FATCA or to determine the amount, if any, to deduct and withhold from such payment. Solely for purposes of this clause (iv), “FATCA” shall include any amendments made to FATCA after the date of this Agreement.</w:t>
      </w:r>
    </w:p>
    <w:p>
      <w:pPr>
        <w:spacing w:after="0" w:line="144" w:lineRule="exact"/>
        <w:rPr>
          <w:sz w:val="20"/>
          <w:szCs w:val="20"/>
          <w:color w:val="auto"/>
        </w:rPr>
      </w:pPr>
    </w:p>
    <w:p>
      <w:pPr>
        <w:jc w:val="both"/>
        <w:ind w:firstLine="1939"/>
        <w:spacing w:after="0" w:line="218" w:lineRule="auto"/>
        <w:tabs>
          <w:tab w:leader="none" w:pos="2454" w:val="left"/>
        </w:tabs>
        <w:numPr>
          <w:ilvl w:val="1"/>
          <w:numId w:val="108"/>
        </w:numPr>
        <w:rPr>
          <w:rFonts w:ascii="Arial" w:cs="Arial" w:eastAsia="Arial" w:hAnsi="Arial"/>
          <w:sz w:val="20"/>
          <w:szCs w:val="20"/>
          <w:color w:val="auto"/>
        </w:rPr>
      </w:pPr>
      <w:r>
        <w:rPr>
          <w:rFonts w:ascii="Arial" w:cs="Arial" w:eastAsia="Arial" w:hAnsi="Arial"/>
          <w:sz w:val="20"/>
          <w:szCs w:val="20"/>
          <w:color w:val="auto"/>
        </w:rPr>
        <w:t>Each Lender agrees that if any form or certification it previously delivered expires or becomes obsolete or inaccurate in any respect, it shall update such form or certification or promptly notify Borrower and Collateral Agent in writing of its legal inability to do so.</w:t>
      </w:r>
    </w:p>
    <w:p>
      <w:pPr>
        <w:spacing w:after="0" w:line="123" w:lineRule="exact"/>
        <w:rPr>
          <w:rFonts w:ascii="Arial" w:cs="Arial" w:eastAsia="Arial" w:hAnsi="Arial"/>
          <w:sz w:val="20"/>
          <w:szCs w:val="20"/>
          <w:color w:val="auto"/>
        </w:rPr>
      </w:pPr>
    </w:p>
    <w:p>
      <w:pPr>
        <w:ind w:left="1300" w:hanging="644"/>
        <w:spacing w:after="0"/>
        <w:tabs>
          <w:tab w:leader="none" w:pos="1300" w:val="left"/>
        </w:tabs>
        <w:numPr>
          <w:ilvl w:val="0"/>
          <w:numId w:val="109"/>
        </w:numPr>
        <w:rPr>
          <w:rFonts w:ascii="Arial" w:cs="Arial" w:eastAsia="Arial" w:hAnsi="Arial"/>
          <w:sz w:val="20"/>
          <w:szCs w:val="20"/>
          <w:color w:val="auto"/>
        </w:rPr>
      </w:pPr>
      <w:r>
        <w:rPr>
          <w:rFonts w:ascii="Arial" w:cs="Arial" w:eastAsia="Arial" w:hAnsi="Arial"/>
          <w:sz w:val="20"/>
          <w:szCs w:val="20"/>
          <w:b w:val="1"/>
          <w:bCs w:val="1"/>
          <w:color w:val="auto"/>
        </w:rPr>
        <w:t>Treatment of Certain Refunds</w:t>
      </w:r>
    </w:p>
    <w:p>
      <w:pPr>
        <w:spacing w:after="0" w:line="168" w:lineRule="exact"/>
        <w:rPr>
          <w:sz w:val="20"/>
          <w:szCs w:val="20"/>
          <w:color w:val="auto"/>
        </w:rPr>
      </w:pPr>
    </w:p>
    <w:p>
      <w:pPr>
        <w:jc w:val="both"/>
        <w:ind w:firstLine="656"/>
        <w:spacing w:after="0" w:line="212" w:lineRule="auto"/>
        <w:tabs>
          <w:tab w:leader="none" w:pos="747" w:val="left"/>
        </w:tabs>
        <w:numPr>
          <w:ilvl w:val="0"/>
          <w:numId w:val="110"/>
        </w:numPr>
        <w:rPr>
          <w:rFonts w:ascii="Arial" w:cs="Arial" w:eastAsia="Arial" w:hAnsi="Arial"/>
          <w:sz w:val="19"/>
          <w:szCs w:val="19"/>
          <w:b w:val="1"/>
          <w:bCs w:val="1"/>
          <w:color w:val="auto"/>
        </w:rPr>
      </w:pPr>
      <w:r>
        <w:rPr>
          <w:rFonts w:ascii="Arial" w:cs="Arial" w:eastAsia="Arial" w:hAnsi="Arial"/>
          <w:sz w:val="19"/>
          <w:szCs w:val="19"/>
          <w:color w:val="auto"/>
        </w:rPr>
        <w:t>If any party determines, in its sole discretion exercised in good faith, that it has received a refund of any Taxes as to which it has been indemnified pursuant to the provisions of this Exhibit C (including by the payment of additional amounts pursuant to the provisions of this Exhibit C), it shall pay to the indemnifying party an amount equal to such refund (but only to the extent of indemnity payments made under the provisions of this Exhibit C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8 (plus any penalties, interest or other charges imposed by the relevant Governmental Authority) in the event that such indemnified party is required to repay such refund to such Governmental Authority. Notwithstanding anything to the contrary in this Section 8, in no event will the indemnified party be required to pay any amount to an indemnifying party pursuant to this Section 8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8 shall not be construed to require any indemnified party to make available its Tax returns (or any other information relating to its Taxes that it deems confidential) to the indemnifying party or any other Person.</w:t>
      </w:r>
    </w:p>
    <w:p>
      <w:pPr>
        <w:spacing w:after="0" w:line="141" w:lineRule="exact"/>
        <w:rPr>
          <w:sz w:val="20"/>
          <w:szCs w:val="20"/>
          <w:color w:val="auto"/>
        </w:rPr>
      </w:pPr>
    </w:p>
    <w:p>
      <w:pPr>
        <w:ind w:left="1300" w:hanging="644"/>
        <w:spacing w:after="0"/>
        <w:tabs>
          <w:tab w:leader="none" w:pos="1300" w:val="left"/>
        </w:tabs>
        <w:numPr>
          <w:ilvl w:val="0"/>
          <w:numId w:val="111"/>
        </w:numPr>
        <w:rPr>
          <w:rFonts w:ascii="Arial" w:cs="Arial" w:eastAsia="Arial" w:hAnsi="Arial"/>
          <w:sz w:val="20"/>
          <w:szCs w:val="20"/>
          <w:color w:val="auto"/>
        </w:rPr>
      </w:pPr>
      <w:r>
        <w:rPr>
          <w:rFonts w:ascii="Arial" w:cs="Arial" w:eastAsia="Arial" w:hAnsi="Arial"/>
          <w:sz w:val="20"/>
          <w:szCs w:val="20"/>
          <w:b w:val="1"/>
          <w:bCs w:val="1"/>
          <w:color w:val="auto"/>
        </w:rPr>
        <w:t>Increased Costs</w:t>
      </w:r>
    </w:p>
    <w:p>
      <w:pPr>
        <w:spacing w:after="0" w:line="154" w:lineRule="exact"/>
        <w:rPr>
          <w:sz w:val="20"/>
          <w:szCs w:val="20"/>
          <w:color w:val="auto"/>
        </w:rPr>
      </w:pPr>
    </w:p>
    <w:p>
      <w:pPr>
        <w:jc w:val="both"/>
        <w:ind w:firstLine="656"/>
        <w:spacing w:after="0" w:line="217" w:lineRule="auto"/>
        <w:tabs>
          <w:tab w:leader="none" w:pos="747" w:val="left"/>
        </w:tabs>
        <w:numPr>
          <w:ilvl w:val="0"/>
          <w:numId w:val="112"/>
        </w:numPr>
        <w:rPr>
          <w:rFonts w:ascii="Arial" w:cs="Arial" w:eastAsia="Arial" w:hAnsi="Arial"/>
          <w:sz w:val="19"/>
          <w:szCs w:val="19"/>
          <w:b w:val="1"/>
          <w:bCs w:val="1"/>
          <w:color w:val="auto"/>
        </w:rPr>
      </w:pPr>
      <w:r>
        <w:rPr>
          <w:rFonts w:ascii="Arial" w:cs="Arial" w:eastAsia="Arial" w:hAnsi="Arial"/>
          <w:sz w:val="19"/>
          <w:szCs w:val="19"/>
          <w:color w:val="auto"/>
        </w:rPr>
        <w:t>If any change in applicable law shall subject any Recipient to any Taxes (other than (A) Indemnified Taxes, (B) Taxes described in clauses (ii) through (iv) of the definition of Excluded Taxes and (C) Connection Income Taxes) on its loans, loan principal, commitments, or other obligations, or its deposits, reserves, other liabilities or capital attributable thereto, and the result shall be to increase the cost to such Recipient of making, converting to, continuing or maintaining any Term Loan or of maintaining its obligation to make any such Term Loan, or to reduce the amount of any sum received or receivable by such Recipient (whether of principal, interest or any other amount), then, upon the request of such Recipient, Borrower will pay to such Recipient such additional amount or amounts as will compensate such Recipient for such additional costs incurred or reduction suffered.</w:t>
      </w:r>
    </w:p>
    <w:p>
      <w:pPr>
        <w:spacing w:after="0" w:line="137" w:lineRule="exact"/>
        <w:rPr>
          <w:sz w:val="20"/>
          <w:szCs w:val="20"/>
          <w:color w:val="auto"/>
        </w:rPr>
      </w:pPr>
    </w:p>
    <w:p>
      <w:pPr>
        <w:ind w:left="1300" w:hanging="644"/>
        <w:spacing w:after="0"/>
        <w:tabs>
          <w:tab w:leader="none" w:pos="1300" w:val="left"/>
        </w:tabs>
        <w:numPr>
          <w:ilvl w:val="0"/>
          <w:numId w:val="113"/>
        </w:numPr>
        <w:rPr>
          <w:rFonts w:ascii="Arial" w:cs="Arial" w:eastAsia="Arial" w:hAnsi="Arial"/>
          <w:sz w:val="20"/>
          <w:szCs w:val="20"/>
          <w:color w:val="auto"/>
        </w:rPr>
      </w:pPr>
      <w:r>
        <w:rPr>
          <w:rFonts w:ascii="Arial" w:cs="Arial" w:eastAsia="Arial" w:hAnsi="Arial"/>
          <w:sz w:val="20"/>
          <w:szCs w:val="20"/>
          <w:b w:val="1"/>
          <w:bCs w:val="1"/>
          <w:color w:val="auto"/>
        </w:rPr>
        <w:t>Survival</w:t>
      </w:r>
    </w:p>
    <w:p>
      <w:pPr>
        <w:spacing w:after="0" w:line="168" w:lineRule="exact"/>
        <w:rPr>
          <w:sz w:val="20"/>
          <w:szCs w:val="20"/>
          <w:color w:val="auto"/>
        </w:rPr>
      </w:pPr>
    </w:p>
    <w:p>
      <w:pPr>
        <w:jc w:val="both"/>
        <w:ind w:left="80" w:firstLine="641"/>
        <w:spacing w:after="0" w:line="218" w:lineRule="auto"/>
        <w:tabs>
          <w:tab w:leader="none" w:pos="827" w:val="left"/>
        </w:tabs>
        <w:numPr>
          <w:ilvl w:val="0"/>
          <w:numId w:val="114"/>
        </w:numPr>
        <w:rPr>
          <w:rFonts w:ascii="Arial" w:cs="Arial" w:eastAsia="Arial" w:hAnsi="Arial"/>
          <w:sz w:val="20"/>
          <w:szCs w:val="20"/>
          <w:b w:val="1"/>
          <w:bCs w:val="1"/>
          <w:color w:val="auto"/>
        </w:rPr>
      </w:pPr>
      <w:r>
        <w:rPr>
          <w:rFonts w:ascii="Arial" w:cs="Arial" w:eastAsia="Arial" w:hAnsi="Arial"/>
          <w:sz w:val="20"/>
          <w:szCs w:val="20"/>
          <w:color w:val="auto"/>
        </w:rPr>
        <w:t>Each party’s obligations under the provisions of this Exhibit C shall survive the resignation or replacement of Collateral Agent or any assignment of rights by, or the replacement of, a Lender, the termination of the Term Loan Commitments and the repayment, satisfaction or discharge of all obligations under any Loan Document.</w:t>
      </w:r>
    </w:p>
    <w:p>
      <w:pPr>
        <w:sectPr>
          <w:pgSz w:w="11900" w:h="16838" w:orient="portrait"/>
          <w:cols w:equalWidth="0" w:num="1">
            <w:col w:w="11240"/>
          </w:cols>
          <w:pgMar w:left="320" w:top="1405" w:right="339" w:bottom="1440" w:gutter="0" w:footer="0" w:header="0"/>
        </w:sectPr>
      </w:pPr>
    </w:p>
    <w:bookmarkStart w:id="129" w:name="page130"/>
    <w:bookmarkEnd w:id="129"/>
    <w:p>
      <w:pPr>
        <w:spacing w:after="0" w:line="54"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EXHIBIT D</w:t>
      </w:r>
    </w:p>
    <w:p>
      <w:pPr>
        <w:spacing w:after="0" w:line="40"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Loan Payment Request Form</w:t>
      </w:r>
    </w:p>
    <w:p>
      <w:pPr>
        <w:spacing w:after="0" w:line="208" w:lineRule="exact"/>
        <w:rPr>
          <w:sz w:val="20"/>
          <w:szCs w:val="20"/>
          <w:color w:val="auto"/>
        </w:rPr>
      </w:pPr>
    </w:p>
    <w:p>
      <w:pPr>
        <w:spacing w:after="0"/>
        <w:tabs>
          <w:tab w:leader="none" w:pos="2080" w:val="left"/>
        </w:tabs>
        <w:rPr>
          <w:sz w:val="20"/>
          <w:szCs w:val="20"/>
          <w:color w:val="auto"/>
        </w:rPr>
      </w:pPr>
      <w:r>
        <w:rPr>
          <w:rFonts w:ascii="Arial" w:cs="Arial" w:eastAsia="Arial" w:hAnsi="Arial"/>
          <w:sz w:val="20"/>
          <w:szCs w:val="20"/>
          <w:color w:val="auto"/>
        </w:rPr>
        <w:t>Fax To: (212) 993-1698</w:t>
      </w:r>
      <w:r>
        <w:rPr>
          <w:sz w:val="20"/>
          <w:szCs w:val="20"/>
          <w:color w:val="auto"/>
        </w:rPr>
        <w:tab/>
      </w:r>
      <w:r>
        <w:rPr>
          <w:rFonts w:ascii="Arial" w:cs="Arial" w:eastAsia="Arial" w:hAnsi="Arial"/>
          <w:sz w:val="16"/>
          <w:szCs w:val="16"/>
          <w:color w:val="auto"/>
        </w:rPr>
        <w:t>Date: 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23430" cy="50063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23430" cy="5006340"/>
                    </a:xfrm>
                    <a:prstGeom prst="rect">
                      <a:avLst/>
                    </a:prstGeom>
                    <a:noFill/>
                  </pic:spPr>
                </pic:pic>
              </a:graphicData>
            </a:graphic>
          </wp:anchor>
        </w:drawing>
      </w:r>
    </w:p>
    <w:p>
      <w:pPr>
        <w:spacing w:after="0" w:line="22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Loan Payment</w:t>
      </w:r>
      <w:r>
        <w:rPr>
          <w:rFonts w:ascii="Arial" w:cs="Arial" w:eastAsia="Arial" w:hAnsi="Arial"/>
          <w:sz w:val="14"/>
          <w:szCs w:val="14"/>
          <w:b w:val="1"/>
          <w:bCs w:val="1"/>
          <w:color w:val="auto"/>
        </w:rPr>
        <w:t>:</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960" w:type="dxa"/>
            <w:vAlign w:val="bottom"/>
          </w:tcPr>
          <w:p>
            <w:pPr>
              <w:ind w:left="1400"/>
              <w:spacing w:after="0"/>
              <w:rPr>
                <w:sz w:val="20"/>
                <w:szCs w:val="20"/>
                <w:color w:val="auto"/>
              </w:rPr>
            </w:pPr>
            <w:r>
              <w:rPr>
                <w:rFonts w:ascii="Arial" w:cs="Arial" w:eastAsia="Arial" w:hAnsi="Arial"/>
                <w:sz w:val="20"/>
                <w:szCs w:val="20"/>
                <w:color w:val="auto"/>
              </w:rPr>
              <w:t>Ardelyx, Inc.</w:t>
            </w:r>
          </w:p>
        </w:tc>
      </w:tr>
      <w:tr>
        <w:trPr>
          <w:trHeight w:val="618"/>
        </w:trPr>
        <w:tc>
          <w:tcPr>
            <w:tcW w:w="3640" w:type="dxa"/>
            <w:vAlign w:val="bottom"/>
            <w:gridSpan w:val="7"/>
          </w:tcPr>
          <w:p>
            <w:pPr>
              <w:spacing w:after="0"/>
              <w:rPr>
                <w:sz w:val="20"/>
                <w:szCs w:val="20"/>
                <w:color w:val="auto"/>
              </w:rPr>
            </w:pPr>
            <w:r>
              <w:rPr>
                <w:rFonts w:ascii="Arial" w:cs="Arial" w:eastAsia="Arial" w:hAnsi="Arial"/>
                <w:sz w:val="14"/>
                <w:szCs w:val="14"/>
                <w:color w:val="auto"/>
              </w:rPr>
              <w:t>From Account #________________________________</w:t>
            </w:r>
          </w:p>
        </w:tc>
        <w:tc>
          <w:tcPr>
            <w:tcW w:w="4960" w:type="dxa"/>
            <w:vAlign w:val="bottom"/>
          </w:tcPr>
          <w:p>
            <w:pPr>
              <w:jc w:val="center"/>
              <w:spacing w:after="0"/>
              <w:rPr>
                <w:sz w:val="20"/>
                <w:szCs w:val="20"/>
                <w:color w:val="auto"/>
              </w:rPr>
            </w:pPr>
            <w:r>
              <w:rPr>
                <w:rFonts w:ascii="Arial" w:cs="Arial" w:eastAsia="Arial" w:hAnsi="Arial"/>
                <w:sz w:val="14"/>
                <w:szCs w:val="14"/>
                <w:color w:val="auto"/>
              </w:rPr>
              <w:t>To Account #__________________________________________________</w:t>
            </w:r>
          </w:p>
        </w:tc>
      </w:tr>
      <w:tr>
        <w:trPr>
          <w:trHeight w:val="189"/>
        </w:trPr>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color w:val="auto"/>
              </w:rPr>
              <w:t>(Deposit Account #)</w:t>
            </w:r>
          </w:p>
        </w:tc>
        <w:tc>
          <w:tcPr>
            <w:tcW w:w="160" w:type="dxa"/>
            <w:vAlign w:val="bottom"/>
          </w:tcPr>
          <w:p>
            <w:pPr>
              <w:spacing w:after="0"/>
              <w:rPr>
                <w:sz w:val="16"/>
                <w:szCs w:val="16"/>
                <w:color w:val="auto"/>
              </w:rPr>
            </w:pPr>
          </w:p>
        </w:tc>
        <w:tc>
          <w:tcPr>
            <w:tcW w:w="5700" w:type="dxa"/>
            <w:vAlign w:val="bottom"/>
            <w:gridSpan w:val="2"/>
          </w:tcPr>
          <w:p>
            <w:pPr>
              <w:ind w:left="620"/>
              <w:spacing w:after="0"/>
              <w:rPr>
                <w:sz w:val="20"/>
                <w:szCs w:val="20"/>
                <w:color w:val="auto"/>
              </w:rPr>
            </w:pPr>
            <w:r>
              <w:rPr>
                <w:rFonts w:ascii="Arial" w:cs="Arial" w:eastAsia="Arial" w:hAnsi="Arial"/>
                <w:sz w:val="14"/>
                <w:szCs w:val="14"/>
                <w:color w:val="auto"/>
              </w:rPr>
              <w:t>(Loan Account #)</w:t>
            </w:r>
          </w:p>
        </w:tc>
      </w:tr>
      <w:tr>
        <w:trPr>
          <w:trHeight w:val="189"/>
        </w:trPr>
        <w:tc>
          <w:tcPr>
            <w:tcW w:w="3640" w:type="dxa"/>
            <w:vAlign w:val="bottom"/>
            <w:gridSpan w:val="7"/>
          </w:tcPr>
          <w:p>
            <w:pPr>
              <w:spacing w:after="0"/>
              <w:rPr>
                <w:sz w:val="20"/>
                <w:szCs w:val="20"/>
                <w:color w:val="auto"/>
              </w:rPr>
            </w:pPr>
            <w:r>
              <w:rPr>
                <w:rFonts w:ascii="Arial" w:cs="Arial" w:eastAsia="Arial" w:hAnsi="Arial"/>
                <w:sz w:val="14"/>
                <w:szCs w:val="14"/>
                <w:color w:val="auto"/>
              </w:rPr>
              <w:t>Principal $____________________________________</w:t>
            </w:r>
          </w:p>
        </w:tc>
        <w:tc>
          <w:tcPr>
            <w:tcW w:w="4960" w:type="dxa"/>
            <w:vAlign w:val="bottom"/>
          </w:tcPr>
          <w:p>
            <w:pPr>
              <w:jc w:val="center"/>
              <w:spacing w:after="0"/>
              <w:rPr>
                <w:sz w:val="20"/>
                <w:szCs w:val="20"/>
                <w:color w:val="auto"/>
              </w:rPr>
            </w:pPr>
            <w:r>
              <w:rPr>
                <w:rFonts w:ascii="Arial" w:cs="Arial" w:eastAsia="Arial" w:hAnsi="Arial"/>
                <w:sz w:val="14"/>
                <w:szCs w:val="14"/>
                <w:color w:val="auto"/>
              </w:rPr>
              <w:t>and/or Interest $________________________________________________</w:t>
            </w:r>
          </w:p>
        </w:tc>
      </w:tr>
      <w:tr>
        <w:trPr>
          <w:trHeight w:val="619"/>
        </w:trPr>
        <w:tc>
          <w:tcPr>
            <w:tcW w:w="1540" w:type="dxa"/>
            <w:vAlign w:val="bottom"/>
            <w:gridSpan w:val="4"/>
          </w:tcPr>
          <w:p>
            <w:pPr>
              <w:spacing w:after="0"/>
              <w:rPr>
                <w:sz w:val="20"/>
                <w:szCs w:val="20"/>
                <w:color w:val="auto"/>
              </w:rPr>
            </w:pPr>
            <w:r>
              <w:rPr>
                <w:rFonts w:ascii="Arial" w:cs="Arial" w:eastAsia="Arial" w:hAnsi="Arial"/>
                <w:sz w:val="14"/>
                <w:szCs w:val="14"/>
                <w:color w:val="auto"/>
              </w:rPr>
              <w:t>Authorized Signature:</w:t>
            </w:r>
          </w:p>
        </w:tc>
        <w:tc>
          <w:tcPr>
            <w:tcW w:w="1200" w:type="dxa"/>
            <w:vAlign w:val="bottom"/>
          </w:tcPr>
          <w:p>
            <w:pPr>
              <w:ind w:left="160"/>
              <w:spacing w:after="0"/>
              <w:rPr>
                <w:sz w:val="20"/>
                <w:szCs w:val="20"/>
                <w:color w:val="auto"/>
              </w:rPr>
            </w:pPr>
            <w:r>
              <w:rPr>
                <w:rFonts w:ascii="Arial" w:cs="Arial" w:eastAsia="Arial" w:hAnsi="Arial"/>
                <w:sz w:val="14"/>
                <w:szCs w:val="14"/>
                <w:color w:val="auto"/>
              </w:rPr>
              <w:t>Phone Number:</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169"/>
        </w:trPr>
        <w:tc>
          <w:tcPr>
            <w:tcW w:w="1100" w:type="dxa"/>
            <w:vAlign w:val="bottom"/>
          </w:tcPr>
          <w:p>
            <w:pPr>
              <w:spacing w:after="0"/>
              <w:rPr>
                <w:sz w:val="20"/>
                <w:szCs w:val="20"/>
                <w:color w:val="auto"/>
              </w:rPr>
            </w:pPr>
            <w:r>
              <w:rPr>
                <w:rFonts w:ascii="Arial" w:cs="Arial" w:eastAsia="Arial" w:hAnsi="Arial"/>
                <w:sz w:val="14"/>
                <w:szCs w:val="14"/>
                <w:color w:val="auto"/>
              </w:rPr>
              <w:t>Print Name/Title:</w:t>
            </w: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49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Loan Advance</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Complete </w:t>
      </w:r>
      <w:r>
        <w:rPr>
          <w:rFonts w:ascii="Arial" w:cs="Arial" w:eastAsia="Arial" w:hAnsi="Arial"/>
          <w:sz w:val="14"/>
          <w:szCs w:val="14"/>
          <w:i w:val="1"/>
          <w:iCs w:val="1"/>
          <w:color w:val="auto"/>
        </w:rPr>
        <w:t>Outgoing Wire Request</w:t>
      </w:r>
      <w:r>
        <w:rPr>
          <w:rFonts w:ascii="Arial" w:cs="Arial" w:eastAsia="Arial" w:hAnsi="Arial"/>
          <w:sz w:val="14"/>
          <w:szCs w:val="14"/>
          <w:color w:val="auto"/>
        </w:rPr>
        <w:t xml:space="preserve"> section below if all or a portion of the funds from this loan advance are for an outgoing wire.</w:t>
      </w:r>
    </w:p>
    <w:p>
      <w:pPr>
        <w:spacing w:after="0" w:line="200" w:lineRule="exact"/>
        <w:rPr>
          <w:sz w:val="20"/>
          <w:szCs w:val="20"/>
          <w:color w:val="auto"/>
        </w:rPr>
      </w:pPr>
    </w:p>
    <w:p>
      <w:pPr>
        <w:spacing w:after="0" w:line="301" w:lineRule="exact"/>
        <w:rPr>
          <w:sz w:val="20"/>
          <w:szCs w:val="20"/>
          <w:color w:val="auto"/>
        </w:rPr>
      </w:pPr>
    </w:p>
    <w:p>
      <w:pPr>
        <w:ind w:left="40"/>
        <w:spacing w:after="0"/>
        <w:tabs>
          <w:tab w:leader="none" w:pos="3760" w:val="left"/>
        </w:tabs>
        <w:rPr>
          <w:sz w:val="20"/>
          <w:szCs w:val="20"/>
          <w:color w:val="auto"/>
        </w:rPr>
      </w:pPr>
      <w:r>
        <w:rPr>
          <w:rFonts w:ascii="Arial" w:cs="Arial" w:eastAsia="Arial" w:hAnsi="Arial"/>
          <w:sz w:val="14"/>
          <w:szCs w:val="14"/>
          <w:color w:val="auto"/>
        </w:rPr>
        <w:t>From Account #________________________________</w:t>
        <w:tab/>
        <w:t>To Account #__________________________________________________</w:t>
      </w:r>
    </w:p>
    <w:p>
      <w:pPr>
        <w:spacing w:after="0" w:line="28" w:lineRule="exact"/>
        <w:rPr>
          <w:sz w:val="20"/>
          <w:szCs w:val="20"/>
          <w:color w:val="auto"/>
        </w:rPr>
      </w:pPr>
    </w:p>
    <w:p>
      <w:pPr>
        <w:ind w:left="1340"/>
        <w:spacing w:after="0"/>
        <w:tabs>
          <w:tab w:leader="none" w:pos="3380" w:val="left"/>
        </w:tabs>
        <w:rPr>
          <w:sz w:val="20"/>
          <w:szCs w:val="20"/>
          <w:color w:val="auto"/>
        </w:rPr>
      </w:pPr>
      <w:r>
        <w:rPr>
          <w:rFonts w:ascii="Arial" w:cs="Arial" w:eastAsia="Arial" w:hAnsi="Arial"/>
          <w:sz w:val="14"/>
          <w:szCs w:val="14"/>
          <w:color w:val="auto"/>
        </w:rPr>
        <w:t>(Loan Account #)</w:t>
      </w:r>
      <w:r>
        <w:rPr>
          <w:sz w:val="20"/>
          <w:szCs w:val="20"/>
          <w:color w:val="auto"/>
        </w:rPr>
        <w:tab/>
      </w:r>
      <w:r>
        <w:rPr>
          <w:rFonts w:ascii="Arial" w:cs="Arial" w:eastAsia="Arial" w:hAnsi="Arial"/>
          <w:sz w:val="14"/>
          <w:szCs w:val="14"/>
          <w:color w:val="auto"/>
        </w:rPr>
        <w:t>(Deposit Account #)</w:t>
      </w: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Amount of Advance $___________________________</w:t>
      </w:r>
    </w:p>
    <w:p>
      <w:pPr>
        <w:spacing w:after="0" w:line="200" w:lineRule="exact"/>
        <w:rPr>
          <w:sz w:val="20"/>
          <w:szCs w:val="20"/>
          <w:color w:val="auto"/>
        </w:rPr>
      </w:pPr>
    </w:p>
    <w:p>
      <w:pPr>
        <w:spacing w:after="0" w:line="287" w:lineRule="exact"/>
        <w:rPr>
          <w:sz w:val="20"/>
          <w:szCs w:val="20"/>
          <w:color w:val="auto"/>
        </w:rPr>
      </w:pPr>
    </w:p>
    <w:p>
      <w:pPr>
        <w:ind w:left="40" w:right="80"/>
        <w:spacing w:after="0" w:line="287" w:lineRule="auto"/>
        <w:rPr>
          <w:sz w:val="20"/>
          <w:szCs w:val="20"/>
          <w:color w:val="auto"/>
        </w:rPr>
      </w:pPr>
      <w:r>
        <w:rPr>
          <w:rFonts w:ascii="Arial" w:cs="Arial" w:eastAsia="Arial" w:hAnsi="Arial"/>
          <w:sz w:val="14"/>
          <w:szCs w:val="14"/>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540" w:type="dxa"/>
            <w:vAlign w:val="bottom"/>
            <w:gridSpan w:val="4"/>
          </w:tcPr>
          <w:p>
            <w:pPr>
              <w:spacing w:after="0"/>
              <w:rPr>
                <w:sz w:val="20"/>
                <w:szCs w:val="20"/>
                <w:color w:val="auto"/>
              </w:rPr>
            </w:pPr>
            <w:r>
              <w:rPr>
                <w:rFonts w:ascii="Arial" w:cs="Arial" w:eastAsia="Arial" w:hAnsi="Arial"/>
                <w:sz w:val="14"/>
                <w:szCs w:val="14"/>
                <w:color w:val="auto"/>
              </w:rPr>
              <w:t>Authorized Signature:</w:t>
            </w:r>
          </w:p>
        </w:tc>
        <w:tc>
          <w:tcPr>
            <w:tcW w:w="1180" w:type="dxa"/>
            <w:vAlign w:val="bottom"/>
          </w:tcPr>
          <w:p>
            <w:pPr>
              <w:ind w:left="160"/>
              <w:spacing w:after="0"/>
              <w:rPr>
                <w:sz w:val="20"/>
                <w:szCs w:val="20"/>
                <w:color w:val="auto"/>
              </w:rPr>
            </w:pPr>
            <w:r>
              <w:rPr>
                <w:rFonts w:ascii="Arial" w:cs="Arial" w:eastAsia="Arial" w:hAnsi="Arial"/>
                <w:sz w:val="14"/>
                <w:szCs w:val="14"/>
                <w:color w:val="auto"/>
              </w:rPr>
              <w:t>Phone Number:</w:t>
            </w:r>
          </w:p>
        </w:tc>
      </w:tr>
      <w:tr>
        <w:trPr>
          <w:trHeight w:val="169"/>
        </w:trPr>
        <w:tc>
          <w:tcPr>
            <w:tcW w:w="1100" w:type="dxa"/>
            <w:vAlign w:val="bottom"/>
          </w:tcPr>
          <w:p>
            <w:pPr>
              <w:spacing w:after="0"/>
              <w:rPr>
                <w:sz w:val="20"/>
                <w:szCs w:val="20"/>
                <w:color w:val="auto"/>
              </w:rPr>
            </w:pPr>
            <w:r>
              <w:rPr>
                <w:rFonts w:ascii="Arial" w:cs="Arial" w:eastAsia="Arial" w:hAnsi="Arial"/>
                <w:sz w:val="14"/>
                <w:szCs w:val="14"/>
                <w:color w:val="auto"/>
              </w:rPr>
              <w:t>Print Name/Title:</w:t>
            </w: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23430" cy="3591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23430" cy="3591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Outgoing Wire Request</w:t>
      </w:r>
      <w:r>
        <w:rPr>
          <w:rFonts w:ascii="Arial" w:cs="Arial" w:eastAsia="Arial" w:hAnsi="Arial"/>
          <w:sz w:val="14"/>
          <w:szCs w:val="14"/>
          <w:b w:val="1"/>
          <w:bCs w:val="1"/>
          <w:color w:val="auto"/>
        </w:rPr>
        <w:t>:</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Complete only if all or a portion of funds from the loan advance above is to be wired.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40" w:type="dxa"/>
            <w:vAlign w:val="bottom"/>
            <w:gridSpan w:val="11"/>
          </w:tcPr>
          <w:p>
            <w:pPr>
              <w:spacing w:after="0"/>
              <w:rPr>
                <w:sz w:val="20"/>
                <w:szCs w:val="20"/>
                <w:color w:val="auto"/>
              </w:rPr>
            </w:pPr>
            <w:r>
              <w:rPr>
                <w:rFonts w:ascii="Arial" w:cs="Arial" w:eastAsia="Arial" w:hAnsi="Arial"/>
                <w:sz w:val="14"/>
                <w:szCs w:val="14"/>
                <w:color w:val="auto"/>
              </w:rPr>
              <w:t>Beneficiary Name: _____________________________</w:t>
            </w:r>
          </w:p>
        </w:tc>
        <w:tc>
          <w:tcPr>
            <w:tcW w:w="160" w:type="dxa"/>
            <w:vAlign w:val="bottom"/>
            <w:tcBorders>
              <w:bottom w:val="single" w:sz="8" w:color="auto"/>
            </w:tcBorders>
            <w:gridSpan w:val="2"/>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jc w:val="center"/>
              <w:ind w:left="48"/>
              <w:spacing w:after="0"/>
              <w:rPr>
                <w:sz w:val="20"/>
                <w:szCs w:val="20"/>
                <w:color w:val="auto"/>
              </w:rPr>
            </w:pPr>
            <w:r>
              <w:rPr>
                <w:rFonts w:ascii="Arial" w:cs="Arial" w:eastAsia="Arial" w:hAnsi="Arial"/>
                <w:sz w:val="14"/>
                <w:szCs w:val="14"/>
                <w:color w:val="auto"/>
              </w:rPr>
              <w:t>Amount of Wire: $</w:t>
            </w:r>
          </w:p>
        </w:tc>
        <w:tc>
          <w:tcPr>
            <w:tcW w:w="160" w:type="dxa"/>
            <w:vAlign w:val="bottom"/>
            <w:tcBorders>
              <w:bottom w:val="single" w:sz="8" w:color="auto"/>
            </w:tcBorders>
            <w:gridSpan w:val="2"/>
          </w:tcPr>
          <w:p>
            <w:pPr>
              <w:spacing w:after="0"/>
              <w:rPr>
                <w:sz w:val="14"/>
                <w:szCs w:val="14"/>
                <w:color w:val="auto"/>
              </w:rPr>
            </w:pPr>
          </w:p>
        </w:tc>
        <w:tc>
          <w:tcPr>
            <w:tcW w:w="320" w:type="dxa"/>
            <w:vAlign w:val="bottom"/>
            <w:gridSpan w:val="2"/>
          </w:tcPr>
          <w:p>
            <w:pPr>
              <w:spacing w:after="0"/>
              <w:rPr>
                <w:sz w:val="14"/>
                <w:szCs w:val="14"/>
                <w:color w:val="auto"/>
              </w:rPr>
            </w:pPr>
          </w:p>
        </w:tc>
      </w:tr>
      <w:tr>
        <w:trPr>
          <w:trHeight w:val="169"/>
        </w:trPr>
        <w:tc>
          <w:tcPr>
            <w:tcW w:w="3700" w:type="dxa"/>
            <w:vAlign w:val="bottom"/>
            <w:gridSpan w:val="13"/>
          </w:tcPr>
          <w:p>
            <w:pPr>
              <w:spacing w:after="0"/>
              <w:rPr>
                <w:sz w:val="20"/>
                <w:szCs w:val="20"/>
                <w:color w:val="auto"/>
              </w:rPr>
            </w:pPr>
            <w:r>
              <w:rPr>
                <w:rFonts w:ascii="Arial" w:cs="Arial" w:eastAsia="Arial" w:hAnsi="Arial"/>
                <w:sz w:val="14"/>
                <w:szCs w:val="14"/>
                <w:color w:val="auto"/>
              </w:rPr>
              <w:t>Beneficiary Bank: ______________________________</w:t>
            </w:r>
          </w:p>
        </w:tc>
        <w:tc>
          <w:tcPr>
            <w:tcW w:w="20" w:type="dxa"/>
            <w:vAlign w:val="bottom"/>
          </w:tcPr>
          <w:p>
            <w:pPr>
              <w:spacing w:after="0"/>
              <w:rPr>
                <w:sz w:val="14"/>
                <w:szCs w:val="14"/>
                <w:color w:val="auto"/>
              </w:rPr>
            </w:pPr>
          </w:p>
        </w:tc>
        <w:tc>
          <w:tcPr>
            <w:tcW w:w="1760" w:type="dxa"/>
            <w:vAlign w:val="bottom"/>
            <w:gridSpan w:val="5"/>
          </w:tcPr>
          <w:p>
            <w:pPr>
              <w:jc w:val="center"/>
              <w:ind w:right="340"/>
              <w:spacing w:after="0"/>
              <w:rPr>
                <w:sz w:val="20"/>
                <w:szCs w:val="20"/>
                <w:color w:val="auto"/>
              </w:rPr>
            </w:pPr>
            <w:r>
              <w:rPr>
                <w:rFonts w:ascii="Arial" w:cs="Arial" w:eastAsia="Arial" w:hAnsi="Arial"/>
                <w:sz w:val="14"/>
                <w:szCs w:val="14"/>
                <w:color w:val="auto"/>
              </w:rPr>
              <w:t>Account Number:</w:t>
            </w:r>
          </w:p>
        </w:tc>
      </w:tr>
      <w:tr>
        <w:trPr>
          <w:trHeight w:val="169"/>
        </w:trPr>
        <w:tc>
          <w:tcPr>
            <w:tcW w:w="980" w:type="dxa"/>
            <w:vAlign w:val="bottom"/>
          </w:tcPr>
          <w:p>
            <w:pPr>
              <w:spacing w:after="0"/>
              <w:rPr>
                <w:sz w:val="20"/>
                <w:szCs w:val="20"/>
                <w:color w:val="auto"/>
              </w:rPr>
            </w:pPr>
            <w:r>
              <w:rPr>
                <w:rFonts w:ascii="Arial" w:cs="Arial" w:eastAsia="Arial" w:hAnsi="Arial"/>
                <w:sz w:val="14"/>
                <w:szCs w:val="14"/>
                <w:color w:val="auto"/>
              </w:rPr>
              <w:t>City and State:</w:t>
            </w:r>
          </w:p>
        </w:tc>
        <w:tc>
          <w:tcPr>
            <w:tcW w:w="160" w:type="dxa"/>
            <w:vAlign w:val="bottom"/>
            <w:tcBorders>
              <w:bottom w:val="single" w:sz="8" w:color="auto"/>
            </w:tcBorders>
          </w:tcPr>
          <w:p>
            <w:pPr>
              <w:spacing w:after="0"/>
              <w:rPr>
                <w:sz w:val="14"/>
                <w:szCs w:val="14"/>
                <w:color w:val="auto"/>
              </w:rPr>
            </w:pPr>
          </w:p>
        </w:tc>
        <w:tc>
          <w:tcPr>
            <w:tcW w:w="26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628"/>
        </w:trPr>
        <w:tc>
          <w:tcPr>
            <w:tcW w:w="2180" w:type="dxa"/>
            <w:vAlign w:val="bottom"/>
            <w:gridSpan w:val="7"/>
          </w:tcPr>
          <w:p>
            <w:pPr>
              <w:spacing w:after="0"/>
              <w:rPr>
                <w:sz w:val="20"/>
                <w:szCs w:val="20"/>
                <w:color w:val="auto"/>
              </w:rPr>
            </w:pPr>
            <w:r>
              <w:rPr>
                <w:rFonts w:ascii="Arial" w:cs="Arial" w:eastAsia="Arial" w:hAnsi="Arial"/>
                <w:sz w:val="14"/>
                <w:szCs w:val="14"/>
                <w:color w:val="auto"/>
              </w:rPr>
              <w:t>Beneficiary Bank Transit (ABA) #:</w:t>
            </w:r>
          </w:p>
        </w:tc>
        <w:tc>
          <w:tcPr>
            <w:tcW w:w="160" w:type="dxa"/>
            <w:vAlign w:val="bottom"/>
            <w:tcBorders>
              <w:bottom w:val="single" w:sz="8" w:color="auto"/>
            </w:tcBorders>
          </w:tcPr>
          <w:p>
            <w:pPr>
              <w:spacing w:after="0"/>
              <w:rPr>
                <w:sz w:val="24"/>
                <w:szCs w:val="24"/>
                <w:color w:val="auto"/>
              </w:rPr>
            </w:pPr>
          </w:p>
        </w:tc>
        <w:tc>
          <w:tcPr>
            <w:tcW w:w="3140" w:type="dxa"/>
            <w:vAlign w:val="bottom"/>
            <w:gridSpan w:val="11"/>
          </w:tcPr>
          <w:p>
            <w:pPr>
              <w:ind w:left="160"/>
              <w:spacing w:after="0"/>
              <w:rPr>
                <w:sz w:val="20"/>
                <w:szCs w:val="20"/>
                <w:color w:val="auto"/>
              </w:rPr>
            </w:pPr>
            <w:r>
              <w:rPr>
                <w:rFonts w:ascii="Arial" w:cs="Arial" w:eastAsia="Arial" w:hAnsi="Arial"/>
                <w:sz w:val="14"/>
                <w:szCs w:val="14"/>
                <w:color w:val="auto"/>
              </w:rPr>
              <w:t>Beneficiary Bank Code (Swift, Sort, Chip, etc.):</w:t>
            </w:r>
          </w:p>
        </w:tc>
      </w:tr>
      <w:tr>
        <w:trPr>
          <w:trHeight w:val="198"/>
        </w:trPr>
        <w:tc>
          <w:tcPr>
            <w:tcW w:w="2180" w:type="dxa"/>
            <w:vAlign w:val="bottom"/>
            <w:gridSpan w:val="7"/>
          </w:tcPr>
          <w:p>
            <w:pPr>
              <w:spacing w:after="0"/>
              <w:rPr>
                <w:sz w:val="20"/>
                <w:szCs w:val="20"/>
                <w:color w:val="auto"/>
              </w:rPr>
            </w:pPr>
            <w:r>
              <w:rPr>
                <w:rFonts w:ascii="Arial" w:cs="Arial" w:eastAsia="Arial" w:hAnsi="Arial"/>
                <w:sz w:val="14"/>
                <w:szCs w:val="14"/>
                <w:b w:val="1"/>
                <w:bCs w:val="1"/>
                <w:color w:val="auto"/>
              </w:rPr>
              <w:t>(For International Wire Only)</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60"/>
        </w:trPr>
        <w:tc>
          <w:tcPr>
            <w:tcW w:w="1240" w:type="dxa"/>
            <w:vAlign w:val="bottom"/>
            <w:gridSpan w:val="3"/>
          </w:tcPr>
          <w:p>
            <w:pPr>
              <w:spacing w:after="0"/>
              <w:rPr>
                <w:sz w:val="20"/>
                <w:szCs w:val="20"/>
                <w:color w:val="auto"/>
              </w:rPr>
            </w:pPr>
            <w:r>
              <w:rPr>
                <w:rFonts w:ascii="Arial" w:cs="Arial" w:eastAsia="Arial" w:hAnsi="Arial"/>
                <w:sz w:val="14"/>
                <w:szCs w:val="14"/>
                <w:color w:val="auto"/>
              </w:rPr>
              <w:t>Intermediary Bank:</w:t>
            </w:r>
          </w:p>
        </w:tc>
        <w:tc>
          <w:tcPr>
            <w:tcW w:w="160" w:type="dxa"/>
            <w:vAlign w:val="bottom"/>
            <w:tcBorders>
              <w:bottom w:val="single" w:sz="8" w:color="auto"/>
            </w:tcBorders>
            <w:gridSpan w:val="2"/>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color w:val="auto"/>
              </w:rPr>
              <w:t>Transit (ABA) #:</w:t>
            </w:r>
          </w:p>
        </w:tc>
        <w:tc>
          <w:tcPr>
            <w:tcW w:w="160" w:type="dxa"/>
            <w:vAlign w:val="bottom"/>
            <w:tcBorders>
              <w:bottom w:val="single" w:sz="8" w:color="auto"/>
            </w:tcBorders>
          </w:tcPr>
          <w:p>
            <w:pPr>
              <w:spacing w:after="0"/>
              <w:rPr>
                <w:sz w:val="13"/>
                <w:szCs w:val="13"/>
                <w:color w:val="auto"/>
              </w:rPr>
            </w:pPr>
          </w:p>
        </w:tc>
        <w:tc>
          <w:tcPr>
            <w:tcW w:w="9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69"/>
        </w:trPr>
        <w:tc>
          <w:tcPr>
            <w:tcW w:w="1380" w:type="dxa"/>
            <w:vAlign w:val="bottom"/>
            <w:gridSpan w:val="4"/>
          </w:tcPr>
          <w:p>
            <w:pPr>
              <w:spacing w:after="0"/>
              <w:rPr>
                <w:sz w:val="20"/>
                <w:szCs w:val="20"/>
                <w:color w:val="auto"/>
              </w:rPr>
            </w:pPr>
            <w:r>
              <w:rPr>
                <w:rFonts w:ascii="Arial" w:cs="Arial" w:eastAsia="Arial" w:hAnsi="Arial"/>
                <w:sz w:val="14"/>
                <w:szCs w:val="14"/>
                <w:color w:val="auto"/>
              </w:rPr>
              <w:t>For Further Credit to:</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r>
    </w:tbl>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4"/>
          <w:szCs w:val="14"/>
          <w:color w:val="auto"/>
        </w:rPr>
        <w:t>Special Instruction:</w:t>
      </w:r>
    </w:p>
    <w:p>
      <w:pPr>
        <w:spacing w:after="0" w:line="14" w:lineRule="exact"/>
        <w:rPr>
          <w:sz w:val="20"/>
          <w:szCs w:val="20"/>
          <w:color w:val="auto"/>
        </w:rPr>
      </w:pPr>
    </w:p>
    <w:p>
      <w:pPr>
        <w:ind w:left="40"/>
        <w:spacing w:after="0" w:line="319" w:lineRule="auto"/>
        <w:rPr>
          <w:sz w:val="20"/>
          <w:szCs w:val="20"/>
          <w:color w:val="auto"/>
        </w:rPr>
      </w:pPr>
      <w:r>
        <w:rPr>
          <w:rFonts w:ascii="Arial" w:cs="Arial" w:eastAsia="Arial" w:hAnsi="Arial"/>
          <w:sz w:val="14"/>
          <w:szCs w:val="14"/>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620" w:type="dxa"/>
            <w:vAlign w:val="bottom"/>
            <w:gridSpan w:val="5"/>
          </w:tcPr>
          <w:p>
            <w:pPr>
              <w:spacing w:after="0"/>
              <w:rPr>
                <w:sz w:val="20"/>
                <w:szCs w:val="20"/>
                <w:color w:val="auto"/>
              </w:rPr>
            </w:pPr>
            <w:r>
              <w:rPr>
                <w:rFonts w:ascii="Arial" w:cs="Arial" w:eastAsia="Arial" w:hAnsi="Arial"/>
                <w:sz w:val="14"/>
                <w:szCs w:val="14"/>
                <w:color w:val="auto"/>
              </w:rPr>
              <w:t>Authorized Signature: ___________________________</w:t>
            </w:r>
          </w:p>
        </w:tc>
        <w:tc>
          <w:tcPr>
            <w:tcW w:w="4940" w:type="dxa"/>
            <w:vAlign w:val="bottom"/>
          </w:tcPr>
          <w:p>
            <w:pPr>
              <w:ind w:left="120"/>
              <w:spacing w:after="0"/>
              <w:rPr>
                <w:sz w:val="20"/>
                <w:szCs w:val="20"/>
                <w:color w:val="auto"/>
              </w:rPr>
            </w:pPr>
            <w:r>
              <w:rPr>
                <w:rFonts w:ascii="Arial" w:cs="Arial" w:eastAsia="Arial" w:hAnsi="Arial"/>
                <w:sz w:val="14"/>
                <w:szCs w:val="14"/>
                <w:color w:val="auto"/>
              </w:rPr>
              <w:t>2</w:t>
            </w:r>
            <w:r>
              <w:rPr>
                <w:rFonts w:ascii="Arial" w:cs="Arial" w:eastAsia="Arial" w:hAnsi="Arial"/>
                <w:sz w:val="18"/>
                <w:szCs w:val="18"/>
                <w:color w:val="auto"/>
                <w:vertAlign w:val="superscript"/>
              </w:rPr>
              <w:t>nd</w:t>
            </w:r>
            <w:r>
              <w:rPr>
                <w:rFonts w:ascii="Arial" w:cs="Arial" w:eastAsia="Arial" w:hAnsi="Arial"/>
                <w:sz w:val="14"/>
                <w:szCs w:val="14"/>
                <w:color w:val="auto"/>
              </w:rPr>
              <w:t xml:space="preserve"> Signature (if required): _______________________________________</w:t>
            </w:r>
          </w:p>
        </w:tc>
      </w:tr>
      <w:tr>
        <w:trPr>
          <w:trHeight w:val="172"/>
        </w:trPr>
        <w:tc>
          <w:tcPr>
            <w:tcW w:w="3620" w:type="dxa"/>
            <w:vAlign w:val="bottom"/>
            <w:gridSpan w:val="5"/>
          </w:tcPr>
          <w:p>
            <w:pPr>
              <w:spacing w:after="0"/>
              <w:rPr>
                <w:sz w:val="20"/>
                <w:szCs w:val="20"/>
                <w:color w:val="auto"/>
              </w:rPr>
            </w:pPr>
            <w:r>
              <w:rPr>
                <w:rFonts w:ascii="Arial" w:cs="Arial" w:eastAsia="Arial" w:hAnsi="Arial"/>
                <w:sz w:val="14"/>
                <w:szCs w:val="14"/>
                <w:color w:val="auto"/>
              </w:rPr>
              <w:t>Print Name/Title: ______________________________</w:t>
            </w:r>
          </w:p>
        </w:tc>
        <w:tc>
          <w:tcPr>
            <w:tcW w:w="4940" w:type="dxa"/>
            <w:vAlign w:val="bottom"/>
          </w:tcPr>
          <w:p>
            <w:pPr>
              <w:ind w:left="40"/>
              <w:spacing w:after="0"/>
              <w:rPr>
                <w:sz w:val="20"/>
                <w:szCs w:val="20"/>
                <w:color w:val="auto"/>
              </w:rPr>
            </w:pPr>
            <w:r>
              <w:rPr>
                <w:rFonts w:ascii="Arial" w:cs="Arial" w:eastAsia="Arial" w:hAnsi="Arial"/>
                <w:sz w:val="14"/>
                <w:szCs w:val="14"/>
                <w:color w:val="auto"/>
              </w:rPr>
              <w:t>Print Name/Title: ______________________________________________</w:t>
            </w:r>
          </w:p>
        </w:tc>
      </w:tr>
      <w:tr>
        <w:trPr>
          <w:trHeight w:val="161"/>
        </w:trPr>
        <w:tc>
          <w:tcPr>
            <w:tcW w:w="860" w:type="dxa"/>
            <w:vAlign w:val="bottom"/>
          </w:tcPr>
          <w:p>
            <w:pPr>
              <w:spacing w:after="0"/>
              <w:rPr>
                <w:sz w:val="20"/>
                <w:szCs w:val="20"/>
                <w:color w:val="auto"/>
              </w:rPr>
            </w:pPr>
            <w:r>
              <w:rPr>
                <w:rFonts w:ascii="Arial" w:cs="Arial" w:eastAsia="Arial" w:hAnsi="Arial"/>
                <w:sz w:val="14"/>
                <w:szCs w:val="14"/>
                <w:color w:val="auto"/>
              </w:rPr>
              <w:t>Telephone #:</w:t>
            </w:r>
          </w:p>
        </w:tc>
        <w:tc>
          <w:tcPr>
            <w:tcW w:w="480" w:type="dxa"/>
            <w:vAlign w:val="bottom"/>
          </w:tcPr>
          <w:p>
            <w:pPr>
              <w:spacing w:after="0"/>
              <w:rPr>
                <w:sz w:val="13"/>
                <w:szCs w:val="13"/>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Telephone #:</w:t>
            </w:r>
          </w:p>
        </w:tc>
        <w:tc>
          <w:tcPr>
            <w:tcW w:w="494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bl>
    <w:p>
      <w:pPr>
        <w:sectPr>
          <w:pgSz w:w="11900" w:h="16838" w:orient="portrait"/>
          <w:cols w:equalWidth="0" w:num="1">
            <w:col w:w="11140"/>
          </w:cols>
          <w:pgMar w:left="320" w:top="1440" w:right="439" w:bottom="190" w:gutter="0" w:footer="0" w:header="0"/>
        </w:sectPr>
      </w:pPr>
    </w:p>
    <w:bookmarkStart w:id="130" w:name="page131"/>
    <w:bookmarkEnd w:id="13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1" w:name="page132"/>
    <w:bookmarkEnd w:id="131"/>
    <w:p>
      <w:pPr>
        <w:ind w:left="5140"/>
        <w:spacing w:after="0"/>
        <w:rPr>
          <w:sz w:val="20"/>
          <w:szCs w:val="20"/>
          <w:color w:val="auto"/>
        </w:rPr>
      </w:pPr>
      <w:r>
        <w:rPr>
          <w:rFonts w:ascii="Arial" w:cs="Arial" w:eastAsia="Arial" w:hAnsi="Arial"/>
          <w:sz w:val="20"/>
          <w:szCs w:val="20"/>
          <w:b w:val="1"/>
          <w:bCs w:val="1"/>
          <w:color w:val="auto"/>
        </w:rPr>
        <w:t>EXHIBIT E</w:t>
      </w:r>
    </w:p>
    <w:p>
      <w:pPr>
        <w:spacing w:after="0" w:line="202" w:lineRule="exact"/>
        <w:rPr>
          <w:sz w:val="20"/>
          <w:szCs w:val="20"/>
          <w:color w:val="auto"/>
        </w:rPr>
      </w:pPr>
    </w:p>
    <w:p>
      <w:pPr>
        <w:ind w:left="4660"/>
        <w:spacing w:after="0"/>
        <w:rPr>
          <w:sz w:val="20"/>
          <w:szCs w:val="20"/>
          <w:color w:val="auto"/>
        </w:rPr>
      </w:pPr>
      <w:r>
        <w:rPr>
          <w:rFonts w:ascii="Arial" w:cs="Arial" w:eastAsia="Arial" w:hAnsi="Arial"/>
          <w:sz w:val="20"/>
          <w:szCs w:val="20"/>
          <w:b w:val="1"/>
          <w:bCs w:val="1"/>
          <w:color w:val="auto"/>
        </w:rPr>
        <w:t>Compliance Certificate</w:t>
      </w:r>
    </w:p>
    <w:p>
      <w:pPr>
        <w:spacing w:after="0" w:line="16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8"/>
          <w:szCs w:val="18"/>
          <w:color w:val="auto"/>
        </w:rPr>
        <w:t>SLR INVESTMENT CORP., as Collateral Agent and Lender</w:t>
      </w:r>
    </w:p>
    <w:p>
      <w:pPr>
        <w:spacing w:after="0" w:line="148"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20"/>
          <w:szCs w:val="20"/>
          <w:color w:val="auto"/>
        </w:rPr>
        <w:t>FROM:</w:t>
      </w:r>
      <w:r>
        <w:rPr>
          <w:sz w:val="20"/>
          <w:szCs w:val="20"/>
          <w:color w:val="auto"/>
        </w:rPr>
        <w:tab/>
      </w:r>
      <w:r>
        <w:rPr>
          <w:rFonts w:ascii="Arial" w:cs="Arial" w:eastAsia="Arial" w:hAnsi="Arial"/>
          <w:sz w:val="19"/>
          <w:szCs w:val="19"/>
          <w:color w:val="auto"/>
        </w:rPr>
        <w:t>ARDELYX, INC.</w:t>
      </w:r>
    </w:p>
    <w:p>
      <w:pPr>
        <w:spacing w:after="0" w:line="156" w:lineRule="exact"/>
        <w:rPr>
          <w:sz w:val="20"/>
          <w:szCs w:val="20"/>
          <w:color w:val="auto"/>
        </w:rPr>
      </w:pPr>
    </w:p>
    <w:p>
      <w:pPr>
        <w:jc w:val="both"/>
        <w:ind w:left="20"/>
        <w:spacing w:after="0" w:line="226" w:lineRule="auto"/>
        <w:rPr>
          <w:sz w:val="20"/>
          <w:szCs w:val="20"/>
          <w:color w:val="auto"/>
        </w:rPr>
      </w:pPr>
      <w:r>
        <w:rPr>
          <w:rFonts w:ascii="Arial" w:cs="Arial" w:eastAsia="Arial" w:hAnsi="Arial"/>
          <w:sz w:val="19"/>
          <w:szCs w:val="19"/>
          <w:color w:val="auto"/>
        </w:rPr>
        <w:t>The undersigned authorized officer (“</w:t>
      </w:r>
      <w:r>
        <w:rPr>
          <w:rFonts w:ascii="Arial" w:cs="Arial" w:eastAsia="Arial" w:hAnsi="Arial"/>
          <w:sz w:val="19"/>
          <w:szCs w:val="19"/>
          <w:b w:val="1"/>
          <w:bCs w:val="1"/>
          <w:color w:val="auto"/>
        </w:rPr>
        <w:t>Officer</w:t>
      </w:r>
      <w:r>
        <w:rPr>
          <w:rFonts w:ascii="Arial" w:cs="Arial" w:eastAsia="Arial" w:hAnsi="Arial"/>
          <w:sz w:val="19"/>
          <w:szCs w:val="19"/>
          <w:color w:val="auto"/>
        </w:rPr>
        <w:t>”) of Ardelyx, Inc. (“</w:t>
      </w:r>
      <w:r>
        <w:rPr>
          <w:rFonts w:ascii="Arial" w:cs="Arial" w:eastAsia="Arial" w:hAnsi="Arial"/>
          <w:sz w:val="19"/>
          <w:szCs w:val="19"/>
          <w:b w:val="1"/>
          <w:bCs w:val="1"/>
          <w:color w:val="auto"/>
        </w:rPr>
        <w:t>Borrower</w:t>
      </w:r>
      <w:r>
        <w:rPr>
          <w:rFonts w:ascii="Arial" w:cs="Arial" w:eastAsia="Arial" w:hAnsi="Arial"/>
          <w:sz w:val="19"/>
          <w:szCs w:val="19"/>
          <w:color w:val="auto"/>
        </w:rPr>
        <w:t>”), hereby certifies solely in his/her capacity as an officer of Borrower and not in his/her individual capacity, that in accordance with the terms and conditions of the Loan and Security Agreement dated as of February 23, 2022, by and among Borrower, Collateral Agent, and the Lenders from time to time party thereto (the “</w:t>
      </w:r>
      <w:r>
        <w:rPr>
          <w:rFonts w:ascii="Arial" w:cs="Arial" w:eastAsia="Arial" w:hAnsi="Arial"/>
          <w:sz w:val="19"/>
          <w:szCs w:val="19"/>
          <w:b w:val="1"/>
          <w:bCs w:val="1"/>
          <w:color w:val="auto"/>
        </w:rPr>
        <w:t>Loan Agreement</w:t>
      </w:r>
      <w:r>
        <w:rPr>
          <w:rFonts w:ascii="Arial" w:cs="Arial" w:eastAsia="Arial" w:hAnsi="Arial"/>
          <w:sz w:val="19"/>
          <w:szCs w:val="19"/>
          <w:color w:val="auto"/>
        </w:rPr>
        <w:t>;” capitalized terms used but not otherwise defined herein shall have the meanings given them in the Loan Agreement),</w:t>
      </w:r>
    </w:p>
    <w:p>
      <w:pPr>
        <w:spacing w:after="0" w:line="142" w:lineRule="exact"/>
        <w:rPr>
          <w:sz w:val="20"/>
          <w:szCs w:val="20"/>
          <w:color w:val="auto"/>
        </w:rPr>
      </w:pPr>
    </w:p>
    <w:p>
      <w:pPr>
        <w:ind w:left="20" w:right="4020" w:firstLine="648"/>
        <w:spacing w:after="0" w:line="229" w:lineRule="auto"/>
        <w:rPr>
          <w:sz w:val="20"/>
          <w:szCs w:val="20"/>
          <w:color w:val="auto"/>
        </w:rPr>
      </w:pPr>
      <w:r>
        <w:rPr>
          <w:rFonts w:ascii="Arial" w:cs="Arial" w:eastAsia="Arial" w:hAnsi="Arial"/>
          <w:sz w:val="20"/>
          <w:szCs w:val="20"/>
          <w:color w:val="auto"/>
        </w:rPr>
        <w:t>(a) Borrower is in complete compliance for the period ending with all required covenants except as noted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3642360</wp:posOffset>
            </wp:positionH>
            <wp:positionV relativeFrom="paragraph">
              <wp:posOffset>-147320</wp:posOffset>
            </wp:positionV>
            <wp:extent cx="1257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08" w:lineRule="exact"/>
        <w:rPr>
          <w:sz w:val="20"/>
          <w:szCs w:val="20"/>
          <w:color w:val="auto"/>
        </w:rPr>
      </w:pPr>
    </w:p>
    <w:p>
      <w:pPr>
        <w:ind w:left="1100" w:hanging="424"/>
        <w:spacing w:after="0"/>
        <w:tabs>
          <w:tab w:leader="none" w:pos="110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There are no Defaults or Events of Default, except as noted below;</w:t>
      </w:r>
    </w:p>
    <w:p>
      <w:pPr>
        <w:spacing w:after="0" w:line="161" w:lineRule="exact"/>
        <w:rPr>
          <w:rFonts w:ascii="Arial" w:cs="Arial" w:eastAsia="Arial" w:hAnsi="Arial"/>
          <w:sz w:val="20"/>
          <w:szCs w:val="20"/>
          <w:color w:val="auto"/>
        </w:rPr>
      </w:pPr>
    </w:p>
    <w:p>
      <w:pPr>
        <w:jc w:val="both"/>
        <w:ind w:left="20" w:firstLine="656"/>
        <w:spacing w:after="0" w:line="210" w:lineRule="auto"/>
        <w:tabs>
          <w:tab w:leader="none" w:pos="1112" w:val="left"/>
        </w:tabs>
        <w:numPr>
          <w:ilvl w:val="0"/>
          <w:numId w:val="115"/>
        </w:numPr>
        <w:rPr>
          <w:rFonts w:ascii="Arial" w:cs="Arial" w:eastAsia="Arial" w:hAnsi="Arial"/>
          <w:sz w:val="20"/>
          <w:szCs w:val="20"/>
          <w:color w:val="auto"/>
        </w:rPr>
      </w:pPr>
      <w:r>
        <w:rPr>
          <w:rFonts w:ascii="Arial" w:cs="Arial" w:eastAsia="Arial" w:hAnsi="Arial"/>
          <w:sz w:val="20"/>
          <w:szCs w:val="20"/>
          <w:color w:val="auto"/>
        </w:rPr>
        <w:t>Except as noted below, all representations and warranties of Borrower stated in the Loan Documents are true and correct in all material respects on this date and for the period described in (a), above;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41" w:lineRule="exact"/>
        <w:rPr>
          <w:rFonts w:ascii="Arial" w:cs="Arial" w:eastAsia="Arial" w:hAnsi="Arial"/>
          <w:sz w:val="20"/>
          <w:szCs w:val="20"/>
          <w:color w:val="auto"/>
        </w:rPr>
      </w:pPr>
    </w:p>
    <w:p>
      <w:pPr>
        <w:jc w:val="both"/>
        <w:ind w:left="20" w:firstLine="656"/>
        <w:spacing w:after="0" w:line="230" w:lineRule="auto"/>
        <w:tabs>
          <w:tab w:leader="none" w:pos="118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Borrower, and each of Borrower’s Subsidiaries, has timely filed all required tax returns and reports, Borrower, and each of Borrower’s Subsidiaries, has timely paid all foreign, federal, state, and local taxes, assessments, deposits and contributions owed by Borrower, or Subsidiary, except as otherwise permitted pursuant to the terms of Section 5.8 of the Loan Agreement;</w:t>
      </w:r>
    </w:p>
    <w:p>
      <w:pPr>
        <w:spacing w:after="0" w:line="127" w:lineRule="exact"/>
        <w:rPr>
          <w:rFonts w:ascii="Arial" w:cs="Arial" w:eastAsia="Arial" w:hAnsi="Arial"/>
          <w:sz w:val="19"/>
          <w:szCs w:val="19"/>
          <w:color w:val="auto"/>
        </w:rPr>
      </w:pPr>
    </w:p>
    <w:p>
      <w:pPr>
        <w:ind w:left="20" w:firstLine="656"/>
        <w:spacing w:after="0" w:line="229" w:lineRule="auto"/>
        <w:tabs>
          <w:tab w:leader="none" w:pos="113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No Liens have been levied or claims made against Borrower or any of its Subsidiaries relating to unpaid employee payroll or benefits of which Borrower has not previously provided written notification to Collateral Agent and the Lenders.</w:t>
      </w:r>
    </w:p>
    <w:p>
      <w:pPr>
        <w:spacing w:after="0" w:line="142" w:lineRule="exact"/>
        <w:rPr>
          <w:sz w:val="20"/>
          <w:szCs w:val="20"/>
          <w:color w:val="auto"/>
        </w:rPr>
      </w:pPr>
    </w:p>
    <w:p>
      <w:pPr>
        <w:jc w:val="both"/>
        <w:ind w:left="20"/>
        <w:spacing w:after="0" w:line="236" w:lineRule="auto"/>
        <w:rPr>
          <w:sz w:val="20"/>
          <w:szCs w:val="20"/>
          <w:color w:val="auto"/>
        </w:rPr>
      </w:pPr>
      <w:r>
        <w:rPr>
          <w:rFonts w:ascii="Arial" w:cs="Arial" w:eastAsia="Arial" w:hAnsi="Arial"/>
          <w:sz w:val="18"/>
          <w:szCs w:val="18"/>
          <w:color w:val="auto"/>
        </w:rPr>
        <w:t>Attached are the required documents, if any, supporting our certification(s). The Officer, on behalf of Borrower, further certifies that the attached financial statements are prepared in accordance with Generally Accepted Accounting Principles (GAAP) and are consistently applied from one period to the next except as explained in an accompanying letter or footnotes and except, in the case of unaudited financial statements, for the absence of footnotes and subject to year-end audit adjustments as to the interim financial statements.</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Please indicate compliance status since the last Compliance Certificate by circling Yes, No, or N/A under “Complies” column.</w:t>
      </w:r>
    </w:p>
    <w:p>
      <w:pPr>
        <w:sectPr>
          <w:pgSz w:w="11900" w:h="16838" w:orient="portrait"/>
          <w:cols w:equalWidth="0" w:num="1">
            <w:col w:w="11260"/>
          </w:cols>
          <w:pgMar w:left="300" w:top="1399" w:right="339" w:bottom="1440" w:gutter="0" w:footer="0" w:header="0"/>
        </w:sectPr>
      </w:pPr>
    </w:p>
    <w:bookmarkStart w:id="132" w:name="page133"/>
    <w:bookmarkEnd w:id="132"/>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249"/>
        </w:trPr>
        <w:tc>
          <w:tcPr>
            <w:tcW w:w="320" w:type="dxa"/>
            <w:vAlign w:val="bottom"/>
          </w:tcPr>
          <w:p>
            <w:pPr>
              <w:spacing w:after="0"/>
              <w:rPr>
                <w:sz w:val="21"/>
                <w:szCs w:val="21"/>
                <w:color w:val="auto"/>
              </w:rPr>
            </w:pPr>
          </w:p>
        </w:tc>
        <w:tc>
          <w:tcPr>
            <w:tcW w:w="3560" w:type="dxa"/>
            <w:vAlign w:val="bottom"/>
          </w:tcPr>
          <w:p>
            <w:pPr>
              <w:jc w:val="center"/>
              <w:ind w:left="21"/>
              <w:spacing w:after="0"/>
              <w:rPr>
                <w:sz w:val="20"/>
                <w:szCs w:val="20"/>
                <w:color w:val="auto"/>
              </w:rPr>
            </w:pPr>
            <w:r>
              <w:rPr>
                <w:rFonts w:ascii="Arial" w:cs="Arial" w:eastAsia="Arial" w:hAnsi="Arial"/>
                <w:sz w:val="20"/>
                <w:szCs w:val="20"/>
                <w:b w:val="1"/>
                <w:bCs w:val="1"/>
                <w:color w:val="auto"/>
                <w:w w:val="89"/>
              </w:rPr>
              <w:t>Reporting Covenant</w:t>
            </w:r>
          </w:p>
        </w:tc>
        <w:tc>
          <w:tcPr>
            <w:tcW w:w="3200" w:type="dxa"/>
            <w:vAlign w:val="bottom"/>
          </w:tcPr>
          <w:p>
            <w:pPr>
              <w:jc w:val="center"/>
              <w:ind w:right="121"/>
              <w:spacing w:after="0"/>
              <w:rPr>
                <w:sz w:val="20"/>
                <w:szCs w:val="20"/>
                <w:color w:val="auto"/>
              </w:rPr>
            </w:pPr>
            <w:r>
              <w:rPr>
                <w:rFonts w:ascii="Arial" w:cs="Arial" w:eastAsia="Arial" w:hAnsi="Arial"/>
                <w:sz w:val="20"/>
                <w:szCs w:val="20"/>
                <w:b w:val="1"/>
                <w:bCs w:val="1"/>
                <w:color w:val="auto"/>
                <w:w w:val="89"/>
              </w:rPr>
              <w:t>Requirement</w:t>
            </w:r>
          </w:p>
        </w:tc>
        <w:tc>
          <w:tcPr>
            <w:tcW w:w="1220" w:type="dxa"/>
            <w:vAlign w:val="bottom"/>
          </w:tcPr>
          <w:p>
            <w:pPr>
              <w:ind w:left="260"/>
              <w:spacing w:after="0"/>
              <w:rPr>
                <w:sz w:val="20"/>
                <w:szCs w:val="20"/>
                <w:color w:val="auto"/>
              </w:rPr>
            </w:pPr>
            <w:r>
              <w:rPr>
                <w:rFonts w:ascii="Arial" w:cs="Arial" w:eastAsia="Arial" w:hAnsi="Arial"/>
                <w:sz w:val="20"/>
                <w:szCs w:val="20"/>
                <w:b w:val="1"/>
                <w:bCs w:val="1"/>
                <w:color w:val="auto"/>
              </w:rPr>
              <w:t>Actual</w:t>
            </w:r>
          </w:p>
        </w:tc>
        <w:tc>
          <w:tcPr>
            <w:tcW w:w="900" w:type="dxa"/>
            <w:vAlign w:val="bottom"/>
          </w:tcPr>
          <w:p>
            <w:pPr>
              <w:spacing w:after="0"/>
              <w:rPr>
                <w:sz w:val="21"/>
                <w:szCs w:val="21"/>
                <w:color w:val="auto"/>
              </w:rPr>
            </w:pPr>
          </w:p>
        </w:tc>
        <w:tc>
          <w:tcPr>
            <w:tcW w:w="1200" w:type="dxa"/>
            <w:vAlign w:val="bottom"/>
          </w:tcPr>
          <w:p>
            <w:pPr>
              <w:ind w:left="180"/>
              <w:spacing w:after="0"/>
              <w:rPr>
                <w:sz w:val="20"/>
                <w:szCs w:val="20"/>
                <w:color w:val="auto"/>
              </w:rPr>
            </w:pPr>
            <w:r>
              <w:rPr>
                <w:rFonts w:ascii="Arial" w:cs="Arial" w:eastAsia="Arial" w:hAnsi="Arial"/>
                <w:sz w:val="20"/>
                <w:szCs w:val="20"/>
                <w:b w:val="1"/>
                <w:bCs w:val="1"/>
                <w:color w:val="auto"/>
              </w:rPr>
              <w:t>Complies</w:t>
            </w:r>
          </w:p>
        </w:tc>
        <w:tc>
          <w:tcPr>
            <w:tcW w:w="560" w:type="dxa"/>
            <w:vAlign w:val="bottom"/>
          </w:tcPr>
          <w:p>
            <w:pPr>
              <w:spacing w:after="0"/>
              <w:rPr>
                <w:sz w:val="21"/>
                <w:szCs w:val="21"/>
                <w:color w:val="auto"/>
              </w:rPr>
            </w:pPr>
          </w:p>
        </w:tc>
      </w:tr>
      <w:tr>
        <w:trPr>
          <w:trHeight w:val="192"/>
        </w:trPr>
        <w:tc>
          <w:tcPr>
            <w:tcW w:w="320" w:type="dxa"/>
            <w:vAlign w:val="bottom"/>
          </w:tcPr>
          <w:p>
            <w:pPr>
              <w:jc w:val="right"/>
              <w:ind w:right="41"/>
              <w:spacing w:after="0" w:line="192" w:lineRule="exact"/>
              <w:rPr>
                <w:sz w:val="20"/>
                <w:szCs w:val="20"/>
                <w:color w:val="auto"/>
              </w:rPr>
            </w:pPr>
            <w:r>
              <w:rPr>
                <w:rFonts w:ascii="Arial" w:cs="Arial" w:eastAsia="Arial" w:hAnsi="Arial"/>
                <w:sz w:val="20"/>
                <w:szCs w:val="20"/>
                <w:color w:val="auto"/>
                <w:w w:val="89"/>
              </w:rPr>
              <w:t>1)</w:t>
            </w:r>
          </w:p>
        </w:tc>
        <w:tc>
          <w:tcPr>
            <w:tcW w:w="3560" w:type="dxa"/>
            <w:vAlign w:val="bottom"/>
          </w:tcPr>
          <w:p>
            <w:pPr>
              <w:jc w:val="center"/>
              <w:ind w:left="21"/>
              <w:spacing w:after="0" w:line="192" w:lineRule="exact"/>
              <w:rPr>
                <w:sz w:val="20"/>
                <w:szCs w:val="20"/>
                <w:color w:val="auto"/>
              </w:rPr>
            </w:pPr>
            <w:r>
              <w:rPr>
                <w:rFonts w:ascii="Arial" w:cs="Arial" w:eastAsia="Arial" w:hAnsi="Arial"/>
                <w:sz w:val="20"/>
                <w:szCs w:val="20"/>
                <w:color w:val="auto"/>
                <w:w w:val="91"/>
              </w:rPr>
              <w:t>Monthly financial statements</w:t>
            </w:r>
          </w:p>
        </w:tc>
        <w:tc>
          <w:tcPr>
            <w:tcW w:w="3200" w:type="dxa"/>
            <w:vAlign w:val="bottom"/>
          </w:tcPr>
          <w:p>
            <w:pPr>
              <w:jc w:val="center"/>
              <w:ind w:right="121"/>
              <w:spacing w:after="0" w:line="192" w:lineRule="exact"/>
              <w:rPr>
                <w:sz w:val="20"/>
                <w:szCs w:val="20"/>
                <w:color w:val="auto"/>
              </w:rPr>
            </w:pPr>
            <w:r>
              <w:rPr>
                <w:rFonts w:ascii="Arial" w:cs="Arial" w:eastAsia="Arial" w:hAnsi="Arial"/>
                <w:sz w:val="20"/>
                <w:szCs w:val="20"/>
                <w:color w:val="auto"/>
                <w:w w:val="92"/>
              </w:rPr>
              <w:t>Monthly within 30 days (for each</w:t>
            </w:r>
          </w:p>
        </w:tc>
        <w:tc>
          <w:tcPr>
            <w:tcW w:w="1220" w:type="dxa"/>
            <w:vAlign w:val="bottom"/>
          </w:tcPr>
          <w:p>
            <w:pPr>
              <w:spacing w:after="0"/>
              <w:rPr>
                <w:sz w:val="16"/>
                <w:szCs w:val="16"/>
                <w:color w:val="auto"/>
              </w:rPr>
            </w:pPr>
          </w:p>
        </w:tc>
        <w:tc>
          <w:tcPr>
            <w:tcW w:w="900" w:type="dxa"/>
            <w:vAlign w:val="bottom"/>
          </w:tcPr>
          <w:p>
            <w:pPr>
              <w:ind w:left="400"/>
              <w:spacing w:after="0" w:line="192" w:lineRule="exact"/>
              <w:rPr>
                <w:sz w:val="20"/>
                <w:szCs w:val="20"/>
                <w:color w:val="auto"/>
              </w:rPr>
            </w:pPr>
            <w:r>
              <w:rPr>
                <w:rFonts w:ascii="Arial" w:cs="Arial" w:eastAsia="Arial" w:hAnsi="Arial"/>
                <w:sz w:val="20"/>
                <w:szCs w:val="20"/>
                <w:color w:val="auto"/>
              </w:rPr>
              <w:t>Yes</w:t>
            </w:r>
          </w:p>
        </w:tc>
        <w:tc>
          <w:tcPr>
            <w:tcW w:w="1200" w:type="dxa"/>
            <w:vAlign w:val="bottom"/>
          </w:tcPr>
          <w:p>
            <w:pPr>
              <w:ind w:left="520"/>
              <w:spacing w:after="0" w:line="192" w:lineRule="exact"/>
              <w:rPr>
                <w:sz w:val="20"/>
                <w:szCs w:val="20"/>
                <w:color w:val="auto"/>
              </w:rPr>
            </w:pPr>
            <w:r>
              <w:rPr>
                <w:rFonts w:ascii="Arial" w:cs="Arial" w:eastAsia="Arial" w:hAnsi="Arial"/>
                <w:sz w:val="20"/>
                <w:szCs w:val="20"/>
                <w:color w:val="auto"/>
              </w:rPr>
              <w:t>No</w:t>
            </w:r>
          </w:p>
        </w:tc>
        <w:tc>
          <w:tcPr>
            <w:tcW w:w="560" w:type="dxa"/>
            <w:vAlign w:val="bottom"/>
          </w:tcPr>
          <w:p>
            <w:pPr>
              <w:ind w:left="220"/>
              <w:spacing w:after="0" w:line="192" w:lineRule="exact"/>
              <w:rPr>
                <w:sz w:val="20"/>
                <w:szCs w:val="20"/>
                <w:color w:val="auto"/>
              </w:rPr>
            </w:pPr>
            <w:r>
              <w:rPr>
                <w:rFonts w:ascii="Arial" w:cs="Arial" w:eastAsia="Arial" w:hAnsi="Arial"/>
                <w:sz w:val="20"/>
                <w:szCs w:val="20"/>
                <w:color w:val="auto"/>
                <w:w w:val="95"/>
              </w:rPr>
              <w:t>N/A</w:t>
            </w:r>
          </w:p>
        </w:tc>
      </w:tr>
      <w:tr>
        <w:trPr>
          <w:trHeight w:val="240"/>
        </w:trPr>
        <w:tc>
          <w:tcPr>
            <w:tcW w:w="3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200" w:type="dxa"/>
            <w:vAlign w:val="bottom"/>
          </w:tcPr>
          <w:p>
            <w:pPr>
              <w:jc w:val="center"/>
              <w:ind w:right="101"/>
              <w:spacing w:after="0"/>
              <w:rPr>
                <w:sz w:val="20"/>
                <w:szCs w:val="20"/>
                <w:color w:val="auto"/>
              </w:rPr>
            </w:pPr>
            <w:r>
              <w:rPr>
                <w:rFonts w:ascii="Arial" w:cs="Arial" w:eastAsia="Arial" w:hAnsi="Arial"/>
                <w:sz w:val="20"/>
                <w:szCs w:val="20"/>
                <w:color w:val="auto"/>
                <w:w w:val="88"/>
              </w:rPr>
              <w:t>month that is not a quarter end)</w:t>
            </w: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320" w:type="dxa"/>
            <w:vAlign w:val="bottom"/>
          </w:tcPr>
          <w:p>
            <w:pPr>
              <w:jc w:val="right"/>
              <w:ind w:right="41"/>
              <w:spacing w:after="0"/>
              <w:rPr>
                <w:sz w:val="20"/>
                <w:szCs w:val="20"/>
                <w:color w:val="auto"/>
              </w:rPr>
            </w:pPr>
            <w:r>
              <w:rPr>
                <w:rFonts w:ascii="Arial" w:cs="Arial" w:eastAsia="Arial" w:hAnsi="Arial"/>
                <w:sz w:val="20"/>
                <w:szCs w:val="20"/>
                <w:color w:val="auto"/>
                <w:w w:val="89"/>
              </w:rPr>
              <w:t>2)</w:t>
            </w:r>
          </w:p>
        </w:tc>
        <w:tc>
          <w:tcPr>
            <w:tcW w:w="3560" w:type="dxa"/>
            <w:vAlign w:val="bottom"/>
          </w:tcPr>
          <w:p>
            <w:pPr>
              <w:jc w:val="center"/>
              <w:ind w:left="21"/>
              <w:spacing w:after="0"/>
              <w:rPr>
                <w:sz w:val="20"/>
                <w:szCs w:val="20"/>
                <w:color w:val="auto"/>
              </w:rPr>
            </w:pPr>
            <w:r>
              <w:rPr>
                <w:rFonts w:ascii="Arial" w:cs="Arial" w:eastAsia="Arial" w:hAnsi="Arial"/>
                <w:sz w:val="20"/>
                <w:szCs w:val="20"/>
                <w:color w:val="auto"/>
                <w:w w:val="90"/>
              </w:rPr>
              <w:t>Quarterly financial statements</w:t>
            </w:r>
          </w:p>
        </w:tc>
        <w:tc>
          <w:tcPr>
            <w:tcW w:w="3200" w:type="dxa"/>
            <w:vAlign w:val="bottom"/>
          </w:tcPr>
          <w:p>
            <w:pPr>
              <w:jc w:val="center"/>
              <w:ind w:right="121"/>
              <w:spacing w:after="0"/>
              <w:rPr>
                <w:sz w:val="20"/>
                <w:szCs w:val="20"/>
                <w:color w:val="auto"/>
              </w:rPr>
            </w:pPr>
            <w:r>
              <w:rPr>
                <w:rFonts w:ascii="Arial" w:cs="Arial" w:eastAsia="Arial" w:hAnsi="Arial"/>
                <w:sz w:val="20"/>
                <w:szCs w:val="20"/>
                <w:color w:val="auto"/>
                <w:w w:val="92"/>
              </w:rPr>
              <w:t>Quarterly within 45 days</w:t>
            </w:r>
          </w:p>
        </w:tc>
        <w:tc>
          <w:tcPr>
            <w:tcW w:w="1220" w:type="dxa"/>
            <w:vAlign w:val="bottom"/>
          </w:tcPr>
          <w:p>
            <w:pPr>
              <w:spacing w:after="0"/>
              <w:rPr>
                <w:sz w:val="21"/>
                <w:szCs w:val="21"/>
                <w:color w:val="auto"/>
              </w:rPr>
            </w:pPr>
          </w:p>
        </w:tc>
        <w:tc>
          <w:tcPr>
            <w:tcW w:w="900" w:type="dxa"/>
            <w:vAlign w:val="bottom"/>
          </w:tcPr>
          <w:p>
            <w:pPr>
              <w:ind w:left="400"/>
              <w:spacing w:after="0"/>
              <w:rPr>
                <w:sz w:val="20"/>
                <w:szCs w:val="20"/>
                <w:color w:val="auto"/>
              </w:rPr>
            </w:pPr>
            <w:r>
              <w:rPr>
                <w:rFonts w:ascii="Arial" w:cs="Arial" w:eastAsia="Arial" w:hAnsi="Arial"/>
                <w:sz w:val="20"/>
                <w:szCs w:val="20"/>
                <w:color w:val="auto"/>
              </w:rPr>
              <w:t>Yes</w:t>
            </w:r>
          </w:p>
        </w:tc>
        <w:tc>
          <w:tcPr>
            <w:tcW w:w="1200" w:type="dxa"/>
            <w:vAlign w:val="bottom"/>
          </w:tcPr>
          <w:p>
            <w:pPr>
              <w:ind w:left="520"/>
              <w:spacing w:after="0"/>
              <w:rPr>
                <w:sz w:val="20"/>
                <w:szCs w:val="20"/>
                <w:color w:val="auto"/>
              </w:rPr>
            </w:pPr>
            <w:r>
              <w:rPr>
                <w:rFonts w:ascii="Arial" w:cs="Arial" w:eastAsia="Arial" w:hAnsi="Arial"/>
                <w:sz w:val="20"/>
                <w:szCs w:val="20"/>
                <w:color w:val="auto"/>
              </w:rPr>
              <w:t>No</w:t>
            </w:r>
          </w:p>
        </w:tc>
        <w:tc>
          <w:tcPr>
            <w:tcW w:w="560" w:type="dxa"/>
            <w:vAlign w:val="bottom"/>
          </w:tcPr>
          <w:p>
            <w:pPr>
              <w:ind w:left="220"/>
              <w:spacing w:after="0"/>
              <w:rPr>
                <w:sz w:val="20"/>
                <w:szCs w:val="20"/>
                <w:color w:val="auto"/>
              </w:rPr>
            </w:pPr>
            <w:r>
              <w:rPr>
                <w:rFonts w:ascii="Arial" w:cs="Arial" w:eastAsia="Arial" w:hAnsi="Arial"/>
                <w:sz w:val="20"/>
                <w:szCs w:val="20"/>
                <w:color w:val="auto"/>
                <w:w w:val="95"/>
              </w:rPr>
              <w:t>N/A</w:t>
            </w:r>
          </w:p>
        </w:tc>
      </w:tr>
      <w:tr>
        <w:trPr>
          <w:trHeight w:val="192"/>
        </w:trPr>
        <w:tc>
          <w:tcPr>
            <w:tcW w:w="320" w:type="dxa"/>
            <w:vAlign w:val="bottom"/>
          </w:tcPr>
          <w:p>
            <w:pPr>
              <w:jc w:val="right"/>
              <w:ind w:right="41"/>
              <w:spacing w:after="0" w:line="192" w:lineRule="exact"/>
              <w:rPr>
                <w:sz w:val="20"/>
                <w:szCs w:val="20"/>
                <w:color w:val="auto"/>
              </w:rPr>
            </w:pPr>
            <w:r>
              <w:rPr>
                <w:rFonts w:ascii="Arial" w:cs="Arial" w:eastAsia="Arial" w:hAnsi="Arial"/>
                <w:sz w:val="20"/>
                <w:szCs w:val="20"/>
                <w:color w:val="auto"/>
                <w:w w:val="89"/>
              </w:rPr>
              <w:t>3)</w:t>
            </w:r>
          </w:p>
        </w:tc>
        <w:tc>
          <w:tcPr>
            <w:tcW w:w="3560" w:type="dxa"/>
            <w:vAlign w:val="bottom"/>
          </w:tcPr>
          <w:p>
            <w:pPr>
              <w:jc w:val="center"/>
              <w:ind w:left="41"/>
              <w:spacing w:after="0" w:line="192" w:lineRule="exact"/>
              <w:rPr>
                <w:sz w:val="20"/>
                <w:szCs w:val="20"/>
                <w:color w:val="auto"/>
              </w:rPr>
            </w:pPr>
            <w:r>
              <w:rPr>
                <w:rFonts w:ascii="Arial" w:cs="Arial" w:eastAsia="Arial" w:hAnsi="Arial"/>
                <w:sz w:val="20"/>
                <w:szCs w:val="20"/>
                <w:color w:val="auto"/>
                <w:w w:val="90"/>
              </w:rPr>
              <w:t>Annual (CPA Audited) statements</w:t>
            </w:r>
          </w:p>
        </w:tc>
        <w:tc>
          <w:tcPr>
            <w:tcW w:w="3200" w:type="dxa"/>
            <w:vAlign w:val="bottom"/>
          </w:tcPr>
          <w:p>
            <w:pPr>
              <w:jc w:val="center"/>
              <w:ind w:right="121"/>
              <w:spacing w:after="0" w:line="192" w:lineRule="exact"/>
              <w:rPr>
                <w:sz w:val="20"/>
                <w:szCs w:val="20"/>
                <w:color w:val="auto"/>
              </w:rPr>
            </w:pPr>
            <w:r>
              <w:rPr>
                <w:rFonts w:ascii="Arial" w:cs="Arial" w:eastAsia="Arial" w:hAnsi="Arial"/>
                <w:sz w:val="20"/>
                <w:szCs w:val="20"/>
                <w:color w:val="auto"/>
                <w:w w:val="91"/>
              </w:rPr>
              <w:t>Within 90 days after FYE or 5 days</w:t>
            </w:r>
          </w:p>
        </w:tc>
        <w:tc>
          <w:tcPr>
            <w:tcW w:w="1220" w:type="dxa"/>
            <w:vAlign w:val="bottom"/>
          </w:tcPr>
          <w:p>
            <w:pPr>
              <w:spacing w:after="0"/>
              <w:rPr>
                <w:sz w:val="16"/>
                <w:szCs w:val="16"/>
                <w:color w:val="auto"/>
              </w:rPr>
            </w:pPr>
          </w:p>
        </w:tc>
        <w:tc>
          <w:tcPr>
            <w:tcW w:w="900" w:type="dxa"/>
            <w:vAlign w:val="bottom"/>
          </w:tcPr>
          <w:p>
            <w:pPr>
              <w:ind w:left="400"/>
              <w:spacing w:after="0" w:line="192" w:lineRule="exact"/>
              <w:rPr>
                <w:sz w:val="20"/>
                <w:szCs w:val="20"/>
                <w:color w:val="auto"/>
              </w:rPr>
            </w:pPr>
            <w:r>
              <w:rPr>
                <w:rFonts w:ascii="Arial" w:cs="Arial" w:eastAsia="Arial" w:hAnsi="Arial"/>
                <w:sz w:val="20"/>
                <w:szCs w:val="20"/>
                <w:color w:val="auto"/>
              </w:rPr>
              <w:t>Yes</w:t>
            </w:r>
          </w:p>
        </w:tc>
        <w:tc>
          <w:tcPr>
            <w:tcW w:w="1200" w:type="dxa"/>
            <w:vAlign w:val="bottom"/>
          </w:tcPr>
          <w:p>
            <w:pPr>
              <w:ind w:left="520"/>
              <w:spacing w:after="0" w:line="192" w:lineRule="exact"/>
              <w:rPr>
                <w:sz w:val="20"/>
                <w:szCs w:val="20"/>
                <w:color w:val="auto"/>
              </w:rPr>
            </w:pPr>
            <w:r>
              <w:rPr>
                <w:rFonts w:ascii="Arial" w:cs="Arial" w:eastAsia="Arial" w:hAnsi="Arial"/>
                <w:sz w:val="20"/>
                <w:szCs w:val="20"/>
                <w:color w:val="auto"/>
              </w:rPr>
              <w:t>No</w:t>
            </w:r>
          </w:p>
        </w:tc>
        <w:tc>
          <w:tcPr>
            <w:tcW w:w="560" w:type="dxa"/>
            <w:vAlign w:val="bottom"/>
          </w:tcPr>
          <w:p>
            <w:pPr>
              <w:ind w:left="220"/>
              <w:spacing w:after="0" w:line="192" w:lineRule="exact"/>
              <w:rPr>
                <w:sz w:val="20"/>
                <w:szCs w:val="20"/>
                <w:color w:val="auto"/>
              </w:rPr>
            </w:pPr>
            <w:r>
              <w:rPr>
                <w:rFonts w:ascii="Arial" w:cs="Arial" w:eastAsia="Arial" w:hAnsi="Arial"/>
                <w:sz w:val="20"/>
                <w:szCs w:val="20"/>
                <w:color w:val="auto"/>
                <w:w w:val="95"/>
              </w:rPr>
              <w:t>N/A</w:t>
            </w:r>
          </w:p>
        </w:tc>
      </w:tr>
      <w:tr>
        <w:trPr>
          <w:trHeight w:val="240"/>
        </w:trPr>
        <w:tc>
          <w:tcPr>
            <w:tcW w:w="3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200" w:type="dxa"/>
            <w:vAlign w:val="bottom"/>
          </w:tcPr>
          <w:p>
            <w:pPr>
              <w:jc w:val="center"/>
              <w:ind w:right="121"/>
              <w:spacing w:after="0"/>
              <w:rPr>
                <w:sz w:val="20"/>
                <w:szCs w:val="20"/>
                <w:color w:val="auto"/>
              </w:rPr>
            </w:pPr>
            <w:r>
              <w:rPr>
                <w:rFonts w:ascii="Arial" w:cs="Arial" w:eastAsia="Arial" w:hAnsi="Arial"/>
                <w:sz w:val="20"/>
                <w:szCs w:val="20"/>
                <w:color w:val="auto"/>
                <w:w w:val="95"/>
              </w:rPr>
              <w:t>after filing with SEC</w:t>
            </w: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92"/>
        </w:trPr>
        <w:tc>
          <w:tcPr>
            <w:tcW w:w="320" w:type="dxa"/>
            <w:vAlign w:val="bottom"/>
          </w:tcPr>
          <w:p>
            <w:pPr>
              <w:jc w:val="right"/>
              <w:ind w:right="41"/>
              <w:spacing w:after="0" w:line="192" w:lineRule="exact"/>
              <w:rPr>
                <w:sz w:val="20"/>
                <w:szCs w:val="20"/>
                <w:color w:val="auto"/>
              </w:rPr>
            </w:pPr>
            <w:r>
              <w:rPr>
                <w:rFonts w:ascii="Arial" w:cs="Arial" w:eastAsia="Arial" w:hAnsi="Arial"/>
                <w:sz w:val="20"/>
                <w:szCs w:val="20"/>
                <w:color w:val="auto"/>
                <w:w w:val="89"/>
              </w:rPr>
              <w:t>4)</w:t>
            </w:r>
          </w:p>
        </w:tc>
        <w:tc>
          <w:tcPr>
            <w:tcW w:w="3560" w:type="dxa"/>
            <w:vAlign w:val="bottom"/>
          </w:tcPr>
          <w:p>
            <w:pPr>
              <w:jc w:val="center"/>
              <w:ind w:left="21"/>
              <w:spacing w:after="0" w:line="192" w:lineRule="exact"/>
              <w:rPr>
                <w:sz w:val="20"/>
                <w:szCs w:val="20"/>
                <w:color w:val="auto"/>
              </w:rPr>
            </w:pPr>
            <w:r>
              <w:rPr>
                <w:rFonts w:ascii="Arial" w:cs="Arial" w:eastAsia="Arial" w:hAnsi="Arial"/>
                <w:sz w:val="20"/>
                <w:szCs w:val="20"/>
                <w:color w:val="auto"/>
                <w:w w:val="90"/>
              </w:rPr>
              <w:t>Annual Financial Projections/Budget</w:t>
            </w:r>
          </w:p>
        </w:tc>
        <w:tc>
          <w:tcPr>
            <w:tcW w:w="3200" w:type="dxa"/>
            <w:vAlign w:val="bottom"/>
          </w:tcPr>
          <w:p>
            <w:pPr>
              <w:jc w:val="center"/>
              <w:ind w:right="101"/>
              <w:spacing w:after="0" w:line="192" w:lineRule="exact"/>
              <w:rPr>
                <w:sz w:val="20"/>
                <w:szCs w:val="20"/>
                <w:color w:val="auto"/>
              </w:rPr>
            </w:pPr>
            <w:r>
              <w:rPr>
                <w:rFonts w:ascii="Arial" w:cs="Arial" w:eastAsia="Arial" w:hAnsi="Arial"/>
                <w:sz w:val="20"/>
                <w:szCs w:val="20"/>
                <w:color w:val="auto"/>
                <w:w w:val="93"/>
              </w:rPr>
              <w:t>Annually (within 60 days after FYE)</w:t>
            </w:r>
          </w:p>
        </w:tc>
        <w:tc>
          <w:tcPr>
            <w:tcW w:w="1220" w:type="dxa"/>
            <w:vAlign w:val="bottom"/>
          </w:tcPr>
          <w:p>
            <w:pPr>
              <w:spacing w:after="0"/>
              <w:rPr>
                <w:sz w:val="16"/>
                <w:szCs w:val="16"/>
                <w:color w:val="auto"/>
              </w:rPr>
            </w:pPr>
          </w:p>
        </w:tc>
        <w:tc>
          <w:tcPr>
            <w:tcW w:w="900" w:type="dxa"/>
            <w:vAlign w:val="bottom"/>
          </w:tcPr>
          <w:p>
            <w:pPr>
              <w:ind w:left="400"/>
              <w:spacing w:after="0" w:line="192" w:lineRule="exact"/>
              <w:rPr>
                <w:sz w:val="20"/>
                <w:szCs w:val="20"/>
                <w:color w:val="auto"/>
              </w:rPr>
            </w:pPr>
            <w:r>
              <w:rPr>
                <w:rFonts w:ascii="Arial" w:cs="Arial" w:eastAsia="Arial" w:hAnsi="Arial"/>
                <w:sz w:val="20"/>
                <w:szCs w:val="20"/>
                <w:color w:val="auto"/>
              </w:rPr>
              <w:t>Yes</w:t>
            </w:r>
          </w:p>
        </w:tc>
        <w:tc>
          <w:tcPr>
            <w:tcW w:w="1200" w:type="dxa"/>
            <w:vAlign w:val="bottom"/>
          </w:tcPr>
          <w:p>
            <w:pPr>
              <w:ind w:left="520"/>
              <w:spacing w:after="0" w:line="192" w:lineRule="exact"/>
              <w:rPr>
                <w:sz w:val="20"/>
                <w:szCs w:val="20"/>
                <w:color w:val="auto"/>
              </w:rPr>
            </w:pPr>
            <w:r>
              <w:rPr>
                <w:rFonts w:ascii="Arial" w:cs="Arial" w:eastAsia="Arial" w:hAnsi="Arial"/>
                <w:sz w:val="20"/>
                <w:szCs w:val="20"/>
                <w:color w:val="auto"/>
              </w:rPr>
              <w:t>No</w:t>
            </w:r>
          </w:p>
        </w:tc>
        <w:tc>
          <w:tcPr>
            <w:tcW w:w="560" w:type="dxa"/>
            <w:vAlign w:val="bottom"/>
          </w:tcPr>
          <w:p>
            <w:pPr>
              <w:ind w:left="220"/>
              <w:spacing w:after="0" w:line="192" w:lineRule="exact"/>
              <w:rPr>
                <w:sz w:val="20"/>
                <w:szCs w:val="20"/>
                <w:color w:val="auto"/>
              </w:rPr>
            </w:pPr>
            <w:r>
              <w:rPr>
                <w:rFonts w:ascii="Arial" w:cs="Arial" w:eastAsia="Arial" w:hAnsi="Arial"/>
                <w:sz w:val="20"/>
                <w:szCs w:val="20"/>
                <w:color w:val="auto"/>
                <w:w w:val="95"/>
              </w:rPr>
              <w:t>N/A</w:t>
            </w:r>
          </w:p>
        </w:tc>
      </w:tr>
      <w:tr>
        <w:trPr>
          <w:trHeight w:val="189"/>
        </w:trPr>
        <w:tc>
          <w:tcPr>
            <w:tcW w:w="3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3200" w:type="dxa"/>
            <w:vAlign w:val="bottom"/>
          </w:tcPr>
          <w:p>
            <w:pPr>
              <w:jc w:val="center"/>
              <w:ind w:right="101"/>
              <w:spacing w:after="0" w:line="189" w:lineRule="exact"/>
              <w:rPr>
                <w:sz w:val="20"/>
                <w:szCs w:val="20"/>
                <w:color w:val="auto"/>
              </w:rPr>
            </w:pPr>
            <w:r>
              <w:rPr>
                <w:rFonts w:ascii="Arial" w:cs="Arial" w:eastAsia="Arial" w:hAnsi="Arial"/>
                <w:sz w:val="20"/>
                <w:szCs w:val="20"/>
                <w:color w:val="auto"/>
                <w:w w:val="89"/>
              </w:rPr>
              <w:t>or 10 days of approval and when</w:t>
            </w:r>
          </w:p>
        </w:tc>
        <w:tc>
          <w:tcPr>
            <w:tcW w:w="1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40"/>
        </w:trPr>
        <w:tc>
          <w:tcPr>
            <w:tcW w:w="3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200" w:type="dxa"/>
            <w:vAlign w:val="bottom"/>
          </w:tcPr>
          <w:p>
            <w:pPr>
              <w:jc w:val="center"/>
              <w:ind w:right="101"/>
              <w:spacing w:after="0"/>
              <w:rPr>
                <w:sz w:val="20"/>
                <w:szCs w:val="20"/>
                <w:color w:val="auto"/>
              </w:rPr>
            </w:pPr>
            <w:r>
              <w:rPr>
                <w:rFonts w:ascii="Arial" w:cs="Arial" w:eastAsia="Arial" w:hAnsi="Arial"/>
                <w:sz w:val="20"/>
                <w:szCs w:val="20"/>
                <w:color w:val="auto"/>
                <w:w w:val="89"/>
              </w:rPr>
              <w:t>received (7 days of approval)</w:t>
            </w: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92"/>
        </w:trPr>
        <w:tc>
          <w:tcPr>
            <w:tcW w:w="320" w:type="dxa"/>
            <w:vAlign w:val="bottom"/>
          </w:tcPr>
          <w:p>
            <w:pPr>
              <w:jc w:val="right"/>
              <w:ind w:right="41"/>
              <w:spacing w:after="0" w:line="192" w:lineRule="exact"/>
              <w:rPr>
                <w:sz w:val="20"/>
                <w:szCs w:val="20"/>
                <w:color w:val="auto"/>
              </w:rPr>
            </w:pPr>
            <w:r>
              <w:rPr>
                <w:rFonts w:ascii="Arial" w:cs="Arial" w:eastAsia="Arial" w:hAnsi="Arial"/>
                <w:sz w:val="20"/>
                <w:szCs w:val="20"/>
                <w:color w:val="auto"/>
                <w:w w:val="89"/>
              </w:rPr>
              <w:t>5)</w:t>
            </w:r>
          </w:p>
        </w:tc>
        <w:tc>
          <w:tcPr>
            <w:tcW w:w="3560" w:type="dxa"/>
            <w:vAlign w:val="bottom"/>
          </w:tcPr>
          <w:p>
            <w:pPr>
              <w:jc w:val="center"/>
              <w:ind w:left="21"/>
              <w:spacing w:after="0" w:line="192" w:lineRule="exact"/>
              <w:rPr>
                <w:sz w:val="20"/>
                <w:szCs w:val="20"/>
                <w:color w:val="auto"/>
              </w:rPr>
            </w:pPr>
            <w:r>
              <w:rPr>
                <w:rFonts w:ascii="Arial" w:cs="Arial" w:eastAsia="Arial" w:hAnsi="Arial"/>
                <w:sz w:val="20"/>
                <w:szCs w:val="20"/>
                <w:color w:val="auto"/>
                <w:w w:val="89"/>
              </w:rPr>
              <w:t>Account statements for each Collateral</w:t>
            </w:r>
          </w:p>
        </w:tc>
        <w:tc>
          <w:tcPr>
            <w:tcW w:w="3200" w:type="dxa"/>
            <w:vAlign w:val="bottom"/>
          </w:tcPr>
          <w:p>
            <w:pPr>
              <w:jc w:val="center"/>
              <w:ind w:right="121"/>
              <w:spacing w:after="0" w:line="192" w:lineRule="exact"/>
              <w:rPr>
                <w:sz w:val="20"/>
                <w:szCs w:val="20"/>
                <w:color w:val="auto"/>
              </w:rPr>
            </w:pPr>
            <w:r>
              <w:rPr>
                <w:rFonts w:ascii="Arial" w:cs="Arial" w:eastAsia="Arial" w:hAnsi="Arial"/>
                <w:sz w:val="20"/>
                <w:szCs w:val="20"/>
                <w:color w:val="auto"/>
                <w:w w:val="93"/>
              </w:rPr>
              <w:t>Monthly within 30 days</w:t>
            </w:r>
          </w:p>
        </w:tc>
        <w:tc>
          <w:tcPr>
            <w:tcW w:w="1220" w:type="dxa"/>
            <w:vAlign w:val="bottom"/>
          </w:tcPr>
          <w:p>
            <w:pPr>
              <w:spacing w:after="0"/>
              <w:rPr>
                <w:sz w:val="16"/>
                <w:szCs w:val="16"/>
                <w:color w:val="auto"/>
              </w:rPr>
            </w:pPr>
          </w:p>
        </w:tc>
        <w:tc>
          <w:tcPr>
            <w:tcW w:w="900" w:type="dxa"/>
            <w:vAlign w:val="bottom"/>
          </w:tcPr>
          <w:p>
            <w:pPr>
              <w:ind w:left="400"/>
              <w:spacing w:after="0" w:line="192" w:lineRule="exact"/>
              <w:rPr>
                <w:sz w:val="20"/>
                <w:szCs w:val="20"/>
                <w:color w:val="auto"/>
              </w:rPr>
            </w:pPr>
            <w:r>
              <w:rPr>
                <w:rFonts w:ascii="Arial" w:cs="Arial" w:eastAsia="Arial" w:hAnsi="Arial"/>
                <w:sz w:val="20"/>
                <w:szCs w:val="20"/>
                <w:color w:val="auto"/>
              </w:rPr>
              <w:t>Yes</w:t>
            </w:r>
          </w:p>
        </w:tc>
        <w:tc>
          <w:tcPr>
            <w:tcW w:w="1200" w:type="dxa"/>
            <w:vAlign w:val="bottom"/>
          </w:tcPr>
          <w:p>
            <w:pPr>
              <w:ind w:left="520"/>
              <w:spacing w:after="0" w:line="192" w:lineRule="exact"/>
              <w:rPr>
                <w:sz w:val="20"/>
                <w:szCs w:val="20"/>
                <w:color w:val="auto"/>
              </w:rPr>
            </w:pPr>
            <w:r>
              <w:rPr>
                <w:rFonts w:ascii="Arial" w:cs="Arial" w:eastAsia="Arial" w:hAnsi="Arial"/>
                <w:sz w:val="20"/>
                <w:szCs w:val="20"/>
                <w:color w:val="auto"/>
              </w:rPr>
              <w:t>No</w:t>
            </w:r>
          </w:p>
        </w:tc>
        <w:tc>
          <w:tcPr>
            <w:tcW w:w="560" w:type="dxa"/>
            <w:vAlign w:val="bottom"/>
          </w:tcPr>
          <w:p>
            <w:pPr>
              <w:ind w:left="220"/>
              <w:spacing w:after="0" w:line="192" w:lineRule="exact"/>
              <w:rPr>
                <w:sz w:val="20"/>
                <w:szCs w:val="20"/>
                <w:color w:val="auto"/>
              </w:rPr>
            </w:pPr>
            <w:r>
              <w:rPr>
                <w:rFonts w:ascii="Arial" w:cs="Arial" w:eastAsia="Arial" w:hAnsi="Arial"/>
                <w:sz w:val="20"/>
                <w:szCs w:val="20"/>
                <w:color w:val="auto"/>
                <w:w w:val="95"/>
              </w:rPr>
              <w:t>N/A</w:t>
            </w:r>
          </w:p>
        </w:tc>
      </w:tr>
      <w:tr>
        <w:trPr>
          <w:trHeight w:val="240"/>
        </w:trPr>
        <w:tc>
          <w:tcPr>
            <w:tcW w:w="320" w:type="dxa"/>
            <w:vAlign w:val="bottom"/>
          </w:tcPr>
          <w:p>
            <w:pPr>
              <w:spacing w:after="0"/>
              <w:rPr>
                <w:sz w:val="20"/>
                <w:szCs w:val="20"/>
                <w:color w:val="auto"/>
              </w:rPr>
            </w:pPr>
          </w:p>
        </w:tc>
        <w:tc>
          <w:tcPr>
            <w:tcW w:w="3560" w:type="dxa"/>
            <w:vAlign w:val="bottom"/>
          </w:tcPr>
          <w:p>
            <w:pPr>
              <w:jc w:val="center"/>
              <w:ind w:left="21"/>
              <w:spacing w:after="0"/>
              <w:rPr>
                <w:sz w:val="20"/>
                <w:szCs w:val="20"/>
                <w:color w:val="auto"/>
              </w:rPr>
            </w:pPr>
            <w:r>
              <w:rPr>
                <w:rFonts w:ascii="Arial" w:cs="Arial" w:eastAsia="Arial" w:hAnsi="Arial"/>
                <w:sz w:val="20"/>
                <w:szCs w:val="20"/>
                <w:color w:val="auto"/>
                <w:w w:val="94"/>
              </w:rPr>
              <w:t>Account</w:t>
            </w:r>
          </w:p>
        </w:tc>
        <w:tc>
          <w:tcPr>
            <w:tcW w:w="3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320" w:type="dxa"/>
            <w:vAlign w:val="bottom"/>
          </w:tcPr>
          <w:p>
            <w:pPr>
              <w:jc w:val="right"/>
              <w:ind w:right="41"/>
              <w:spacing w:after="0"/>
              <w:rPr>
                <w:sz w:val="20"/>
                <w:szCs w:val="20"/>
                <w:color w:val="auto"/>
              </w:rPr>
            </w:pPr>
            <w:r>
              <w:rPr>
                <w:rFonts w:ascii="Arial" w:cs="Arial" w:eastAsia="Arial" w:hAnsi="Arial"/>
                <w:sz w:val="20"/>
                <w:szCs w:val="20"/>
                <w:color w:val="auto"/>
                <w:w w:val="89"/>
              </w:rPr>
              <w:t>6)</w:t>
            </w:r>
          </w:p>
        </w:tc>
        <w:tc>
          <w:tcPr>
            <w:tcW w:w="3560" w:type="dxa"/>
            <w:vAlign w:val="bottom"/>
          </w:tcPr>
          <w:p>
            <w:pPr>
              <w:jc w:val="center"/>
              <w:ind w:left="21"/>
              <w:spacing w:after="0"/>
              <w:rPr>
                <w:sz w:val="20"/>
                <w:szCs w:val="20"/>
                <w:color w:val="auto"/>
              </w:rPr>
            </w:pPr>
            <w:r>
              <w:rPr>
                <w:rFonts w:ascii="Arial" w:cs="Arial" w:eastAsia="Arial" w:hAnsi="Arial"/>
                <w:sz w:val="20"/>
                <w:szCs w:val="20"/>
                <w:color w:val="auto"/>
                <w:w w:val="91"/>
              </w:rPr>
              <w:t>Compliance Certificate</w:t>
            </w:r>
          </w:p>
        </w:tc>
        <w:tc>
          <w:tcPr>
            <w:tcW w:w="3200" w:type="dxa"/>
            <w:vAlign w:val="bottom"/>
          </w:tcPr>
          <w:p>
            <w:pPr>
              <w:jc w:val="center"/>
              <w:ind w:right="121"/>
              <w:spacing w:after="0"/>
              <w:rPr>
                <w:sz w:val="20"/>
                <w:szCs w:val="20"/>
                <w:color w:val="auto"/>
              </w:rPr>
            </w:pPr>
            <w:r>
              <w:rPr>
                <w:rFonts w:ascii="Arial" w:cs="Arial" w:eastAsia="Arial" w:hAnsi="Arial"/>
                <w:sz w:val="20"/>
                <w:szCs w:val="20"/>
                <w:color w:val="auto"/>
                <w:w w:val="93"/>
              </w:rPr>
              <w:t>Monthly within 30 days</w:t>
            </w:r>
          </w:p>
        </w:tc>
        <w:tc>
          <w:tcPr>
            <w:tcW w:w="1220" w:type="dxa"/>
            <w:vAlign w:val="bottom"/>
          </w:tcPr>
          <w:p>
            <w:pPr>
              <w:spacing w:after="0"/>
              <w:rPr>
                <w:sz w:val="21"/>
                <w:szCs w:val="21"/>
                <w:color w:val="auto"/>
              </w:rPr>
            </w:pPr>
          </w:p>
        </w:tc>
        <w:tc>
          <w:tcPr>
            <w:tcW w:w="900" w:type="dxa"/>
            <w:vAlign w:val="bottom"/>
          </w:tcPr>
          <w:p>
            <w:pPr>
              <w:ind w:left="400"/>
              <w:spacing w:after="0"/>
              <w:rPr>
                <w:sz w:val="20"/>
                <w:szCs w:val="20"/>
                <w:color w:val="auto"/>
              </w:rPr>
            </w:pPr>
            <w:r>
              <w:rPr>
                <w:rFonts w:ascii="Arial" w:cs="Arial" w:eastAsia="Arial" w:hAnsi="Arial"/>
                <w:sz w:val="20"/>
                <w:szCs w:val="20"/>
                <w:color w:val="auto"/>
              </w:rPr>
              <w:t>Yes</w:t>
            </w:r>
          </w:p>
        </w:tc>
        <w:tc>
          <w:tcPr>
            <w:tcW w:w="1200" w:type="dxa"/>
            <w:vAlign w:val="bottom"/>
          </w:tcPr>
          <w:p>
            <w:pPr>
              <w:ind w:left="520"/>
              <w:spacing w:after="0"/>
              <w:rPr>
                <w:sz w:val="20"/>
                <w:szCs w:val="20"/>
                <w:color w:val="auto"/>
              </w:rPr>
            </w:pPr>
            <w:r>
              <w:rPr>
                <w:rFonts w:ascii="Arial" w:cs="Arial" w:eastAsia="Arial" w:hAnsi="Arial"/>
                <w:sz w:val="20"/>
                <w:szCs w:val="20"/>
                <w:color w:val="auto"/>
              </w:rPr>
              <w:t>No</w:t>
            </w:r>
          </w:p>
        </w:tc>
        <w:tc>
          <w:tcPr>
            <w:tcW w:w="560" w:type="dxa"/>
            <w:vAlign w:val="bottom"/>
          </w:tcPr>
          <w:p>
            <w:pPr>
              <w:ind w:left="220"/>
              <w:spacing w:after="0"/>
              <w:rPr>
                <w:sz w:val="20"/>
                <w:szCs w:val="20"/>
                <w:color w:val="auto"/>
              </w:rPr>
            </w:pPr>
            <w:r>
              <w:rPr>
                <w:rFonts w:ascii="Arial" w:cs="Arial" w:eastAsia="Arial" w:hAnsi="Arial"/>
                <w:sz w:val="20"/>
                <w:szCs w:val="20"/>
                <w:color w:val="auto"/>
                <w:w w:val="95"/>
              </w:rPr>
              <w:t>N/A</w:t>
            </w:r>
          </w:p>
        </w:tc>
      </w:tr>
      <w:tr>
        <w:trPr>
          <w:trHeight w:val="192"/>
        </w:trPr>
        <w:tc>
          <w:tcPr>
            <w:tcW w:w="320" w:type="dxa"/>
            <w:vAlign w:val="bottom"/>
          </w:tcPr>
          <w:p>
            <w:pPr>
              <w:jc w:val="right"/>
              <w:ind w:right="41"/>
              <w:spacing w:after="0" w:line="192" w:lineRule="exact"/>
              <w:rPr>
                <w:sz w:val="20"/>
                <w:szCs w:val="20"/>
                <w:color w:val="auto"/>
              </w:rPr>
            </w:pPr>
            <w:r>
              <w:rPr>
                <w:rFonts w:ascii="Arial" w:cs="Arial" w:eastAsia="Arial" w:hAnsi="Arial"/>
                <w:sz w:val="20"/>
                <w:szCs w:val="20"/>
                <w:color w:val="auto"/>
                <w:w w:val="89"/>
              </w:rPr>
              <w:t>7)</w:t>
            </w:r>
          </w:p>
        </w:tc>
        <w:tc>
          <w:tcPr>
            <w:tcW w:w="3560" w:type="dxa"/>
            <w:vAlign w:val="bottom"/>
          </w:tcPr>
          <w:p>
            <w:pPr>
              <w:jc w:val="center"/>
              <w:ind w:left="21"/>
              <w:spacing w:after="0" w:line="192" w:lineRule="exact"/>
              <w:rPr>
                <w:sz w:val="20"/>
                <w:szCs w:val="20"/>
                <w:color w:val="auto"/>
              </w:rPr>
            </w:pPr>
            <w:r>
              <w:rPr>
                <w:rFonts w:ascii="Arial" w:cs="Arial" w:eastAsia="Arial" w:hAnsi="Arial"/>
                <w:sz w:val="20"/>
                <w:szCs w:val="20"/>
                <w:color w:val="auto"/>
                <w:w w:val="88"/>
              </w:rPr>
              <w:t>IP notice (events reasonably expected to</w:t>
            </w:r>
          </w:p>
        </w:tc>
        <w:tc>
          <w:tcPr>
            <w:tcW w:w="3200" w:type="dxa"/>
            <w:vAlign w:val="bottom"/>
          </w:tcPr>
          <w:p>
            <w:pPr>
              <w:jc w:val="center"/>
              <w:ind w:right="121"/>
              <w:spacing w:after="0" w:line="192" w:lineRule="exact"/>
              <w:rPr>
                <w:sz w:val="20"/>
                <w:szCs w:val="20"/>
                <w:color w:val="auto"/>
              </w:rPr>
            </w:pPr>
            <w:r>
              <w:rPr>
                <w:rFonts w:ascii="Arial" w:cs="Arial" w:eastAsia="Arial" w:hAnsi="Arial"/>
                <w:sz w:val="20"/>
                <w:szCs w:val="20"/>
                <w:color w:val="auto"/>
                <w:w w:val="89"/>
              </w:rPr>
              <w:t>When required</w:t>
            </w:r>
          </w:p>
        </w:tc>
        <w:tc>
          <w:tcPr>
            <w:tcW w:w="1220" w:type="dxa"/>
            <w:vAlign w:val="bottom"/>
          </w:tcPr>
          <w:p>
            <w:pPr>
              <w:spacing w:after="0"/>
              <w:rPr>
                <w:sz w:val="16"/>
                <w:szCs w:val="16"/>
                <w:color w:val="auto"/>
              </w:rPr>
            </w:pPr>
          </w:p>
        </w:tc>
        <w:tc>
          <w:tcPr>
            <w:tcW w:w="900" w:type="dxa"/>
            <w:vAlign w:val="bottom"/>
          </w:tcPr>
          <w:p>
            <w:pPr>
              <w:ind w:left="400"/>
              <w:spacing w:after="0" w:line="192" w:lineRule="exact"/>
              <w:rPr>
                <w:sz w:val="20"/>
                <w:szCs w:val="20"/>
                <w:color w:val="auto"/>
              </w:rPr>
            </w:pPr>
            <w:r>
              <w:rPr>
                <w:rFonts w:ascii="Arial" w:cs="Arial" w:eastAsia="Arial" w:hAnsi="Arial"/>
                <w:sz w:val="20"/>
                <w:szCs w:val="20"/>
                <w:color w:val="auto"/>
              </w:rPr>
              <w:t>Yes</w:t>
            </w:r>
          </w:p>
        </w:tc>
        <w:tc>
          <w:tcPr>
            <w:tcW w:w="1200" w:type="dxa"/>
            <w:vAlign w:val="bottom"/>
          </w:tcPr>
          <w:p>
            <w:pPr>
              <w:ind w:left="520"/>
              <w:spacing w:after="0" w:line="192" w:lineRule="exact"/>
              <w:rPr>
                <w:sz w:val="20"/>
                <w:szCs w:val="20"/>
                <w:color w:val="auto"/>
              </w:rPr>
            </w:pPr>
            <w:r>
              <w:rPr>
                <w:rFonts w:ascii="Arial" w:cs="Arial" w:eastAsia="Arial" w:hAnsi="Arial"/>
                <w:sz w:val="20"/>
                <w:szCs w:val="20"/>
                <w:color w:val="auto"/>
              </w:rPr>
              <w:t>No</w:t>
            </w:r>
          </w:p>
        </w:tc>
        <w:tc>
          <w:tcPr>
            <w:tcW w:w="560" w:type="dxa"/>
            <w:vAlign w:val="bottom"/>
          </w:tcPr>
          <w:p>
            <w:pPr>
              <w:ind w:left="220"/>
              <w:spacing w:after="0" w:line="192" w:lineRule="exact"/>
              <w:rPr>
                <w:sz w:val="20"/>
                <w:szCs w:val="20"/>
                <w:color w:val="auto"/>
              </w:rPr>
            </w:pPr>
            <w:r>
              <w:rPr>
                <w:rFonts w:ascii="Arial" w:cs="Arial" w:eastAsia="Arial" w:hAnsi="Arial"/>
                <w:sz w:val="20"/>
                <w:szCs w:val="20"/>
                <w:color w:val="auto"/>
                <w:w w:val="95"/>
              </w:rPr>
              <w:t>N/A</w:t>
            </w:r>
          </w:p>
        </w:tc>
      </w:tr>
      <w:tr>
        <w:trPr>
          <w:trHeight w:val="189"/>
        </w:trPr>
        <w:tc>
          <w:tcPr>
            <w:tcW w:w="320" w:type="dxa"/>
            <w:vAlign w:val="bottom"/>
          </w:tcPr>
          <w:p>
            <w:pPr>
              <w:spacing w:after="0"/>
              <w:rPr>
                <w:sz w:val="16"/>
                <w:szCs w:val="16"/>
                <w:color w:val="auto"/>
              </w:rPr>
            </w:pPr>
          </w:p>
        </w:tc>
        <w:tc>
          <w:tcPr>
            <w:tcW w:w="3560" w:type="dxa"/>
            <w:vAlign w:val="bottom"/>
          </w:tcPr>
          <w:p>
            <w:pPr>
              <w:jc w:val="center"/>
              <w:ind w:left="21"/>
              <w:spacing w:after="0" w:line="189" w:lineRule="exact"/>
              <w:rPr>
                <w:sz w:val="20"/>
                <w:szCs w:val="20"/>
                <w:color w:val="auto"/>
              </w:rPr>
            </w:pPr>
            <w:r>
              <w:rPr>
                <w:rFonts w:ascii="Arial" w:cs="Arial" w:eastAsia="Arial" w:hAnsi="Arial"/>
                <w:sz w:val="20"/>
                <w:szCs w:val="20"/>
                <w:color w:val="auto"/>
                <w:w w:val="90"/>
              </w:rPr>
              <w:t>materially and adversely affect value of IP</w:t>
            </w:r>
          </w:p>
        </w:tc>
        <w:tc>
          <w:tcPr>
            <w:tcW w:w="3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50"/>
        </w:trPr>
        <w:tc>
          <w:tcPr>
            <w:tcW w:w="320" w:type="dxa"/>
            <w:vAlign w:val="bottom"/>
          </w:tcPr>
          <w:p>
            <w:pPr>
              <w:spacing w:after="0"/>
              <w:rPr>
                <w:sz w:val="21"/>
                <w:szCs w:val="21"/>
                <w:color w:val="auto"/>
              </w:rPr>
            </w:pPr>
          </w:p>
        </w:tc>
        <w:tc>
          <w:tcPr>
            <w:tcW w:w="3560" w:type="dxa"/>
            <w:vAlign w:val="bottom"/>
          </w:tcPr>
          <w:p>
            <w:pPr>
              <w:jc w:val="center"/>
              <w:ind w:left="21"/>
              <w:spacing w:after="0"/>
              <w:rPr>
                <w:sz w:val="20"/>
                <w:szCs w:val="20"/>
                <w:color w:val="auto"/>
              </w:rPr>
            </w:pPr>
            <w:r>
              <w:rPr>
                <w:rFonts w:ascii="Arial" w:cs="Arial" w:eastAsia="Arial" w:hAnsi="Arial"/>
                <w:sz w:val="20"/>
                <w:szCs w:val="20"/>
                <w:color w:val="auto"/>
                <w:w w:val="95"/>
              </w:rPr>
              <w:t>or result in MAC)</w:t>
            </w:r>
          </w:p>
        </w:tc>
        <w:tc>
          <w:tcPr>
            <w:tcW w:w="3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60" w:type="dxa"/>
            <w:vAlign w:val="bottom"/>
          </w:tcPr>
          <w:p>
            <w:pPr>
              <w:spacing w:after="0"/>
              <w:rPr>
                <w:sz w:val="21"/>
                <w:szCs w:val="2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Deposit and Securities Accounts</w:t>
      </w:r>
    </w:p>
    <w:p>
      <w:pPr>
        <w:spacing w:after="0"/>
        <w:rPr>
          <w:sz w:val="20"/>
          <w:szCs w:val="20"/>
          <w:color w:val="auto"/>
        </w:rPr>
      </w:pPr>
      <w:r>
        <w:rPr>
          <w:rFonts w:ascii="Arial" w:cs="Arial" w:eastAsia="Arial" w:hAnsi="Arial"/>
          <w:sz w:val="20"/>
          <w:szCs w:val="20"/>
          <w:b w:val="1"/>
          <w:bCs w:val="1"/>
          <w:i w:val="1"/>
          <w:iCs w:val="1"/>
          <w:color w:val="auto"/>
        </w:rPr>
        <w:t>(Please list all accounts; attach separate sheet if additional space needed)</w:t>
      </w:r>
    </w:p>
    <w:tbl>
      <w:tblPr>
        <w:tblLayout w:type="fixed"/>
        <w:tblInd w:w="80" w:type="dxa"/>
        <w:tblCellMar>
          <w:top w:w="0" w:type="dxa"/>
          <w:left w:w="0" w:type="dxa"/>
          <w:bottom w:w="0" w:type="dxa"/>
          <w:right w:w="0" w:type="dxa"/>
        </w:tblCellMar>
      </w:tblPr>
      <w:tr>
        <w:trPr>
          <w:trHeight w:val="189"/>
        </w:trPr>
        <w:tc>
          <w:tcPr>
            <w:tcW w:w="2740" w:type="dxa"/>
            <w:vAlign w:val="bottom"/>
          </w:tcPr>
          <w:p>
            <w:pPr>
              <w:jc w:val="right"/>
              <w:ind w:right="741"/>
              <w:spacing w:after="0" w:line="189" w:lineRule="exact"/>
              <w:rPr>
                <w:sz w:val="20"/>
                <w:szCs w:val="20"/>
                <w:color w:val="auto"/>
              </w:rPr>
            </w:pPr>
            <w:r>
              <w:rPr>
                <w:rFonts w:ascii="Arial" w:cs="Arial" w:eastAsia="Arial" w:hAnsi="Arial"/>
                <w:sz w:val="20"/>
                <w:szCs w:val="20"/>
                <w:b w:val="1"/>
                <w:bCs w:val="1"/>
                <w:color w:val="auto"/>
              </w:rPr>
              <w:t>Institution Name</w:t>
            </w:r>
          </w:p>
        </w:tc>
        <w:tc>
          <w:tcPr>
            <w:tcW w:w="2820" w:type="dxa"/>
            <w:vAlign w:val="bottom"/>
          </w:tcPr>
          <w:p>
            <w:pPr>
              <w:ind w:left="820"/>
              <w:spacing w:after="0" w:line="189" w:lineRule="exact"/>
              <w:rPr>
                <w:sz w:val="20"/>
                <w:szCs w:val="20"/>
                <w:color w:val="auto"/>
              </w:rPr>
            </w:pPr>
            <w:r>
              <w:rPr>
                <w:rFonts w:ascii="Arial" w:cs="Arial" w:eastAsia="Arial" w:hAnsi="Arial"/>
                <w:sz w:val="20"/>
                <w:szCs w:val="20"/>
                <w:b w:val="1"/>
                <w:bCs w:val="1"/>
                <w:color w:val="auto"/>
              </w:rPr>
              <w:t>Account Number</w:t>
            </w:r>
          </w:p>
        </w:tc>
        <w:tc>
          <w:tcPr>
            <w:tcW w:w="1780" w:type="dxa"/>
            <w:vAlign w:val="bottom"/>
          </w:tcPr>
          <w:p>
            <w:pPr>
              <w:ind w:left="520"/>
              <w:spacing w:after="0" w:line="189" w:lineRule="exact"/>
              <w:rPr>
                <w:sz w:val="20"/>
                <w:szCs w:val="20"/>
                <w:color w:val="auto"/>
              </w:rPr>
            </w:pPr>
            <w:r>
              <w:rPr>
                <w:rFonts w:ascii="Arial" w:cs="Arial" w:eastAsia="Arial" w:hAnsi="Arial"/>
                <w:sz w:val="20"/>
                <w:szCs w:val="20"/>
                <w:b w:val="1"/>
                <w:bCs w:val="1"/>
                <w:color w:val="auto"/>
                <w:w w:val="89"/>
              </w:rPr>
              <w:t>New Account?</w:t>
            </w:r>
          </w:p>
        </w:tc>
        <w:tc>
          <w:tcPr>
            <w:tcW w:w="580" w:type="dxa"/>
            <w:vAlign w:val="bottom"/>
          </w:tcPr>
          <w:p>
            <w:pPr>
              <w:spacing w:after="0"/>
              <w:rPr>
                <w:sz w:val="16"/>
                <w:szCs w:val="16"/>
                <w:color w:val="auto"/>
              </w:rPr>
            </w:pPr>
          </w:p>
        </w:tc>
        <w:tc>
          <w:tcPr>
            <w:tcW w:w="2940" w:type="dxa"/>
            <w:vAlign w:val="bottom"/>
            <w:gridSpan w:val="2"/>
          </w:tcPr>
          <w:p>
            <w:pPr>
              <w:ind w:left="340"/>
              <w:spacing w:after="0" w:line="189" w:lineRule="exact"/>
              <w:rPr>
                <w:sz w:val="20"/>
                <w:szCs w:val="20"/>
                <w:color w:val="auto"/>
              </w:rPr>
            </w:pPr>
            <w:r>
              <w:rPr>
                <w:rFonts w:ascii="Arial" w:cs="Arial" w:eastAsia="Arial" w:hAnsi="Arial"/>
                <w:sz w:val="20"/>
                <w:szCs w:val="20"/>
                <w:b w:val="1"/>
                <w:bCs w:val="1"/>
                <w:color w:val="auto"/>
                <w:w w:val="88"/>
              </w:rPr>
              <w:t>Account Control Agreement in</w:t>
            </w:r>
          </w:p>
        </w:tc>
      </w:tr>
      <w:tr>
        <w:trPr>
          <w:trHeight w:val="240"/>
        </w:trPr>
        <w:tc>
          <w:tcPr>
            <w:tcW w:w="27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20" w:type="dxa"/>
            <w:vAlign w:val="bottom"/>
          </w:tcPr>
          <w:p>
            <w:pPr>
              <w:ind w:left="140"/>
              <w:spacing w:after="0"/>
              <w:rPr>
                <w:sz w:val="20"/>
                <w:szCs w:val="20"/>
                <w:color w:val="auto"/>
              </w:rPr>
            </w:pPr>
            <w:r>
              <w:rPr>
                <w:rFonts w:ascii="Arial" w:cs="Arial" w:eastAsia="Arial" w:hAnsi="Arial"/>
                <w:sz w:val="20"/>
                <w:szCs w:val="20"/>
                <w:b w:val="1"/>
                <w:bCs w:val="1"/>
                <w:color w:val="auto"/>
              </w:rPr>
              <w:t>Place?</w:t>
            </w:r>
          </w:p>
        </w:tc>
      </w:tr>
      <w:tr>
        <w:trPr>
          <w:trHeight w:val="243"/>
        </w:trPr>
        <w:tc>
          <w:tcPr>
            <w:tcW w:w="2740" w:type="dxa"/>
            <w:vAlign w:val="bottom"/>
          </w:tcPr>
          <w:p>
            <w:pPr>
              <w:jc w:val="right"/>
              <w:ind w:right="2481"/>
              <w:spacing w:after="0"/>
              <w:rPr>
                <w:sz w:val="20"/>
                <w:szCs w:val="20"/>
                <w:color w:val="auto"/>
              </w:rPr>
            </w:pPr>
            <w:r>
              <w:rPr>
                <w:rFonts w:ascii="Arial" w:cs="Arial" w:eastAsia="Arial" w:hAnsi="Arial"/>
                <w:sz w:val="20"/>
                <w:szCs w:val="20"/>
                <w:color w:val="auto"/>
                <w:w w:val="78"/>
              </w:rPr>
              <w:t>1)</w:t>
            </w:r>
          </w:p>
        </w:tc>
        <w:tc>
          <w:tcPr>
            <w:tcW w:w="2820" w:type="dxa"/>
            <w:vAlign w:val="bottom"/>
          </w:tcPr>
          <w:p>
            <w:pPr>
              <w:spacing w:after="0"/>
              <w:rPr>
                <w:sz w:val="21"/>
                <w:szCs w:val="21"/>
                <w:color w:val="auto"/>
              </w:rPr>
            </w:pPr>
          </w:p>
        </w:tc>
        <w:tc>
          <w:tcPr>
            <w:tcW w:w="1780" w:type="dxa"/>
            <w:vAlign w:val="bottom"/>
          </w:tcPr>
          <w:p>
            <w:pPr>
              <w:ind w:left="800"/>
              <w:spacing w:after="0"/>
              <w:rPr>
                <w:sz w:val="20"/>
                <w:szCs w:val="20"/>
                <w:color w:val="auto"/>
              </w:rPr>
            </w:pPr>
            <w:r>
              <w:rPr>
                <w:rFonts w:ascii="Arial" w:cs="Arial" w:eastAsia="Arial" w:hAnsi="Arial"/>
                <w:sz w:val="20"/>
                <w:szCs w:val="20"/>
                <w:color w:val="auto"/>
              </w:rPr>
              <w:t>Yes</w:t>
            </w:r>
          </w:p>
        </w:tc>
        <w:tc>
          <w:tcPr>
            <w:tcW w:w="580" w:type="dxa"/>
            <w:vAlign w:val="bottom"/>
          </w:tcPr>
          <w:p>
            <w:pPr>
              <w:ind w:left="20"/>
              <w:spacing w:after="0"/>
              <w:rPr>
                <w:sz w:val="20"/>
                <w:szCs w:val="20"/>
                <w:color w:val="auto"/>
              </w:rPr>
            </w:pPr>
            <w:r>
              <w:rPr>
                <w:rFonts w:ascii="Arial" w:cs="Arial" w:eastAsia="Arial" w:hAnsi="Arial"/>
                <w:sz w:val="20"/>
                <w:szCs w:val="20"/>
                <w:color w:val="auto"/>
              </w:rPr>
              <w:t>No</w:t>
            </w:r>
          </w:p>
        </w:tc>
        <w:tc>
          <w:tcPr>
            <w:tcW w:w="1220" w:type="dxa"/>
            <w:vAlign w:val="bottom"/>
          </w:tcPr>
          <w:p>
            <w:pPr>
              <w:ind w:left="760"/>
              <w:spacing w:after="0"/>
              <w:rPr>
                <w:sz w:val="20"/>
                <w:szCs w:val="20"/>
                <w:color w:val="auto"/>
              </w:rPr>
            </w:pPr>
            <w:r>
              <w:rPr>
                <w:rFonts w:ascii="Arial" w:cs="Arial" w:eastAsia="Arial" w:hAnsi="Arial"/>
                <w:sz w:val="20"/>
                <w:szCs w:val="20"/>
                <w:color w:val="auto"/>
              </w:rPr>
              <w:t>Yes</w:t>
            </w:r>
          </w:p>
        </w:tc>
        <w:tc>
          <w:tcPr>
            <w:tcW w:w="1720" w:type="dxa"/>
            <w:vAlign w:val="bottom"/>
          </w:tcPr>
          <w:p>
            <w:pPr>
              <w:ind w:left="1180"/>
              <w:spacing w:after="0"/>
              <w:rPr>
                <w:sz w:val="20"/>
                <w:szCs w:val="20"/>
                <w:color w:val="auto"/>
              </w:rPr>
            </w:pPr>
            <w:r>
              <w:rPr>
                <w:rFonts w:ascii="Arial" w:cs="Arial" w:eastAsia="Arial" w:hAnsi="Arial"/>
                <w:sz w:val="20"/>
                <w:szCs w:val="20"/>
                <w:color w:val="auto"/>
              </w:rPr>
              <w:t>No</w:t>
            </w:r>
          </w:p>
        </w:tc>
      </w:tr>
      <w:tr>
        <w:trPr>
          <w:trHeight w:val="243"/>
        </w:trPr>
        <w:tc>
          <w:tcPr>
            <w:tcW w:w="2740" w:type="dxa"/>
            <w:vAlign w:val="bottom"/>
          </w:tcPr>
          <w:p>
            <w:pPr>
              <w:jc w:val="right"/>
              <w:ind w:right="2481"/>
              <w:spacing w:after="0"/>
              <w:rPr>
                <w:sz w:val="20"/>
                <w:szCs w:val="20"/>
                <w:color w:val="auto"/>
              </w:rPr>
            </w:pPr>
            <w:r>
              <w:rPr>
                <w:rFonts w:ascii="Arial" w:cs="Arial" w:eastAsia="Arial" w:hAnsi="Arial"/>
                <w:sz w:val="20"/>
                <w:szCs w:val="20"/>
                <w:color w:val="auto"/>
                <w:w w:val="78"/>
              </w:rPr>
              <w:t>2)</w:t>
            </w:r>
          </w:p>
        </w:tc>
        <w:tc>
          <w:tcPr>
            <w:tcW w:w="2820" w:type="dxa"/>
            <w:vAlign w:val="bottom"/>
          </w:tcPr>
          <w:p>
            <w:pPr>
              <w:spacing w:after="0"/>
              <w:rPr>
                <w:sz w:val="21"/>
                <w:szCs w:val="21"/>
                <w:color w:val="auto"/>
              </w:rPr>
            </w:pPr>
          </w:p>
        </w:tc>
        <w:tc>
          <w:tcPr>
            <w:tcW w:w="1780" w:type="dxa"/>
            <w:vAlign w:val="bottom"/>
          </w:tcPr>
          <w:p>
            <w:pPr>
              <w:ind w:left="800"/>
              <w:spacing w:after="0"/>
              <w:rPr>
                <w:sz w:val="20"/>
                <w:szCs w:val="20"/>
                <w:color w:val="auto"/>
              </w:rPr>
            </w:pPr>
            <w:r>
              <w:rPr>
                <w:rFonts w:ascii="Arial" w:cs="Arial" w:eastAsia="Arial" w:hAnsi="Arial"/>
                <w:sz w:val="20"/>
                <w:szCs w:val="20"/>
                <w:color w:val="auto"/>
              </w:rPr>
              <w:t>Yes</w:t>
            </w:r>
          </w:p>
        </w:tc>
        <w:tc>
          <w:tcPr>
            <w:tcW w:w="580" w:type="dxa"/>
            <w:vAlign w:val="bottom"/>
          </w:tcPr>
          <w:p>
            <w:pPr>
              <w:ind w:left="20"/>
              <w:spacing w:after="0"/>
              <w:rPr>
                <w:sz w:val="20"/>
                <w:szCs w:val="20"/>
                <w:color w:val="auto"/>
              </w:rPr>
            </w:pPr>
            <w:r>
              <w:rPr>
                <w:rFonts w:ascii="Arial" w:cs="Arial" w:eastAsia="Arial" w:hAnsi="Arial"/>
                <w:sz w:val="20"/>
                <w:szCs w:val="20"/>
                <w:color w:val="auto"/>
              </w:rPr>
              <w:t>No</w:t>
            </w:r>
          </w:p>
        </w:tc>
        <w:tc>
          <w:tcPr>
            <w:tcW w:w="1220" w:type="dxa"/>
            <w:vAlign w:val="bottom"/>
          </w:tcPr>
          <w:p>
            <w:pPr>
              <w:ind w:left="760"/>
              <w:spacing w:after="0"/>
              <w:rPr>
                <w:sz w:val="20"/>
                <w:szCs w:val="20"/>
                <w:color w:val="auto"/>
              </w:rPr>
            </w:pPr>
            <w:r>
              <w:rPr>
                <w:rFonts w:ascii="Arial" w:cs="Arial" w:eastAsia="Arial" w:hAnsi="Arial"/>
                <w:sz w:val="20"/>
                <w:szCs w:val="20"/>
                <w:color w:val="auto"/>
              </w:rPr>
              <w:t>Yes</w:t>
            </w:r>
          </w:p>
        </w:tc>
        <w:tc>
          <w:tcPr>
            <w:tcW w:w="1720" w:type="dxa"/>
            <w:vAlign w:val="bottom"/>
          </w:tcPr>
          <w:p>
            <w:pPr>
              <w:ind w:left="1180"/>
              <w:spacing w:after="0"/>
              <w:rPr>
                <w:sz w:val="20"/>
                <w:szCs w:val="20"/>
                <w:color w:val="auto"/>
              </w:rPr>
            </w:pPr>
            <w:r>
              <w:rPr>
                <w:rFonts w:ascii="Arial" w:cs="Arial" w:eastAsia="Arial" w:hAnsi="Arial"/>
                <w:sz w:val="20"/>
                <w:szCs w:val="20"/>
                <w:color w:val="auto"/>
              </w:rPr>
              <w:t>No</w:t>
            </w:r>
          </w:p>
        </w:tc>
      </w:tr>
      <w:tr>
        <w:trPr>
          <w:trHeight w:val="243"/>
        </w:trPr>
        <w:tc>
          <w:tcPr>
            <w:tcW w:w="2740" w:type="dxa"/>
            <w:vAlign w:val="bottom"/>
          </w:tcPr>
          <w:p>
            <w:pPr>
              <w:jc w:val="right"/>
              <w:ind w:right="2481"/>
              <w:spacing w:after="0"/>
              <w:rPr>
                <w:sz w:val="20"/>
                <w:szCs w:val="20"/>
                <w:color w:val="auto"/>
              </w:rPr>
            </w:pPr>
            <w:r>
              <w:rPr>
                <w:rFonts w:ascii="Arial" w:cs="Arial" w:eastAsia="Arial" w:hAnsi="Arial"/>
                <w:sz w:val="20"/>
                <w:szCs w:val="20"/>
                <w:color w:val="auto"/>
                <w:w w:val="78"/>
              </w:rPr>
              <w:t>3)</w:t>
            </w:r>
          </w:p>
        </w:tc>
        <w:tc>
          <w:tcPr>
            <w:tcW w:w="2820" w:type="dxa"/>
            <w:vAlign w:val="bottom"/>
          </w:tcPr>
          <w:p>
            <w:pPr>
              <w:spacing w:after="0"/>
              <w:rPr>
                <w:sz w:val="21"/>
                <w:szCs w:val="21"/>
                <w:color w:val="auto"/>
              </w:rPr>
            </w:pPr>
          </w:p>
        </w:tc>
        <w:tc>
          <w:tcPr>
            <w:tcW w:w="1780" w:type="dxa"/>
            <w:vAlign w:val="bottom"/>
          </w:tcPr>
          <w:p>
            <w:pPr>
              <w:ind w:left="800"/>
              <w:spacing w:after="0"/>
              <w:rPr>
                <w:sz w:val="20"/>
                <w:szCs w:val="20"/>
                <w:color w:val="auto"/>
              </w:rPr>
            </w:pPr>
            <w:r>
              <w:rPr>
                <w:rFonts w:ascii="Arial" w:cs="Arial" w:eastAsia="Arial" w:hAnsi="Arial"/>
                <w:sz w:val="20"/>
                <w:szCs w:val="20"/>
                <w:color w:val="auto"/>
              </w:rPr>
              <w:t>Yes</w:t>
            </w:r>
          </w:p>
        </w:tc>
        <w:tc>
          <w:tcPr>
            <w:tcW w:w="580" w:type="dxa"/>
            <w:vAlign w:val="bottom"/>
          </w:tcPr>
          <w:p>
            <w:pPr>
              <w:ind w:left="20"/>
              <w:spacing w:after="0"/>
              <w:rPr>
                <w:sz w:val="20"/>
                <w:szCs w:val="20"/>
                <w:color w:val="auto"/>
              </w:rPr>
            </w:pPr>
            <w:r>
              <w:rPr>
                <w:rFonts w:ascii="Arial" w:cs="Arial" w:eastAsia="Arial" w:hAnsi="Arial"/>
                <w:sz w:val="20"/>
                <w:szCs w:val="20"/>
                <w:color w:val="auto"/>
              </w:rPr>
              <w:t>No</w:t>
            </w:r>
          </w:p>
        </w:tc>
        <w:tc>
          <w:tcPr>
            <w:tcW w:w="1220" w:type="dxa"/>
            <w:vAlign w:val="bottom"/>
          </w:tcPr>
          <w:p>
            <w:pPr>
              <w:ind w:left="760"/>
              <w:spacing w:after="0"/>
              <w:rPr>
                <w:sz w:val="20"/>
                <w:szCs w:val="20"/>
                <w:color w:val="auto"/>
              </w:rPr>
            </w:pPr>
            <w:r>
              <w:rPr>
                <w:rFonts w:ascii="Arial" w:cs="Arial" w:eastAsia="Arial" w:hAnsi="Arial"/>
                <w:sz w:val="20"/>
                <w:szCs w:val="20"/>
                <w:color w:val="auto"/>
              </w:rPr>
              <w:t>Yes</w:t>
            </w:r>
          </w:p>
        </w:tc>
        <w:tc>
          <w:tcPr>
            <w:tcW w:w="1720" w:type="dxa"/>
            <w:vAlign w:val="bottom"/>
          </w:tcPr>
          <w:p>
            <w:pPr>
              <w:ind w:left="1180"/>
              <w:spacing w:after="0"/>
              <w:rPr>
                <w:sz w:val="20"/>
                <w:szCs w:val="20"/>
                <w:color w:val="auto"/>
              </w:rPr>
            </w:pPr>
            <w:r>
              <w:rPr>
                <w:rFonts w:ascii="Arial" w:cs="Arial" w:eastAsia="Arial" w:hAnsi="Arial"/>
                <w:sz w:val="20"/>
                <w:szCs w:val="20"/>
                <w:color w:val="auto"/>
              </w:rPr>
              <w:t>No</w:t>
            </w:r>
          </w:p>
        </w:tc>
      </w:tr>
      <w:tr>
        <w:trPr>
          <w:trHeight w:val="250"/>
        </w:trPr>
        <w:tc>
          <w:tcPr>
            <w:tcW w:w="2740" w:type="dxa"/>
            <w:vAlign w:val="bottom"/>
          </w:tcPr>
          <w:p>
            <w:pPr>
              <w:jc w:val="right"/>
              <w:ind w:right="2481"/>
              <w:spacing w:after="0"/>
              <w:rPr>
                <w:sz w:val="20"/>
                <w:szCs w:val="20"/>
                <w:color w:val="auto"/>
              </w:rPr>
            </w:pPr>
            <w:r>
              <w:rPr>
                <w:rFonts w:ascii="Arial" w:cs="Arial" w:eastAsia="Arial" w:hAnsi="Arial"/>
                <w:sz w:val="20"/>
                <w:szCs w:val="20"/>
                <w:color w:val="auto"/>
                <w:w w:val="78"/>
              </w:rPr>
              <w:t>4)</w:t>
            </w:r>
          </w:p>
        </w:tc>
        <w:tc>
          <w:tcPr>
            <w:tcW w:w="2820" w:type="dxa"/>
            <w:vAlign w:val="bottom"/>
          </w:tcPr>
          <w:p>
            <w:pPr>
              <w:spacing w:after="0"/>
              <w:rPr>
                <w:sz w:val="21"/>
                <w:szCs w:val="21"/>
                <w:color w:val="auto"/>
              </w:rPr>
            </w:pPr>
          </w:p>
        </w:tc>
        <w:tc>
          <w:tcPr>
            <w:tcW w:w="1780" w:type="dxa"/>
            <w:vAlign w:val="bottom"/>
          </w:tcPr>
          <w:p>
            <w:pPr>
              <w:ind w:left="800"/>
              <w:spacing w:after="0"/>
              <w:rPr>
                <w:sz w:val="20"/>
                <w:szCs w:val="20"/>
                <w:color w:val="auto"/>
              </w:rPr>
            </w:pPr>
            <w:r>
              <w:rPr>
                <w:rFonts w:ascii="Arial" w:cs="Arial" w:eastAsia="Arial" w:hAnsi="Arial"/>
                <w:sz w:val="20"/>
                <w:szCs w:val="20"/>
                <w:color w:val="auto"/>
              </w:rPr>
              <w:t>Yes</w:t>
            </w:r>
          </w:p>
        </w:tc>
        <w:tc>
          <w:tcPr>
            <w:tcW w:w="580" w:type="dxa"/>
            <w:vAlign w:val="bottom"/>
          </w:tcPr>
          <w:p>
            <w:pPr>
              <w:ind w:left="20"/>
              <w:spacing w:after="0"/>
              <w:rPr>
                <w:sz w:val="20"/>
                <w:szCs w:val="20"/>
                <w:color w:val="auto"/>
              </w:rPr>
            </w:pPr>
            <w:r>
              <w:rPr>
                <w:rFonts w:ascii="Arial" w:cs="Arial" w:eastAsia="Arial" w:hAnsi="Arial"/>
                <w:sz w:val="20"/>
                <w:szCs w:val="20"/>
                <w:color w:val="auto"/>
              </w:rPr>
              <w:t>No</w:t>
            </w:r>
          </w:p>
        </w:tc>
        <w:tc>
          <w:tcPr>
            <w:tcW w:w="1220" w:type="dxa"/>
            <w:vAlign w:val="bottom"/>
          </w:tcPr>
          <w:p>
            <w:pPr>
              <w:ind w:left="760"/>
              <w:spacing w:after="0"/>
              <w:rPr>
                <w:sz w:val="20"/>
                <w:szCs w:val="20"/>
                <w:color w:val="auto"/>
              </w:rPr>
            </w:pPr>
            <w:r>
              <w:rPr>
                <w:rFonts w:ascii="Arial" w:cs="Arial" w:eastAsia="Arial" w:hAnsi="Arial"/>
                <w:sz w:val="20"/>
                <w:szCs w:val="20"/>
                <w:color w:val="auto"/>
              </w:rPr>
              <w:t>Yes</w:t>
            </w:r>
          </w:p>
        </w:tc>
        <w:tc>
          <w:tcPr>
            <w:tcW w:w="1720" w:type="dxa"/>
            <w:vAlign w:val="bottom"/>
          </w:tcPr>
          <w:p>
            <w:pPr>
              <w:ind w:left="1180"/>
              <w:spacing w:after="0"/>
              <w:rPr>
                <w:sz w:val="20"/>
                <w:szCs w:val="20"/>
                <w:color w:val="auto"/>
              </w:rPr>
            </w:pPr>
            <w:r>
              <w:rPr>
                <w:rFonts w:ascii="Arial" w:cs="Arial" w:eastAsia="Arial" w:hAnsi="Arial"/>
                <w:sz w:val="20"/>
                <w:szCs w:val="20"/>
                <w:color w:val="auto"/>
              </w:rPr>
              <w:t>No</w:t>
            </w:r>
          </w:p>
        </w:tc>
      </w:tr>
    </w:tbl>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Covenant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7.13 – Minimum Liquidity </w:t>
      </w:r>
      <w:r>
        <w:rPr>
          <w:rFonts w:ascii="Arial" w:cs="Arial" w:eastAsia="Arial" w:hAnsi="Arial"/>
          <w:sz w:val="20"/>
          <w:szCs w:val="20"/>
          <w:color w:val="auto"/>
        </w:rPr>
        <w:t>(please attach a schedule with the appropriate calculations) Complies? Yes No</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Other Matters</w:t>
      </w:r>
    </w:p>
    <w:p>
      <w:pPr>
        <w:spacing w:after="0" w:line="256" w:lineRule="exact"/>
        <w:rPr>
          <w:sz w:val="20"/>
          <w:szCs w:val="20"/>
          <w:color w:val="auto"/>
        </w:rPr>
      </w:pPr>
    </w:p>
    <w:p>
      <w:pPr>
        <w:ind w:left="320"/>
        <w:spacing w:after="0"/>
        <w:tabs>
          <w:tab w:leader="none" w:pos="860" w:val="left"/>
          <w:tab w:leader="none" w:pos="9340" w:val="left"/>
          <w:tab w:leader="none" w:pos="1050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20"/>
          <w:szCs w:val="20"/>
          <w:color w:val="auto"/>
        </w:rPr>
        <w:t>Have there been any changes in Key Persons since the last Compliance Certificate?</w:t>
      </w:r>
      <w:r>
        <w:rPr>
          <w:sz w:val="20"/>
          <w:szCs w:val="20"/>
          <w:color w:val="auto"/>
        </w:rPr>
        <w:tab/>
      </w:r>
      <w:r>
        <w:rPr>
          <w:rFonts w:ascii="Arial" w:cs="Arial" w:eastAsia="Arial" w:hAnsi="Arial"/>
          <w:sz w:val="20"/>
          <w:szCs w:val="20"/>
          <w:color w:val="auto"/>
        </w:rPr>
        <w:t>Yes</w:t>
      </w:r>
      <w:r>
        <w:rPr>
          <w:sz w:val="20"/>
          <w:szCs w:val="20"/>
          <w:color w:val="auto"/>
        </w:rPr>
        <w:tab/>
      </w:r>
      <w:r>
        <w:rPr>
          <w:rFonts w:ascii="Arial" w:cs="Arial" w:eastAsia="Arial" w:hAnsi="Arial"/>
          <w:sz w:val="18"/>
          <w:szCs w:val="18"/>
          <w:color w:val="auto"/>
        </w:rPr>
        <w:t>No</w:t>
      </w:r>
    </w:p>
    <w:p>
      <w:pPr>
        <w:sectPr>
          <w:pgSz w:w="11900" w:h="16838" w:orient="portrait"/>
          <w:cols w:equalWidth="0" w:num="1">
            <w:col w:w="10980"/>
          </w:cols>
          <w:pgMar w:left="320" w:top="1440" w:right="599" w:bottom="1440" w:gutter="0" w:footer="0" w:header="0"/>
        </w:sectPr>
      </w:pPr>
    </w:p>
    <w:bookmarkStart w:id="133" w:name="page134"/>
    <w:bookmarkEnd w:id="133"/>
    <w:p>
      <w:pPr>
        <w:spacing w:after="0" w:line="20" w:lineRule="exact"/>
        <w:rPr>
          <w:sz w:val="20"/>
          <w:szCs w:val="20"/>
          <w:color w:val="auto"/>
        </w:rPr>
      </w:pPr>
    </w:p>
    <w:p>
      <w:pPr>
        <w:ind w:left="556" w:right="140" w:hanging="556"/>
        <w:spacing w:after="0" w:line="187" w:lineRule="auto"/>
        <w:tabs>
          <w:tab w:leader="none" w:pos="556" w:val="left"/>
        </w:tabs>
        <w:numPr>
          <w:ilvl w:val="0"/>
          <w:numId w:val="116"/>
        </w:numPr>
        <w:rPr>
          <w:rFonts w:ascii="Arial" w:cs="Arial" w:eastAsia="Arial" w:hAnsi="Arial"/>
          <w:sz w:val="32"/>
          <w:szCs w:val="32"/>
          <w:b w:val="1"/>
          <w:bCs w:val="1"/>
          <w:color w:val="auto"/>
          <w:vertAlign w:val="subscript"/>
        </w:rPr>
      </w:pPr>
      <w:r>
        <w:rPr>
          <w:rFonts w:ascii="Arial" w:cs="Arial" w:eastAsia="Arial" w:hAnsi="Arial"/>
          <w:sz w:val="17"/>
          <w:szCs w:val="17"/>
          <w:color w:val="auto"/>
        </w:rPr>
        <w:t>Have there been any transfers/sales/disposals/retirement of Collateral or IP prohibited by the Loan Agreement?</w:t>
      </w:r>
    </w:p>
    <w:p>
      <w:pPr>
        <w:spacing w:after="0" w:line="208" w:lineRule="exact"/>
        <w:rPr>
          <w:rFonts w:ascii="Arial" w:cs="Arial" w:eastAsia="Arial" w:hAnsi="Arial"/>
          <w:sz w:val="32"/>
          <w:szCs w:val="32"/>
          <w:b w:val="1"/>
          <w:bCs w:val="1"/>
          <w:color w:val="auto"/>
          <w:vertAlign w:val="subscript"/>
        </w:rPr>
      </w:pPr>
    </w:p>
    <w:p>
      <w:pPr>
        <w:ind w:left="556" w:right="80" w:hanging="556"/>
        <w:spacing w:after="0" w:line="187" w:lineRule="auto"/>
        <w:tabs>
          <w:tab w:leader="none" w:pos="556" w:val="left"/>
        </w:tabs>
        <w:numPr>
          <w:ilvl w:val="0"/>
          <w:numId w:val="116"/>
        </w:numPr>
        <w:rPr>
          <w:rFonts w:ascii="Arial" w:cs="Arial" w:eastAsia="Arial" w:hAnsi="Arial"/>
          <w:sz w:val="32"/>
          <w:szCs w:val="32"/>
          <w:b w:val="1"/>
          <w:bCs w:val="1"/>
          <w:color w:val="auto"/>
          <w:vertAlign w:val="subscript"/>
        </w:rPr>
      </w:pPr>
      <w:r>
        <w:rPr>
          <w:rFonts w:ascii="Arial" w:cs="Arial" w:eastAsia="Arial" w:hAnsi="Arial"/>
          <w:sz w:val="17"/>
          <w:szCs w:val="17"/>
          <w:color w:val="auto"/>
        </w:rPr>
        <w:t>Have there been any new or pending claims or causes of action against Borrower that involve more than Two Hundred Fifty Thousand Dollars ($250,000)?</w:t>
      </w:r>
    </w:p>
    <w:p>
      <w:pPr>
        <w:ind w:left="556" w:hanging="556"/>
        <w:spacing w:after="0" w:line="184" w:lineRule="auto"/>
        <w:tabs>
          <w:tab w:leader="none" w:pos="556" w:val="left"/>
        </w:tabs>
        <w:numPr>
          <w:ilvl w:val="0"/>
          <w:numId w:val="116"/>
        </w:numPr>
        <w:rPr>
          <w:rFonts w:ascii="Arial" w:cs="Arial" w:eastAsia="Arial" w:hAnsi="Arial"/>
          <w:sz w:val="32"/>
          <w:szCs w:val="32"/>
          <w:b w:val="1"/>
          <w:bCs w:val="1"/>
          <w:color w:val="auto"/>
          <w:vertAlign w:val="subscript"/>
        </w:rPr>
      </w:pPr>
      <w:r>
        <w:rPr>
          <w:rFonts w:ascii="Arial" w:cs="Arial" w:eastAsia="Arial" w:hAnsi="Arial"/>
          <w:sz w:val="17"/>
          <w:szCs w:val="17"/>
          <w:color w:val="auto"/>
        </w:rPr>
        <w:t>Has Borrower provided the Collateral Agent with all notices required to be delivered under Sections 6.2(a) and 6.2(b) of the Loan Agreement?</w:t>
      </w:r>
    </w:p>
    <w:p>
      <w:pPr>
        <w:ind w:left="556" w:right="760" w:hanging="556"/>
        <w:spacing w:after="0" w:line="184" w:lineRule="auto"/>
        <w:tabs>
          <w:tab w:leader="none" w:pos="556" w:val="left"/>
        </w:tabs>
        <w:numPr>
          <w:ilvl w:val="0"/>
          <w:numId w:val="116"/>
        </w:numPr>
        <w:rPr>
          <w:rFonts w:ascii="Arial" w:cs="Arial" w:eastAsia="Arial" w:hAnsi="Arial"/>
          <w:sz w:val="32"/>
          <w:szCs w:val="32"/>
          <w:b w:val="1"/>
          <w:bCs w:val="1"/>
          <w:color w:val="auto"/>
          <w:vertAlign w:val="subscript"/>
        </w:rPr>
      </w:pPr>
      <w:r>
        <w:rPr>
          <w:rFonts w:ascii="Arial" w:cs="Arial" w:eastAsia="Arial" w:hAnsi="Arial"/>
          <w:sz w:val="17"/>
          <w:szCs w:val="17"/>
          <w:color w:val="auto"/>
        </w:rPr>
        <w:t>With respect to each Foreign Subsidiary, do any hold assets worth One Hundred Thousand ($100,000) or more in book value?</w:t>
      </w:r>
    </w:p>
    <w:p>
      <w:pPr>
        <w:ind w:left="556"/>
        <w:spacing w:after="0" w:line="229" w:lineRule="auto"/>
        <w:rPr>
          <w:rFonts w:ascii="Arial" w:cs="Arial" w:eastAsia="Arial" w:hAnsi="Arial"/>
          <w:sz w:val="32"/>
          <w:szCs w:val="32"/>
          <w:b w:val="1"/>
          <w:bCs w:val="1"/>
          <w:color w:val="auto"/>
          <w:vertAlign w:val="subscript"/>
        </w:rPr>
      </w:pPr>
      <w:r>
        <w:rPr>
          <w:rFonts w:ascii="Arial" w:cs="Arial" w:eastAsia="Arial" w:hAnsi="Arial"/>
          <w:sz w:val="18"/>
          <w:szCs w:val="18"/>
          <w:color w:val="auto"/>
        </w:rPr>
        <w:t>If the answer to question 5 is Yes, has the Company provided certificates representing a pledge of</w:t>
      </w:r>
    </w:p>
    <w:p>
      <w:pPr>
        <w:ind w:left="556" w:right="460" w:hanging="556"/>
        <w:spacing w:after="0" w:line="220" w:lineRule="auto"/>
        <w:tabs>
          <w:tab w:leader="none" w:pos="556" w:val="left"/>
        </w:tabs>
        <w:numPr>
          <w:ilvl w:val="0"/>
          <w:numId w:val="116"/>
        </w:numPr>
        <w:rPr>
          <w:rFonts w:ascii="Arial" w:cs="Arial" w:eastAsia="Arial" w:hAnsi="Arial"/>
          <w:sz w:val="20"/>
          <w:szCs w:val="20"/>
          <w:b w:val="1"/>
          <w:bCs w:val="1"/>
          <w:color w:val="auto"/>
        </w:rPr>
      </w:pPr>
      <w:r>
        <w:rPr>
          <w:rFonts w:ascii="Arial" w:cs="Arial" w:eastAsia="Arial" w:hAnsi="Arial"/>
          <w:sz w:val="20"/>
          <w:szCs w:val="20"/>
          <w:color w:val="auto"/>
        </w:rPr>
        <w:t>65% of the stock, units or other evidence of ownership held by Borrower or Guarantor of such Foreign Subsidiary?</w:t>
      </w:r>
    </w:p>
    <w:p>
      <w:pPr>
        <w:spacing w:after="0" w:line="1" w:lineRule="exact"/>
        <w:rPr>
          <w:rFonts w:ascii="Arial" w:cs="Arial" w:eastAsia="Arial" w:hAnsi="Arial"/>
          <w:sz w:val="20"/>
          <w:szCs w:val="20"/>
          <w:b w:val="1"/>
          <w:bCs w:val="1"/>
          <w:color w:val="auto"/>
        </w:rPr>
      </w:pPr>
    </w:p>
    <w:p>
      <w:pPr>
        <w:ind w:left="556" w:right="260" w:hanging="556"/>
        <w:spacing w:after="0" w:line="184" w:lineRule="auto"/>
        <w:tabs>
          <w:tab w:leader="none" w:pos="556" w:val="left"/>
        </w:tabs>
        <w:numPr>
          <w:ilvl w:val="0"/>
          <w:numId w:val="116"/>
        </w:numPr>
        <w:rPr>
          <w:rFonts w:ascii="Arial" w:cs="Arial" w:eastAsia="Arial" w:hAnsi="Arial"/>
          <w:sz w:val="32"/>
          <w:szCs w:val="32"/>
          <w:b w:val="1"/>
          <w:bCs w:val="1"/>
          <w:color w:val="auto"/>
          <w:vertAlign w:val="subscript"/>
        </w:rPr>
      </w:pPr>
      <w:r>
        <w:rPr>
          <w:rFonts w:ascii="Arial" w:cs="Arial" w:eastAsia="Arial" w:hAnsi="Arial"/>
          <w:sz w:val="17"/>
          <w:szCs w:val="17"/>
          <w:color w:val="auto"/>
        </w:rPr>
        <w:t>Have you entered into a Material Agreement since the last Compliance Certificate? If yes, please provide a copy.</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0" w:lineRule="exact"/>
        <w:rPr>
          <w:sz w:val="20"/>
          <w:szCs w:val="20"/>
          <w:color w:val="auto"/>
        </w:rPr>
      </w:pPr>
    </w:p>
    <w:p>
      <w:pPr>
        <w:spacing w:after="0" w:line="24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3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3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ectPr>
          <w:pgSz w:w="11900" w:h="16838" w:orient="portrait"/>
          <w:cols w:equalWidth="0" w:num="2">
            <w:col w:w="8476" w:space="560"/>
            <w:col w:w="1400"/>
          </w:cols>
          <w:pgMar w:left="644" w:top="1440" w:right="819" w:bottom="1440" w:gutter="0" w:footer="0" w:header="0"/>
        </w:sectPr>
      </w:pPr>
    </w:p>
    <w:bookmarkStart w:id="134" w:name="page135"/>
    <w:bookmarkEnd w:id="134"/>
    <w:p>
      <w:pPr>
        <w:spacing w:after="0"/>
        <w:rPr>
          <w:sz w:val="20"/>
          <w:szCs w:val="20"/>
          <w:color w:val="auto"/>
        </w:rPr>
      </w:pPr>
      <w:r>
        <w:rPr>
          <w:rFonts w:ascii="Arial" w:cs="Arial" w:eastAsia="Arial" w:hAnsi="Arial"/>
          <w:sz w:val="20"/>
          <w:szCs w:val="20"/>
          <w:b w:val="1"/>
          <w:bCs w:val="1"/>
          <w:u w:val="single" w:color="auto"/>
          <w:color w:val="auto"/>
        </w:rPr>
        <w:t>Exceptions</w:t>
      </w:r>
    </w:p>
    <w:p>
      <w:pPr>
        <w:spacing w:after="0" w:line="208"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Please explain any exceptions with respect to the certification above: (If no exceptions exist, state “No exceptions.” Attach separate sheet if additional space needed.)</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ARDELYX, INC.</w:t>
      </w:r>
    </w:p>
    <w:p>
      <w:pPr>
        <w:spacing w:after="0" w:line="177" w:lineRule="exact"/>
        <w:rPr>
          <w:sz w:val="20"/>
          <w:szCs w:val="20"/>
          <w:color w:val="auto"/>
        </w:rPr>
      </w:pPr>
    </w:p>
    <w:p>
      <w:pPr>
        <w:ind w:left="80"/>
        <w:spacing w:after="0"/>
        <w:rPr>
          <w:sz w:val="20"/>
          <w:szCs w:val="20"/>
          <w:color w:val="auto"/>
        </w:rPr>
      </w:pPr>
      <w:r>
        <w:rPr>
          <w:rFonts w:ascii="Arial" w:cs="Arial" w:eastAsia="Arial" w:hAnsi="Arial"/>
          <w:sz w:val="20"/>
          <w:szCs w:val="20"/>
          <w:color w:val="auto"/>
        </w:rPr>
        <w:t>By:</w:t>
      </w:r>
    </w:p>
    <w:p>
      <w:pPr>
        <w:ind w:left="80"/>
        <w:spacing w:after="0" w:line="197" w:lineRule="auto"/>
        <w:rPr>
          <w:sz w:val="20"/>
          <w:szCs w:val="20"/>
          <w:color w:val="auto"/>
        </w:rPr>
      </w:pPr>
      <w:r>
        <w:rPr>
          <w:rFonts w:ascii="Arial" w:cs="Arial" w:eastAsia="Arial" w:hAnsi="Arial"/>
          <w:sz w:val="20"/>
          <w:szCs w:val="20"/>
          <w:color w:val="auto"/>
        </w:rPr>
        <w:t>Name:</w:t>
      </w:r>
    </w:p>
    <w:p>
      <w:pPr>
        <w:ind w:left="80"/>
        <w:spacing w:after="0"/>
        <w:rPr>
          <w:sz w:val="20"/>
          <w:szCs w:val="20"/>
          <w:color w:val="auto"/>
        </w:rPr>
      </w:pPr>
      <w:r>
        <w:rPr>
          <w:rFonts w:ascii="Arial" w:cs="Arial" w:eastAsia="Arial" w:hAnsi="Arial"/>
          <w:sz w:val="20"/>
          <w:szCs w:val="20"/>
          <w:color w:val="auto"/>
        </w:rPr>
        <w:t>Title:</w:t>
      </w:r>
    </w:p>
    <w:p>
      <w:pPr>
        <w:spacing w:after="0" w:line="186" w:lineRule="exact"/>
        <w:rPr>
          <w:sz w:val="20"/>
          <w:szCs w:val="20"/>
          <w:color w:val="auto"/>
        </w:rPr>
      </w:pPr>
    </w:p>
    <w:p>
      <w:pPr>
        <w:ind w:left="8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38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COLLATERAL AGENT USE ONLY</w:t>
      </w:r>
    </w:p>
    <w:p>
      <w:pPr>
        <w:spacing w:after="0" w:line="168" w:lineRule="exact"/>
        <w:rPr>
          <w:sz w:val="20"/>
          <w:szCs w:val="20"/>
          <w:color w:val="auto"/>
        </w:rPr>
      </w:pPr>
    </w:p>
    <w:p>
      <w:pPr>
        <w:ind w:left="3700"/>
        <w:spacing w:after="0"/>
        <w:tabs>
          <w:tab w:leader="none" w:pos="4960" w:val="left"/>
        </w:tabs>
        <w:rPr>
          <w:sz w:val="20"/>
          <w:szCs w:val="20"/>
          <w:color w:val="auto"/>
        </w:rPr>
      </w:pPr>
      <w:r>
        <w:rPr>
          <w:rFonts w:ascii="Arial" w:cs="Arial" w:eastAsia="Arial" w:hAnsi="Arial"/>
          <w:sz w:val="20"/>
          <w:szCs w:val="20"/>
          <w:color w:val="auto"/>
        </w:rPr>
        <w:t>Received by:</w:t>
      </w:r>
      <w:r>
        <w:rPr>
          <w:sz w:val="20"/>
          <w:szCs w:val="20"/>
          <w:color w:val="auto"/>
        </w:rPr>
        <w:tab/>
      </w:r>
      <w:r>
        <w:rPr>
          <w:rFonts w:ascii="Arial" w:cs="Arial" w:eastAsia="Arial" w:hAnsi="Arial"/>
          <w:sz w:val="18"/>
          <w:szCs w:val="18"/>
          <w:color w:val="auto"/>
        </w:rPr>
        <w:t>Date:</w:t>
      </w:r>
    </w:p>
    <w:p>
      <w:pPr>
        <w:spacing w:after="0" w:line="162" w:lineRule="exact"/>
        <w:rPr>
          <w:sz w:val="20"/>
          <w:szCs w:val="20"/>
          <w:color w:val="auto"/>
        </w:rPr>
      </w:pPr>
    </w:p>
    <w:p>
      <w:pPr>
        <w:ind w:left="3700"/>
        <w:spacing w:after="0"/>
        <w:tabs>
          <w:tab w:leader="none" w:pos="4920" w:val="left"/>
        </w:tabs>
        <w:rPr>
          <w:sz w:val="20"/>
          <w:szCs w:val="20"/>
          <w:color w:val="auto"/>
        </w:rPr>
      </w:pPr>
      <w:r>
        <w:rPr>
          <w:rFonts w:ascii="Arial" w:cs="Arial" w:eastAsia="Arial" w:hAnsi="Arial"/>
          <w:sz w:val="20"/>
          <w:szCs w:val="20"/>
          <w:color w:val="auto"/>
        </w:rPr>
        <w:t>Verified by:</w:t>
      </w:r>
      <w:r>
        <w:rPr>
          <w:sz w:val="20"/>
          <w:szCs w:val="20"/>
          <w:color w:val="auto"/>
        </w:rPr>
        <w:tab/>
      </w:r>
      <w:r>
        <w:rPr>
          <w:rFonts w:ascii="Arial" w:cs="Arial" w:eastAsia="Arial" w:hAnsi="Arial"/>
          <w:sz w:val="16"/>
          <w:szCs w:val="16"/>
          <w:color w:val="auto"/>
        </w:rPr>
        <w:t>Date:</w:t>
      </w:r>
    </w:p>
    <w:p>
      <w:pPr>
        <w:spacing w:after="0" w:line="148" w:lineRule="exact"/>
        <w:rPr>
          <w:sz w:val="20"/>
          <w:szCs w:val="20"/>
          <w:color w:val="auto"/>
        </w:rPr>
      </w:pPr>
    </w:p>
    <w:p>
      <w:pPr>
        <w:ind w:left="3700"/>
        <w:spacing w:after="0"/>
        <w:tabs>
          <w:tab w:leader="none" w:pos="5420" w:val="left"/>
          <w:tab w:leader="none" w:pos="5900" w:val="left"/>
        </w:tabs>
        <w:rPr>
          <w:sz w:val="20"/>
          <w:szCs w:val="20"/>
          <w:color w:val="auto"/>
        </w:rPr>
      </w:pPr>
      <w:r>
        <w:rPr>
          <w:rFonts w:ascii="Arial" w:cs="Arial" w:eastAsia="Arial" w:hAnsi="Arial"/>
          <w:sz w:val="20"/>
          <w:szCs w:val="20"/>
          <w:color w:val="auto"/>
        </w:rPr>
        <w:t>Compliance Status:</w:t>
        <w:tab/>
        <w:t>Yes</w:t>
      </w:r>
      <w:r>
        <w:rPr>
          <w:sz w:val="20"/>
          <w:szCs w:val="20"/>
          <w:color w:val="auto"/>
        </w:rPr>
        <w:tab/>
      </w:r>
      <w:r>
        <w:rPr>
          <w:rFonts w:ascii="Arial" w:cs="Arial" w:eastAsia="Arial" w:hAnsi="Arial"/>
          <w:sz w:val="18"/>
          <w:szCs w:val="18"/>
          <w:color w:val="auto"/>
        </w:rPr>
        <w:t>No</w:t>
      </w:r>
    </w:p>
    <w:p>
      <w:pPr>
        <w:sectPr>
          <w:pgSz w:w="11900" w:h="16838" w:orient="portrait"/>
          <w:cols w:equalWidth="0" w:num="1">
            <w:col w:w="11060"/>
          </w:cols>
          <w:pgMar w:left="320" w:top="1399" w:right="519" w:bottom="1440" w:gutter="0" w:footer="0" w:header="0"/>
        </w:sectPr>
      </w:pPr>
    </w:p>
    <w:bookmarkStart w:id="135" w:name="page136"/>
    <w:bookmarkEnd w:id="135"/>
    <w:p>
      <w:pPr>
        <w:spacing w:after="0" w:line="162"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EXHIBIT F</w:t>
      </w:r>
    </w:p>
    <w:p>
      <w:pPr>
        <w:spacing w:after="0" w:line="202"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CORPORATE BORROWING CERTIFICATE</w:t>
      </w:r>
    </w:p>
    <w:p>
      <w:pPr>
        <w:spacing w:after="0" w:line="129" w:lineRule="exact"/>
        <w:rPr>
          <w:sz w:val="20"/>
          <w:szCs w:val="20"/>
          <w:color w:val="auto"/>
        </w:rPr>
      </w:pPr>
    </w:p>
    <w:p>
      <w:pPr>
        <w:spacing w:after="0"/>
        <w:tabs>
          <w:tab w:leader="none" w:pos="2920" w:val="left"/>
        </w:tabs>
        <w:rPr>
          <w:sz w:val="20"/>
          <w:szCs w:val="20"/>
          <w:color w:val="auto"/>
        </w:rPr>
      </w:pPr>
      <w:r>
        <w:rPr>
          <w:rFonts w:ascii="Arial" w:cs="Arial" w:eastAsia="Arial" w:hAnsi="Arial"/>
          <w:sz w:val="20"/>
          <w:szCs w:val="20"/>
          <w:b w:val="1"/>
          <w:bCs w:val="1"/>
          <w:color w:val="auto"/>
        </w:rPr>
        <w:t xml:space="preserve">BORROWER: </w:t>
      </w:r>
      <w:r>
        <w:rPr>
          <w:rFonts w:ascii="Arial" w:cs="Arial" w:eastAsia="Arial" w:hAnsi="Arial"/>
          <w:sz w:val="20"/>
          <w:szCs w:val="20"/>
          <w:color w:val="auto"/>
        </w:rPr>
        <w:t>ARDELYX, INC.</w:t>
      </w:r>
      <w:r>
        <w:rPr>
          <w:sz w:val="20"/>
          <w:szCs w:val="20"/>
          <w:color w:val="auto"/>
        </w:rPr>
        <w:tab/>
      </w:r>
      <w:r>
        <w:rPr>
          <w:rFonts w:ascii="Arial" w:cs="Arial" w:eastAsia="Arial" w:hAnsi="Arial"/>
          <w:sz w:val="18"/>
          <w:szCs w:val="18"/>
          <w:b w:val="1"/>
          <w:bCs w:val="1"/>
          <w:color w:val="auto"/>
        </w:rPr>
        <w:t>DATE</w:t>
      </w:r>
      <w:r>
        <w:rPr>
          <w:rFonts w:ascii="Arial" w:cs="Arial" w:eastAsia="Arial" w:hAnsi="Arial"/>
          <w:sz w:val="18"/>
          <w:szCs w:val="18"/>
          <w:color w:val="auto"/>
        </w:rPr>
        <w:t>: February 23, 2022</w:t>
      </w:r>
    </w:p>
    <w:p>
      <w:pPr>
        <w:spacing w:after="0"/>
        <w:tabs>
          <w:tab w:leader="none" w:pos="1080" w:val="left"/>
        </w:tabs>
        <w:rPr>
          <w:sz w:val="20"/>
          <w:szCs w:val="20"/>
          <w:color w:val="auto"/>
        </w:rPr>
      </w:pPr>
      <w:r>
        <w:rPr>
          <w:rFonts w:ascii="Arial" w:cs="Arial" w:eastAsia="Arial" w:hAnsi="Arial"/>
          <w:sz w:val="20"/>
          <w:szCs w:val="20"/>
          <w:b w:val="1"/>
          <w:bCs w:val="1"/>
          <w:color w:val="auto"/>
        </w:rPr>
        <w:t>LENDER:</w:t>
      </w:r>
      <w:r>
        <w:rPr>
          <w:sz w:val="20"/>
          <w:szCs w:val="20"/>
          <w:color w:val="auto"/>
        </w:rPr>
        <w:tab/>
      </w:r>
      <w:r>
        <w:rPr>
          <w:rFonts w:ascii="Arial" w:cs="Arial" w:eastAsia="Arial" w:hAnsi="Arial"/>
          <w:sz w:val="18"/>
          <w:szCs w:val="18"/>
          <w:color w:val="auto"/>
        </w:rPr>
        <w:t>SLR INVESTMENT CORP., as Collateral Agent and Lender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 hereby certify, solely in my capacity as an officer of Borrower and not in my individual capacity, as follows, as of the date set forth above:</w:t>
      </w:r>
    </w:p>
    <w:p>
      <w:pPr>
        <w:spacing w:after="0" w:line="185" w:lineRule="exact"/>
        <w:rPr>
          <w:sz w:val="20"/>
          <w:szCs w:val="20"/>
          <w:color w:val="auto"/>
        </w:rPr>
      </w:pPr>
    </w:p>
    <w:p>
      <w:pPr>
        <w:ind w:left="360" w:hanging="352"/>
        <w:spacing w:after="0"/>
        <w:tabs>
          <w:tab w:leader="none" w:pos="36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I am the Secretary or other officer of Borrower. My title is as set forth below.</w:t>
      </w:r>
    </w:p>
    <w:p>
      <w:pPr>
        <w:spacing w:after="0" w:line="148" w:lineRule="exact"/>
        <w:rPr>
          <w:rFonts w:ascii="Arial" w:cs="Arial" w:eastAsia="Arial" w:hAnsi="Arial"/>
          <w:sz w:val="20"/>
          <w:szCs w:val="20"/>
          <w:color w:val="auto"/>
        </w:rPr>
      </w:pPr>
    </w:p>
    <w:p>
      <w:pPr>
        <w:ind w:left="360" w:hanging="352"/>
        <w:spacing w:after="0"/>
        <w:tabs>
          <w:tab w:leader="none" w:pos="36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Borrower’s exact legal name is set forth above. Borrower is a corporation existing under the laws of the State of Delaware.</w:t>
      </w:r>
    </w:p>
    <w:p>
      <w:pPr>
        <w:spacing w:after="0" w:line="161" w:lineRule="exact"/>
        <w:rPr>
          <w:rFonts w:ascii="Arial" w:cs="Arial" w:eastAsia="Arial" w:hAnsi="Arial"/>
          <w:sz w:val="20"/>
          <w:szCs w:val="20"/>
          <w:color w:val="auto"/>
        </w:rPr>
      </w:pPr>
    </w:p>
    <w:p>
      <w:pPr>
        <w:jc w:val="both"/>
        <w:ind w:firstLine="8"/>
        <w:spacing w:after="0" w:line="210" w:lineRule="auto"/>
        <w:tabs>
          <w:tab w:leader="none" w:pos="474"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Exhibit B</w:t>
      </w:r>
      <w:r>
        <w:rPr>
          <w:rFonts w:ascii="Arial" w:cs="Arial" w:eastAsia="Arial" w:hAnsi="Arial"/>
          <w:sz w:val="20"/>
          <w:szCs w:val="20"/>
          <w:color w:val="auto"/>
        </w:rPr>
        <w:t>, respectively, are true, correct and complete copies of (i) Borrower’s Certificate of Incorporation (including amendments), as filed with the Secretary of State of the state in which Borrower is incorporated as set forth in paragraph 2 above; and (ii) Borrower’s Bylaws. Neither such Certificate of Incorporation nor such Bylaws have been amended, annulled, rescinded, revoked or supplemented, and such Certificate of Incorporation and such Bylaws remain in full force and effect as of the date hereof.</w:t>
      </w:r>
    </w:p>
    <w:p>
      <w:pPr>
        <w:spacing w:after="0" w:line="141" w:lineRule="exact"/>
        <w:rPr>
          <w:rFonts w:ascii="Arial" w:cs="Arial" w:eastAsia="Arial" w:hAnsi="Arial"/>
          <w:sz w:val="20"/>
          <w:szCs w:val="20"/>
          <w:color w:val="auto"/>
        </w:rPr>
      </w:pPr>
    </w:p>
    <w:p>
      <w:pPr>
        <w:jc w:val="both"/>
        <w:ind w:firstLine="8"/>
        <w:spacing w:after="0" w:line="224" w:lineRule="auto"/>
        <w:tabs>
          <w:tab w:leader="none" w:pos="356"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following resolutions were duly and validly adopted by Borrower’s board of directors (or a duly authorized committee thereof) at a duly held meeting of such directors (or pursuant to a unanimous written consent or other authorized corporate action). Such resolutions are in full force and effect as of the date hereof and have not been in any way modified, repealed, rescinded, amended or revoked, and the Lenders may rely on them until each Lender receives written notice of revocation from Borrower.</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Balance of Page Intentionally Left Blank</w:t>
      </w:r>
      <w:r>
        <w:rPr>
          <w:rFonts w:ascii="Arial" w:cs="Arial" w:eastAsia="Arial" w:hAnsi="Arial"/>
          <w:sz w:val="20"/>
          <w:szCs w:val="20"/>
          <w:b w:val="1"/>
          <w:bCs w:val="1"/>
          <w:color w:val="auto"/>
        </w:rPr>
        <w:t>]</w:t>
      </w:r>
    </w:p>
    <w:p>
      <w:pPr>
        <w:sectPr>
          <w:pgSz w:w="11900" w:h="16838" w:orient="portrait"/>
          <w:cols w:equalWidth="0" w:num="1">
            <w:col w:w="11180"/>
          </w:cols>
          <w:pgMar w:left="320" w:top="1440" w:right="399" w:bottom="1440" w:gutter="0" w:footer="0" w:header="0"/>
        </w:sectPr>
      </w:pPr>
    </w:p>
    <w:bookmarkStart w:id="136" w:name="page137"/>
    <w:bookmarkEnd w:id="136"/>
    <w:p>
      <w:pPr>
        <w:spacing w:after="0" w:line="162" w:lineRule="exact"/>
        <w:rPr>
          <w:sz w:val="20"/>
          <w:szCs w:val="20"/>
          <w:color w:val="auto"/>
        </w:rPr>
      </w:pPr>
    </w:p>
    <w:p>
      <w:pPr>
        <w:ind w:right="460"/>
        <w:spacing w:after="0" w:line="232" w:lineRule="auto"/>
        <w:rPr>
          <w:sz w:val="20"/>
          <w:szCs w:val="20"/>
          <w:color w:val="auto"/>
        </w:rPr>
      </w:pPr>
      <w:r>
        <w:rPr>
          <w:rFonts w:ascii="Arial" w:cs="Arial" w:eastAsia="Arial" w:hAnsi="Arial"/>
          <w:sz w:val="20"/>
          <w:szCs w:val="20"/>
          <w:b w:val="1"/>
          <w:bCs w:val="1"/>
          <w:color w:val="auto"/>
        </w:rPr>
        <w:t xml:space="preserve">RESOLVED, </w:t>
      </w:r>
      <w:r>
        <w:rPr>
          <w:rFonts w:ascii="Arial" w:cs="Arial" w:eastAsia="Arial" w:hAnsi="Arial"/>
          <w:sz w:val="20"/>
          <w:szCs w:val="20"/>
          <w:color w:val="auto"/>
        </w:rPr>
        <w:t>that</w:t>
      </w:r>
      <w:r>
        <w:rPr>
          <w:rFonts w:ascii="Arial" w:cs="Arial" w:eastAsia="Arial" w:hAnsi="Arial"/>
          <w:sz w:val="20"/>
          <w:szCs w:val="20"/>
          <w:b w:val="1"/>
          <w:bCs w:val="1"/>
          <w:color w:val="auto"/>
        </w:rPr>
        <w:t xml:space="preserve"> any one </w:t>
      </w:r>
      <w:r>
        <w:rPr>
          <w:rFonts w:ascii="Arial" w:cs="Arial" w:eastAsia="Arial" w:hAnsi="Arial"/>
          <w:sz w:val="20"/>
          <w:szCs w:val="20"/>
          <w:color w:val="auto"/>
        </w:rPr>
        <w:t>of the following officers or employees of Borrower, whose names, titles and signatures are below,</w:t>
      </w:r>
      <w:r>
        <w:rPr>
          <w:rFonts w:ascii="Arial" w:cs="Arial" w:eastAsia="Arial" w:hAnsi="Arial"/>
          <w:sz w:val="20"/>
          <w:szCs w:val="20"/>
          <w:b w:val="1"/>
          <w:bCs w:val="1"/>
          <w:color w:val="auto"/>
        </w:rPr>
        <w:t xml:space="preserve"> </w:t>
      </w:r>
      <w:r>
        <w:rPr>
          <w:rFonts w:ascii="Arial" w:cs="Arial" w:eastAsia="Arial" w:hAnsi="Arial"/>
          <w:sz w:val="20"/>
          <w:szCs w:val="20"/>
          <w:color w:val="auto"/>
        </w:rPr>
        <w:t>may act on behalf of Borrower:</w:t>
      </w:r>
    </w:p>
    <w:p>
      <w:pPr>
        <w:spacing w:after="0" w:line="226"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20" w:type="dxa"/>
            <w:vAlign w:val="bottom"/>
            <w:gridSpan w:val="3"/>
          </w:tcPr>
          <w:p>
            <w:pPr>
              <w:jc w:val="center"/>
              <w:ind w:left="421"/>
              <w:spacing w:after="0"/>
              <w:rPr>
                <w:sz w:val="20"/>
                <w:szCs w:val="20"/>
                <w:color w:val="auto"/>
              </w:rPr>
            </w:pPr>
            <w:r>
              <w:rPr>
                <w:rFonts w:ascii="Arial" w:cs="Arial" w:eastAsia="Arial" w:hAnsi="Arial"/>
                <w:sz w:val="20"/>
                <w:szCs w:val="20"/>
                <w:color w:val="auto"/>
                <w:w w:val="94"/>
              </w:rPr>
              <w:t>Authorized to Add</w:t>
            </w:r>
          </w:p>
        </w:tc>
        <w:tc>
          <w:tcPr>
            <w:tcW w:w="0" w:type="dxa"/>
            <w:vAlign w:val="bottom"/>
          </w:tcPr>
          <w:p>
            <w:pPr>
              <w:spacing w:after="0"/>
              <w:rPr>
                <w:sz w:val="1"/>
                <w:szCs w:val="1"/>
                <w:color w:val="auto"/>
              </w:rPr>
            </w:pPr>
          </w:p>
        </w:tc>
      </w:tr>
      <w:tr>
        <w:trPr>
          <w:trHeight w:val="189"/>
        </w:trPr>
        <w:tc>
          <w:tcPr>
            <w:tcW w:w="480" w:type="dxa"/>
            <w:vAlign w:val="bottom"/>
            <w:vMerge w:val="restart"/>
          </w:tcPr>
          <w:p>
            <w:pPr>
              <w:spacing w:after="0"/>
              <w:rPr>
                <w:sz w:val="20"/>
                <w:szCs w:val="20"/>
                <w:color w:val="auto"/>
              </w:rPr>
            </w:pPr>
            <w:r>
              <w:rPr>
                <w:rFonts w:ascii="Arial" w:cs="Arial" w:eastAsia="Arial" w:hAnsi="Arial"/>
                <w:sz w:val="20"/>
                <w:szCs w:val="20"/>
                <w:color w:val="auto"/>
                <w:w w:val="86"/>
              </w:rPr>
              <w:t>Name</w:t>
            </w:r>
          </w:p>
        </w:tc>
        <w:tc>
          <w:tcPr>
            <w:tcW w:w="1500" w:type="dxa"/>
            <w:vAlign w:val="bottom"/>
            <w:vMerge w:val="restart"/>
          </w:tcPr>
          <w:p>
            <w:pPr>
              <w:spacing w:after="0"/>
              <w:rPr>
                <w:sz w:val="16"/>
                <w:szCs w:val="16"/>
                <w:color w:val="auto"/>
              </w:rPr>
            </w:pPr>
          </w:p>
        </w:tc>
        <w:tc>
          <w:tcPr>
            <w:tcW w:w="1500" w:type="dxa"/>
            <w:vAlign w:val="bottom"/>
            <w:vMerge w:val="restart"/>
          </w:tcPr>
          <w:p>
            <w:pPr>
              <w:spacing w:after="0"/>
              <w:rPr>
                <w:sz w:val="16"/>
                <w:szCs w:val="16"/>
                <w:color w:val="auto"/>
              </w:rPr>
            </w:pPr>
          </w:p>
        </w:tc>
        <w:tc>
          <w:tcPr>
            <w:tcW w:w="3240" w:type="dxa"/>
            <w:vAlign w:val="bottom"/>
            <w:gridSpan w:val="2"/>
            <w:vMerge w:val="restart"/>
          </w:tcPr>
          <w:p>
            <w:pPr>
              <w:spacing w:after="0"/>
              <w:rPr>
                <w:sz w:val="20"/>
                <w:szCs w:val="20"/>
                <w:color w:val="auto"/>
              </w:rPr>
            </w:pPr>
            <w:r>
              <w:rPr>
                <w:rFonts w:ascii="Arial" w:cs="Arial" w:eastAsia="Arial" w:hAnsi="Arial"/>
                <w:sz w:val="20"/>
                <w:szCs w:val="20"/>
                <w:color w:val="auto"/>
              </w:rPr>
              <w:t>Title</w:t>
            </w:r>
          </w:p>
        </w:tc>
        <w:tc>
          <w:tcPr>
            <w:tcW w:w="1300" w:type="dxa"/>
            <w:vAlign w:val="bottom"/>
            <w:gridSpan w:val="2"/>
            <w:vMerge w:val="restart"/>
          </w:tcPr>
          <w:p>
            <w:pPr>
              <w:spacing w:after="0"/>
              <w:rPr>
                <w:sz w:val="20"/>
                <w:szCs w:val="20"/>
                <w:color w:val="auto"/>
              </w:rPr>
            </w:pPr>
            <w:r>
              <w:rPr>
                <w:rFonts w:ascii="Arial" w:cs="Arial" w:eastAsia="Arial" w:hAnsi="Arial"/>
                <w:sz w:val="20"/>
                <w:szCs w:val="20"/>
                <w:color w:val="auto"/>
              </w:rPr>
              <w:t>Signature</w:t>
            </w:r>
          </w:p>
        </w:tc>
        <w:tc>
          <w:tcPr>
            <w:tcW w:w="820" w:type="dxa"/>
            <w:vAlign w:val="bottom"/>
          </w:tcPr>
          <w:p>
            <w:pPr>
              <w:spacing w:after="0"/>
              <w:rPr>
                <w:sz w:val="16"/>
                <w:szCs w:val="16"/>
                <w:color w:val="auto"/>
              </w:rPr>
            </w:pPr>
          </w:p>
        </w:tc>
        <w:tc>
          <w:tcPr>
            <w:tcW w:w="1200" w:type="dxa"/>
            <w:vAlign w:val="bottom"/>
            <w:gridSpan w:val="2"/>
          </w:tcPr>
          <w:p>
            <w:pPr>
              <w:jc w:val="center"/>
              <w:ind w:right="300"/>
              <w:spacing w:after="0" w:line="189" w:lineRule="exact"/>
              <w:rPr>
                <w:sz w:val="20"/>
                <w:szCs w:val="20"/>
                <w:color w:val="auto"/>
              </w:rPr>
            </w:pPr>
            <w:r>
              <w:rPr>
                <w:rFonts w:ascii="Arial" w:cs="Arial" w:eastAsia="Arial" w:hAnsi="Arial"/>
                <w:sz w:val="20"/>
                <w:szCs w:val="20"/>
                <w:color w:val="auto"/>
                <w:w w:val="87"/>
              </w:rPr>
              <w:t>or Remove</w:t>
            </w:r>
          </w:p>
        </w:tc>
        <w:tc>
          <w:tcPr>
            <w:tcW w:w="0" w:type="dxa"/>
            <w:vAlign w:val="bottom"/>
          </w:tcPr>
          <w:p>
            <w:pPr>
              <w:spacing w:after="0"/>
              <w:rPr>
                <w:sz w:val="1"/>
                <w:szCs w:val="1"/>
                <w:color w:val="auto"/>
              </w:rPr>
            </w:pPr>
          </w:p>
        </w:tc>
      </w:tr>
      <w:tr>
        <w:trPr>
          <w:trHeight w:val="203"/>
        </w:trPr>
        <w:tc>
          <w:tcPr>
            <w:tcW w:w="480" w:type="dxa"/>
            <w:vAlign w:val="bottom"/>
            <w:vMerge w:val="continue"/>
          </w:tcPr>
          <w:p>
            <w:pPr>
              <w:spacing w:after="0"/>
              <w:rPr>
                <w:sz w:val="17"/>
                <w:szCs w:val="17"/>
                <w:color w:val="auto"/>
              </w:rPr>
            </w:pPr>
          </w:p>
        </w:tc>
        <w:tc>
          <w:tcPr>
            <w:tcW w:w="1500" w:type="dxa"/>
            <w:vAlign w:val="bottom"/>
            <w:vMerge w:val="continue"/>
          </w:tcPr>
          <w:p>
            <w:pPr>
              <w:spacing w:after="0"/>
              <w:rPr>
                <w:sz w:val="17"/>
                <w:szCs w:val="17"/>
                <w:color w:val="auto"/>
              </w:rPr>
            </w:pPr>
          </w:p>
        </w:tc>
        <w:tc>
          <w:tcPr>
            <w:tcW w:w="1500" w:type="dxa"/>
            <w:vAlign w:val="bottom"/>
            <w:vMerge w:val="continue"/>
          </w:tcPr>
          <w:p>
            <w:pPr>
              <w:spacing w:after="0"/>
              <w:rPr>
                <w:sz w:val="17"/>
                <w:szCs w:val="17"/>
                <w:color w:val="auto"/>
              </w:rPr>
            </w:pPr>
          </w:p>
        </w:tc>
        <w:tc>
          <w:tcPr>
            <w:tcW w:w="3240" w:type="dxa"/>
            <w:vAlign w:val="bottom"/>
            <w:gridSpan w:val="2"/>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020" w:type="dxa"/>
            <w:vAlign w:val="bottom"/>
            <w:gridSpan w:val="3"/>
          </w:tcPr>
          <w:p>
            <w:pPr>
              <w:jc w:val="center"/>
              <w:ind w:left="421"/>
              <w:spacing w:after="0" w:line="203" w:lineRule="exact"/>
              <w:rPr>
                <w:sz w:val="20"/>
                <w:szCs w:val="20"/>
                <w:color w:val="auto"/>
              </w:rPr>
            </w:pPr>
            <w:r>
              <w:rPr>
                <w:rFonts w:ascii="Arial" w:cs="Arial" w:eastAsia="Arial" w:hAnsi="Arial"/>
                <w:sz w:val="20"/>
                <w:szCs w:val="20"/>
                <w:color w:val="auto"/>
                <w:w w:val="89"/>
              </w:rPr>
              <w:t>Signatories</w:t>
            </w:r>
          </w:p>
        </w:tc>
        <w:tc>
          <w:tcPr>
            <w:tcW w:w="0" w:type="dxa"/>
            <w:vAlign w:val="bottom"/>
          </w:tcPr>
          <w:p>
            <w:pPr>
              <w:spacing w:after="0"/>
              <w:rPr>
                <w:sz w:val="1"/>
                <w:szCs w:val="1"/>
                <w:color w:val="auto"/>
              </w:rPr>
            </w:pPr>
          </w:p>
        </w:tc>
      </w:tr>
      <w:tr>
        <w:trPr>
          <w:trHeight w:val="260"/>
        </w:trPr>
        <w:tc>
          <w:tcPr>
            <w:tcW w:w="480" w:type="dxa"/>
            <w:vAlign w:val="bottom"/>
            <w:tcBorders>
              <w:top w:val="single" w:sz="8" w:color="auto"/>
            </w:tcBorders>
          </w:tcPr>
          <w:p>
            <w:pPr>
              <w:spacing w:after="0"/>
              <w:rPr>
                <w:sz w:val="22"/>
                <w:szCs w:val="22"/>
                <w:color w:val="auto"/>
              </w:rPr>
            </w:pPr>
          </w:p>
        </w:tc>
        <w:tc>
          <w:tcPr>
            <w:tcW w:w="1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88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8"/>
              </w:rPr>
              <w:t>□</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bl>
    <w:p>
      <w:pPr>
        <w:spacing w:after="0" w:line="338" w:lineRule="exact"/>
        <w:rPr>
          <w:sz w:val="20"/>
          <w:szCs w:val="20"/>
          <w:color w:val="auto"/>
        </w:rPr>
      </w:pPr>
    </w:p>
    <w:p>
      <w:pPr>
        <w:jc w:val="both"/>
        <w:ind w:right="160"/>
        <w:spacing w:after="0" w:line="27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w:t>
      </w:r>
      <w:r>
        <w:rPr>
          <w:rFonts w:ascii="Arial" w:cs="Arial" w:eastAsia="Arial" w:hAnsi="Arial"/>
          <w:sz w:val="18"/>
          <w:szCs w:val="18"/>
          <w:b w:val="1"/>
          <w:bCs w:val="1"/>
          <w:color w:val="auto"/>
        </w:rPr>
        <w:t xml:space="preserve"> any one </w:t>
      </w:r>
      <w:r>
        <w:rPr>
          <w:rFonts w:ascii="Arial" w:cs="Arial" w:eastAsia="Arial" w:hAnsi="Arial"/>
          <w:sz w:val="18"/>
          <w:szCs w:val="18"/>
          <w:color w:val="auto"/>
        </w:rPr>
        <w:t>of the persons designated above with a checked box beside his or her name may,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add or remove any individuals to and from the above list of persons authorized to act on behalf of Borrower.</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RESOLVED FURTHER, </w:t>
      </w:r>
      <w:r>
        <w:rPr>
          <w:rFonts w:ascii="Arial" w:cs="Arial" w:eastAsia="Arial" w:hAnsi="Arial"/>
          <w:sz w:val="20"/>
          <w:szCs w:val="20"/>
          <w:color w:val="auto"/>
        </w:rPr>
        <w:t>that such individuals may, on behalf of Borrower:</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Borrow Money</w:t>
      </w:r>
      <w:r>
        <w:rPr>
          <w:rFonts w:ascii="Arial" w:cs="Arial" w:eastAsia="Arial" w:hAnsi="Arial"/>
          <w:sz w:val="20"/>
          <w:szCs w:val="20"/>
          <w:color w:val="auto"/>
        </w:rPr>
        <w:t>. Borrow money from the Lenders.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Execute Loan Documents</w:t>
      </w:r>
      <w:r>
        <w:rPr>
          <w:rFonts w:ascii="Arial" w:cs="Arial" w:eastAsia="Arial" w:hAnsi="Arial"/>
          <w:sz w:val="20"/>
          <w:szCs w:val="20"/>
          <w:color w:val="auto"/>
        </w:rPr>
        <w:t>. Execute any loan documents any Lender requires.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Grant Security</w:t>
      </w:r>
      <w:r>
        <w:rPr>
          <w:rFonts w:ascii="Arial" w:cs="Arial" w:eastAsia="Arial" w:hAnsi="Arial"/>
          <w:sz w:val="19"/>
          <w:szCs w:val="19"/>
          <w:color w:val="auto"/>
        </w:rPr>
        <w:t>. Grant Collateral Agent a security interest in any of Borrower’s assets (excluding intellectual property).</w:t>
      </w:r>
    </w:p>
    <w:p>
      <w:pPr>
        <w:spacing w:after="0" w:line="173" w:lineRule="exact"/>
        <w:rPr>
          <w:sz w:val="20"/>
          <w:szCs w:val="20"/>
          <w:color w:val="auto"/>
        </w:rPr>
      </w:pPr>
    </w:p>
    <w:p>
      <w:pPr>
        <w:jc w:val="both"/>
        <w:ind w:right="180"/>
        <w:spacing w:after="0" w:line="232" w:lineRule="auto"/>
        <w:rPr>
          <w:sz w:val="20"/>
          <w:szCs w:val="20"/>
          <w:color w:val="auto"/>
        </w:rPr>
      </w:pPr>
      <w:r>
        <w:rPr>
          <w:rFonts w:ascii="Arial" w:cs="Arial" w:eastAsia="Arial" w:hAnsi="Arial"/>
          <w:sz w:val="20"/>
          <w:szCs w:val="20"/>
          <w:b w:val="1"/>
          <w:bCs w:val="1"/>
          <w:color w:val="auto"/>
        </w:rPr>
        <w:t>Negotiate Items</w:t>
      </w:r>
      <w:r>
        <w:rPr>
          <w:rFonts w:ascii="Arial" w:cs="Arial" w:eastAsia="Arial" w:hAnsi="Arial"/>
          <w:sz w:val="20"/>
          <w:szCs w:val="20"/>
          <w:color w:val="auto"/>
        </w:rPr>
        <w:t>. Negotiate or discount all drafts, trade acceptances, promissory notes, or other indebtedness in which Borrower</w:t>
      </w:r>
      <w:r>
        <w:rPr>
          <w:rFonts w:ascii="Arial" w:cs="Arial" w:eastAsia="Arial" w:hAnsi="Arial"/>
          <w:sz w:val="20"/>
          <w:szCs w:val="20"/>
          <w:b w:val="1"/>
          <w:bCs w:val="1"/>
          <w:color w:val="auto"/>
        </w:rPr>
        <w:t xml:space="preserve"> </w:t>
      </w:r>
      <w:r>
        <w:rPr>
          <w:rFonts w:ascii="Arial" w:cs="Arial" w:eastAsia="Arial" w:hAnsi="Arial"/>
          <w:sz w:val="20"/>
          <w:szCs w:val="20"/>
          <w:color w:val="auto"/>
        </w:rPr>
        <w:t>has an interest and receive cash or otherwise use the proceeds.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 Fees</w:t>
      </w:r>
      <w:r>
        <w:rPr>
          <w:rFonts w:ascii="Arial" w:cs="Arial" w:eastAsia="Arial" w:hAnsi="Arial"/>
          <w:sz w:val="20"/>
          <w:szCs w:val="20"/>
          <w:color w:val="auto"/>
        </w:rPr>
        <w:t>. Pay fees under the Loan Agreement or any other Loan Document.</w:t>
      </w:r>
    </w:p>
    <w:p>
      <w:pPr>
        <w:spacing w:after="0" w:line="148" w:lineRule="exact"/>
        <w:rPr>
          <w:sz w:val="20"/>
          <w:szCs w:val="20"/>
          <w:color w:val="auto"/>
        </w:rPr>
      </w:pPr>
    </w:p>
    <w:p>
      <w:pPr>
        <w:jc w:val="both"/>
        <w:ind w:right="160"/>
        <w:spacing w:after="0" w:line="220" w:lineRule="auto"/>
        <w:rPr>
          <w:sz w:val="20"/>
          <w:szCs w:val="20"/>
          <w:color w:val="auto"/>
        </w:rPr>
      </w:pPr>
      <w:r>
        <w:rPr>
          <w:rFonts w:ascii="Arial" w:cs="Arial" w:eastAsia="Arial" w:hAnsi="Arial"/>
          <w:sz w:val="20"/>
          <w:szCs w:val="20"/>
          <w:b w:val="1"/>
          <w:bCs w:val="1"/>
          <w:color w:val="auto"/>
        </w:rPr>
        <w:t>Further Acts</w:t>
      </w:r>
      <w:r>
        <w:rPr>
          <w:rFonts w:ascii="Arial" w:cs="Arial" w:eastAsia="Arial" w:hAnsi="Arial"/>
          <w:sz w:val="20"/>
          <w:szCs w:val="20"/>
          <w:color w:val="auto"/>
        </w:rPr>
        <w:t>. Designate other individuals to request advances, pay fees and costs and execute other documents or agreements</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documents or agreement that waive Borrower’s right to a jury trial) they believe to be necessary to effectuate such resolutions.</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RESOLVED FURTHER, </w:t>
      </w:r>
      <w:r>
        <w:rPr>
          <w:rFonts w:ascii="Arial" w:cs="Arial" w:eastAsia="Arial" w:hAnsi="Arial"/>
          <w:sz w:val="19"/>
          <w:szCs w:val="19"/>
          <w:color w:val="auto"/>
        </w:rPr>
        <w:t>that all acts authorized by the above resolutions and any prior acts relating thereto are ratified.</w:t>
      </w:r>
    </w:p>
    <w:p>
      <w:pPr>
        <w:spacing w:after="0" w:line="173" w:lineRule="exact"/>
        <w:rPr>
          <w:sz w:val="20"/>
          <w:szCs w:val="20"/>
          <w:color w:val="auto"/>
        </w:rPr>
      </w:pPr>
    </w:p>
    <w:p>
      <w:pPr>
        <w:ind w:left="26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Balance of Page Intentionally Left Blank</w:t>
      </w:r>
      <w:r>
        <w:rPr>
          <w:rFonts w:ascii="Arial" w:cs="Arial" w:eastAsia="Arial" w:hAnsi="Arial"/>
          <w:sz w:val="20"/>
          <w:szCs w:val="20"/>
          <w:b w:val="1"/>
          <w:bCs w:val="1"/>
          <w:color w:val="auto"/>
        </w:rPr>
        <w:t>]</w:t>
      </w:r>
    </w:p>
    <w:p>
      <w:pPr>
        <w:sectPr>
          <w:pgSz w:w="11900" w:h="16838" w:orient="portrait"/>
          <w:cols w:equalWidth="0" w:num="1">
            <w:col w:w="10420"/>
          </w:cols>
          <w:pgMar w:left="980" w:top="1440" w:right="499" w:bottom="1440" w:gutter="0" w:footer="0" w:header="0"/>
        </w:sectPr>
      </w:pPr>
    </w:p>
    <w:bookmarkStart w:id="137" w:name="page138"/>
    <w:bookmarkEnd w:id="137"/>
    <w:p>
      <w:pPr>
        <w:spacing w:after="0" w:line="168" w:lineRule="exact"/>
        <w:rPr>
          <w:sz w:val="20"/>
          <w:szCs w:val="20"/>
          <w:color w:val="auto"/>
        </w:rPr>
      </w:pPr>
    </w:p>
    <w:p>
      <w:pPr>
        <w:jc w:val="center"/>
        <w:ind w:right="660"/>
        <w:spacing w:after="0" w:line="304" w:lineRule="auto"/>
        <w:rPr>
          <w:sz w:val="20"/>
          <w:szCs w:val="20"/>
          <w:color w:val="auto"/>
        </w:rPr>
      </w:pPr>
      <w:r>
        <w:rPr>
          <w:rFonts w:ascii="Arial" w:cs="Arial" w:eastAsia="Arial" w:hAnsi="Arial"/>
          <w:sz w:val="20"/>
          <w:szCs w:val="20"/>
          <w:color w:val="auto"/>
        </w:rPr>
        <w:t xml:space="preserve">5.  The persons listed above are Borrower’s officers or employees with their titles and signatures shown next to their names. </w:t>
      </w:r>
      <w:r>
        <w:rPr>
          <w:rFonts w:ascii="Arial" w:cs="Arial" w:eastAsia="Arial" w:hAnsi="Arial"/>
          <w:sz w:val="20"/>
          <w:szCs w:val="20"/>
          <w:b w:val="1"/>
          <w:bCs w:val="1"/>
          <w:color w:val="auto"/>
        </w:rPr>
        <w:t>By:</w:t>
      </w:r>
    </w:p>
    <w:p>
      <w:pPr>
        <w:ind w:left="4600"/>
        <w:spacing w:after="0" w:line="197" w:lineRule="auto"/>
        <w:rPr>
          <w:sz w:val="20"/>
          <w:szCs w:val="20"/>
          <w:color w:val="auto"/>
        </w:rPr>
      </w:pPr>
      <w:r>
        <w:rPr>
          <w:rFonts w:ascii="Arial" w:cs="Arial" w:eastAsia="Arial" w:hAnsi="Arial"/>
          <w:sz w:val="20"/>
          <w:szCs w:val="20"/>
          <w:b w:val="1"/>
          <w:bCs w:val="1"/>
          <w:color w:val="auto"/>
        </w:rPr>
        <w:t>Name:</w:t>
      </w:r>
    </w:p>
    <w:p>
      <w:pPr>
        <w:spacing w:after="0" w:line="1"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Title:</w:t>
      </w:r>
    </w:p>
    <w:p>
      <w:pPr>
        <w:spacing w:after="0" w:line="146" w:lineRule="exact"/>
        <w:rPr>
          <w:sz w:val="20"/>
          <w:szCs w:val="20"/>
          <w:color w:val="auto"/>
        </w:rPr>
      </w:pPr>
    </w:p>
    <w:p>
      <w:pPr>
        <w:ind w:left="80" w:hanging="7"/>
        <w:spacing w:after="0" w:line="269" w:lineRule="auto"/>
        <w:tabs>
          <w:tab w:leader="none" w:pos="426" w:val="left"/>
        </w:tabs>
        <w:numPr>
          <w:ilvl w:val="0"/>
          <w:numId w:val="118"/>
        </w:numPr>
        <w:rPr>
          <w:rFonts w:ascii="Arial" w:cs="Arial" w:eastAsia="Arial" w:hAnsi="Arial"/>
          <w:sz w:val="18"/>
          <w:szCs w:val="18"/>
          <w:i w:val="1"/>
          <w:iCs w:val="1"/>
          <w:color w:val="auto"/>
        </w:rPr>
      </w:pPr>
      <w:r>
        <w:rPr>
          <w:rFonts w:ascii="Arial" w:cs="Arial" w:eastAsia="Arial" w:hAnsi="Arial"/>
          <w:sz w:val="18"/>
          <w:szCs w:val="18"/>
          <w:i w:val="1"/>
          <w:iCs w:val="1"/>
          <w:color w:val="auto"/>
        </w:rPr>
        <w:t>If the Secretary or other certifying officer executing above is designated by the resolutions set forth in paragraph 4 as one of the authorized signing officers, this Certificate must also be signed by a second authorized officer or director of Borrower.</w:t>
      </w:r>
    </w:p>
    <w:p>
      <w:pPr>
        <w:spacing w:after="0" w:line="117" w:lineRule="exact"/>
        <w:rPr>
          <w:sz w:val="20"/>
          <w:szCs w:val="20"/>
          <w:color w:val="auto"/>
        </w:rPr>
      </w:pPr>
    </w:p>
    <w:p>
      <w:pPr>
        <w:ind w:left="80" w:right="2920" w:hanging="64"/>
        <w:spacing w:after="0" w:line="398" w:lineRule="auto"/>
        <w:rPr>
          <w:sz w:val="20"/>
          <w:szCs w:val="20"/>
          <w:color w:val="auto"/>
        </w:rPr>
      </w:pPr>
      <w:r>
        <w:rPr>
          <w:rFonts w:ascii="Arial" w:cs="Arial" w:eastAsia="Arial" w:hAnsi="Arial"/>
          <w:sz w:val="20"/>
          <w:szCs w:val="20"/>
          <w:color w:val="auto"/>
        </w:rPr>
        <w:t xml:space="preserve">I, the </w:t>
      </w:r>
      <w:r>
        <w:rPr>
          <w:rFonts w:ascii="Arial" w:cs="Arial" w:eastAsia="Arial" w:hAnsi="Arial"/>
          <w:sz w:val="20"/>
          <w:szCs w:val="20"/>
          <w:u w:val="single" w:color="auto"/>
          <w:color w:val="auto"/>
        </w:rPr>
        <w:t>[</w:t>
      </w:r>
      <w:r>
        <w:rPr>
          <w:sz w:val="20"/>
          <w:szCs w:val="20"/>
          <w:color w:val="auto"/>
        </w:rPr>
        <w:t xml:space="preserve"> </w:t>
      </w:r>
      <w:r>
        <w:rPr>
          <w:rFonts w:ascii="Arial" w:cs="Arial" w:eastAsia="Arial" w:hAnsi="Arial"/>
          <w:sz w:val="20"/>
          <w:szCs w:val="20"/>
          <w:u w:val="single" w:color="auto"/>
          <w:color w:val="auto"/>
        </w:rPr>
        <w:t xml:space="preserve">] </w:t>
      </w:r>
      <w:r>
        <w:rPr>
          <w:rFonts w:ascii="Arial" w:cs="Arial" w:eastAsia="Arial" w:hAnsi="Arial"/>
          <w:sz w:val="20"/>
          <w:szCs w:val="20"/>
          <w:color w:val="auto"/>
        </w:rPr>
        <w:t>of Borrower, hereby certify as to paragraphs 1 through 5 above, as</w:t>
      </w:r>
      <w:r>
        <w:rPr>
          <w:rFonts w:ascii="Arial" w:cs="Arial" w:eastAsia="Arial" w:hAnsi="Arial"/>
          <w:sz w:val="20"/>
          <w:szCs w:val="20"/>
          <w:u w:val="single" w:color="auto"/>
          <w:color w:val="auto"/>
        </w:rPr>
        <w:t xml:space="preserve"> [ ] </w:t>
      </w:r>
      <w:r>
        <w:rPr>
          <w:rFonts w:ascii="Arial" w:cs="Arial" w:eastAsia="Arial" w:hAnsi="Arial"/>
          <w:sz w:val="20"/>
          <w:szCs w:val="20"/>
          <w:color w:val="auto"/>
        </w:rPr>
        <w:t>on the date set</w:t>
      </w:r>
      <w:r>
        <w:rPr>
          <w:rFonts w:ascii="Arial" w:cs="Arial" w:eastAsia="Arial" w:hAnsi="Arial"/>
          <w:sz w:val="20"/>
          <w:szCs w:val="20"/>
          <w:u w:val="single" w:color="auto"/>
          <w:color w:val="auto"/>
        </w:rPr>
        <w:t xml:space="preserve"> </w:t>
      </w:r>
      <w:r>
        <w:rPr>
          <w:rFonts w:ascii="Arial" w:cs="Arial" w:eastAsia="Arial" w:hAnsi="Arial"/>
          <w:sz w:val="20"/>
          <w:szCs w:val="20"/>
          <w:color w:val="auto"/>
        </w:rPr>
        <w:t>forth above.</w:t>
      </w:r>
    </w:p>
    <w:p>
      <w:pPr>
        <w:spacing w:after="0" w:line="1"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By:</w:t>
      </w:r>
    </w:p>
    <w:p>
      <w:pPr>
        <w:spacing w:after="0" w:line="143"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Name:</w:t>
      </w:r>
    </w:p>
    <w:p>
      <w:pPr>
        <w:ind w:left="4600"/>
        <w:spacing w:after="0"/>
        <w:rPr>
          <w:sz w:val="20"/>
          <w:szCs w:val="20"/>
          <w:color w:val="auto"/>
        </w:rPr>
      </w:pPr>
      <w:r>
        <w:rPr>
          <w:rFonts w:ascii="Arial" w:cs="Arial" w:eastAsia="Arial" w:hAnsi="Arial"/>
          <w:sz w:val="20"/>
          <w:szCs w:val="20"/>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EXHIBIT A</w:t>
      </w:r>
    </w:p>
    <w:p>
      <w:pPr>
        <w:sectPr>
          <w:pgSz w:w="11900" w:h="16838" w:orient="portrait"/>
          <w:cols w:equalWidth="0" w:num="1">
            <w:col w:w="10580"/>
          </w:cols>
          <w:pgMar w:left="320" w:top="1440" w:right="999" w:bottom="1440" w:gutter="0" w:footer="0" w:header="0"/>
        </w:sectPr>
      </w:pPr>
    </w:p>
    <w:bookmarkStart w:id="138" w:name="page139"/>
    <w:bookmarkEnd w:id="138"/>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Certificate of Incorporation (including amendments)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attached]</w:t>
      </w:r>
    </w:p>
    <w:p>
      <w:pPr>
        <w:sectPr>
          <w:pgSz w:w="11900" w:h="16838" w:orient="portrait"/>
          <w:cols w:equalWidth="0" w:num="1">
            <w:col w:w="9019"/>
          </w:cols>
          <w:pgMar w:left="1440" w:top="1440" w:right="1440" w:bottom="1440" w:gutter="0" w:footer="0" w:header="0"/>
          <w:type w:val="continuous"/>
        </w:sectPr>
      </w:pPr>
    </w:p>
    <w:bookmarkStart w:id="139" w:name="page140"/>
    <w:bookmarkEnd w:id="139"/>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B</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Bylaws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attached]</w:t>
      </w:r>
    </w:p>
    <w:p>
      <w:pPr>
        <w:sectPr>
          <w:pgSz w:w="11900" w:h="16838" w:orient="portrait"/>
          <w:cols w:equalWidth="0" w:num="1">
            <w:col w:w="9019"/>
          </w:cols>
          <w:pgMar w:left="1440" w:top="1440" w:right="1440" w:bottom="1440" w:gutter="0" w:footer="0" w:header="0"/>
        </w:sectPr>
      </w:pPr>
    </w:p>
    <w:bookmarkStart w:id="140" w:name="page141"/>
    <w:bookmarkEnd w:id="140"/>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G</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ACH LETTER</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SLR INVESTMENT CORP.</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500 Park Avenue, 3rd Floor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New York, NY 10022</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Attention: Anthony Storino</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Fax: (212) 993-1698</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Email:</w:t>
      </w:r>
    </w:p>
    <w:p>
      <w:pPr>
        <w:spacing w:after="0" w:line="195" w:lineRule="exact"/>
        <w:rPr>
          <w:sz w:val="20"/>
          <w:szCs w:val="20"/>
          <w:color w:val="auto"/>
        </w:rPr>
      </w:pPr>
    </w:p>
    <w:p>
      <w:pPr>
        <w:jc w:val="both"/>
        <w:ind w:left="640"/>
        <w:spacing w:after="0" w:line="236" w:lineRule="auto"/>
        <w:rPr>
          <w:sz w:val="20"/>
          <w:szCs w:val="20"/>
          <w:color w:val="auto"/>
        </w:rPr>
      </w:pPr>
      <w:r>
        <w:rPr>
          <w:rFonts w:ascii="Arial" w:cs="Arial" w:eastAsia="Arial" w:hAnsi="Arial"/>
          <w:sz w:val="18"/>
          <w:szCs w:val="18"/>
          <w:color w:val="auto"/>
        </w:rPr>
        <w:t>Re: Loan and Security Agreement dated as of February 23, 2022 (the “Agreement”) by and among Ardelyx, Inc. (“Borrower”), SLR Investment Corp. (“</w:t>
      </w:r>
      <w:r>
        <w:rPr>
          <w:rFonts w:ascii="Arial" w:cs="Arial" w:eastAsia="Arial" w:hAnsi="Arial"/>
          <w:sz w:val="18"/>
          <w:szCs w:val="18"/>
          <w:u w:val="single" w:color="auto"/>
          <w:color w:val="auto"/>
        </w:rPr>
        <w:t>SLR</w:t>
      </w:r>
      <w:r>
        <w:rPr>
          <w:rFonts w:ascii="Arial" w:cs="Arial" w:eastAsia="Arial" w:hAnsi="Arial"/>
          <w:sz w:val="18"/>
          <w:szCs w:val="18"/>
          <w:color w:val="auto"/>
        </w:rPr>
        <w:t xml:space="preserve">”), as collateral agent (in such capacity, “Collateral Agent”) and the Lenders listed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thereof or otherwise a party thereto from time to time, including SLR in its capacity as a Lender (each a “Lender” and collectively, the “Lenders”). Capitalized terms used but not otherwise defined herein shall have the meanings given them under the Agreement.</w:t>
      </w:r>
    </w:p>
    <w:p>
      <w:pPr>
        <w:spacing w:after="0" w:line="144"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In connection with the above referenced Agreement, the Borrower hereby authorizes the Collateral Agent to, at its discretion and with prior notice of at least one (1) Business Day, initiate debit entries to the Borrower’s account indicated below (i) on each payment date of all Obligations then due and owing, (ii) at any time any payment due and owing with respect to Lender Expenses, and (iii) upon an Event of Default, any other Obligations outstanding, in each case pursuant to Section 2.3(e) of the Agreement. The Borrower authorizes the depository institution named below to debit to such account.</w:t>
      </w:r>
    </w:p>
    <w:p>
      <w:pPr>
        <w:spacing w:after="0" w:line="179" w:lineRule="exact"/>
        <w:rPr>
          <w:sz w:val="20"/>
          <w:szCs w:val="20"/>
          <w:color w:val="auto"/>
        </w:rPr>
      </w:pPr>
    </w:p>
    <w:tbl>
      <w:tblPr>
        <w:tblLayout w:type="fixed"/>
        <w:tblInd w:w="80" w:type="dxa"/>
        <w:tblCellMar>
          <w:top w:w="0" w:type="dxa"/>
          <w:left w:w="0" w:type="dxa"/>
          <w:bottom w:w="0" w:type="dxa"/>
          <w:right w:w="0" w:type="dxa"/>
        </w:tblCellMar>
      </w:tblPr>
      <w:tr>
        <w:trPr>
          <w:trHeight w:val="148"/>
        </w:trPr>
        <w:tc>
          <w:tcPr>
            <w:tcW w:w="3460" w:type="dxa"/>
            <w:vAlign w:val="bottom"/>
          </w:tcPr>
          <w:p>
            <w:pPr>
              <w:spacing w:after="0"/>
              <w:rPr>
                <w:sz w:val="20"/>
                <w:szCs w:val="20"/>
                <w:color w:val="auto"/>
              </w:rPr>
            </w:pPr>
            <w:r>
              <w:rPr>
                <w:rFonts w:ascii="Arial" w:cs="Arial" w:eastAsia="Arial" w:hAnsi="Arial"/>
                <w:sz w:val="12"/>
                <w:szCs w:val="12"/>
                <w:color w:val="auto"/>
              </w:rPr>
              <w:t>DEPOSITORY NAME</w:t>
            </w:r>
          </w:p>
        </w:tc>
        <w:tc>
          <w:tcPr>
            <w:tcW w:w="3340" w:type="dxa"/>
            <w:vAlign w:val="bottom"/>
          </w:tcPr>
          <w:p>
            <w:pPr>
              <w:ind w:left="2160"/>
              <w:spacing w:after="0"/>
              <w:rPr>
                <w:sz w:val="20"/>
                <w:szCs w:val="20"/>
                <w:color w:val="auto"/>
              </w:rPr>
            </w:pPr>
            <w:r>
              <w:rPr>
                <w:rFonts w:ascii="Arial" w:cs="Arial" w:eastAsia="Arial" w:hAnsi="Arial"/>
                <w:sz w:val="12"/>
                <w:szCs w:val="12"/>
                <w:color w:val="auto"/>
              </w:rPr>
              <w:t>BRANCH</w:t>
            </w:r>
          </w:p>
        </w:tc>
      </w:tr>
      <w:tr>
        <w:trPr>
          <w:trHeight w:val="445"/>
        </w:trPr>
        <w:tc>
          <w:tcPr>
            <w:tcW w:w="3460" w:type="dxa"/>
            <w:vAlign w:val="bottom"/>
          </w:tcPr>
          <w:p>
            <w:pPr>
              <w:spacing w:after="0"/>
              <w:rPr>
                <w:sz w:val="20"/>
                <w:szCs w:val="20"/>
                <w:color w:val="auto"/>
              </w:rPr>
            </w:pPr>
            <w:r>
              <w:rPr>
                <w:rFonts w:ascii="Arial" w:cs="Arial" w:eastAsia="Arial" w:hAnsi="Arial"/>
                <w:sz w:val="12"/>
                <w:szCs w:val="12"/>
                <w:color w:val="auto"/>
              </w:rPr>
              <w:t>CITY</w:t>
            </w:r>
          </w:p>
        </w:tc>
        <w:tc>
          <w:tcPr>
            <w:tcW w:w="3340" w:type="dxa"/>
            <w:vAlign w:val="bottom"/>
          </w:tcPr>
          <w:p>
            <w:pPr>
              <w:ind w:left="2160"/>
              <w:spacing w:after="0"/>
              <w:rPr>
                <w:sz w:val="20"/>
                <w:szCs w:val="20"/>
                <w:color w:val="auto"/>
              </w:rPr>
            </w:pPr>
            <w:r>
              <w:rPr>
                <w:rFonts w:ascii="Arial" w:cs="Arial" w:eastAsia="Arial" w:hAnsi="Arial"/>
                <w:sz w:val="12"/>
                <w:szCs w:val="12"/>
                <w:color w:val="auto"/>
                <w:w w:val="91"/>
              </w:rPr>
              <w:t>STATE AND ZIP CODE</w:t>
            </w:r>
          </w:p>
        </w:tc>
      </w:tr>
      <w:tr>
        <w:trPr>
          <w:trHeight w:val="445"/>
        </w:trPr>
        <w:tc>
          <w:tcPr>
            <w:tcW w:w="3460" w:type="dxa"/>
            <w:vAlign w:val="bottom"/>
          </w:tcPr>
          <w:p>
            <w:pPr>
              <w:spacing w:after="0"/>
              <w:rPr>
                <w:sz w:val="20"/>
                <w:szCs w:val="20"/>
                <w:color w:val="auto"/>
              </w:rPr>
            </w:pPr>
            <w:r>
              <w:rPr>
                <w:rFonts w:ascii="Arial" w:cs="Arial" w:eastAsia="Arial" w:hAnsi="Arial"/>
                <w:sz w:val="12"/>
                <w:szCs w:val="12"/>
                <w:color w:val="auto"/>
              </w:rPr>
              <w:t>TRANSIT/ABA NUMBER</w:t>
            </w:r>
          </w:p>
        </w:tc>
        <w:tc>
          <w:tcPr>
            <w:tcW w:w="3340" w:type="dxa"/>
            <w:vAlign w:val="bottom"/>
          </w:tcPr>
          <w:p>
            <w:pPr>
              <w:ind w:left="2160"/>
              <w:spacing w:after="0"/>
              <w:rPr>
                <w:sz w:val="20"/>
                <w:szCs w:val="20"/>
                <w:color w:val="auto"/>
              </w:rPr>
            </w:pPr>
            <w:r>
              <w:rPr>
                <w:rFonts w:ascii="Arial" w:cs="Arial" w:eastAsia="Arial" w:hAnsi="Arial"/>
                <w:sz w:val="12"/>
                <w:szCs w:val="12"/>
                <w:color w:val="auto"/>
              </w:rPr>
              <w:t>ACCOUNT NUMBER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-647065</wp:posOffset>
            </wp:positionV>
            <wp:extent cx="7140575" cy="8572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40575" cy="857250"/>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This authority will remain in full force and effect so long as any amounts are due under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ARDELYX,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Title: ________________________________________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w:t>
      </w:r>
    </w:p>
    <w:p>
      <w:pPr>
        <w:sectPr>
          <w:pgSz w:w="11900" w:h="16838" w:orient="portrait"/>
          <w:cols w:equalWidth="0" w:num="1">
            <w:col w:w="11240"/>
          </w:cols>
          <w:pgMar w:left="320" w:top="1440" w:right="339" w:bottom="1440" w:gutter="0" w:footer="0" w:header="0"/>
        </w:sectPr>
      </w:pPr>
    </w:p>
    <w:bookmarkStart w:id="141" w:name="page142"/>
    <w:bookmarkEnd w:id="141"/>
    <w:p>
      <w:pPr>
        <w:ind w:left="10040"/>
        <w:spacing w:after="0"/>
        <w:rPr>
          <w:sz w:val="20"/>
          <w:szCs w:val="20"/>
          <w:color w:val="auto"/>
        </w:rPr>
      </w:pPr>
      <w:r>
        <w:rPr>
          <w:rFonts w:ascii="Arial" w:cs="Arial" w:eastAsia="Arial" w:hAnsi="Arial"/>
          <w:sz w:val="21"/>
          <w:szCs w:val="21"/>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Exit Fee Agreement</w:t>
      </w:r>
    </w:p>
    <w:p>
      <w:pPr>
        <w:spacing w:after="0" w:line="208"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9"/>
          <w:szCs w:val="19"/>
          <w:color w:val="auto"/>
        </w:rPr>
        <w:t>Reference is made to the Loan and Security Agreement, dated as of February 23, 2022 (as may be amended, amended and restated, supplemented or otherwise modified from time to time, the “</w:t>
      </w:r>
      <w:r>
        <w:rPr>
          <w:rFonts w:ascii="Arial" w:cs="Arial" w:eastAsia="Arial" w:hAnsi="Arial"/>
          <w:sz w:val="19"/>
          <w:szCs w:val="19"/>
          <w:b w:val="1"/>
          <w:bCs w:val="1"/>
          <w:color w:val="auto"/>
        </w:rPr>
        <w:t>Loan Agreement</w:t>
      </w:r>
      <w:r>
        <w:rPr>
          <w:rFonts w:ascii="Arial" w:cs="Arial" w:eastAsia="Arial" w:hAnsi="Arial"/>
          <w:sz w:val="19"/>
          <w:szCs w:val="19"/>
          <w:color w:val="auto"/>
        </w:rPr>
        <w:t>”) by and among SLR Investment Corp., a Maryland corporation (“</w:t>
      </w:r>
      <w:r>
        <w:rPr>
          <w:rFonts w:ascii="Arial" w:cs="Arial" w:eastAsia="Arial" w:hAnsi="Arial"/>
          <w:sz w:val="19"/>
          <w:szCs w:val="19"/>
          <w:b w:val="1"/>
          <w:bCs w:val="1"/>
          <w:color w:val="auto"/>
        </w:rPr>
        <w:t>SLR</w:t>
      </w:r>
      <w:r>
        <w:rPr>
          <w:rFonts w:ascii="Arial" w:cs="Arial" w:eastAsia="Arial" w:hAnsi="Arial"/>
          <w:sz w:val="19"/>
          <w:szCs w:val="19"/>
          <w:color w:val="auto"/>
        </w:rPr>
        <w:t>”), as collateral agent (in such capacity, “</w:t>
      </w:r>
      <w:r>
        <w:rPr>
          <w:rFonts w:ascii="Arial" w:cs="Arial" w:eastAsia="Arial" w:hAnsi="Arial"/>
          <w:sz w:val="19"/>
          <w:szCs w:val="19"/>
          <w:b w:val="1"/>
          <w:bCs w:val="1"/>
          <w:color w:val="auto"/>
        </w:rPr>
        <w:t>Agent</w:t>
      </w:r>
      <w:r>
        <w:rPr>
          <w:rFonts w:ascii="Arial" w:cs="Arial" w:eastAsia="Arial" w:hAnsi="Arial"/>
          <w:sz w:val="19"/>
          <w:szCs w:val="19"/>
          <w:color w:val="auto"/>
        </w:rPr>
        <w:t>”), the lenders party thereto from time to time including SLR in its capacity as a lender (each a “</w:t>
      </w:r>
      <w:r>
        <w:rPr>
          <w:rFonts w:ascii="Arial" w:cs="Arial" w:eastAsia="Arial" w:hAnsi="Arial"/>
          <w:sz w:val="19"/>
          <w:szCs w:val="19"/>
          <w:b w:val="1"/>
          <w:bCs w:val="1"/>
          <w:color w:val="auto"/>
        </w:rPr>
        <w:t>Lender</w:t>
      </w:r>
      <w:r>
        <w:rPr>
          <w:rFonts w:ascii="Arial" w:cs="Arial" w:eastAsia="Arial" w:hAnsi="Arial"/>
          <w:sz w:val="19"/>
          <w:szCs w:val="19"/>
          <w:color w:val="auto"/>
        </w:rPr>
        <w:t>” and collectively, the “</w:t>
      </w:r>
      <w:r>
        <w:rPr>
          <w:rFonts w:ascii="Arial" w:cs="Arial" w:eastAsia="Arial" w:hAnsi="Arial"/>
          <w:sz w:val="19"/>
          <w:szCs w:val="19"/>
          <w:b w:val="1"/>
          <w:bCs w:val="1"/>
          <w:color w:val="auto"/>
        </w:rPr>
        <w:t>Lenders</w:t>
      </w:r>
      <w:r>
        <w:rPr>
          <w:rFonts w:ascii="Arial" w:cs="Arial" w:eastAsia="Arial" w:hAnsi="Arial"/>
          <w:sz w:val="19"/>
          <w:szCs w:val="19"/>
          <w:color w:val="auto"/>
        </w:rPr>
        <w:t>”), and ARDELYX, INC., a Delaware corporation (“</w:t>
      </w:r>
      <w:r>
        <w:rPr>
          <w:rFonts w:ascii="Arial" w:cs="Arial" w:eastAsia="Arial" w:hAnsi="Arial"/>
          <w:sz w:val="19"/>
          <w:szCs w:val="19"/>
          <w:b w:val="1"/>
          <w:bCs w:val="1"/>
          <w:color w:val="auto"/>
        </w:rPr>
        <w:t>Borrower</w:t>
      </w:r>
      <w:r>
        <w:rPr>
          <w:rFonts w:ascii="Arial" w:cs="Arial" w:eastAsia="Arial" w:hAnsi="Arial"/>
          <w:sz w:val="19"/>
          <w:szCs w:val="19"/>
          <w:color w:val="auto"/>
        </w:rPr>
        <w:t>”). As a condition precedent to the Lenders’ entry into the Loan Agreement, the Lenders require that Borrower agree to pay to the Lenders a fee upon the occurrence of certain events as described in this Exit Fee Agreement (as amended, amended and restated, supplemented or otherwise modified from time to time, this “</w:t>
      </w:r>
      <w:r>
        <w:rPr>
          <w:rFonts w:ascii="Arial" w:cs="Arial" w:eastAsia="Arial" w:hAnsi="Arial"/>
          <w:sz w:val="19"/>
          <w:szCs w:val="19"/>
          <w:b w:val="1"/>
          <w:bCs w:val="1"/>
          <w:color w:val="auto"/>
        </w:rPr>
        <w:t>Exit Fee Agreement</w:t>
      </w:r>
      <w:r>
        <w:rPr>
          <w:rFonts w:ascii="Arial" w:cs="Arial" w:eastAsia="Arial" w:hAnsi="Arial"/>
          <w:sz w:val="19"/>
          <w:szCs w:val="19"/>
          <w:color w:val="auto"/>
        </w:rPr>
        <w:t>”), dated as of the date hereof (the “</w:t>
      </w:r>
      <w:r>
        <w:rPr>
          <w:rFonts w:ascii="Arial" w:cs="Arial" w:eastAsia="Arial" w:hAnsi="Arial"/>
          <w:sz w:val="19"/>
          <w:szCs w:val="19"/>
          <w:b w:val="1"/>
          <w:bCs w:val="1"/>
          <w:color w:val="auto"/>
        </w:rPr>
        <w:t>Effective Date</w:t>
      </w:r>
      <w:r>
        <w:rPr>
          <w:rFonts w:ascii="Arial" w:cs="Arial" w:eastAsia="Arial" w:hAnsi="Arial"/>
          <w:sz w:val="19"/>
          <w:szCs w:val="19"/>
          <w:color w:val="auto"/>
        </w:rPr>
        <w:t>”), by and among SLR, as Agent, the Lenders and Borrower. Capitalized terms used herein and not otherwise defined herein have the meanings assigned to them in the Loan Agreement and, in the event that the Loan Agreement terminates prior to the termination of this Exit Fee Agreement, capitalized terms used herein and not otherwise defined herein have the meanings assigned to them in the Loan Agreement as in effect immediately prior to the termination of the Loan Agreement.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Therefore, in consideration of the Lenders entering into the Loan Agreement, Borrower hereby agrees as follows:</w:t>
      </w:r>
    </w:p>
    <w:p>
      <w:pPr>
        <w:spacing w:after="0" w:line="196" w:lineRule="exact"/>
        <w:rPr>
          <w:sz w:val="20"/>
          <w:szCs w:val="20"/>
          <w:color w:val="auto"/>
        </w:rPr>
      </w:pPr>
    </w:p>
    <w:p>
      <w:pPr>
        <w:ind w:firstLine="656"/>
        <w:spacing w:after="0" w:line="232" w:lineRule="auto"/>
        <w:tabs>
          <w:tab w:leader="none" w:pos="1296" w:val="left"/>
        </w:tabs>
        <w:numPr>
          <w:ilvl w:val="0"/>
          <w:numId w:val="11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Trigger Event</w:t>
      </w:r>
      <w:r>
        <w:rPr>
          <w:rFonts w:ascii="Arial" w:cs="Arial" w:eastAsia="Arial" w:hAnsi="Arial"/>
          <w:sz w:val="20"/>
          <w:szCs w:val="20"/>
          <w:b w:val="1"/>
          <w:bCs w:val="1"/>
          <w:color w:val="auto"/>
        </w:rPr>
        <w:t xml:space="preserve">. </w:t>
      </w:r>
      <w:r>
        <w:rPr>
          <w:rFonts w:ascii="Arial" w:cs="Arial" w:eastAsia="Arial" w:hAnsi="Arial"/>
          <w:sz w:val="20"/>
          <w:szCs w:val="20"/>
          <w:color w:val="auto"/>
        </w:rPr>
        <w:t>For purposes hereof, “</w:t>
      </w:r>
      <w:r>
        <w:rPr>
          <w:rFonts w:ascii="Arial" w:cs="Arial" w:eastAsia="Arial" w:hAnsi="Arial"/>
          <w:sz w:val="20"/>
          <w:szCs w:val="20"/>
          <w:b w:val="1"/>
          <w:bCs w:val="1"/>
          <w:color w:val="auto"/>
        </w:rPr>
        <w:t>Trigger Event</w:t>
      </w:r>
      <w:r>
        <w:rPr>
          <w:rFonts w:ascii="Arial" w:cs="Arial" w:eastAsia="Arial" w:hAnsi="Arial"/>
          <w:sz w:val="20"/>
          <w:szCs w:val="20"/>
          <w:color w:val="auto"/>
        </w:rPr>
        <w:t>” shall mean the first to occur of an Exit Event or a Revenue Milestone</w:t>
      </w:r>
      <w:r>
        <w:rPr>
          <w:rFonts w:ascii="Arial" w:cs="Arial" w:eastAsia="Arial" w:hAnsi="Arial"/>
          <w:sz w:val="20"/>
          <w:szCs w:val="20"/>
          <w:b w:val="1"/>
          <w:bCs w:val="1"/>
          <w:color w:val="auto"/>
        </w:rPr>
        <w:t xml:space="preserve"> </w:t>
      </w:r>
      <w:r>
        <w:rPr>
          <w:rFonts w:ascii="Arial" w:cs="Arial" w:eastAsia="Arial" w:hAnsi="Arial"/>
          <w:sz w:val="20"/>
          <w:szCs w:val="20"/>
          <w:color w:val="auto"/>
        </w:rPr>
        <w:t>Event, as such terms are defined below</w:t>
      </w:r>
      <w:r>
        <w:rPr>
          <w:rFonts w:ascii="Arial" w:cs="Arial" w:eastAsia="Arial" w:hAnsi="Arial"/>
          <w:sz w:val="20"/>
          <w:szCs w:val="20"/>
          <w:b w:val="1"/>
          <w:bCs w:val="1"/>
          <w:color w:val="auto"/>
        </w:rPr>
        <w:t>.</w:t>
      </w:r>
    </w:p>
    <w:p>
      <w:pPr>
        <w:spacing w:after="0" w:line="176" w:lineRule="exact"/>
        <w:rPr>
          <w:rFonts w:ascii="Arial" w:cs="Arial" w:eastAsia="Arial" w:hAnsi="Arial"/>
          <w:sz w:val="20"/>
          <w:szCs w:val="20"/>
          <w:b w:val="1"/>
          <w:bCs w:val="1"/>
          <w:color w:val="auto"/>
        </w:rPr>
      </w:pPr>
    </w:p>
    <w:p>
      <w:pPr>
        <w:jc w:val="both"/>
        <w:ind w:left="1300" w:hanging="320"/>
        <w:spacing w:after="0" w:line="223" w:lineRule="auto"/>
        <w:tabs>
          <w:tab w:leader="none" w:pos="1289" w:val="left"/>
        </w:tabs>
        <w:numPr>
          <w:ilvl w:val="1"/>
          <w:numId w:val="119"/>
        </w:numPr>
        <w:rPr>
          <w:rFonts w:ascii="Arial" w:cs="Arial" w:eastAsia="Arial" w:hAnsi="Arial"/>
          <w:sz w:val="18"/>
          <w:szCs w:val="18"/>
          <w:color w:val="auto"/>
        </w:rPr>
      </w:pPr>
      <w:r>
        <w:rPr>
          <w:rFonts w:ascii="Arial" w:cs="Arial" w:eastAsia="Arial" w:hAnsi="Arial"/>
          <w:sz w:val="18"/>
          <w:szCs w:val="18"/>
          <w:color w:val="auto"/>
        </w:rPr>
        <w:t>For purposes hereof, “</w:t>
      </w:r>
      <w:r>
        <w:rPr>
          <w:rFonts w:ascii="Arial" w:cs="Arial" w:eastAsia="Arial" w:hAnsi="Arial"/>
          <w:sz w:val="18"/>
          <w:szCs w:val="18"/>
          <w:b w:val="1"/>
          <w:bCs w:val="1"/>
          <w:color w:val="auto"/>
        </w:rPr>
        <w:t>Exit Event</w:t>
      </w:r>
      <w:r>
        <w:rPr>
          <w:rFonts w:ascii="Arial" w:cs="Arial" w:eastAsia="Arial" w:hAnsi="Arial"/>
          <w:sz w:val="18"/>
          <w:szCs w:val="18"/>
          <w:color w:val="auto"/>
        </w:rPr>
        <w:t>” shall mean the first to occur of: (a) any liquidation, dissolution or winding up of Borrower, whether voluntary or involuntary, which results in cash or other non-cash consideration to the stockholders of Borrower; (b) a consolidation, merger or reverse merger of Borrower with or into another corporation or entity or other reorganization or similar transaction or series of related transactions involving Borrower which result in stockholders of Borrower immediately prior to such transaction or series of related transactions owning less than fifty percent (50%) of the outstanding capital stock of the surviving entity (treating all securities convertible or exchangeable into or exercisable for shares of common stock as having been fully converted, exchanged and exercised, and deemed to be outstanding for purposes of this clause, without regard to any exercise, conversion or exchange limitations therein); (c) a sale, lease, transfer, exclusive license, exchange, dividend or other disposition of all or substantially all of the assets of Borrower; (d) the issuance and/or sale by Borrower in one or a series of related transactions of shares of its common stock (“</w:t>
      </w:r>
      <w:r>
        <w:rPr>
          <w:rFonts w:ascii="Arial" w:cs="Arial" w:eastAsia="Arial" w:hAnsi="Arial"/>
          <w:sz w:val="18"/>
          <w:szCs w:val="18"/>
          <w:b w:val="1"/>
          <w:bCs w:val="1"/>
          <w:color w:val="auto"/>
        </w:rPr>
        <w:t>Common Stock</w:t>
      </w:r>
      <w:r>
        <w:rPr>
          <w:rFonts w:ascii="Arial" w:cs="Arial" w:eastAsia="Arial" w:hAnsi="Arial"/>
          <w:sz w:val="18"/>
          <w:szCs w:val="18"/>
          <w:color w:val="auto"/>
        </w:rPr>
        <w:t>”) (or securities convertible or exchangeable into or exercisable for shares of Common Stock) constituting more than fifty percent (50%) of the shares of Common Stock outstanding immediately following such issuance (treating all securities convertible or exchangeable into or exercisable for shares of Common Stock as having been fully converted, exchanged and exercised, and deemed to be outstanding for purposes of this clause without regard to any exercise, conversion or exchange limitations therein) to parties other than its then existing investors; and (e) any other form of acquisition or business combination where Borrower is the target of such acquisition and where a change of control occurs such that the person that acquires Borrower has the power after such transaction to elect a majority of the board of directors of Borrower as a result of such transaction.</w:t>
      </w:r>
    </w:p>
    <w:p>
      <w:pPr>
        <w:spacing w:after="0" w:line="186" w:lineRule="exact"/>
        <w:rPr>
          <w:rFonts w:ascii="Arial" w:cs="Arial" w:eastAsia="Arial" w:hAnsi="Arial"/>
          <w:sz w:val="18"/>
          <w:szCs w:val="18"/>
          <w:color w:val="auto"/>
        </w:rPr>
      </w:pPr>
    </w:p>
    <w:p>
      <w:pPr>
        <w:jc w:val="both"/>
        <w:ind w:left="1300" w:hanging="320"/>
        <w:spacing w:after="0" w:line="220" w:lineRule="auto"/>
        <w:tabs>
          <w:tab w:leader="none" w:pos="1300" w:val="left"/>
        </w:tabs>
        <w:numPr>
          <w:ilvl w:val="1"/>
          <w:numId w:val="119"/>
        </w:numPr>
        <w:rPr>
          <w:rFonts w:ascii="Arial" w:cs="Arial" w:eastAsia="Arial" w:hAnsi="Arial"/>
          <w:sz w:val="20"/>
          <w:szCs w:val="20"/>
          <w:color w:val="auto"/>
        </w:rPr>
      </w:pPr>
      <w:r>
        <w:rPr>
          <w:rFonts w:ascii="Arial" w:cs="Arial" w:eastAsia="Arial" w:hAnsi="Arial"/>
          <w:sz w:val="20"/>
          <w:szCs w:val="20"/>
          <w:color w:val="auto"/>
        </w:rPr>
        <w:t>For purposes hereof, the “</w:t>
      </w:r>
      <w:r>
        <w:rPr>
          <w:rFonts w:ascii="Arial" w:cs="Arial" w:eastAsia="Arial" w:hAnsi="Arial"/>
          <w:sz w:val="20"/>
          <w:szCs w:val="20"/>
          <w:b w:val="1"/>
          <w:bCs w:val="1"/>
          <w:color w:val="auto"/>
        </w:rPr>
        <w:t>Revenue Milestone Event</w:t>
      </w:r>
      <w:r>
        <w:rPr>
          <w:rFonts w:ascii="Arial" w:cs="Arial" w:eastAsia="Arial" w:hAnsi="Arial"/>
          <w:sz w:val="20"/>
          <w:szCs w:val="20"/>
          <w:color w:val="auto"/>
        </w:rPr>
        <w:t>” shall mean the achievement by Borrower of Net Product Revenue equal to or greater than One Hundred Million Dollars ($100,000,000.00), measured on a trailing six (6) month basis, tested monthly at the end of each month.</w:t>
      </w:r>
    </w:p>
    <w:p>
      <w:pPr>
        <w:spacing w:after="0" w:line="177" w:lineRule="exact"/>
        <w:rPr>
          <w:rFonts w:ascii="Arial" w:cs="Arial" w:eastAsia="Arial" w:hAnsi="Arial"/>
          <w:sz w:val="20"/>
          <w:szCs w:val="20"/>
          <w:color w:val="auto"/>
        </w:rPr>
      </w:pPr>
    </w:p>
    <w:p>
      <w:pPr>
        <w:jc w:val="both"/>
        <w:ind w:firstLine="656"/>
        <w:spacing w:after="0" w:line="214" w:lineRule="auto"/>
        <w:tabs>
          <w:tab w:leader="none" w:pos="1296" w:val="left"/>
        </w:tabs>
        <w:numPr>
          <w:ilvl w:val="0"/>
          <w:numId w:val="11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Reporting</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 agrees to provide the Lenders, to the extent reasonably practicable with respect to clause (a) of Section</w:t>
      </w:r>
      <w:r>
        <w:rPr>
          <w:rFonts w:ascii="Arial" w:cs="Arial" w:eastAsia="Arial" w:hAnsi="Arial"/>
          <w:sz w:val="20"/>
          <w:szCs w:val="20"/>
          <w:b w:val="1"/>
          <w:bCs w:val="1"/>
          <w:color w:val="auto"/>
        </w:rPr>
        <w:t xml:space="preserve"> </w:t>
      </w:r>
      <w:r>
        <w:rPr>
          <w:rFonts w:ascii="Arial" w:cs="Arial" w:eastAsia="Arial" w:hAnsi="Arial"/>
          <w:sz w:val="20"/>
          <w:szCs w:val="20"/>
          <w:color w:val="auto"/>
        </w:rPr>
        <w:t>1 and otherwise with (a) five (5) days’ prior written notice of the occurrence of any Exit Event; and (b) written notice of the Trigger Event as soon as practicable following the occurrence of such Trigger Event, but in any event not more than (i) five (5) Business Days after any Exit Event and (ii) thirty (30) days after any Revenue Milestone Event.</w:t>
      </w:r>
    </w:p>
    <w:p>
      <w:pPr>
        <w:sectPr>
          <w:pgSz w:w="11900" w:h="16838" w:orient="portrait"/>
          <w:cols w:equalWidth="0" w:num="1">
            <w:col w:w="11240"/>
          </w:cols>
          <w:pgMar w:left="320" w:top="98" w:right="339" w:bottom="1440" w:gutter="0" w:footer="0" w:header="0"/>
        </w:sectPr>
      </w:pPr>
    </w:p>
    <w:bookmarkStart w:id="142" w:name="page143"/>
    <w:bookmarkEnd w:id="142"/>
    <w:p>
      <w:pPr>
        <w:jc w:val="both"/>
        <w:ind w:firstLine="656"/>
        <w:spacing w:after="0" w:line="213" w:lineRule="auto"/>
        <w:tabs>
          <w:tab w:leader="none" w:pos="1296" w:val="left"/>
        </w:tabs>
        <w:numPr>
          <w:ilvl w:val="0"/>
          <w:numId w:val="12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Exit Fee</w:t>
      </w:r>
      <w:r>
        <w:rPr>
          <w:rFonts w:ascii="Arial" w:cs="Arial" w:eastAsia="Arial" w:hAnsi="Arial"/>
          <w:sz w:val="19"/>
          <w:szCs w:val="19"/>
          <w:b w:val="1"/>
          <w:bCs w:val="1"/>
          <w:color w:val="auto"/>
        </w:rPr>
        <w:t xml:space="preserve">. </w:t>
      </w:r>
      <w:r>
        <w:rPr>
          <w:rFonts w:ascii="Arial" w:cs="Arial" w:eastAsia="Arial" w:hAnsi="Arial"/>
          <w:sz w:val="19"/>
          <w:szCs w:val="19"/>
          <w:color w:val="auto"/>
        </w:rPr>
        <w:t>Upon the occurrence of the Trigger Event and in accordance with Section 4 below, Borrower agrees to pay to each</w:t>
      </w:r>
      <w:r>
        <w:rPr>
          <w:rFonts w:ascii="Arial" w:cs="Arial" w:eastAsia="Arial" w:hAnsi="Arial"/>
          <w:sz w:val="19"/>
          <w:szCs w:val="19"/>
          <w:b w:val="1"/>
          <w:bCs w:val="1"/>
          <w:color w:val="auto"/>
        </w:rPr>
        <w:t xml:space="preserve"> </w:t>
      </w:r>
      <w:r>
        <w:rPr>
          <w:rFonts w:ascii="Arial" w:cs="Arial" w:eastAsia="Arial" w:hAnsi="Arial"/>
          <w:sz w:val="19"/>
          <w:szCs w:val="19"/>
          <w:color w:val="auto"/>
        </w:rPr>
        <w:t>Lender in accordance with its Pro Rata Share (provided that if such payment is made after the termination of the Loan Agreement, such payment shall be made in accordance with each such Lender’s Pro Rata Share as was in effect immediately before the termination of the Loan Agreement), in immediately available funds, a fee (the “</w:t>
      </w:r>
      <w:r>
        <w:rPr>
          <w:rFonts w:ascii="Arial" w:cs="Arial" w:eastAsia="Arial" w:hAnsi="Arial"/>
          <w:sz w:val="19"/>
          <w:szCs w:val="19"/>
          <w:b w:val="1"/>
          <w:bCs w:val="1"/>
          <w:color w:val="auto"/>
        </w:rPr>
        <w:t>Exit Fee</w:t>
      </w:r>
      <w:r>
        <w:rPr>
          <w:rFonts w:ascii="Arial" w:cs="Arial" w:eastAsia="Arial" w:hAnsi="Arial"/>
          <w:sz w:val="19"/>
          <w:szCs w:val="19"/>
          <w:color w:val="auto"/>
        </w:rPr>
        <w:t>”) in the amount equal to two percent (2.00%) of each Term Loan funded. For the avoidance of doubt, the Exit Fee set forth herein shall be in addition to any fee or amount due and payable pursuant to the Fee Letter or the other Loan Documents. Borrower expressly agrees (to the fullest extent that it may lawfully do so) that: (i) the Exit Fee is reasonable and is the product of an arm’s length transaction between sophisticated business people, ably represented by counsel; (ii) the Exit Fee shall be payable notwithstanding the then prevailing market rates at the time payment is made; (iii) there has been a course of conduct between Agent, Lenders and Borrower giving specific consideration in this transaction for such agreement to pay the Exit Fee and (iv) Borrower shall be estopped hereafter from claiming differently than as agreed to in this paragraph. Borrower expressly acknowledges that its agreement to pay the Exit Fee to Lenders as herein described is a material inducement to Lenders to provide the Term Loan Commitments and make the Term Loans.</w:t>
      </w:r>
    </w:p>
    <w:p>
      <w:pPr>
        <w:spacing w:after="0" w:line="184" w:lineRule="exact"/>
        <w:rPr>
          <w:rFonts w:ascii="Arial" w:cs="Arial" w:eastAsia="Arial" w:hAnsi="Arial"/>
          <w:sz w:val="19"/>
          <w:szCs w:val="19"/>
          <w:b w:val="1"/>
          <w:bCs w:val="1"/>
          <w:color w:val="auto"/>
        </w:rPr>
      </w:pPr>
    </w:p>
    <w:p>
      <w:pPr>
        <w:jc w:val="both"/>
        <w:ind w:firstLine="656"/>
        <w:spacing w:after="0" w:line="220" w:lineRule="auto"/>
        <w:tabs>
          <w:tab w:leader="none" w:pos="1296" w:val="left"/>
        </w:tabs>
        <w:numPr>
          <w:ilvl w:val="0"/>
          <w:numId w:val="12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Payment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Exit Fee shall be paid to the Lenders not later than five (5) Business Days after the applicable reporting</w:t>
      </w:r>
      <w:r>
        <w:rPr>
          <w:rFonts w:ascii="Arial" w:cs="Arial" w:eastAsia="Arial" w:hAnsi="Arial"/>
          <w:sz w:val="20"/>
          <w:szCs w:val="20"/>
          <w:b w:val="1"/>
          <w:bCs w:val="1"/>
          <w:color w:val="auto"/>
        </w:rPr>
        <w:t xml:space="preserve"> </w:t>
      </w:r>
      <w:r>
        <w:rPr>
          <w:rFonts w:ascii="Arial" w:cs="Arial" w:eastAsia="Arial" w:hAnsi="Arial"/>
          <w:sz w:val="20"/>
          <w:szCs w:val="20"/>
          <w:color w:val="auto"/>
        </w:rPr>
        <w:t>deadline of the Trigger Event as set forth in Section 2(b) hereof. Failure to so timely pay the full amount of the Exit Fee to the Lenders shall be an Event of Default under the Loan Agreement, so long as the Loan Agreement is then in effect.</w:t>
      </w:r>
    </w:p>
    <w:p>
      <w:pPr>
        <w:spacing w:after="0" w:line="177" w:lineRule="exact"/>
        <w:rPr>
          <w:rFonts w:ascii="Arial" w:cs="Arial" w:eastAsia="Arial" w:hAnsi="Arial"/>
          <w:sz w:val="20"/>
          <w:szCs w:val="20"/>
          <w:b w:val="1"/>
          <w:bCs w:val="1"/>
          <w:color w:val="auto"/>
        </w:rPr>
      </w:pPr>
    </w:p>
    <w:p>
      <w:pPr>
        <w:jc w:val="both"/>
        <w:ind w:firstLine="656"/>
        <w:spacing w:after="0" w:line="228" w:lineRule="auto"/>
        <w:tabs>
          <w:tab w:leader="none" w:pos="1296"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Exit Fee Agreement shall be binding on Borrower and its respective 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terminate upon the earlier to occur of (a) payment in full of the Exit Fee pursuant to the terms herein, or (b) February 23, 2032 (the “</w:t>
      </w:r>
      <w:r>
        <w:rPr>
          <w:rFonts w:ascii="Arial" w:cs="Arial" w:eastAsia="Arial" w:hAnsi="Arial"/>
          <w:sz w:val="18"/>
          <w:szCs w:val="18"/>
          <w:b w:val="1"/>
          <w:bCs w:val="1"/>
          <w:color w:val="auto"/>
        </w:rPr>
        <w:t>Termination Date</w:t>
      </w:r>
      <w:r>
        <w:rPr>
          <w:rFonts w:ascii="Arial" w:cs="Arial" w:eastAsia="Arial" w:hAnsi="Arial"/>
          <w:sz w:val="18"/>
          <w:szCs w:val="18"/>
          <w:color w:val="auto"/>
        </w:rPr>
        <w:t>”). For the avoidance of doubt, this Exit Fee Agreement shall survive the termination of the Loan Agreement or any other Loan Document. If the Trigger Event has not occurred on or before the Termination Date, this Exit Fee Agreement shall automatically terminate and be of no further force and effect and neither Borrower nor any successor of Borrower shall have any obligation to pay the Exit Fee. Borrower may not assign this Exit Fee Agreement. Each Lender may assign this Exit Fee Agreement solely in connection with, and subject to the terms of, an assignment or transfer made pursuant to the terms of Section 12.1 of the Loan Agreement, which shall govern such an assignment or transfer even if the Loan Agreement has previously been terminated.</w:t>
      </w:r>
    </w:p>
    <w:p>
      <w:pPr>
        <w:spacing w:after="0" w:line="181" w:lineRule="exact"/>
        <w:rPr>
          <w:rFonts w:ascii="Arial" w:cs="Arial" w:eastAsia="Arial" w:hAnsi="Arial"/>
          <w:sz w:val="18"/>
          <w:szCs w:val="18"/>
          <w:b w:val="1"/>
          <w:bCs w:val="1"/>
          <w:color w:val="auto"/>
        </w:rPr>
      </w:pPr>
    </w:p>
    <w:p>
      <w:pPr>
        <w:jc w:val="both"/>
        <w:ind w:firstLine="656"/>
        <w:spacing w:after="0" w:line="220" w:lineRule="auto"/>
        <w:tabs>
          <w:tab w:leader="none" w:pos="1296" w:val="left"/>
        </w:tabs>
        <w:numPr>
          <w:ilvl w:val="0"/>
          <w:numId w:val="12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b w:val="1"/>
          <w:bCs w:val="1"/>
          <w:color w:val="auto"/>
        </w:rPr>
        <w:t xml:space="preserve">. </w:t>
      </w:r>
      <w:r>
        <w:rPr>
          <w:rFonts w:ascii="Arial" w:cs="Arial" w:eastAsia="Arial" w:hAnsi="Arial"/>
          <w:sz w:val="20"/>
          <w:szCs w:val="20"/>
          <w:color w:val="auto"/>
        </w:rPr>
        <w:t>THIS EXIT FEE AGREEMENT SHALL BE CONSTRUED IN ACCORDANCE WITH AND</w:t>
      </w:r>
      <w:r>
        <w:rPr>
          <w:rFonts w:ascii="Arial" w:cs="Arial" w:eastAsia="Arial" w:hAnsi="Arial"/>
          <w:sz w:val="20"/>
          <w:szCs w:val="20"/>
          <w:b w:val="1"/>
          <w:bCs w:val="1"/>
          <w:color w:val="auto"/>
        </w:rPr>
        <w:t xml:space="preserve"> </w:t>
      </w:r>
      <w:r>
        <w:rPr>
          <w:rFonts w:ascii="Arial" w:cs="Arial" w:eastAsia="Arial" w:hAnsi="Arial"/>
          <w:sz w:val="20"/>
          <w:szCs w:val="20"/>
          <w:color w:val="auto"/>
        </w:rPr>
        <w:t>GOVERNED BY THE LAW OF THE STATE OF NEW YORK, WITHOUT REGARD TO CONFLICTS OF LAW PRINCIPLES THAT WOULD REQUIRE THE APPLICATION OF THE LAWS OF ANOTHER JURISDICTION.</w:t>
      </w:r>
    </w:p>
    <w:p>
      <w:pPr>
        <w:spacing w:after="0" w:line="177" w:lineRule="exact"/>
        <w:rPr>
          <w:rFonts w:ascii="Arial" w:cs="Arial" w:eastAsia="Arial" w:hAnsi="Arial"/>
          <w:sz w:val="20"/>
          <w:szCs w:val="20"/>
          <w:b w:val="1"/>
          <w:bCs w:val="1"/>
          <w:color w:val="auto"/>
        </w:rPr>
      </w:pPr>
    </w:p>
    <w:p>
      <w:pPr>
        <w:jc w:val="both"/>
        <w:ind w:firstLine="656"/>
        <w:spacing w:after="0" w:line="224" w:lineRule="auto"/>
        <w:tabs>
          <w:tab w:leader="none" w:pos="1296"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agrees to indemnify, defend and hold Agent and the Lenders and their respective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employees, consultants, agents, attorneys, or any other Person affiliated with or representing Agent or the Lenders (each, an “</w:t>
      </w:r>
      <w:r>
        <w:rPr>
          <w:rFonts w:ascii="Arial" w:cs="Arial" w:eastAsia="Arial" w:hAnsi="Arial"/>
          <w:sz w:val="18"/>
          <w:szCs w:val="18"/>
          <w:b w:val="1"/>
          <w:bCs w:val="1"/>
          <w:color w:val="auto"/>
        </w:rPr>
        <w:t>Indemnified Person</w:t>
      </w:r>
      <w:r>
        <w:rPr>
          <w:rFonts w:ascii="Arial" w:cs="Arial" w:eastAsia="Arial" w:hAnsi="Arial"/>
          <w:sz w:val="18"/>
          <w:szCs w:val="18"/>
          <w:color w:val="auto"/>
        </w:rPr>
        <w:t>”) harmless against: (a) all obligations, demands, claims, and liabilities (collectively, “</w:t>
      </w:r>
      <w:r>
        <w:rPr>
          <w:rFonts w:ascii="Arial" w:cs="Arial" w:eastAsia="Arial" w:hAnsi="Arial"/>
          <w:sz w:val="18"/>
          <w:szCs w:val="18"/>
          <w:b w:val="1"/>
          <w:bCs w:val="1"/>
          <w:color w:val="auto"/>
        </w:rPr>
        <w:t>Claims</w:t>
      </w:r>
      <w:r>
        <w:rPr>
          <w:rFonts w:ascii="Arial" w:cs="Arial" w:eastAsia="Arial" w:hAnsi="Arial"/>
          <w:sz w:val="18"/>
          <w:szCs w:val="18"/>
          <w:color w:val="auto"/>
        </w:rPr>
        <w:t>”) asserted by any other party in connection with; related to; following; or arising from, out of or under, the transactions contemplated by this Exit Fee Agreement; and (b) all losses or Lenders’ Expenses incurred, or paid by an Indemnified Person in connection with; related to; following; or arising from, out of or under, the transactions contemplated by this Exit Fee Agreement between Agent, and/or the Lenders and Borrower (including reasonable and documented attorneys’ fees and expenses), except for Claims and/or losses directly caused by such Indemnified Person’s gross negligence or willful misconduct. Borrower hereby further indemnifies, defends and holds each Indemnified Person harmless from and against any and all liabilities, obligations, losses, damages, penalties, actions, judgments, suits, claims, costs, expenses and disbursements of any kind or nature 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any commission, fee or compensation claimed by any broker (other than any broker retained by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99" w:right="339" w:bottom="1440" w:gutter="0" w:footer="0" w:header="0"/>
        </w:sectPr>
      </w:pPr>
    </w:p>
    <w:bookmarkStart w:id="143" w:name="page144"/>
    <w:bookmarkEnd w:id="143"/>
    <w:p>
      <w:pPr>
        <w:jc w:val="both"/>
        <w:spacing w:after="0" w:line="218" w:lineRule="auto"/>
        <w:rPr>
          <w:sz w:val="20"/>
          <w:szCs w:val="20"/>
          <w:color w:val="auto"/>
        </w:rPr>
      </w:pPr>
      <w:r>
        <w:rPr>
          <w:rFonts w:ascii="Arial" w:cs="Arial" w:eastAsia="Arial" w:hAnsi="Arial"/>
          <w:sz w:val="20"/>
          <w:szCs w:val="20"/>
          <w:color w:val="auto"/>
        </w:rPr>
        <w:t>disbursements directly caused by such Indemnified Person’s gross negligence or willful misconduct. The provisions of this Section 7 shall survive repayment of the Indebtedness and satisfaction of all Obligations of Borrower to Agent and the Lenders and termination of this Exit Fee Agreement, subject to any applicable statute of limitations.</w:t>
      </w:r>
    </w:p>
    <w:p>
      <w:pPr>
        <w:spacing w:after="0" w:line="177" w:lineRule="exact"/>
        <w:rPr>
          <w:sz w:val="20"/>
          <w:szCs w:val="20"/>
          <w:color w:val="auto"/>
        </w:rPr>
      </w:pPr>
    </w:p>
    <w:p>
      <w:pPr>
        <w:jc w:val="both"/>
        <w:ind w:firstLine="656"/>
        <w:spacing w:after="0" w:line="220" w:lineRule="auto"/>
        <w:tabs>
          <w:tab w:leader="none" w:pos="1296" w:val="left"/>
        </w:tabs>
        <w:numPr>
          <w:ilvl w:val="0"/>
          <w:numId w:val="12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Amendment</w:t>
      </w:r>
      <w:r>
        <w:rPr>
          <w:rFonts w:ascii="Arial" w:cs="Arial" w:eastAsia="Arial" w:hAnsi="Arial"/>
          <w:sz w:val="20"/>
          <w:szCs w:val="20"/>
          <w:b w:val="1"/>
          <w:bCs w:val="1"/>
          <w:color w:val="auto"/>
        </w:rPr>
        <w:t xml:space="preserve">. </w:t>
      </w:r>
      <w:r>
        <w:rPr>
          <w:rFonts w:ascii="Arial" w:cs="Arial" w:eastAsia="Arial" w:hAnsi="Arial"/>
          <w:sz w:val="20"/>
          <w:szCs w:val="20"/>
          <w:color w:val="auto"/>
        </w:rPr>
        <w:t>No amendment, modification, termination or waiver of any provision of this Exit Fee Agreement shall in any</w:t>
      </w:r>
      <w:r>
        <w:rPr>
          <w:rFonts w:ascii="Arial" w:cs="Arial" w:eastAsia="Arial" w:hAnsi="Arial"/>
          <w:sz w:val="20"/>
          <w:szCs w:val="20"/>
          <w:b w:val="1"/>
          <w:bCs w:val="1"/>
          <w:color w:val="auto"/>
        </w:rPr>
        <w:t xml:space="preserve"> </w:t>
      </w:r>
      <w:r>
        <w:rPr>
          <w:rFonts w:ascii="Arial" w:cs="Arial" w:eastAsia="Arial" w:hAnsi="Arial"/>
          <w:sz w:val="20"/>
          <w:szCs w:val="20"/>
          <w:color w:val="auto"/>
        </w:rPr>
        <w:t>event be effective unless the same shall be in writing and signed by Borrower, Collateral Agent and each Lender (including any permitted assigns of such parties).</w:t>
      </w:r>
    </w:p>
    <w:p>
      <w:pPr>
        <w:spacing w:after="0" w:line="177" w:lineRule="exact"/>
        <w:rPr>
          <w:rFonts w:ascii="Arial" w:cs="Arial" w:eastAsia="Arial" w:hAnsi="Arial"/>
          <w:sz w:val="20"/>
          <w:szCs w:val="20"/>
          <w:b w:val="1"/>
          <w:bCs w:val="1"/>
          <w:color w:val="auto"/>
        </w:rPr>
      </w:pPr>
    </w:p>
    <w:p>
      <w:pPr>
        <w:ind w:firstLine="656"/>
        <w:spacing w:after="0" w:line="232" w:lineRule="auto"/>
        <w:tabs>
          <w:tab w:leader="none" w:pos="1296" w:val="left"/>
        </w:tabs>
        <w:numPr>
          <w:ilvl w:val="0"/>
          <w:numId w:val="12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Severability of Provisions</w:t>
      </w:r>
      <w:r>
        <w:rPr>
          <w:rFonts w:ascii="Arial" w:cs="Arial" w:eastAsia="Arial" w:hAnsi="Arial"/>
          <w:sz w:val="20"/>
          <w:szCs w:val="20"/>
          <w:b w:val="1"/>
          <w:bCs w:val="1"/>
          <w:color w:val="auto"/>
        </w:rPr>
        <w:t xml:space="preserve">. </w:t>
      </w:r>
      <w:r>
        <w:rPr>
          <w:rFonts w:ascii="Arial" w:cs="Arial" w:eastAsia="Arial" w:hAnsi="Arial"/>
          <w:sz w:val="20"/>
          <w:szCs w:val="20"/>
          <w:color w:val="auto"/>
        </w:rPr>
        <w:t>Each provision of this Exit Fee Agreement is severable from every other provision in</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determining the enforceability of any provision.</w:t>
      </w:r>
    </w:p>
    <w:p>
      <w:pPr>
        <w:spacing w:after="0" w:line="176" w:lineRule="exact"/>
        <w:rPr>
          <w:rFonts w:ascii="Arial" w:cs="Arial" w:eastAsia="Arial" w:hAnsi="Arial"/>
          <w:sz w:val="20"/>
          <w:szCs w:val="20"/>
          <w:b w:val="1"/>
          <w:bCs w:val="1"/>
          <w:color w:val="auto"/>
        </w:rPr>
      </w:pPr>
    </w:p>
    <w:p>
      <w:pPr>
        <w:jc w:val="both"/>
        <w:ind w:firstLine="656"/>
        <w:spacing w:after="0" w:line="226" w:lineRule="auto"/>
        <w:tabs>
          <w:tab w:leader="none" w:pos="1287" w:val="left"/>
        </w:tabs>
        <w:numPr>
          <w:ilvl w:val="0"/>
          <w:numId w:val="12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b w:val="1"/>
          <w:bCs w:val="1"/>
          <w:color w:val="auto"/>
        </w:rPr>
        <w:t xml:space="preserve">. </w:t>
      </w:r>
      <w:r>
        <w:rPr>
          <w:rFonts w:ascii="Arial" w:cs="Arial" w:eastAsia="Arial" w:hAnsi="Arial"/>
          <w:sz w:val="19"/>
          <w:szCs w:val="19"/>
          <w:color w:val="auto"/>
        </w:rPr>
        <w:t>This Exit Fee Agreement may be executed in any number of counterparts and by different parties on separate</w:t>
      </w:r>
      <w:r>
        <w:rPr>
          <w:rFonts w:ascii="Arial" w:cs="Arial" w:eastAsia="Arial" w:hAnsi="Arial"/>
          <w:sz w:val="19"/>
          <w:szCs w:val="19"/>
          <w:b w:val="1"/>
          <w:bCs w:val="1"/>
          <w:color w:val="auto"/>
        </w:rPr>
        <w:t xml:space="preserve"> </w:t>
      </w:r>
      <w:r>
        <w:rPr>
          <w:rFonts w:ascii="Arial" w:cs="Arial" w:eastAsia="Arial" w:hAnsi="Arial"/>
          <w:sz w:val="19"/>
          <w:szCs w:val="19"/>
          <w:color w:val="auto"/>
        </w:rPr>
        <w:t>counterparts, each of which, when executed and delivered, is an original, and all taken together, constitute one Exit Fee Agreement. Delivery of an executed counterpart of a signature page of this Exit Fee Agreement by facsimile, portable document format (.pdf) or other electronic transmission will be as effective as delivery of a manually executed counterpart hereof.</w:t>
      </w:r>
    </w:p>
    <w:p>
      <w:pPr>
        <w:spacing w:after="0" w:line="176" w:lineRule="exact"/>
        <w:rPr>
          <w:rFonts w:ascii="Arial" w:cs="Arial" w:eastAsia="Arial" w:hAnsi="Arial"/>
          <w:sz w:val="19"/>
          <w:szCs w:val="19"/>
          <w:b w:val="1"/>
          <w:bCs w:val="1"/>
          <w:color w:val="auto"/>
        </w:rPr>
      </w:pPr>
    </w:p>
    <w:p>
      <w:pPr>
        <w:jc w:val="both"/>
        <w:ind w:firstLine="656"/>
        <w:spacing w:after="0" w:line="228" w:lineRule="auto"/>
        <w:tabs>
          <w:tab w:leader="none" w:pos="1276"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Execution of Certain Other Documents</w:t>
      </w:r>
      <w:r>
        <w:rPr>
          <w:rFonts w:ascii="Arial" w:cs="Arial" w:eastAsia="Arial" w:hAnsi="Arial"/>
          <w:sz w:val="18"/>
          <w:szCs w:val="18"/>
          <w:color w:val="auto"/>
        </w:rPr>
        <w:t>. The words “execution,” “execute”, “signed,” “signature,” and words</w:t>
      </w:r>
      <w:r>
        <w:rPr>
          <w:rFonts w:ascii="Arial" w:cs="Arial" w:eastAsia="Arial" w:hAnsi="Arial"/>
          <w:sz w:val="18"/>
          <w:szCs w:val="18"/>
          <w:b w:val="1"/>
          <w:bCs w:val="1"/>
          <w:color w:val="auto"/>
        </w:rPr>
        <w:t xml:space="preserve"> </w:t>
      </w:r>
      <w:r>
        <w:rPr>
          <w:rFonts w:ascii="Arial" w:cs="Arial" w:eastAsia="Arial" w:hAnsi="Arial"/>
          <w:sz w:val="18"/>
          <w:szCs w:val="18"/>
          <w:color w:val="auto"/>
        </w:rPr>
        <w:t>of like import in or related to any document to be signed in connection with this Exit Fee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Agent and the Lenders,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[Balance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05" w:right="339" w:bottom="1440" w:gutter="0" w:footer="0" w:header="0"/>
        </w:sectPr>
      </w:pPr>
    </w:p>
    <w:bookmarkStart w:id="144" w:name="page145"/>
    <w:bookmarkEnd w:id="144"/>
    <w:p>
      <w:pPr>
        <w:spacing w:after="0"/>
        <w:rPr>
          <w:sz w:val="20"/>
          <w:szCs w:val="20"/>
          <w:color w:val="auto"/>
        </w:rPr>
      </w:pPr>
      <w:r>
        <w:rPr>
          <w:rFonts w:ascii="Arial" w:cs="Arial" w:eastAsia="Arial" w:hAnsi="Arial"/>
          <w:sz w:val="20"/>
          <w:szCs w:val="20"/>
          <w:b w:val="1"/>
          <w:bCs w:val="1"/>
          <w:u w:val="single" w:color="auto"/>
          <w:color w:val="auto"/>
        </w:rPr>
        <w:t>Agreed:</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SLR INVESTMENT CORP.,</w:t>
      </w:r>
    </w:p>
    <w:p>
      <w:pPr>
        <w:ind w:left="20"/>
        <w:spacing w:after="0"/>
        <w:rPr>
          <w:sz w:val="20"/>
          <w:szCs w:val="20"/>
          <w:color w:val="auto"/>
        </w:rPr>
      </w:pPr>
      <w:r>
        <w:rPr>
          <w:rFonts w:ascii="Arial" w:cs="Arial" w:eastAsia="Arial" w:hAnsi="Arial"/>
          <w:sz w:val="18"/>
          <w:szCs w:val="18"/>
          <w:color w:val="auto"/>
        </w:rPr>
        <w:t>as Agent and Lender</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_</w:t>
      </w:r>
      <w:r>
        <w:rPr>
          <w:rFonts w:ascii="Arial" w:cs="Arial" w:eastAsia="Arial" w:hAnsi="Arial"/>
          <w:sz w:val="18"/>
          <w:szCs w:val="18"/>
          <w:u w:val="single" w:color="auto"/>
          <w:color w:val="auto"/>
        </w:rPr>
        <w:t>/s/ Anthony Storino</w:t>
      </w:r>
      <w:r>
        <w:rPr>
          <w:rFonts w:ascii="Arial" w:cs="Arial" w:eastAsia="Arial" w:hAnsi="Arial"/>
          <w:sz w:val="18"/>
          <w:szCs w:val="18"/>
          <w:color w:val="auto"/>
        </w:rPr>
        <w:t>__________</w:t>
      </w:r>
    </w:p>
    <w:p>
      <w:pPr>
        <w:ind w:left="20"/>
        <w:spacing w:after="0" w:line="203" w:lineRule="auto"/>
        <w:rPr>
          <w:sz w:val="20"/>
          <w:szCs w:val="20"/>
          <w:color w:val="auto"/>
        </w:rPr>
      </w:pPr>
      <w:r>
        <w:rPr>
          <w:rFonts w:ascii="Arial" w:cs="Arial" w:eastAsia="Arial" w:hAnsi="Arial"/>
          <w:sz w:val="18"/>
          <w:szCs w:val="18"/>
          <w:color w:val="auto"/>
        </w:rPr>
        <w:t>Name: Anthony Storino</w:t>
      </w:r>
    </w:p>
    <w:p>
      <w:pPr>
        <w:ind w:left="2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SLR SENIOR INVESTMENT CORP.</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SCP PRIVATE CREDIT INCOME FUND SPV, LLC</w:t>
      </w:r>
    </w:p>
    <w:p>
      <w:pPr>
        <w:ind w:left="20"/>
        <w:spacing w:after="0" w:line="203" w:lineRule="auto"/>
        <w:rPr>
          <w:sz w:val="20"/>
          <w:szCs w:val="20"/>
          <w:color w:val="auto"/>
        </w:rPr>
      </w:pPr>
      <w:r>
        <w:rPr>
          <w:rFonts w:ascii="Arial" w:cs="Arial" w:eastAsia="Arial" w:hAnsi="Arial"/>
          <w:sz w:val="18"/>
          <w:szCs w:val="18"/>
          <w:color w:val="auto"/>
        </w:rPr>
        <w:t>SCP PRIVATE CREDIT INCOME BDC SPV LLC</w:t>
      </w:r>
    </w:p>
    <w:p>
      <w:pPr>
        <w:ind w:left="20"/>
        <w:spacing w:after="0" w:line="203" w:lineRule="auto"/>
        <w:rPr>
          <w:sz w:val="20"/>
          <w:szCs w:val="20"/>
          <w:color w:val="auto"/>
        </w:rPr>
      </w:pPr>
      <w:r>
        <w:rPr>
          <w:rFonts w:ascii="Arial" w:cs="Arial" w:eastAsia="Arial" w:hAnsi="Arial"/>
          <w:sz w:val="18"/>
          <w:szCs w:val="18"/>
          <w:color w:val="auto"/>
        </w:rPr>
        <w:t>SCP PRIVATE CORPORATE LENDING FUND SPV LLC</w:t>
      </w:r>
    </w:p>
    <w:p>
      <w:pPr>
        <w:ind w:left="20"/>
        <w:spacing w:after="0" w:line="204" w:lineRule="auto"/>
        <w:rPr>
          <w:sz w:val="20"/>
          <w:szCs w:val="20"/>
          <w:color w:val="auto"/>
        </w:rPr>
      </w:pPr>
      <w:r>
        <w:rPr>
          <w:rFonts w:ascii="Arial" w:cs="Arial" w:eastAsia="Arial" w:hAnsi="Arial"/>
          <w:sz w:val="18"/>
          <w:szCs w:val="18"/>
          <w:color w:val="auto"/>
        </w:rPr>
        <w:t>SCP SF DEBT FUND L.P.</w:t>
      </w:r>
    </w:p>
    <w:p>
      <w:pPr>
        <w:ind w:left="20"/>
        <w:spacing w:after="0" w:line="203" w:lineRule="auto"/>
        <w:rPr>
          <w:sz w:val="20"/>
          <w:szCs w:val="20"/>
          <w:color w:val="auto"/>
        </w:rPr>
      </w:pPr>
      <w:r>
        <w:rPr>
          <w:rFonts w:ascii="Arial" w:cs="Arial" w:eastAsia="Arial" w:hAnsi="Arial"/>
          <w:sz w:val="18"/>
          <w:szCs w:val="18"/>
          <w:color w:val="auto"/>
        </w:rPr>
        <w:t>SLR HC FUND SPV, LLC</w:t>
      </w:r>
    </w:p>
    <w:p>
      <w:pPr>
        <w:ind w:left="20"/>
        <w:spacing w:after="0" w:line="204" w:lineRule="auto"/>
        <w:rPr>
          <w:sz w:val="20"/>
          <w:szCs w:val="20"/>
          <w:color w:val="auto"/>
        </w:rPr>
      </w:pPr>
      <w:r>
        <w:rPr>
          <w:rFonts w:ascii="Arial" w:cs="Arial" w:eastAsia="Arial" w:hAnsi="Arial"/>
          <w:sz w:val="18"/>
          <w:szCs w:val="18"/>
          <w:color w:val="auto"/>
        </w:rPr>
        <w:t>SLR HC BDC LLC,</w:t>
      </w:r>
    </w:p>
    <w:p>
      <w:pPr>
        <w:ind w:left="20"/>
        <w:spacing w:after="0"/>
        <w:rPr>
          <w:sz w:val="20"/>
          <w:szCs w:val="20"/>
          <w:color w:val="auto"/>
        </w:rPr>
      </w:pPr>
      <w:r>
        <w:rPr>
          <w:rFonts w:ascii="Arial" w:cs="Arial" w:eastAsia="Arial" w:hAnsi="Arial"/>
          <w:sz w:val="18"/>
          <w:szCs w:val="18"/>
          <w:color w:val="auto"/>
        </w:rPr>
        <w:t>as Lenders</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Anthony Storino</w:t>
      </w:r>
    </w:p>
    <w:p>
      <w:pPr>
        <w:ind w:left="20"/>
        <w:spacing w:after="0" w:line="203" w:lineRule="auto"/>
        <w:rPr>
          <w:sz w:val="20"/>
          <w:szCs w:val="20"/>
          <w:color w:val="auto"/>
        </w:rPr>
      </w:pPr>
      <w:r>
        <w:rPr>
          <w:rFonts w:ascii="Arial" w:cs="Arial" w:eastAsia="Arial" w:hAnsi="Arial"/>
          <w:sz w:val="18"/>
          <w:szCs w:val="18"/>
          <w:color w:val="auto"/>
        </w:rPr>
        <w:t>Name: Anthony Storino</w:t>
      </w:r>
    </w:p>
    <w:p>
      <w:pPr>
        <w:ind w:left="2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ind w:right="3079"/>
        <w:spacing w:after="0"/>
        <w:rPr>
          <w:sz w:val="20"/>
          <w:szCs w:val="20"/>
          <w:color w:val="auto"/>
        </w:rPr>
      </w:pPr>
      <w:r>
        <w:rPr>
          <w:rFonts w:ascii="Arial" w:cs="Arial" w:eastAsia="Arial" w:hAnsi="Arial"/>
          <w:sz w:val="18"/>
          <w:szCs w:val="18"/>
          <w:color w:val="auto"/>
        </w:rPr>
        <w:t>[Signature Page to Exit Fee Agreement]</w:t>
      </w:r>
    </w:p>
    <w:p>
      <w:pPr>
        <w:sectPr>
          <w:pgSz w:w="11900" w:h="16838" w:orient="portrait"/>
          <w:cols w:equalWidth="0" w:num="1">
            <w:col w:w="10139"/>
          </w:cols>
          <w:pgMar w:left="320" w:top="1399" w:right="1440" w:bottom="1440" w:gutter="0" w:footer="0" w:header="0"/>
        </w:sectPr>
      </w:pPr>
    </w:p>
    <w:bookmarkStart w:id="145" w:name="page146"/>
    <w:bookmarkEnd w:id="145"/>
    <w:p>
      <w:pPr>
        <w:spacing w:after="0"/>
        <w:rPr>
          <w:sz w:val="20"/>
          <w:szCs w:val="20"/>
          <w:color w:val="auto"/>
        </w:rPr>
      </w:pPr>
      <w:r>
        <w:rPr>
          <w:rFonts w:ascii="Arial" w:cs="Arial" w:eastAsia="Arial" w:hAnsi="Arial"/>
          <w:sz w:val="20"/>
          <w:szCs w:val="20"/>
          <w:b w:val="1"/>
          <w:bCs w:val="1"/>
          <w:u w:val="single" w:color="auto"/>
          <w:color w:val="auto"/>
        </w:rPr>
        <w:t>Agreed:</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ARDELYX, INC.</w:t>
      </w: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as Borrower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Justin A. Renz</w:t>
      </w:r>
      <w:r>
        <w:rPr>
          <w:rFonts w:ascii="Arial" w:cs="Arial" w:eastAsia="Arial" w:hAnsi="Arial"/>
          <w:sz w:val="20"/>
          <w:szCs w:val="20"/>
          <w:color w:val="auto"/>
        </w:rPr>
        <w:t>_______________________________</w:t>
      </w:r>
    </w:p>
    <w:p>
      <w:pPr>
        <w:spacing w:after="0" w:line="197" w:lineRule="auto"/>
        <w:rPr>
          <w:sz w:val="20"/>
          <w:szCs w:val="20"/>
          <w:color w:val="auto"/>
        </w:rPr>
      </w:pPr>
      <w:r>
        <w:rPr>
          <w:rFonts w:ascii="Arial" w:cs="Arial" w:eastAsia="Arial" w:hAnsi="Arial"/>
          <w:sz w:val="20"/>
          <w:szCs w:val="20"/>
          <w:color w:val="auto"/>
        </w:rPr>
        <w:t>Name: Justin A. Renz</w:t>
      </w:r>
    </w:p>
    <w:p>
      <w:pPr>
        <w:spacing w:after="0"/>
        <w:rPr>
          <w:sz w:val="20"/>
          <w:szCs w:val="20"/>
          <w:color w:val="auto"/>
        </w:rPr>
      </w:pPr>
      <w:r>
        <w:rPr>
          <w:rFonts w:ascii="Arial" w:cs="Arial" w:eastAsia="Arial" w:hAnsi="Arial"/>
          <w:sz w:val="20"/>
          <w:szCs w:val="20"/>
          <w:color w:val="auto"/>
        </w:rPr>
        <w:t>Title: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3079"/>
        <w:spacing w:after="0"/>
        <w:rPr>
          <w:sz w:val="20"/>
          <w:szCs w:val="20"/>
          <w:color w:val="auto"/>
        </w:rPr>
      </w:pPr>
      <w:r>
        <w:rPr>
          <w:rFonts w:ascii="Arial" w:cs="Arial" w:eastAsia="Arial" w:hAnsi="Arial"/>
          <w:sz w:val="18"/>
          <w:szCs w:val="18"/>
          <w:color w:val="auto"/>
        </w:rPr>
        <w:t>[Signature Page to Exit Fee Agreement]</w:t>
      </w:r>
    </w:p>
    <w:p>
      <w:pPr>
        <w:sectPr>
          <w:pgSz w:w="11900" w:h="16838" w:orient="portrait"/>
          <w:cols w:equalWidth="0" w:num="1">
            <w:col w:w="10139"/>
          </w:cols>
          <w:pgMar w:left="320" w:top="1399" w:right="1440"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Michael Raab, certify that:</w:t>
      </w:r>
    </w:p>
    <w:p>
      <w:pPr>
        <w:spacing w:after="0" w:line="198" w:lineRule="exact"/>
        <w:rPr>
          <w:sz w:val="20"/>
          <w:szCs w:val="20"/>
          <w:color w:val="auto"/>
        </w:rPr>
      </w:pPr>
    </w:p>
    <w:p>
      <w:pPr>
        <w:ind w:left="340" w:hanging="332"/>
        <w:spacing w:after="0"/>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Ardelyx, Inc.;</w:t>
      </w:r>
    </w:p>
    <w:p>
      <w:pPr>
        <w:spacing w:after="0" w:line="184"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980" w:right="60" w:hanging="648"/>
        <w:spacing w:after="0" w:line="263" w:lineRule="auto"/>
        <w:tabs>
          <w:tab w:leader="none" w:pos="977"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980" w:right="360" w:hanging="648"/>
        <w:spacing w:after="0" w:line="263" w:lineRule="auto"/>
        <w:tabs>
          <w:tab w:leader="none" w:pos="97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jc w:val="both"/>
        <w:ind w:left="980" w:right="540" w:hanging="648"/>
        <w:spacing w:after="0" w:line="342" w:lineRule="auto"/>
        <w:tabs>
          <w:tab w:leader="none" w:pos="977" w:val="left"/>
        </w:tabs>
        <w:numPr>
          <w:ilvl w:val="1"/>
          <w:numId w:val="1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980" w:right="60" w:hanging="648"/>
        <w:spacing w:after="0" w:line="263" w:lineRule="auto"/>
        <w:tabs>
          <w:tab w:leader="none" w:pos="97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980" w:right="780" w:hanging="648"/>
        <w:spacing w:after="0" w:line="342" w:lineRule="auto"/>
        <w:tabs>
          <w:tab w:leader="none" w:pos="977" w:val="left"/>
        </w:tabs>
        <w:numPr>
          <w:ilvl w:val="1"/>
          <w:numId w:val="1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980" w:right="480" w:hanging="648"/>
        <w:spacing w:after="0" w:line="277" w:lineRule="auto"/>
        <w:tabs>
          <w:tab w:leader="none" w:pos="97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6180" w:val="left"/>
          <w:tab w:leader="none" w:pos="832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31750</wp:posOffset>
            </wp:positionV>
            <wp:extent cx="29146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3"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Michael Raab</w:t>
      </w:r>
    </w:p>
    <w:p>
      <w:pPr>
        <w:spacing w:after="0" w:line="27"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891"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Justin Renz, certify that:</w:t>
      </w:r>
    </w:p>
    <w:p>
      <w:pPr>
        <w:spacing w:after="0" w:line="185" w:lineRule="exact"/>
        <w:rPr>
          <w:sz w:val="20"/>
          <w:szCs w:val="20"/>
          <w:color w:val="auto"/>
        </w:rPr>
      </w:pPr>
    </w:p>
    <w:p>
      <w:pPr>
        <w:ind w:left="340" w:hanging="332"/>
        <w:spacing w:after="0"/>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Ardelyx, Inc.;</w:t>
      </w:r>
    </w:p>
    <w:p>
      <w:pPr>
        <w:spacing w:after="0" w:line="198"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980" w:right="60" w:hanging="648"/>
        <w:spacing w:after="0" w:line="263" w:lineRule="auto"/>
        <w:tabs>
          <w:tab w:leader="none" w:pos="97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980" w:right="360" w:hanging="648"/>
        <w:spacing w:after="0" w:line="263" w:lineRule="auto"/>
        <w:tabs>
          <w:tab w:leader="none" w:pos="974"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980" w:right="540" w:hanging="648"/>
        <w:spacing w:after="0" w:line="342" w:lineRule="auto"/>
        <w:tabs>
          <w:tab w:leader="none" w:pos="977" w:val="left"/>
        </w:tabs>
        <w:numPr>
          <w:ilvl w:val="1"/>
          <w:numId w:val="1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980" w:right="60" w:hanging="648"/>
        <w:spacing w:after="0" w:line="263" w:lineRule="auto"/>
        <w:tabs>
          <w:tab w:leader="none" w:pos="974"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right="780" w:hanging="648"/>
        <w:spacing w:after="0" w:line="342" w:lineRule="auto"/>
        <w:tabs>
          <w:tab w:leader="none" w:pos="977" w:val="left"/>
        </w:tabs>
        <w:numPr>
          <w:ilvl w:val="1"/>
          <w:numId w:val="1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980" w:right="480" w:hanging="648"/>
        <w:spacing w:after="0" w:line="277" w:lineRule="auto"/>
        <w:tabs>
          <w:tab w:leader="none" w:pos="974"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20"/>
        <w:spacing w:after="0"/>
        <w:tabs>
          <w:tab w:leader="none" w:pos="6180" w:val="left"/>
          <w:tab w:leader="none" w:pos="840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31750</wp:posOffset>
            </wp:positionV>
            <wp:extent cx="29146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53"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Justin Renz</w:t>
      </w:r>
    </w:p>
    <w:p>
      <w:pPr>
        <w:spacing w:after="0" w:line="27" w:lineRule="exact"/>
        <w:rPr>
          <w:sz w:val="20"/>
          <w:szCs w:val="20"/>
          <w:color w:val="auto"/>
        </w:rPr>
      </w:pPr>
    </w:p>
    <w:p>
      <w:pPr>
        <w:jc w:val="center"/>
        <w:ind w:left="66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066"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Quartlery Report of Ardelyx, Inc. (the “Company”) on Form 10-Q for the period ending March 31, 2022, as filed with the Securities and Exchange Commission on the date hereof (the “Report”), Michael Raab, President and Chief Executive Officer of the Company, and Justin Renz, Chief Financial Officer of the Company, respectively, do each hereby certify, pursuant to 18 U.S.C. Section 1350, as adopted pursuant to Section 906 of the Sarbanes-Oxley Act of 2002, that:</w:t>
      </w:r>
    </w:p>
    <w:p>
      <w:pPr>
        <w:spacing w:after="0" w:line="146" w:lineRule="exact"/>
        <w:rPr>
          <w:sz w:val="20"/>
          <w:szCs w:val="20"/>
          <w:color w:val="auto"/>
        </w:rPr>
      </w:pPr>
    </w:p>
    <w:p>
      <w:pPr>
        <w:ind w:left="640" w:hanging="308"/>
        <w:spacing w:after="0"/>
        <w:tabs>
          <w:tab w:leader="none" w:pos="6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40" w:hanging="308"/>
        <w:spacing w:after="0"/>
        <w:tabs>
          <w:tab w:leader="none" w:pos="6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67" w:lineRule="exact"/>
        <w:rPr>
          <w:sz w:val="20"/>
          <w:szCs w:val="20"/>
          <w:color w:val="auto"/>
        </w:rPr>
      </w:pPr>
    </w:p>
    <w:p>
      <w:pPr>
        <w:ind w:left="20"/>
        <w:spacing w:after="0"/>
        <w:tabs>
          <w:tab w:leader="none" w:pos="6180" w:val="left"/>
          <w:tab w:leader="none" w:pos="832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31750</wp:posOffset>
            </wp:positionV>
            <wp:extent cx="29146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3"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Michael Raab</w:t>
      </w:r>
    </w:p>
    <w:p>
      <w:pPr>
        <w:spacing w:after="0" w:line="27"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(Principal Executive Officer)</w:t>
      </w:r>
    </w:p>
    <w:p>
      <w:pPr>
        <w:spacing w:after="0" w:line="170" w:lineRule="exact"/>
        <w:rPr>
          <w:sz w:val="20"/>
          <w:szCs w:val="20"/>
          <w:color w:val="auto"/>
        </w:rPr>
      </w:pPr>
    </w:p>
    <w:p>
      <w:pPr>
        <w:ind w:left="20"/>
        <w:spacing w:after="0"/>
        <w:tabs>
          <w:tab w:leader="none" w:pos="6140" w:val="left"/>
          <w:tab w:leader="none" w:pos="834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31750</wp:posOffset>
            </wp:positionV>
            <wp:extent cx="29146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Justin Renz</w:t>
      </w:r>
    </w:p>
    <w:p>
      <w:pPr>
        <w:spacing w:after="0" w:line="27"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10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1)"/>
      <w:numFmt w:val="decimal"/>
      <w:start w:val="606"/>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
      <w:numFmt w:val="bullet"/>
      <w:start w:val="1"/>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1)"/>
      <w:numFmt w:val="lowerRoman"/>
      <w:start w:val="3"/>
    </w:lvl>
  </w:abstractNum>
  <w:abstractNum w:abstractNumId="34">
    <w:nsid w:val="3B0FD379"/>
    <w:multiLevelType w:val="hybridMultilevel"/>
    <w:lvl w:ilvl="0">
      <w:lvlJc w:val="left"/>
      <w:lvlText w:val="††"/>
      <w:numFmt w:val="bullet"/>
      <w:start w:val="1"/>
    </w:lvl>
    <w:lvl w:ilvl="1">
      <w:lvlJc w:val="left"/>
      <w:lvlText w:val="%2"/>
      <w:numFmt w:val="decimal"/>
      <w:start w:val="104"/>
    </w:lvl>
  </w:abstractNum>
  <w:abstractNum w:abstractNumId="35">
    <w:nsid w:val="68EB2F63"/>
    <w:multiLevelType w:val="hybridMultilevel"/>
    <w:lvl w:ilvl="0">
      <w:lvlJc w:val="left"/>
      <w:lvlText w:val="(%1)"/>
      <w:numFmt w:val="lowerRoman"/>
      <w:start w:val="1"/>
    </w:lvl>
  </w:abstractNum>
  <w:abstractNum w:abstractNumId="36">
    <w:nsid w:val="4962813B"/>
    <w:multiLevelType w:val="hybridMultilevel"/>
    <w:lvl w:ilvl="0">
      <w:lvlJc w:val="left"/>
      <w:lvlText w:val="(%1)"/>
      <w:numFmt w:val="lowerLetter"/>
      <w:start w:val="2"/>
    </w:lvl>
  </w:abstractNum>
  <w:abstractNum w:abstractNumId="37">
    <w:nsid w:val="60B6DF70"/>
    <w:multiLevelType w:val="hybridMultilevel"/>
    <w:lvl w:ilvl="0">
      <w:lvlJc w:val="left"/>
      <w:lvlText w:val="(%1)"/>
      <w:numFmt w:val="lowerLetter"/>
      <w:start w:val="3"/>
    </w:lvl>
  </w:abstractNum>
  <w:abstractNum w:abstractNumId="38">
    <w:nsid w:val="6A5EE64"/>
    <w:multiLevelType w:val="hybridMultilevel"/>
    <w:lvl w:ilvl="0">
      <w:lvlJc w:val="left"/>
      <w:lvlText w:val="(%1)"/>
      <w:numFmt w:val="lowerLetter"/>
      <w:start w:val="1"/>
    </w:lvl>
  </w:abstractNum>
  <w:abstractNum w:abstractNumId="39">
    <w:nsid w:val="14330624"/>
    <w:multiLevelType w:val="hybridMultilevel"/>
    <w:lvl w:ilvl="0">
      <w:lvlJc w:val="left"/>
      <w:lvlText w:val="(%1)"/>
      <w:numFmt w:val="lowerRoman"/>
      <w:start w:val="1"/>
    </w:lvl>
  </w:abstractNum>
  <w:abstractNum w:abstractNumId="40">
    <w:nsid w:val="7FFFCA11"/>
    <w:multiLevelType w:val="hybridMultilevel"/>
    <w:lvl w:ilvl="0">
      <w:lvlJc w:val="left"/>
      <w:lvlText w:val="(%1)"/>
      <w:numFmt w:val="lowerRoman"/>
      <w:start w:val="7"/>
    </w:lvl>
  </w:abstractNum>
  <w:abstractNum w:abstractNumId="41">
    <w:nsid w:val="1A27709E"/>
    <w:multiLevelType w:val="hybridMultilevel"/>
    <w:lvl w:ilvl="0">
      <w:lvlJc w:val="left"/>
      <w:lvlText w:val="(%1)"/>
      <w:numFmt w:val="lowerLetter"/>
      <w:start w:val="1"/>
    </w:lvl>
  </w:abstractNum>
  <w:abstractNum w:abstractNumId="42">
    <w:nsid w:val="71EA1109"/>
    <w:multiLevelType w:val="hybridMultilevel"/>
    <w:lvl w:ilvl="0">
      <w:lvlJc w:val="left"/>
      <w:lvlText w:val="(%1)"/>
      <w:numFmt w:val="lowerLetter"/>
      <w:start w:val="13"/>
    </w:lvl>
  </w:abstractNum>
  <w:abstractNum w:abstractNumId="43">
    <w:nsid w:val="100F59DC"/>
    <w:multiLevelType w:val="hybridMultilevel"/>
    <w:lvl w:ilvl="0">
      <w:lvlJc w:val="left"/>
      <w:lvlText w:val="(%1)"/>
      <w:numFmt w:val="lowerLetter"/>
      <w:start w:val="1"/>
    </w:lvl>
  </w:abstractNum>
  <w:abstractNum w:abstractNumId="44">
    <w:nsid w:val="7FB7E0AA"/>
    <w:multiLevelType w:val="hybridMultilevel"/>
    <w:lvl w:ilvl="0">
      <w:lvlJc w:val="left"/>
      <w:lvlText w:val="(%1)"/>
      <w:numFmt w:val="lowerLetter"/>
      <w:start w:val="10"/>
    </w:lvl>
  </w:abstractNum>
  <w:abstractNum w:abstractNumId="45">
    <w:nsid w:val="6EB5BD4"/>
    <w:multiLevelType w:val="hybridMultilevel"/>
    <w:lvl w:ilvl="0">
      <w:lvlJc w:val="left"/>
      <w:lvlText w:val="(%1)"/>
      <w:numFmt w:val="lowerLetter"/>
      <w:start w:val="1"/>
    </w:lvl>
  </w:abstractNum>
  <w:abstractNum w:abstractNumId="46">
    <w:nsid w:val="6F6DD9AC"/>
    <w:multiLevelType w:val="hybridMultilevel"/>
    <w:lvl w:ilvl="0">
      <w:lvlJc w:val="left"/>
      <w:lvlText w:val="(%1)"/>
      <w:numFmt w:val="lowerLetter"/>
      <w:start w:val="4"/>
    </w:lvl>
  </w:abstractNum>
  <w:abstractNum w:abstractNumId="47">
    <w:nsid w:val="94211F2"/>
    <w:multiLevelType w:val="hybridMultilevel"/>
    <w:lvl w:ilvl="0">
      <w:lvlJc w:val="left"/>
      <w:lvlText w:val="(%1)"/>
      <w:numFmt w:val="lowerRoman"/>
      <w:start w:val="3"/>
    </w:lvl>
  </w:abstractNum>
  <w:abstractNum w:abstractNumId="48">
    <w:nsid w:val="885E1B"/>
    <w:multiLevelType w:val="hybridMultilevel"/>
    <w:lvl w:ilvl="0">
      <w:lvlJc w:val="left"/>
      <w:lvlText w:val="(%1)"/>
      <w:numFmt w:val="lowerRoman"/>
      <w:start w:val="1"/>
    </w:lvl>
  </w:abstractNum>
  <w:abstractNum w:abstractNumId="49">
    <w:nsid w:val="76272110"/>
    <w:multiLevelType w:val="hybridMultilevel"/>
    <w:lvl w:ilvl="0">
      <w:lvlJc w:val="left"/>
      <w:lvlText w:val="(%1)"/>
      <w:numFmt w:val="lowerLetter"/>
      <w:start w:val="1"/>
    </w:lvl>
  </w:abstractNum>
  <w:abstractNum w:abstractNumId="50">
    <w:nsid w:val="4C04A8AF"/>
    <w:multiLevelType w:val="hybridMultilevel"/>
    <w:lvl w:ilvl="0">
      <w:lvlJc w:val="left"/>
      <w:lvlText w:val="(%1)"/>
      <w:numFmt w:val="lowerRoman"/>
      <w:start w:val="2"/>
    </w:lvl>
  </w:abstractNum>
  <w:abstractNum w:abstractNumId="51">
    <w:nsid w:val="1716703B"/>
    <w:multiLevelType w:val="hybridMultilevel"/>
    <w:lvl w:ilvl="0">
      <w:lvlJc w:val="left"/>
      <w:lvlText w:val="(%1)"/>
      <w:numFmt w:val="lowerLetter"/>
      <w:start w:val="2"/>
    </w:lvl>
  </w:abstractNum>
  <w:abstractNum w:abstractNumId="52">
    <w:nsid w:val="14E17E33"/>
    <w:multiLevelType w:val="hybridMultilevel"/>
    <w:lvl w:ilvl="0">
      <w:lvlJc w:val="left"/>
      <w:lvlText w:val="(%1)"/>
      <w:numFmt w:val="lowerLetter"/>
      <w:start w:val="4"/>
    </w:lvl>
  </w:abstractNum>
  <w:abstractNum w:abstractNumId="53">
    <w:nsid w:val="3222E7CD"/>
    <w:multiLevelType w:val="hybridMultilevel"/>
    <w:lvl w:ilvl="0">
      <w:lvlJc w:val="left"/>
      <w:lvlText w:val="(%1)"/>
      <w:numFmt w:val="lowerLetter"/>
      <w:start w:val="1"/>
    </w:lvl>
  </w:abstractNum>
  <w:abstractNum w:abstractNumId="54">
    <w:nsid w:val="74DE0EE3"/>
    <w:multiLevelType w:val="hybridMultilevel"/>
    <w:lvl w:ilvl="0">
      <w:lvlJc w:val="left"/>
      <w:lvlText w:val="%1"/>
      <w:numFmt w:val="lowerLetter"/>
      <w:start w:val="1"/>
    </w:lvl>
    <w:lvl w:ilvl="1">
      <w:lvlJc w:val="left"/>
      <w:lvlText w:val="(%2)"/>
      <w:numFmt w:val="lowerLetter"/>
      <w:start w:val="1"/>
    </w:lvl>
  </w:abstractNum>
  <w:abstractNum w:abstractNumId="55">
    <w:nsid w:val="68EBC550"/>
    <w:multiLevelType w:val="hybridMultilevel"/>
    <w:lvl w:ilvl="0">
      <w:lvlJc w:val="left"/>
      <w:lvlText w:val="(%1)"/>
      <w:numFmt w:val="lowerLetter"/>
      <w:start w:val="35"/>
    </w:lvl>
    <w:lvl w:ilvl="1">
      <w:lvlJc w:val="left"/>
      <w:lvlText w:val="(%2)"/>
      <w:numFmt w:val="lowerLetter"/>
      <w:start w:val="3"/>
    </w:lvl>
  </w:abstractNum>
  <w:abstractNum w:abstractNumId="56">
    <w:nsid w:val="2DF6D648"/>
    <w:multiLevelType w:val="hybridMultilevel"/>
    <w:lvl w:ilvl="0">
      <w:lvlJc w:val="left"/>
      <w:lvlText w:val="(%1)"/>
      <w:numFmt w:val="lowerLetter"/>
      <w:start w:val="1"/>
    </w:lvl>
  </w:abstractNum>
  <w:abstractNum w:abstractNumId="57">
    <w:nsid w:val="46B7D447"/>
    <w:multiLevelType w:val="hybridMultilevel"/>
    <w:lvl w:ilvl="0">
      <w:lvlJc w:val="left"/>
      <w:lvlText w:val="(%1)"/>
      <w:numFmt w:val="lowerLetter"/>
      <w:start w:val="4"/>
    </w:lvl>
  </w:abstractNum>
  <w:abstractNum w:abstractNumId="58">
    <w:nsid w:val="4A2AC315"/>
    <w:multiLevelType w:val="hybridMultilevel"/>
    <w:lvl w:ilvl="0">
      <w:lvlJc w:val="left"/>
      <w:lvlText w:val="(%1)"/>
      <w:numFmt w:val="lowerLetter"/>
      <w:start w:val="1"/>
    </w:lvl>
  </w:abstractNum>
  <w:abstractNum w:abstractNumId="59">
    <w:nsid w:val="39EE015C"/>
    <w:multiLevelType w:val="hybridMultilevel"/>
    <w:lvl w:ilvl="0">
      <w:lvlJc w:val="left"/>
      <w:lvlText w:val="(%1)"/>
      <w:numFmt w:val="lowerLetter"/>
      <w:start w:val="2"/>
    </w:lvl>
  </w:abstractNum>
  <w:abstractNum w:abstractNumId="60">
    <w:nsid w:val="57FC4FBB"/>
    <w:multiLevelType w:val="hybridMultilevel"/>
    <w:lvl w:ilvl="0">
      <w:lvlJc w:val="left"/>
      <w:lvlText w:val="(%1)"/>
      <w:numFmt w:val="lowerLetter"/>
      <w:start w:val="1"/>
    </w:lvl>
  </w:abstractNum>
  <w:abstractNum w:abstractNumId="61">
    <w:nsid w:val="CC1016F"/>
    <w:multiLevelType w:val="hybridMultilevel"/>
    <w:lvl w:ilvl="0">
      <w:lvlJc w:val="left"/>
      <w:lvlText w:val="%1"/>
      <w:numFmt w:val="decimal"/>
      <w:start w:val="1"/>
    </w:lvl>
    <w:lvl w:ilvl="1">
      <w:lvlJc w:val="left"/>
      <w:lvlText w:val="(%2)"/>
      <w:numFmt w:val="lowerLetter"/>
      <w:start w:val="1"/>
    </w:lvl>
  </w:abstractNum>
  <w:abstractNum w:abstractNumId="62">
    <w:nsid w:val="43F18422"/>
    <w:multiLevelType w:val="hybridMultilevel"/>
    <w:lvl w:ilvl="0">
      <w:lvlJc w:val="left"/>
      <w:lvlText w:val="(%1)"/>
      <w:numFmt w:val="decimal"/>
      <w:start w:val="3"/>
    </w:lvl>
    <w:lvl w:ilvl="1">
      <w:lvlJc w:val="left"/>
      <w:lvlText w:val="%2"/>
      <w:numFmt w:val="lowerLetter"/>
      <w:start w:val="1"/>
    </w:lvl>
  </w:abstractNum>
  <w:abstractNum w:abstractNumId="63">
    <w:nsid w:val="60EF0119"/>
    <w:multiLevelType w:val="hybridMultilevel"/>
    <w:lvl w:ilvl="0">
      <w:lvlJc w:val="left"/>
      <w:lvlText w:val="(%1)"/>
      <w:numFmt w:val="lowerLetter"/>
      <w:start w:val="1"/>
    </w:lvl>
  </w:abstractNum>
  <w:abstractNum w:abstractNumId="64">
    <w:nsid w:val="26F324BA"/>
    <w:multiLevelType w:val="hybridMultilevel"/>
    <w:lvl w:ilvl="0">
      <w:lvlJc w:val="left"/>
      <w:lvlText w:val="(%1)"/>
      <w:numFmt w:val="lowerLetter"/>
      <w:start w:val="2"/>
    </w:lvl>
  </w:abstractNum>
  <w:abstractNum w:abstractNumId="65">
    <w:nsid w:val="7F01579B"/>
    <w:multiLevelType w:val="hybridMultilevel"/>
    <w:lvl w:ilvl="0">
      <w:lvlJc w:val="left"/>
      <w:lvlText w:val="(%1)"/>
      <w:numFmt w:val="lowerLetter"/>
      <w:start w:val="1"/>
    </w:lvl>
    <w:lvl w:ilvl="1">
      <w:lvlJc w:val="left"/>
      <w:lvlText w:val="(%2)"/>
      <w:numFmt w:val="lowerRoman"/>
      <w:start w:val="1"/>
    </w:lvl>
  </w:abstractNum>
  <w:abstractNum w:abstractNumId="66">
    <w:nsid w:val="49DA307D"/>
    <w:multiLevelType w:val="hybridMultilevel"/>
    <w:lvl w:ilvl="0">
      <w:lvlJc w:val="left"/>
      <w:lvlText w:val="(%1)"/>
      <w:numFmt w:val="lowerRoman"/>
      <w:start w:val="8"/>
    </w:lvl>
  </w:abstractNum>
  <w:abstractNum w:abstractNumId="67">
    <w:nsid w:val="7055A5F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8">
    <w:nsid w:val="5FB8370B"/>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abstractNum>
  <w:abstractNum w:abstractNumId="69">
    <w:nsid w:val="50801EE1"/>
    <w:multiLevelType w:val="hybridMultilevel"/>
    <w:lvl w:ilvl="0">
      <w:lvlJc w:val="left"/>
      <w:lvlText w:val="(%1)"/>
      <w:numFmt w:val="lowerRoman"/>
      <w:start w:val="3"/>
    </w:lvl>
  </w:abstractNum>
  <w:abstractNum w:abstractNumId="70">
    <w:nsid w:val="488AC1A"/>
    <w:multiLevelType w:val="hybridMultilevel"/>
    <w:lvl w:ilvl="0">
      <w:lvlJc w:val="left"/>
      <w:lvlText w:val="%1"/>
      <w:numFmt w:val="lowerLetter"/>
      <w:start w:val="1"/>
    </w:lvl>
    <w:lvl w:ilvl="1">
      <w:lvlJc w:val="left"/>
      <w:lvlText w:val="(%2)"/>
      <w:numFmt w:val="lowerRoman"/>
      <w:start w:val="4"/>
    </w:lvl>
  </w:abstractNum>
  <w:abstractNum w:abstractNumId="71">
    <w:nsid w:val="5FB8011C"/>
    <w:multiLevelType w:val="hybridMultilevel"/>
    <w:lvl w:ilvl="0">
      <w:lvlJc w:val="left"/>
      <w:lvlText w:val="(%1)"/>
      <w:numFmt w:val="lowerLetter"/>
      <w:start w:val="3"/>
    </w:lvl>
    <w:lvl w:ilvl="1">
      <w:lvlJc w:val="left"/>
      <w:lvlText w:val="%2"/>
      <w:numFmt w:val="lowerRoman"/>
      <w:start w:val="1"/>
    </w:lvl>
  </w:abstractNum>
  <w:abstractNum w:abstractNumId="72">
    <w:nsid w:val="6AA78F7F"/>
    <w:multiLevelType w:val="hybridMultilevel"/>
    <w:lvl w:ilvl="0">
      <w:lvlJc w:val="left"/>
      <w:lvlText w:val="(%1)"/>
      <w:numFmt w:val="lowerLetter"/>
      <w:start w:val="1"/>
    </w:lvl>
  </w:abstractNum>
  <w:abstractNum w:abstractNumId="73">
    <w:nsid w:val="7672BD23"/>
    <w:multiLevelType w:val="hybridMultilevel"/>
    <w:lvl w:ilvl="0">
      <w:lvlJc w:val="left"/>
      <w:lvlText w:val="(%1)"/>
      <w:numFmt w:val="lowerLetter"/>
      <w:start w:val="1"/>
    </w:lvl>
  </w:abstractNum>
  <w:abstractNum w:abstractNumId="74">
    <w:nsid w:val="6FC75AF8"/>
    <w:multiLevelType w:val="hybridMultilevel"/>
    <w:lvl w:ilvl="0">
      <w:lvlJc w:val="left"/>
      <w:lvlText w:val="(%1)"/>
      <w:numFmt w:val="lowerLetter"/>
      <w:start w:val="6"/>
    </w:lvl>
  </w:abstractNum>
  <w:abstractNum w:abstractNumId="75">
    <w:nsid w:val="6A5F7029"/>
    <w:multiLevelType w:val="hybridMultilevel"/>
    <w:lvl w:ilvl="0">
      <w:lvlJc w:val="left"/>
      <w:lvlText w:val="(%1)"/>
      <w:numFmt w:val="lowerLetter"/>
      <w:start w:val="1"/>
    </w:lvl>
  </w:abstractNum>
  <w:abstractNum w:abstractNumId="76">
    <w:nsid w:val="7D5E18F8"/>
    <w:multiLevelType w:val="hybridMultilevel"/>
    <w:lvl w:ilvl="0">
      <w:lvlJc w:val="left"/>
      <w:lvlText w:val="(%1)"/>
      <w:numFmt w:val="lowerLetter"/>
      <w:start w:val="1"/>
    </w:lvl>
  </w:abstractNum>
  <w:abstractNum w:abstractNumId="77">
    <w:nsid w:val="5F3534A4"/>
    <w:multiLevelType w:val="hybridMultilevel"/>
    <w:lvl w:ilvl="0">
      <w:lvlJc w:val="left"/>
      <w:lvlText w:val="(%1)"/>
      <w:numFmt w:val="lowerLetter"/>
      <w:start w:val="1"/>
    </w:lvl>
    <w:lvl w:ilvl="1">
      <w:lvlJc w:val="left"/>
      <w:lvlText w:val="(%2)"/>
      <w:numFmt w:val="lowerLetter"/>
      <w:start w:val="2"/>
    </w:lvl>
  </w:abstractNum>
  <w:abstractNum w:abstractNumId="78">
    <w:nsid w:val="73A1821B"/>
    <w:multiLevelType w:val="hybridMultilevel"/>
    <w:lvl w:ilvl="0">
      <w:lvlJc w:val="left"/>
      <w:lvlText w:val="(%1)"/>
      <w:numFmt w:val="lowerLetter"/>
      <w:start w:val="1"/>
    </w:lvl>
    <w:lvl w:ilvl="1">
      <w:lvlJc w:val="left"/>
      <w:lvlText w:val="(%2)"/>
      <w:numFmt w:val="lowerRoman"/>
      <w:start w:val="1"/>
    </w:lvl>
  </w:abstractNum>
  <w:abstractNum w:abstractNumId="79">
    <w:nsid w:val="7DE67713"/>
    <w:multiLevelType w:val="hybridMultilevel"/>
    <w:lvl w:ilvl="0">
      <w:lvlJc w:val="left"/>
      <w:lvlText w:val="(%1)"/>
      <w:numFmt w:val="lowerRoman"/>
      <w:start w:val="3"/>
    </w:lvl>
  </w:abstractNum>
  <w:abstractNum w:abstractNumId="80">
    <w:nsid w:val="555C55B5"/>
    <w:multiLevelType w:val="hybridMultilevel"/>
    <w:lvl w:ilvl="0">
      <w:lvlJc w:val="left"/>
      <w:lvlText w:val="(%1)"/>
      <w:numFmt w:val="lowerLetter"/>
      <w:start w:val="3"/>
    </w:lvl>
  </w:abstractNum>
  <w:abstractNum w:abstractNumId="81">
    <w:nsid w:val="3FA62AC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2">
    <w:nsid w:val="14FCE74E"/>
    <w:multiLevelType w:val="hybridMultilevel"/>
    <w:lvl w:ilvl="0">
      <w:lvlJc w:val="left"/>
      <w:lvlText w:val="(%1)"/>
      <w:numFmt w:val="upperLetter"/>
      <w:start w:val="7"/>
    </w:lvl>
    <w:lvl w:ilvl="1">
      <w:lvlJc w:val="left"/>
      <w:lvlText w:val="(%2)"/>
      <w:numFmt w:val="lowerLetter"/>
      <w:start w:val="2"/>
    </w:lvl>
    <w:lvl w:ilvl="2">
      <w:lvlJc w:val="left"/>
      <w:lvlText w:val="%3"/>
      <w:numFmt w:val="lowerRoman"/>
      <w:start w:val="1"/>
    </w:lvl>
  </w:abstractNum>
  <w:abstractNum w:abstractNumId="83">
    <w:nsid w:val="6A3DD3E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84">
    <w:nsid w:val="71C91298"/>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2"/>
    </w:lvl>
  </w:abstractNum>
  <w:abstractNum w:abstractNumId="85">
    <w:nsid w:val="9DAF63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86">
    <w:nsid w:val="53299938"/>
    <w:multiLevelType w:val="hybridMultilevel"/>
    <w:lvl w:ilvl="0">
      <w:lvlJc w:val="left"/>
      <w:lvlText w:val="%1"/>
      <w:numFmt w:val="decimal"/>
      <w:start w:val="1"/>
    </w:lvl>
    <w:lvl w:ilvl="1">
      <w:lvlJc w:val="left"/>
      <w:lvlText w:val="(%2)"/>
      <w:numFmt w:val="lowerLetter"/>
      <w:start w:val="2"/>
    </w:lvl>
  </w:abstractNum>
  <w:abstractNum w:abstractNumId="87">
    <w:nsid w:val="1FBFE8E0"/>
    <w:multiLevelType w:val="hybridMultilevel"/>
    <w:lvl w:ilvl="0">
      <w:lvlJc w:val="left"/>
      <w:lvlText w:val="%1."/>
      <w:numFmt w:val="decimal"/>
      <w:start w:val="3"/>
    </w:lvl>
    <w:lvl w:ilvl="1">
      <w:lvlJc w:val="left"/>
      <w:lvlText w:val="%2"/>
      <w:numFmt w:val="lowerLetter"/>
      <w:start w:val="1"/>
    </w:lvl>
  </w:abstractNum>
  <w:abstractNum w:abstractNumId="88">
    <w:nsid w:val="5092CA79"/>
    <w:multiLevelType w:val="hybridMultilevel"/>
    <w:lvl w:ilvl="0">
      <w:lvlJc w:val="left"/>
      <w:lvlText w:val="."/>
      <w:numFmt w:val="bullet"/>
      <w:start w:val="1"/>
    </w:lvl>
  </w:abstractNum>
  <w:abstractNum w:abstractNumId="89">
    <w:nsid w:val="1D545C4D"/>
    <w:multiLevelType w:val="hybridMultilevel"/>
    <w:lvl w:ilvl="0">
      <w:lvlJc w:val="left"/>
      <w:lvlText w:val="(%1)"/>
      <w:numFmt w:val="lowerRoman"/>
      <w:start w:val="4"/>
    </w:lvl>
    <w:lvl w:ilvl="1">
      <w:lvlJc w:val="left"/>
      <w:lvlText w:val="%2."/>
      <w:numFmt w:val="decimal"/>
      <w:start w:val="4"/>
    </w:lvl>
  </w:abstractNum>
  <w:abstractNum w:abstractNumId="90">
    <w:nsid w:val="59ADEA3D"/>
    <w:multiLevelType w:val="hybridMultilevel"/>
    <w:lvl w:ilvl="0">
      <w:lvlJc w:val="left"/>
      <w:lvlText w:val="%1"/>
      <w:numFmt w:val="decimal"/>
      <w:start w:val="1"/>
    </w:lvl>
    <w:lvl w:ilvl="1">
      <w:lvlJc w:val="left"/>
      <w:lvlText w:val="%2."/>
      <w:numFmt w:val="decimal"/>
      <w:start w:val="6"/>
    </w:lvl>
  </w:abstractNum>
  <w:abstractNum w:abstractNumId="91">
    <w:nsid w:val="288F1A34"/>
    <w:multiLevelType w:val="hybridMultilevel"/>
    <w:lvl w:ilvl="0">
      <w:lvlJc w:val="left"/>
      <w:lvlText w:val="%1."/>
      <w:numFmt w:val="decimal"/>
      <w:start w:val="7"/>
    </w:lvl>
    <w:lvl w:ilvl="1">
      <w:lvlJc w:val="left"/>
      <w:lvlText w:val="%2"/>
      <w:numFmt w:val="decimal"/>
      <w:start w:val="1"/>
    </w:lvl>
  </w:abstractNum>
  <w:abstractNum w:abstractNumId="92">
    <w:nsid w:val="2A155DBC"/>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93">
    <w:nsid w:val="1D9F6E5F"/>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94">
    <w:nsid w:val="97E1B4E"/>
    <w:multiLevelType w:val="hybridMultilevel"/>
    <w:lvl w:ilvl="0">
      <w:lvlJc w:val="left"/>
      <w:lvlText w:val="(%1)"/>
      <w:numFmt w:val="lowerLetter"/>
      <w:start w:val="2"/>
    </w:lvl>
    <w:lvl w:ilvl="1">
      <w:lvlJc w:val="left"/>
      <w:lvlText w:val="(%2)"/>
      <w:numFmt w:val="lowerRoman"/>
      <w:start w:val="1"/>
    </w:lvl>
  </w:abstractNum>
  <w:abstractNum w:abstractNumId="95">
    <w:nsid w:val="51088277"/>
    <w:multiLevelType w:val="hybridMultilevel"/>
    <w:lvl w:ilvl="0">
      <w:lvlJc w:val="left"/>
      <w:lvlText w:val="(%1)"/>
      <w:numFmt w:val="lowerLetter"/>
      <w:start w:val="4"/>
    </w:lvl>
  </w:abstractNum>
  <w:abstractNum w:abstractNumId="96">
    <w:nsid w:val="1CA0C5FA"/>
    <w:multiLevelType w:val="hybridMultilevel"/>
    <w:lvl w:ilvl="0">
      <w:lvlJc w:val="left"/>
      <w:lvlText w:val="%1."/>
      <w:numFmt w:val="decimal"/>
      <w:start w:val="1"/>
    </w:lvl>
  </w:abstractNum>
  <w:abstractNum w:abstractNumId="97">
    <w:nsid w:val="53584BCB"/>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98">
    <w:nsid w:val="415E286C"/>
    <w:multiLevelType w:val="hybridMultilevel"/>
    <w:lvl w:ilvl="0">
      <w:lvlJc w:val="left"/>
      <w:lvlText w:val="."/>
      <w:numFmt w:val="bullet"/>
      <w:start w:val="1"/>
    </w:lvl>
    <w:lvl w:ilvl="1">
      <w:lvlJc w:val="left"/>
      <w:lvlText w:val="(%2)"/>
      <w:numFmt w:val="lowerLetter"/>
      <w:start w:val="2"/>
    </w:lvl>
    <w:lvl w:ilvl="2">
      <w:lvlJc w:val="left"/>
      <w:lvlText w:val="%3"/>
      <w:numFmt w:val="lowerLetter"/>
      <w:start w:val="1"/>
    </w:lvl>
    <w:lvl w:ilvl="3">
      <w:lvlJc w:val="left"/>
      <w:lvlText w:val="(%4)"/>
      <w:numFmt w:val="lowerLetter"/>
      <w:start w:val="3"/>
    </w:lvl>
  </w:abstractNum>
  <w:abstractNum w:abstractNumId="99">
    <w:nsid w:val="7C58FD05"/>
    <w:multiLevelType w:val="hybridMultilevel"/>
    <w:lvl w:ilvl="0">
      <w:lvlJc w:val="left"/>
      <w:lvlText w:val="(%1)"/>
      <w:numFmt w:val="lowerLetter"/>
      <w:start w:val="4"/>
    </w:lvl>
    <w:lvl w:ilvl="1">
      <w:lvlJc w:val="left"/>
      <w:lvlText w:val="(%2)"/>
      <w:numFmt w:val="lowerLetter"/>
      <w:start w:val="6"/>
    </w:lvl>
    <w:lvl w:ilvl="2">
      <w:lvlJc w:val="left"/>
      <w:lvlText w:val="(%3)"/>
      <w:numFmt w:val="lowerLetter"/>
      <w:start w:val="6"/>
    </w:lvl>
  </w:abstractNum>
  <w:abstractNum w:abstractNumId="100">
    <w:nsid w:val="23D86AAC"/>
    <w:multiLevelType w:val="hybridMultilevel"/>
    <w:lvl w:ilvl="0">
      <w:lvlJc w:val="left"/>
      <w:lvlText w:val="(%1)"/>
      <w:numFmt w:val="lowerRoman"/>
      <w:start w:val="1"/>
    </w:lvl>
  </w:abstractNum>
  <w:abstractNum w:abstractNumId="101">
    <w:nsid w:val="45E6D486"/>
    <w:multiLevelType w:val="hybridMultilevel"/>
    <w:lvl w:ilvl="0">
      <w:lvlJc w:val="left"/>
      <w:lvlText w:val="%1"/>
      <w:numFmt w:val="decimal"/>
      <w:start w:val="1"/>
    </w:lvl>
    <w:lvl w:ilvl="1">
      <w:lvlJc w:val="left"/>
      <w:lvlText w:val="(%2)"/>
      <w:numFmt w:val="lowerLetter"/>
      <w:start w:val="10"/>
    </w:lvl>
  </w:abstractNum>
  <w:abstractNum w:abstractNumId="102">
    <w:nsid w:val="5C10FE21"/>
    <w:multiLevelType w:val="hybridMultilevel"/>
    <w:lvl w:ilvl="0">
      <w:lvlJc w:val="left"/>
      <w:lvlText w:val="%1."/>
      <w:numFmt w:val="decimal"/>
      <w:start w:val="2"/>
    </w:lvl>
    <w:lvl w:ilvl="1">
      <w:lvlJc w:val="left"/>
      <w:lvlText w:val="%2"/>
      <w:numFmt w:val="lowerLetter"/>
      <w:start w:val="1"/>
    </w:lvl>
  </w:abstractNum>
  <w:abstractNum w:abstractNumId="103">
    <w:nsid w:val="E7FFA2B"/>
    <w:multiLevelType w:val="hybridMultilevel"/>
    <w:lvl w:ilvl="0">
      <w:lvlJc w:val="left"/>
      <w:lvlText w:val="."/>
      <w:numFmt w:val="bullet"/>
      <w:start w:val="1"/>
    </w:lvl>
  </w:abstractNum>
  <w:abstractNum w:abstractNumId="104">
    <w:nsid w:val="3C5991AA"/>
    <w:multiLevelType w:val="hybridMultilevel"/>
    <w:lvl w:ilvl="0">
      <w:lvlJc w:val="left"/>
      <w:lvlText w:val="%1."/>
      <w:numFmt w:val="decimal"/>
      <w:start w:val="3"/>
    </w:lvl>
    <w:lvl w:ilvl="1">
      <w:lvlJc w:val="left"/>
      <w:lvlText w:val="(%2)"/>
      <w:numFmt w:val="lowerLetter"/>
      <w:start w:val="1"/>
    </w:lvl>
  </w:abstractNum>
  <w:abstractNum w:abstractNumId="105">
    <w:nsid w:val="4BD8591A"/>
    <w:multiLevelType w:val="hybridMultilevel"/>
    <w:lvl w:ilvl="0">
      <w:lvlJc w:val="left"/>
      <w:lvlText w:val="(%1)"/>
      <w:numFmt w:val="lowerLetter"/>
      <w:start w:val="2"/>
    </w:lvl>
    <w:lvl w:ilvl="1">
      <w:lvlJc w:val="left"/>
      <w:lvlText w:val="(%2)"/>
      <w:numFmt w:val="upperLetter"/>
    </w:lvl>
    <w:lvl w:ilvl="2">
      <w:lvlJc w:val="left"/>
      <w:lvlText w:val="(%3)"/>
      <w:numFmt w:val="lowerRoman"/>
      <w:start w:val="1"/>
    </w:lvl>
  </w:abstractNum>
  <w:abstractNum w:abstractNumId="106">
    <w:nsid w:val="78DF6A55"/>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abstractNum>
  <w:abstractNum w:abstractNumId="107">
    <w:nsid w:val="39B7AAA2"/>
    <w:multiLevelType w:val="hybridMultilevel"/>
    <w:lvl w:ilvl="0">
      <w:lvlJc w:val="left"/>
      <w:lvlText w:val="%1"/>
      <w:numFmt w:val="decimal"/>
      <w:start w:val="1"/>
    </w:lvl>
    <w:lvl w:ilvl="1">
      <w:lvlJc w:val="left"/>
      <w:lvlText w:val="(%2)"/>
      <w:numFmt w:val="lowerRoman"/>
      <w:start w:val="5"/>
    </w:lvl>
  </w:abstractNum>
  <w:abstractNum w:abstractNumId="108">
    <w:nsid w:val="2B0D8DBE"/>
    <w:multiLevelType w:val="hybridMultilevel"/>
    <w:lvl w:ilvl="0">
      <w:lvlJc w:val="left"/>
      <w:lvlText w:val="%1."/>
      <w:numFmt w:val="decimal"/>
      <w:start w:val="8"/>
    </w:lvl>
    <w:lvl w:ilvl="1">
      <w:lvlJc w:val="left"/>
      <w:lvlText w:val="%2"/>
      <w:numFmt w:val="lowerRoman"/>
      <w:start w:val="1"/>
    </w:lvl>
  </w:abstractNum>
  <w:abstractNum w:abstractNumId="109">
    <w:nsid w:val="6C80EC70"/>
    <w:multiLevelType w:val="hybridMultilevel"/>
    <w:lvl w:ilvl="0">
      <w:lvlJc w:val="left"/>
      <w:lvlText w:val="."/>
      <w:numFmt w:val="bullet"/>
      <w:start w:val="1"/>
    </w:lvl>
  </w:abstractNum>
  <w:abstractNum w:abstractNumId="110">
    <w:nsid w:val="379E21B5"/>
    <w:multiLevelType w:val="hybridMultilevel"/>
    <w:lvl w:ilvl="0">
      <w:lvlJc w:val="left"/>
      <w:lvlText w:val="%1."/>
      <w:numFmt w:val="decimal"/>
      <w:start w:val="9"/>
    </w:lvl>
  </w:abstractNum>
  <w:abstractNum w:abstractNumId="111">
    <w:nsid w:val="69E373"/>
    <w:multiLevelType w:val="hybridMultilevel"/>
    <w:lvl w:ilvl="0">
      <w:lvlJc w:val="left"/>
      <w:lvlText w:val="."/>
      <w:numFmt w:val="bullet"/>
      <w:start w:val="1"/>
    </w:lvl>
  </w:abstractNum>
  <w:abstractNum w:abstractNumId="112">
    <w:nsid w:val="2C27173B"/>
    <w:multiLevelType w:val="hybridMultilevel"/>
    <w:lvl w:ilvl="0">
      <w:lvlJc w:val="left"/>
      <w:lvlText w:val="%1."/>
      <w:numFmt w:val="decimal"/>
      <w:start w:val="10"/>
    </w:lvl>
  </w:abstractNum>
  <w:abstractNum w:abstractNumId="113">
    <w:nsid w:val="4C9B0904"/>
    <w:multiLevelType w:val="hybridMultilevel"/>
    <w:lvl w:ilvl="0">
      <w:lvlJc w:val="left"/>
      <w:lvlText w:val="."/>
      <w:numFmt w:val="bullet"/>
      <w:start w:val="1"/>
    </w:lvl>
  </w:abstractNum>
  <w:abstractNum w:abstractNumId="114">
    <w:nsid w:val="6AA7B75C"/>
    <w:multiLevelType w:val="hybridMultilevel"/>
    <w:lvl w:ilvl="0">
      <w:lvlJc w:val="left"/>
      <w:lvlText w:val="(%1)"/>
      <w:numFmt w:val="lowerLetter"/>
      <w:start w:val="2"/>
    </w:lvl>
  </w:abstractNum>
  <w:abstractNum w:abstractNumId="115">
    <w:nsid w:val="1DF029D3"/>
    <w:multiLevelType w:val="hybridMultilevel"/>
    <w:lvl w:ilvl="0">
      <w:lvlJc w:val="left"/>
      <w:lvlText w:val="%1)"/>
      <w:numFmt w:val="decimal"/>
      <w:start w:val="2"/>
    </w:lvl>
  </w:abstractNum>
  <w:abstractNum w:abstractNumId="116">
    <w:nsid w:val="5675FF36"/>
    <w:multiLevelType w:val="hybridMultilevel"/>
    <w:lvl w:ilvl="0">
      <w:lvlJc w:val="left"/>
      <w:lvlText w:val="%1."/>
      <w:numFmt w:val="decimal"/>
      <w:start w:val="1"/>
    </w:lvl>
  </w:abstractNum>
  <w:abstractNum w:abstractNumId="117">
    <w:nsid w:val="3DD15094"/>
    <w:multiLevelType w:val="hybridMultilevel"/>
    <w:lvl w:ilvl="0">
      <w:lvlJc w:val="left"/>
      <w:lvlText w:val="***"/>
      <w:numFmt w:val="bullet"/>
      <w:start w:val="1"/>
    </w:lvl>
  </w:abstractNum>
  <w:abstractNum w:abstractNumId="118">
    <w:nsid w:val="3DB012B3"/>
    <w:multiLevelType w:val="hybridMultilevel"/>
    <w:lvl w:ilvl="0">
      <w:lvlJc w:val="left"/>
      <w:lvlText w:val="%1."/>
      <w:numFmt w:val="decimal"/>
      <w:start w:val="1"/>
    </w:lvl>
    <w:lvl w:ilvl="1">
      <w:lvlJc w:val="left"/>
      <w:lvlText w:val="%2."/>
      <w:numFmt w:val="lowerLetter"/>
      <w:start w:val="1"/>
    </w:lvl>
  </w:abstractNum>
  <w:abstractNum w:abstractNumId="119">
    <w:nsid w:val="2708C9AF"/>
    <w:multiLevelType w:val="hybridMultilevel"/>
    <w:lvl w:ilvl="0">
      <w:lvlJc w:val="left"/>
      <w:lvlText w:val="%1."/>
      <w:numFmt w:val="decimal"/>
      <w:start w:val="3"/>
    </w:lvl>
  </w:abstractNum>
  <w:abstractNum w:abstractNumId="120">
    <w:nsid w:val="5B25ACE2"/>
    <w:multiLevelType w:val="hybridMultilevel"/>
    <w:lvl w:ilvl="0">
      <w:lvlJc w:val="left"/>
      <w:lvlText w:val="%1."/>
      <w:numFmt w:val="decimal"/>
      <w:start w:val="8"/>
    </w:lvl>
  </w:abstractNum>
  <w:abstractNum w:abstractNumId="121">
    <w:nsid w:val="175DFCF0"/>
    <w:multiLevelType w:val="hybridMultilevel"/>
    <w:lvl w:ilvl="0">
      <w:lvlJc w:val="left"/>
      <w:lvlText w:val="%1."/>
      <w:numFmt w:val="decimal"/>
      <w:start w:val="1"/>
    </w:lvl>
    <w:lvl w:ilvl="1">
      <w:lvlJc w:val="left"/>
      <w:lvlText w:val="(%2)"/>
      <w:numFmt w:val="lowerLetter"/>
      <w:start w:val="1"/>
    </w:lvl>
  </w:abstractNum>
  <w:abstractNum w:abstractNumId="122">
    <w:nsid w:val="4F97E3E4"/>
    <w:multiLevelType w:val="hybridMultilevel"/>
    <w:lvl w:ilvl="0">
      <w:lvlJc w:val="left"/>
      <w:lvlText w:val="%1."/>
      <w:numFmt w:val="decimal"/>
      <w:start w:val="1"/>
    </w:lvl>
    <w:lvl w:ilvl="1">
      <w:lvlJc w:val="left"/>
      <w:lvlText w:val="(%2)"/>
      <w:numFmt w:val="lowerLetter"/>
      <w:start w:val="1"/>
    </w:lvl>
  </w:abstractNum>
  <w:abstractNum w:abstractNumId="123">
    <w:nsid w:val="53B0A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85" Type="http://schemas.openxmlformats.org/officeDocument/2006/relationships/hyperlink" Target="http://www.sec.gov/Archives/edgar/data/1437402/000162828022008924/a2ndamendmenttokkc-ardxli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2022-05-06T11:58:45Z</dcterms:created>
  <dcterms:modified xsi:type="dcterms:W3CDTF">2022-05-06T11:58:45Z</dcterms:modified>
</cp:coreProperties>
</file>