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4038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403860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2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RAAB MICHAEL</w:t>
              </w:r>
            </w:hyperlink>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80" w:type="dxa"/>
            <w:vAlign w:val="bottom"/>
            <w:tcBorders>
              <w:top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220" w:type="dxa"/>
            <w:vAlign w:val="bottom"/>
            <w:tcBorders>
              <w:top w:val="single" w:sz="8" w:color="0000EE"/>
              <w:bottom w:val="single" w:sz="8" w:color="9A9A9A"/>
            </w:tcBorders>
          </w:tcPr>
          <w:p>
            <w:pPr>
              <w:spacing w:after="0"/>
              <w:rPr>
                <w:sz w:val="10"/>
                <w:szCs w:val="10"/>
                <w:color w:val="auto"/>
              </w:rPr>
            </w:pPr>
          </w:p>
        </w:tc>
        <w:tc>
          <w:tcPr>
            <w:tcW w:w="40" w:type="dxa"/>
            <w:vAlign w:val="bottom"/>
            <w:tcBorders>
              <w:top w:val="single" w:sz="8" w:color="0000EE"/>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000" w:type="dxa"/>
            <w:vAlign w:val="bottom"/>
            <w:gridSpan w:val="2"/>
            <w:vMerge w:val="restart"/>
          </w:tcPr>
          <w:p>
            <w:pPr>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240" w:type="dxa"/>
            <w:vAlign w:val="bottom"/>
            <w:gridSpan w:val="3"/>
            <w:vMerge w:val="restart"/>
          </w:tcPr>
          <w:p>
            <w:pPr>
              <w:ind w:left="12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 ARDELYX, INC.</w:t>
            </w: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3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0000FF"/>
              </w:rPr>
              <w:t>06/15/2026</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0000FF"/>
        </w:rPr>
        <w:t>400 FIFTH AVENUE, SUITE 210</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3"/>
          <w:szCs w:val="13"/>
          <w:color w:val="0000FF"/>
        </w:rPr>
        <w:t>President &amp; CEO</w:t>
      </w:r>
    </w:p>
    <w:p>
      <w:pPr>
        <w:spacing w:after="0" w:line="469"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12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20" w:type="dxa"/>
            <w:vAlign w:val="bottom"/>
            <w:gridSpan w:val="6"/>
          </w:tcPr>
          <w:p>
            <w:pPr>
              <w:ind w:left="120"/>
              <w:spacing w:after="0"/>
              <w:rPr>
                <w:sz w:val="20"/>
                <w:szCs w:val="20"/>
                <w:color w:val="auto"/>
              </w:rPr>
            </w:pPr>
            <w:r>
              <w:rPr>
                <w:rFonts w:ascii="Arial" w:cs="Arial" w:eastAsia="Arial" w:hAnsi="Arial"/>
                <w:sz w:val="10"/>
                <w:szCs w:val="10"/>
                <w:color w:val="auto"/>
              </w:rPr>
              <w:t>4. If Amendment, Date of Original Filed (Month/Day/Year)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WALTHAM</w:t>
            </w: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MA</w:t>
            </w:r>
          </w:p>
        </w:tc>
        <w:tc>
          <w:tcPr>
            <w:tcW w:w="17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0000FF"/>
              </w:rPr>
              <w:t>02451</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gridSpan w:val="6"/>
          </w:tcPr>
          <w:p>
            <w:pPr>
              <w:ind w:left="20"/>
              <w:spacing w:after="0" w:line="106" w:lineRule="exact"/>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700" w:type="dxa"/>
            <w:vAlign w:val="bottom"/>
          </w:tcPr>
          <w:p>
            <w:pPr>
              <w:jc w:val="right"/>
              <w:ind w:right="15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6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5440" w:type="dxa"/>
            <w:vAlign w:val="bottom"/>
            <w:tcBorders>
              <w:top w:val="single" w:sz="8" w:color="2C2C2C"/>
            </w:tcBorders>
            <w:gridSpan w:val="11"/>
          </w:tcPr>
          <w:p>
            <w:pPr>
              <w:jc w:val="center"/>
              <w:ind w:left="126"/>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18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18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jc w:val="center"/>
              <w:ind w:right="5"/>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6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8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jc w:val="center"/>
              <w:ind w:right="5"/>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6"/>
                <w:szCs w:val="6"/>
                <w:color w:val="auto"/>
              </w:rPr>
            </w:pPr>
          </w:p>
        </w:tc>
        <w:tc>
          <w:tcPr>
            <w:tcW w:w="740" w:type="dxa"/>
            <w:vAlign w:val="bottom"/>
            <w:vMerge w:val="restart"/>
          </w:tcPr>
          <w:p>
            <w:pPr>
              <w:jc w:val="center"/>
              <w:ind w:left="142"/>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18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M</w:t>
            </w:r>
            <w:r>
              <w:rPr>
                <w:rFonts w:ascii="Times New Roman" w:cs="Times New Roman" w:eastAsia="Times New Roman" w:hAnsi="Times New Roman"/>
                <w:sz w:val="9"/>
                <w:szCs w:val="9"/>
                <w:color w:val="008000"/>
              </w:rPr>
              <w:t>(1)</w:t>
            </w: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20,833</w:t>
            </w:r>
          </w:p>
        </w:tc>
        <w:tc>
          <w:tcPr>
            <w:tcW w:w="74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Borders>
              <w:bottom w:val="single" w:sz="8" w:color="2C2C2C"/>
            </w:tcBorders>
          </w:tcPr>
          <w:p>
            <w:pPr>
              <w:jc w:val="center"/>
              <w:ind w:right="105"/>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0.99</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00FF"/>
              </w:rPr>
              <w:t>1,740,866</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41,666</w:t>
            </w:r>
          </w:p>
        </w:tc>
        <w:tc>
          <w:tcPr>
            <w:tcW w:w="74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5.6724</w:t>
            </w:r>
            <w:r>
              <w:rPr>
                <w:rFonts w:ascii="Times New Roman" w:cs="Times New Roman" w:eastAsia="Times New Roman" w:hAnsi="Times New Roman"/>
                <w:sz w:val="17"/>
                <w:szCs w:val="17"/>
                <w:color w:val="008000"/>
                <w:vertAlign w:val="superscript"/>
              </w:rPr>
              <w:t>(2)</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00FF"/>
              </w:rPr>
              <w:t>1,699,200</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gridSpan w:val="2"/>
            <w:vMerge w:val="restart"/>
          </w:tcPr>
          <w:p>
            <w:pPr>
              <w:jc w:val="center"/>
              <w:ind w:left="326"/>
              <w:spacing w:after="0"/>
              <w:rPr>
                <w:sz w:val="20"/>
                <w:szCs w:val="20"/>
                <w:color w:val="auto"/>
              </w:rPr>
            </w:pPr>
            <w:r>
              <w:rPr>
                <w:rFonts w:ascii="Times New Roman" w:cs="Times New Roman" w:eastAsia="Times New Roman" w:hAnsi="Times New Roman"/>
                <w:sz w:val="13"/>
                <w:szCs w:val="13"/>
                <w:color w:val="0000FF"/>
              </w:rPr>
              <w:t>24,364</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jc w:val="center"/>
              <w:ind w:right="285"/>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Family</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Trust</w:t>
            </w:r>
            <w:r>
              <w:rPr>
                <w:rFonts w:ascii="Times New Roman" w:cs="Times New Roman" w:eastAsia="Times New Roman" w:hAnsi="Times New Roman"/>
                <w:sz w:val="17"/>
                <w:szCs w:val="17"/>
                <w:color w:val="008000"/>
                <w:vertAlign w:val="superscript"/>
              </w:rPr>
              <w:t>(3)</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gridSpan w:val="2"/>
            <w:vMerge w:val="restart"/>
          </w:tcPr>
          <w:p>
            <w:pPr>
              <w:jc w:val="center"/>
              <w:ind w:left="306"/>
              <w:spacing w:after="0"/>
              <w:rPr>
                <w:sz w:val="20"/>
                <w:szCs w:val="20"/>
                <w:color w:val="auto"/>
              </w:rPr>
            </w:pPr>
            <w:r>
              <w:rPr>
                <w:rFonts w:ascii="Times New Roman" w:cs="Times New Roman" w:eastAsia="Times New Roman" w:hAnsi="Times New Roman"/>
                <w:sz w:val="13"/>
                <w:szCs w:val="13"/>
                <w:color w:val="0000FF"/>
              </w:rPr>
              <w:t>1,000</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jc w:val="center"/>
              <w:ind w:right="285"/>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Family</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Trust</w:t>
            </w:r>
            <w:r>
              <w:rPr>
                <w:rFonts w:ascii="Times New Roman" w:cs="Times New Roman" w:eastAsia="Times New Roman" w:hAnsi="Times New Roman"/>
                <w:sz w:val="17"/>
                <w:szCs w:val="17"/>
                <w:color w:val="008000"/>
                <w:vertAlign w:val="superscript"/>
              </w:rPr>
              <w:t>(4)</w:t>
            </w:r>
          </w:p>
        </w:tc>
        <w:tc>
          <w:tcPr>
            <w:tcW w:w="0" w:type="dxa"/>
            <w:vAlign w:val="bottom"/>
          </w:tcPr>
          <w:p>
            <w:pPr>
              <w:spacing w:after="0"/>
              <w:rPr>
                <w:sz w:val="1"/>
                <w:szCs w:val="1"/>
                <w:color w:val="auto"/>
              </w:rPr>
            </w:pPr>
          </w:p>
        </w:tc>
      </w:tr>
      <w:tr>
        <w:trPr>
          <w:trHeight w:val="167"/>
        </w:trPr>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40" w:type="dxa"/>
            <w:vAlign w:val="bottom"/>
            <w:tcBorders>
              <w:top w:val="single" w:sz="8" w:color="2C2C2C"/>
            </w:tcBorders>
            <w:gridSpan w:val="11"/>
          </w:tcPr>
          <w:p>
            <w:pPr>
              <w:jc w:val="center"/>
              <w:ind w:left="12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9"/>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jc w:val="center"/>
              <w:ind w:right="325"/>
              <w:spacing w:after="0"/>
              <w:rPr>
                <w:sz w:val="20"/>
                <w:szCs w:val="20"/>
                <w:color w:val="auto"/>
              </w:rPr>
            </w:pPr>
            <w:r>
              <w:rPr>
                <w:rFonts w:ascii="Arial" w:cs="Arial" w:eastAsia="Arial" w:hAnsi="Arial"/>
                <w:sz w:val="9"/>
                <w:szCs w:val="9"/>
                <w:b w:val="1"/>
                <w:bCs w:val="1"/>
                <w:color w:val="auto"/>
                <w:w w:val="95"/>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46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 5)</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Code    V</w:t>
            </w:r>
          </w:p>
        </w:tc>
        <w:tc>
          <w:tcPr>
            <w:tcW w:w="460" w:type="dxa"/>
            <w:vAlign w:val="bottom"/>
          </w:tcPr>
          <w:p>
            <w:pPr>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jc w:val="right"/>
              <w:ind w:right="251"/>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Stock Option (Right to</w:t>
            </w:r>
          </w:p>
        </w:tc>
        <w:tc>
          <w:tcPr>
            <w:tcW w:w="700" w:type="dxa"/>
            <w:vAlign w:val="bottom"/>
            <w:vMerge w:val="restart"/>
          </w:tcPr>
          <w:p>
            <w:pPr>
              <w:jc w:val="right"/>
              <w:ind w:right="15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0.99</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00FF"/>
              </w:rPr>
              <w:t>06/15/2026</w:t>
            </w:r>
          </w:p>
        </w:tc>
        <w:tc>
          <w:tcPr>
            <w:tcW w:w="88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0000FF"/>
                <w:vertAlign w:val="subscript"/>
              </w:rPr>
              <w:t>M</w:t>
            </w:r>
            <w:r>
              <w:rPr>
                <w:rFonts w:ascii="Times New Roman" w:cs="Times New Roman" w:eastAsia="Times New Roman" w:hAnsi="Times New Roman"/>
                <w:sz w:val="9"/>
                <w:szCs w:val="9"/>
                <w:color w:val="008000"/>
              </w:rPr>
              <w:t>(1)</w:t>
            </w:r>
          </w:p>
        </w:tc>
        <w:tc>
          <w:tcPr>
            <w:tcW w:w="460" w:type="dxa"/>
            <w:vAlign w:val="bottom"/>
          </w:tcPr>
          <w:p>
            <w:pPr>
              <w:spacing w:after="0"/>
              <w:rPr>
                <w:sz w:val="12"/>
                <w:szCs w:val="12"/>
                <w:color w:val="auto"/>
              </w:rPr>
            </w:pPr>
          </w:p>
        </w:tc>
        <w:tc>
          <w:tcPr>
            <w:tcW w:w="460" w:type="dxa"/>
            <w:vAlign w:val="bottom"/>
            <w:vMerge w:val="restart"/>
          </w:tcPr>
          <w:p>
            <w:pPr>
              <w:jc w:val="right"/>
              <w:ind w:right="31"/>
              <w:spacing w:after="0"/>
              <w:rPr>
                <w:sz w:val="20"/>
                <w:szCs w:val="20"/>
                <w:color w:val="auto"/>
              </w:rPr>
            </w:pPr>
            <w:r>
              <w:rPr>
                <w:rFonts w:ascii="Times New Roman" w:cs="Times New Roman" w:eastAsia="Times New Roman" w:hAnsi="Times New Roman"/>
                <w:sz w:val="10"/>
                <w:szCs w:val="10"/>
                <w:color w:val="0000FF"/>
              </w:rPr>
              <w:t>20,833</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9"/>
                <w:szCs w:val="9"/>
                <w:color w:val="008000"/>
              </w:rPr>
              <w:t>(5)</w:t>
            </w:r>
          </w:p>
        </w:tc>
        <w:tc>
          <w:tcPr>
            <w:tcW w:w="260" w:type="dxa"/>
            <w:vAlign w:val="bottom"/>
          </w:tcPr>
          <w:p>
            <w:pPr>
              <w:spacing w:after="0"/>
              <w:rPr>
                <w:sz w:val="12"/>
                <w:szCs w:val="12"/>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00FF"/>
              </w:rPr>
              <w:t>01/06/2032</w:t>
            </w:r>
          </w:p>
        </w:tc>
        <w:tc>
          <w:tcPr>
            <w:tcW w:w="140" w:type="dxa"/>
            <w:vAlign w:val="bottom"/>
          </w:tcPr>
          <w:p>
            <w:pPr>
              <w:spacing w:after="0"/>
              <w:rPr>
                <w:sz w:val="12"/>
                <w:szCs w:val="12"/>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20,833</w:t>
            </w:r>
          </w:p>
        </w:tc>
        <w:tc>
          <w:tcPr>
            <w:tcW w:w="780" w:type="dxa"/>
            <w:vAlign w:val="bottom"/>
            <w:gridSpan w:val="2"/>
            <w:vMerge w:val="restart"/>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color w:val="0000FF"/>
              </w:rPr>
              <w:t>311,668</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0000FF"/>
              </w:rPr>
              <w:t>Buy)</w:t>
            </w: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Transaction made pursuant to a 10b5-1 trading plan adopted by the Reporting Person on November 7, 2025.</w:t>
      </w:r>
    </w:p>
    <w:p>
      <w:pPr>
        <w:spacing w:after="0" w:line="40" w:lineRule="exact"/>
        <w:rPr>
          <w:rFonts w:ascii="Times New Roman" w:cs="Times New Roman" w:eastAsia="Times New Roman" w:hAnsi="Times New Roman"/>
          <w:sz w:val="10"/>
          <w:szCs w:val="10"/>
          <w:color w:val="008000"/>
        </w:rPr>
      </w:pPr>
    </w:p>
    <w:p>
      <w:pPr>
        <w:ind w:left="40" w:right="22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Transaction was executed in multiple trades in prices ranging from $5.625 to $5.77,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shares are directly held by Michael G. Raab, Trustee of the Michael G. Raab Living Trust dated July 25, 2012.</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shares are owned directly by trusts for the benefit of the Reporting Person's children.</w:t>
      </w:r>
    </w:p>
    <w:p>
      <w:pPr>
        <w:spacing w:after="0" w:line="40" w:lineRule="exact"/>
        <w:rPr>
          <w:rFonts w:ascii="Times New Roman" w:cs="Times New Roman" w:eastAsia="Times New Roman" w:hAnsi="Times New Roman"/>
          <w:sz w:val="10"/>
          <w:szCs w:val="10"/>
          <w:color w:val="008000"/>
        </w:rPr>
      </w:pPr>
    </w:p>
    <w:p>
      <w:pPr>
        <w:ind w:left="40" w:right="22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Felecia Ettenberg, Attorney-in-Fact</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06/17/2026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94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for Michael Raab</w:t>
            </w:r>
          </w:p>
        </w:tc>
        <w:tc>
          <w:tcPr>
            <w:tcW w:w="1200" w:type="dxa"/>
            <w:vAlign w:val="bottom"/>
            <w:gridSpan w:val="2"/>
            <w:vMerge w:val="restart"/>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2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2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2026-06-17T15:05:48Z</dcterms:created>
  <dcterms:modified xsi:type="dcterms:W3CDTF">2026-06-17T15:05:48Z</dcterms:modified>
</cp:coreProperties>
</file>