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88900</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27"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4040" w:type="dxa"/>
        <w:tblCellMar>
          <w:top w:w="0" w:type="dxa"/>
          <w:left w:w="0" w:type="dxa"/>
          <w:bottom w:w="0" w:type="dxa"/>
          <w:right w:w="0" w:type="dxa"/>
        </w:tblCellMar>
      </w:tblPr>
      <w:tr>
        <w:trPr>
          <w:trHeight w:val="216"/>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300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Commission file number: 001-36485</w:t>
            </w:r>
          </w:p>
        </w:tc>
        <w:tc>
          <w:tcPr>
            <w:tcW w:w="160" w:type="dxa"/>
            <w:vAlign w:val="bottom"/>
          </w:tcPr>
          <w:p>
            <w:pPr>
              <w:spacing w:after="0"/>
              <w:rPr>
                <w:sz w:val="20"/>
                <w:szCs w:val="20"/>
                <w:color w:val="auto"/>
              </w:rPr>
            </w:pPr>
          </w:p>
        </w:tc>
      </w:tr>
      <w:tr>
        <w:trPr>
          <w:trHeight w:val="122"/>
        </w:trPr>
        <w:tc>
          <w:tcPr>
            <w:tcW w:w="28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jc w:val="center"/>
              <w:ind w:left="2201"/>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30"/>
        </w:trPr>
        <w:tc>
          <w:tcPr>
            <w:tcW w:w="6940" w:type="dxa"/>
            <w:vAlign w:val="bottom"/>
            <w:gridSpan w:val="6"/>
          </w:tcPr>
          <w:p>
            <w:pPr>
              <w:jc w:val="center"/>
              <w:ind w:right="13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gridSpan w:val="2"/>
          </w:tcPr>
          <w:p>
            <w:pPr>
              <w:jc w:val="center"/>
              <w:ind w:right="130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21"/>
        </w:trPr>
        <w:tc>
          <w:tcPr>
            <w:tcW w:w="3320" w:type="dxa"/>
            <w:vAlign w:val="bottom"/>
          </w:tcPr>
          <w:p>
            <w:pPr>
              <w:spacing w:after="0"/>
              <w:rPr>
                <w:sz w:val="24"/>
                <w:szCs w:val="24"/>
                <w:color w:val="auto"/>
              </w:rPr>
            </w:pPr>
          </w:p>
        </w:tc>
        <w:tc>
          <w:tcPr>
            <w:tcW w:w="7920" w:type="dxa"/>
            <w:vAlign w:val="bottom"/>
            <w:gridSpan w:val="7"/>
          </w:tcPr>
          <w:p>
            <w:pPr>
              <w:jc w:val="center"/>
              <w:ind w:right="3248"/>
              <w:spacing w:after="0"/>
              <w:rPr>
                <w:sz w:val="20"/>
                <w:szCs w:val="20"/>
                <w:color w:val="auto"/>
              </w:rPr>
            </w:pPr>
            <w:r>
              <w:rPr>
                <w:rFonts w:ascii="Arial" w:cs="Arial" w:eastAsia="Arial" w:hAnsi="Arial"/>
                <w:sz w:val="18"/>
                <w:szCs w:val="18"/>
                <w:b w:val="1"/>
                <w:bCs w:val="1"/>
                <w:color w:val="auto"/>
                <w:w w:val="89"/>
              </w:rPr>
              <w:t>400 Fifth Avenue, Suite 210, Waltham, Massachusetts 02451</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28"/>
              <w:spacing w:after="0"/>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412"/>
        </w:trPr>
        <w:tc>
          <w:tcPr>
            <w:tcW w:w="3320" w:type="dxa"/>
            <w:vAlign w:val="bottom"/>
          </w:tcPr>
          <w:p>
            <w:pPr>
              <w:spacing w:after="0"/>
              <w:rPr>
                <w:sz w:val="24"/>
                <w:szCs w:val="24"/>
                <w:color w:val="auto"/>
              </w:rPr>
            </w:pPr>
          </w:p>
        </w:tc>
        <w:tc>
          <w:tcPr>
            <w:tcW w:w="35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(510) 745-1700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48"/>
              <w:spacing w:after="0"/>
              <w:rPr>
                <w:sz w:val="20"/>
                <w:szCs w:val="20"/>
                <w:color w:val="auto"/>
              </w:rPr>
            </w:pPr>
            <w:r>
              <w:rPr>
                <w:rFonts w:ascii="Arial" w:cs="Arial" w:eastAsia="Arial" w:hAnsi="Arial"/>
                <w:sz w:val="14"/>
                <w:szCs w:val="14"/>
                <w:color w:val="auto"/>
                <w:w w:val="93"/>
              </w:rPr>
              <w:t>(Registrant’s Telephone Number, Including Area Code)</w:t>
            </w:r>
          </w:p>
        </w:tc>
        <w:tc>
          <w:tcPr>
            <w:tcW w:w="0" w:type="dxa"/>
            <w:vAlign w:val="bottom"/>
          </w:tcPr>
          <w:p>
            <w:pPr>
              <w:spacing w:after="0"/>
              <w:rPr>
                <w:sz w:val="1"/>
                <w:szCs w:val="1"/>
                <w:color w:val="auto"/>
              </w:rPr>
            </w:pPr>
          </w:p>
        </w:tc>
      </w:tr>
      <w:tr>
        <w:trPr>
          <w:trHeight w:val="25"/>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3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320" w:type="dxa"/>
            <w:vAlign w:val="bottom"/>
          </w:tcPr>
          <w:p>
            <w:pPr>
              <w:jc w:val="center"/>
              <w:ind w:left="521"/>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2"/>
        </w:trPr>
        <w:tc>
          <w:tcPr>
            <w:tcW w:w="3320" w:type="dxa"/>
            <w:vAlign w:val="bottom"/>
            <w:tcBorders>
              <w:top w:val="single" w:sz="8" w:color="auto"/>
            </w:tcBorders>
          </w:tcPr>
          <w:p>
            <w:pPr>
              <w:jc w:val="center"/>
              <w:ind w:left="521"/>
              <w:spacing w:after="0"/>
              <w:rPr>
                <w:sz w:val="20"/>
                <w:szCs w:val="20"/>
                <w:color w:val="auto"/>
              </w:rPr>
            </w:pPr>
            <w:r>
              <w:rPr>
                <w:rFonts w:ascii="Arial" w:cs="Arial" w:eastAsia="Arial" w:hAnsi="Arial"/>
                <w:sz w:val="14"/>
                <w:szCs w:val="14"/>
                <w:color w:val="auto"/>
                <w:w w:val="92"/>
              </w:rPr>
              <w:t>Common Stock, par value $0.0001</w:t>
            </w:r>
          </w:p>
        </w:tc>
        <w:tc>
          <w:tcPr>
            <w:tcW w:w="6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ind w:right="6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ind w:right="28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16"/>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2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6" w:lineRule="exact"/>
        <w:rPr>
          <w:sz w:val="24"/>
          <w:szCs w:val="24"/>
          <w:color w:val="auto"/>
        </w:r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9"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July 31, 2022, was 154,635,575.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in this Quarterly Report on Form 10-Q the terms “Ardelyx”, “we,” “us,” “our” and “the Company” refer to Ardelyx, Inc.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19"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participation in a Cardiovascular and Renal Drugs Advisory Committee (“Advisory Committee”) meeting in connection with the formal dispute resolution (“FDR”) process commenced in response to the Complete Response Letter (“CRL”) received from the U.S. Food and Drug Administration (“FDA”) relating to our new drug application (“NDA”) for XPHOZAH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(tenapanor) for the control of serum phosphorus in adult patients with chronic kidney disease on dialysis (“CKD”) (the “Hyperphosphatemia Indication”);</w:t>
      </w:r>
    </w:p>
    <w:p>
      <w:pPr>
        <w:spacing w:after="0" w:line="74" w:lineRule="exact"/>
        <w:rPr>
          <w:rFonts w:ascii="Arial" w:cs="Arial" w:eastAsia="Arial" w:hAnsi="Arial"/>
          <w:sz w:val="17"/>
          <w:szCs w:val="17"/>
          <w:color w:val="auto"/>
        </w:rPr>
      </w:pPr>
    </w:p>
    <w:p>
      <w:pPr>
        <w:jc w:val="both"/>
        <w:ind w:left="340" w:hanging="332"/>
        <w:spacing w:after="0" w:line="23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address our operating cash flow requirements with our current cash and investments, cash generated from the sales of IBSRELA</w:t>
      </w:r>
      <w:r>
        <w:rPr>
          <w:rFonts w:ascii="Arial" w:cs="Arial" w:eastAsia="Arial" w:hAnsi="Arial"/>
          <w:sz w:val="23"/>
          <w:szCs w:val="23"/>
          <w:color w:val="auto"/>
          <w:vertAlign w:val="superscript"/>
        </w:rPr>
        <w:t>®</w:t>
      </w:r>
      <w:r>
        <w:rPr>
          <w:rFonts w:ascii="Arial" w:cs="Arial" w:eastAsia="Arial" w:hAnsi="Arial"/>
          <w:sz w:val="18"/>
          <w:szCs w:val="18"/>
          <w:color w:val="auto"/>
        </w:rPr>
        <w:t>, our potential receipt of anticipated milestones from our collaboration partners, our potential receipt of anticipated payments from our Japanese collaboration partner under the second amendment to our License Agreement; our ability to access the capital markets, as well as through the implementation of cash preservation activities to reduce or defer discretionary spending;</w:t>
      </w:r>
    </w:p>
    <w:p>
      <w:pPr>
        <w:spacing w:after="0" w:line="9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RDX013 and RDX020;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ASSOCIATED WITH OUR BUSINESS</w:t>
      </w:r>
    </w:p>
    <w:p>
      <w:pPr>
        <w:spacing w:after="0" w:line="256" w:lineRule="exact"/>
        <w:rPr>
          <w:sz w:val="20"/>
          <w:szCs w:val="20"/>
          <w:color w:val="auto"/>
        </w:rPr>
      </w:pPr>
    </w:p>
    <w:p>
      <w:pPr>
        <w:jc w:val="both"/>
        <w:ind w:left="340" w:hanging="332"/>
        <w:spacing w:after="0" w:line="286"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w:t>
      </w:r>
    </w:p>
    <w:p>
      <w:pPr>
        <w:spacing w:after="0" w:line="43" w:lineRule="exact"/>
        <w:rPr>
          <w:rFonts w:ascii="Arial" w:cs="Arial" w:eastAsia="Arial" w:hAnsi="Arial"/>
          <w:sz w:val="17"/>
          <w:szCs w:val="17"/>
          <w:color w:val="auto"/>
        </w:rPr>
      </w:pPr>
    </w:p>
    <w:p>
      <w:pPr>
        <w:jc w:val="both"/>
        <w:ind w:left="340" w:hanging="332"/>
        <w:spacing w:after="0" w:line="239"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require substantial additional financing for the foreseeable future as we invest in the commercialization of IBSRELA and prepare for and participate in a Cardiovascular and Renal Drugs Advisory Committee (“Advisory Committee”) meeting. The Advisory Committee meeting has been convened in connection with the formal dispute resolution (“FDR”) process we commenced in response to the Complete Response Letter (“CRL”) received from the U.S. Food and Drug Administration (“FDA”) relating to our new drug application (“NDA”) for XPHOZAH (tenapanor) for the control of serum phosphorus in adult patients with chronic kidney disease (“CKD”) on dialysis (“Hyperphosphatemia Indication”) and the inability to access necessary capital when needed on acceptable terms, or at all, could force us to limit, reduce or terminate our efforts to commercialize IBSRELA or to seek and obtain approval for XPHOZAH for the Hyperphosphatemia Indication.</w:t>
      </w:r>
    </w:p>
    <w:p>
      <w:pPr>
        <w:spacing w:after="0" w:line="216"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meet the continued listing requirements of The Nasdaq Global Market ("Nasdaq") could result in a de-listing of our common stock.</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generated limited revenue from product sales and may never be profitable.</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pursuing regulatory approval for tenapanor for the Hyperphosphatemia Indication. There can be no assurances that we will be successful in obtaining such regulatory approval.</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are successful in obtaining regulatory approval for tenapanor for the Hyperphosphatemia Indication, the expense and time required to do so could adversely impact our ability to successfully commercialize XPHOZAH for the Hyperphosphatemia Indication.</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and/or, if approved and commercialized, XPHOZAH, may cause undesirable side effects or have other properties that could limit the commercial success of the product.</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company, we have limited experience in the marketing, sale and distribution of pharmaceutical products; and there are significant risks in building and managing a commercial organization.</w:t>
      </w:r>
    </w:p>
    <w:p>
      <w:pPr>
        <w:spacing w:after="0" w:line="62"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 coverage and reimbursement status of newly-commercialized products are uncertain. Failure to obtain or maintain adequate coverage and reimbursement for IBSRELA and, if approved, for XPHOZAH could limit our ability to market those products and decrease our ability to generate revenue.</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of XPHOZAH, and our future development efforts for tenapanor may be materially harmed.</w:t>
      </w:r>
    </w:p>
    <w:p>
      <w:pPr>
        <w:spacing w:after="0" w:line="78"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ARDELYX</w:t>
      </w:r>
      <w:r>
        <w:rPr>
          <w:rFonts w:ascii="Arial" w:cs="Arial" w:eastAsia="Arial" w:hAnsi="Arial"/>
          <w:sz w:val="23"/>
          <w:szCs w:val="23"/>
          <w:color w:val="auto"/>
          <w:vertAlign w:val="superscript"/>
        </w:rPr>
        <w:t>®</w:t>
      </w:r>
      <w:r>
        <w:rPr>
          <w:rFonts w:ascii="Arial" w:cs="Arial" w:eastAsia="Arial" w:hAnsi="Arial"/>
          <w:sz w:val="18"/>
          <w:szCs w:val="18"/>
          <w:color w:val="auto"/>
        </w:rPr>
        <w:t>, IBSRELA</w:t>
      </w:r>
      <w:r>
        <w:rPr>
          <w:rFonts w:ascii="Arial" w:cs="Arial" w:eastAsia="Arial" w:hAnsi="Arial"/>
          <w:sz w:val="23"/>
          <w:szCs w:val="23"/>
          <w:color w:val="auto"/>
          <w:vertAlign w:val="superscript"/>
        </w:rPr>
        <w:t>®</w:t>
      </w:r>
      <w:r>
        <w:rPr>
          <w:rFonts w:ascii="Arial" w:cs="Arial" w:eastAsia="Arial" w:hAnsi="Arial"/>
          <w:sz w:val="18"/>
          <w:szCs w:val="18"/>
          <w:color w:val="auto"/>
        </w:rPr>
        <w:t>, and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are trademarks of Ardelyx. All other trademarks, trade names and service marks appearing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175"/>
        </w:trPr>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Borders>
              <w:bottom w:val="single" w:sz="8" w:color="0000FF"/>
            </w:tcBorders>
            <w:gridSpan w:val="8"/>
          </w:tcPr>
          <w:p>
            <w:pPr>
              <w:jc w:val="center"/>
              <w:spacing w:after="0" w:line="17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35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466"/>
        </w:trPr>
        <w:tc>
          <w:tcPr>
            <w:tcW w:w="21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 Financial Statements:</w:t>
              </w:r>
            </w:hyperlink>
          </w:p>
        </w:tc>
        <w:tc>
          <w:tcPr>
            <w:tcW w:w="808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53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Statements of Operations and Comprehensive Loss (unaudited)</w:t>
              </w:r>
            </w:hyperlink>
          </w:p>
        </w:tc>
        <w:tc>
          <w:tcPr>
            <w:tcW w:w="426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6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Changes in Stockholders' Equity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560" w:type="dxa"/>
            <w:vAlign w:val="bottom"/>
          </w:tcPr>
          <w:p>
            <w:pPr>
              <w:spacing w:after="0"/>
              <w:rPr>
                <w:sz w:val="18"/>
                <w:szCs w:val="18"/>
                <w:color w:val="auto"/>
              </w:rPr>
            </w:pPr>
          </w:p>
        </w:tc>
        <w:tc>
          <w:tcPr>
            <w:tcW w:w="5060" w:type="dxa"/>
            <w:vAlign w:val="bottom"/>
            <w:tcBorders>
              <w:top w:val="single" w:sz="8" w:color="0000FF"/>
            </w:tcBorders>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 (unaudited)</w:t>
              </w:r>
            </w:hyperlink>
          </w:p>
        </w:tc>
        <w:tc>
          <w:tcPr>
            <w:tcW w:w="458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Financial Statements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702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 2. Management’s Discussion and Analysis of Financial Condition and Results of Operations</w:t>
              </w:r>
            </w:hyperlink>
          </w:p>
        </w:tc>
        <w:tc>
          <w:tcPr>
            <w:tcW w:w="3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9"/>
        </w:trPr>
        <w:tc>
          <w:tcPr>
            <w:tcW w:w="1020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 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20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 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6"/>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10"/>
          </w:tcPr>
          <w:p>
            <w:pPr>
              <w:jc w:val="center"/>
              <w:ind w:right="356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OTHER INFORMATION</w:t>
              </w:r>
            </w:hyperlink>
          </w:p>
        </w:tc>
        <w:tc>
          <w:tcPr>
            <w:tcW w:w="1000" w:type="dxa"/>
            <w:vAlign w:val="bottom"/>
          </w:tcPr>
          <w:p>
            <w:pPr>
              <w:spacing w:after="0"/>
              <w:rPr>
                <w:sz w:val="24"/>
                <w:szCs w:val="24"/>
                <w:color w:val="auto"/>
              </w:rPr>
            </w:pPr>
          </w:p>
        </w:tc>
      </w:tr>
      <w:tr>
        <w:trPr>
          <w:trHeight w:val="466"/>
        </w:trPr>
        <w:tc>
          <w:tcPr>
            <w:tcW w:w="190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Item 1. Legal Proceedings</w:t>
              </w:r>
            </w:hyperlink>
          </w:p>
        </w:tc>
        <w:tc>
          <w:tcPr>
            <w:tcW w:w="1820" w:type="dxa"/>
            <w:vAlign w:val="bottom"/>
            <w:gridSpan w:val="6"/>
          </w:tcPr>
          <w:p>
            <w:pPr>
              <w:spacing w:after="0"/>
              <w:rPr>
                <w:sz w:val="24"/>
                <w:szCs w:val="24"/>
                <w:color w:val="auto"/>
              </w:rPr>
            </w:pPr>
          </w:p>
        </w:tc>
        <w:tc>
          <w:tcPr>
            <w:tcW w:w="2760" w:type="dxa"/>
            <w:vAlign w:val="bottom"/>
            <w:tcBorders>
              <w:top w:val="single" w:sz="8" w:color="0000FF"/>
            </w:tcBorders>
            <w:gridSpan w:val="6"/>
          </w:tcPr>
          <w:p>
            <w:pPr>
              <w:spacing w:after="0"/>
              <w:rPr>
                <w:sz w:val="24"/>
                <w:szCs w:val="24"/>
                <w:color w:val="auto"/>
              </w:rPr>
            </w:pPr>
          </w:p>
        </w:tc>
        <w:tc>
          <w:tcPr>
            <w:tcW w:w="372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Item 1A. Risk Factors</w:t>
              </w:r>
            </w:hyperlink>
          </w:p>
        </w:tc>
        <w:tc>
          <w:tcPr>
            <w:tcW w:w="860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0200" w:type="dxa"/>
            <w:vAlign w:val="bottom"/>
            <w:gridSpan w:val="21"/>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Item 2. Unregistered Sales of Equity Securities and Use of Proceeds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4900" w:type="dxa"/>
            <w:vAlign w:val="bottom"/>
            <w:tcBorders>
              <w:top w:val="single" w:sz="8" w:color="0000FF"/>
            </w:tcBorders>
            <w:gridSpan w:val="15"/>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Item 3. Defaults Upon Senior Securities</w:t>
              </w:r>
            </w:hyperlink>
          </w:p>
        </w:tc>
        <w:tc>
          <w:tcPr>
            <w:tcW w:w="5300" w:type="dxa"/>
            <w:vAlign w:val="bottom"/>
            <w:gridSpan w:val="6"/>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2880" w:type="dxa"/>
            <w:vAlign w:val="bottom"/>
            <w:tcBorders>
              <w:top w:val="single" w:sz="8" w:color="0000FF"/>
            </w:tcBorders>
            <w:gridSpan w:val="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Item 4. Mine Safety Disclosures</w:t>
              </w:r>
            </w:hyperlink>
          </w:p>
        </w:tc>
        <w:tc>
          <w:tcPr>
            <w:tcW w:w="732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1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Item 5. Other Information</w:t>
              </w:r>
            </w:hyperlink>
          </w:p>
        </w:tc>
        <w:tc>
          <w:tcPr>
            <w:tcW w:w="440" w:type="dxa"/>
            <w:vAlign w:val="bottom"/>
            <w:tcBorders>
              <w:top w:val="single" w:sz="8" w:color="0000FF"/>
            </w:tcBorders>
            <w:gridSpan w:val="3"/>
          </w:tcPr>
          <w:p>
            <w:pPr>
              <w:spacing w:after="0"/>
              <w:rPr>
                <w:sz w:val="18"/>
                <w:szCs w:val="18"/>
                <w:color w:val="auto"/>
              </w:rPr>
            </w:pPr>
          </w:p>
        </w:tc>
        <w:tc>
          <w:tcPr>
            <w:tcW w:w="7880" w:type="dxa"/>
            <w:vAlign w:val="bottom"/>
            <w:gridSpan w:val="13"/>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0200" w:type="dxa"/>
            <w:vAlign w:val="bottom"/>
            <w:gridSpan w:val="21"/>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Item 6. 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Signatures</w:t>
              </w:r>
            </w:hyperlink>
          </w:p>
        </w:tc>
        <w:tc>
          <w:tcPr>
            <w:tcW w:w="9040" w:type="dxa"/>
            <w:vAlign w:val="bottom"/>
            <w:gridSpan w:val="18"/>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100" w:type="dxa"/>
            <w:vAlign w:val="bottom"/>
          </w:tcPr>
          <w:p>
            <w:pPr>
              <w:jc w:val="center"/>
              <w:ind w:left="1790"/>
              <w:spacing w:after="0"/>
              <w:rPr>
                <w:sz w:val="20"/>
                <w:szCs w:val="20"/>
                <w:color w:val="auto"/>
              </w:rPr>
            </w:pPr>
            <w:r>
              <w:rPr>
                <w:rFonts w:ascii="Arial" w:cs="Arial" w:eastAsia="Arial" w:hAnsi="Arial"/>
                <w:sz w:val="18"/>
                <w:szCs w:val="18"/>
                <w:b w:val="1"/>
                <w:bCs w:val="1"/>
                <w:color w:val="auto"/>
              </w:rPr>
              <w:t>ARDELYX, INC.</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8"/>
              </w:rPr>
              <w:t>CONDENSED BALANCE SHEETS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10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CCEEFF"/>
            </w:tcBorders>
          </w:tcPr>
          <w:p>
            <w:pPr>
              <w:spacing w:after="0"/>
              <w:rPr>
                <w:sz w:val="16"/>
                <w:szCs w:val="16"/>
                <w:color w:val="auto"/>
              </w:rPr>
            </w:pPr>
          </w:p>
        </w:tc>
        <w:tc>
          <w:tcPr>
            <w:tcW w:w="7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114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11"/>
              <w:spacing w:after="0"/>
              <w:rPr>
                <w:sz w:val="20"/>
                <w:szCs w:val="20"/>
                <w:color w:val="auto"/>
              </w:rPr>
            </w:pPr>
            <w:r>
              <w:rPr>
                <w:rFonts w:ascii="Arial" w:cs="Arial" w:eastAsia="Arial" w:hAnsi="Arial"/>
                <w:sz w:val="18"/>
                <w:szCs w:val="18"/>
                <w:color w:val="auto"/>
                <w:w w:val="93"/>
              </w:rPr>
              <w:t>(Unaudited)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Current assets:</w:t>
            </w: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Prepaid commercial manufacturing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23"/>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133,649</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23"/>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52,821</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royalty obligation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67,296</w:t>
            </w:r>
          </w:p>
        </w:tc>
        <w:tc>
          <w:tcPr>
            <w:tcW w:w="0" w:type="dxa"/>
            <w:vAlign w:val="bottom"/>
          </w:tcPr>
          <w:p>
            <w:pPr>
              <w:spacing w:after="0"/>
              <w:rPr>
                <w:sz w:val="1"/>
                <w:szCs w:val="1"/>
                <w:color w:val="auto"/>
              </w:rPr>
            </w:pPr>
          </w:p>
        </w:tc>
      </w:tr>
      <w:tr>
        <w:trPr>
          <w:trHeight w:val="20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89"/>
              </w:rPr>
              <w:t>Preferred stock, $0.0001 par value; 5,000,000 shares authorized; no shares issued and outstanding as of June 30,</w:t>
            </w:r>
          </w:p>
        </w:tc>
        <w:tc>
          <w:tcPr>
            <w:tcW w:w="2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 and December 31, 2021, respectively.</w:t>
            </w:r>
          </w:p>
        </w:tc>
        <w:tc>
          <w:tcPr>
            <w:tcW w:w="2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1"/>
              </w:rPr>
              <w:t>Common stock, $0.0001 par value; 300,000,000 shares authorized; 153,797,834 and 130,182,535 shares issued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and outstanding as of June 30, 2022 and December 31, 2021,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795,540</w:t>
            </w:r>
          </w:p>
        </w:tc>
        <w:tc>
          <w:tcPr>
            <w:tcW w:w="0" w:type="dxa"/>
            <w:vAlign w:val="bottom"/>
          </w:tcPr>
          <w:p>
            <w:pPr>
              <w:spacing w:after="0"/>
              <w:rPr>
                <w:sz w:val="1"/>
                <w:szCs w:val="1"/>
                <w:color w:val="auto"/>
              </w:rPr>
            </w:pPr>
          </w:p>
        </w:tc>
      </w:tr>
      <w:tr>
        <w:trPr>
          <w:trHeight w:val="229"/>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(712,930)</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5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6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Licensing revenue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Collaborative development revenue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84,732</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(78,341)</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net loss per share - 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145,544,372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100,040,083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138,279,945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98,617,564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losses on available-for-sale securities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30, 2022</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8"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42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4"/>
                <w:szCs w:val="4"/>
                <w:color w:val="auto"/>
              </w:rPr>
            </w:pPr>
          </w:p>
        </w:tc>
        <w:tc>
          <w:tcPr>
            <w:tcW w:w="1060" w:type="dxa"/>
            <w:vAlign w:val="bottom"/>
            <w:vMerge w:val="restart"/>
          </w:tcPr>
          <w:p>
            <w:pPr>
              <w:jc w:val="center"/>
              <w:ind w:right="55"/>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136,330,360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64,190</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2,882,673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14,584,801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(26,938)</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153,797,834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1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Six Months Ended June 30, 2022</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8"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42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4"/>
                <w:szCs w:val="4"/>
                <w:color w:val="auto"/>
              </w:rPr>
            </w:pPr>
          </w:p>
        </w:tc>
        <w:tc>
          <w:tcPr>
            <w:tcW w:w="1060" w:type="dxa"/>
            <w:vAlign w:val="bottom"/>
            <w:vMerge w:val="restart"/>
          </w:tcPr>
          <w:p>
            <w:pPr>
              <w:jc w:val="center"/>
              <w:ind w:right="55"/>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130,182,535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127,100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2,996,142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20,492,057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18,476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153,797,834</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(767,939)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 2021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8"/>
          </w:tcPr>
          <w:p>
            <w:pPr>
              <w:ind w:left="640"/>
              <w:spacing w:after="0" w:line="148"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96"/>
              <w:spacing w:after="0" w:line="148"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3"/>
            <w:vMerge w:val="restart"/>
          </w:tcPr>
          <w:p>
            <w:pPr>
              <w:jc w:val="center"/>
              <w:ind w:right="380"/>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300" w:type="dxa"/>
            <w:vAlign w:val="bottom"/>
            <w:vMerge w:val="restart"/>
          </w:tcPr>
          <w:p>
            <w:pPr>
              <w:jc w:val="center"/>
              <w:ind w:right="96"/>
              <w:spacing w:after="0" w:line="122"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right="55"/>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98,688,577</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718,728</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(587,920)</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130,811</w:t>
            </w:r>
          </w:p>
        </w:tc>
        <w:tc>
          <w:tcPr>
            <w:tcW w:w="0" w:type="dxa"/>
            <w:vAlign w:val="bottom"/>
          </w:tcPr>
          <w:p>
            <w:pPr>
              <w:spacing w:after="0"/>
              <w:rPr>
                <w:sz w:val="1"/>
                <w:szCs w:val="1"/>
                <w:color w:val="auto"/>
              </w:rPr>
            </w:pPr>
          </w:p>
        </w:tc>
      </w:tr>
      <w:tr>
        <w:trPr>
          <w:trHeight w:val="176"/>
        </w:trPr>
        <w:tc>
          <w:tcPr>
            <w:tcW w:w="3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194,799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exercise of options</w:t>
            </w: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44,684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vesting of restricted stock units</w:t>
            </w: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4,038,957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28,174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28,174</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market offering</w:t>
            </w: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175"/>
        </w:trPr>
        <w:tc>
          <w:tcPr>
            <w:tcW w:w="31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Unrealized gains on available-for-sale</w:t>
            </w:r>
          </w:p>
        </w:tc>
        <w:tc>
          <w:tcPr>
            <w:tcW w:w="12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2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102,967,017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8"/>
          </w:tcPr>
          <w:p>
            <w:pPr>
              <w:ind w:left="760"/>
              <w:spacing w:after="0" w:line="148"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6"/>
              <w:spacing w:after="0" w:line="148"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3"/>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300" w:type="dxa"/>
            <w:vAlign w:val="bottom"/>
            <w:vMerge w:val="restart"/>
          </w:tcPr>
          <w:p>
            <w:pPr>
              <w:jc w:val="center"/>
              <w:ind w:right="56"/>
              <w:spacing w:after="0" w:line="122"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right="75"/>
              <w:spacing w:after="0" w:line="12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93,599,975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680,872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(554,765)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176"/>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102,208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employee stock purchase plan</w:t>
            </w:r>
          </w:p>
        </w:tc>
        <w:tc>
          <w:tcPr>
            <w:tcW w:w="1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205,306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options</w:t>
            </w:r>
          </w:p>
        </w:tc>
        <w:tc>
          <w:tcPr>
            <w:tcW w:w="12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79,784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of restricted stock units</w:t>
            </w:r>
          </w:p>
        </w:tc>
        <w:tc>
          <w:tcPr>
            <w:tcW w:w="1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8,979,744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62,445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62,446</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market offering</w:t>
            </w:r>
          </w:p>
        </w:tc>
        <w:tc>
          <w:tcPr>
            <w:tcW w:w="12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Unrealized gains on available-for-sale</w:t>
            </w:r>
          </w:p>
        </w:tc>
        <w:tc>
          <w:tcPr>
            <w:tcW w:w="12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122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Net loss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(78,344)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102,967,017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750,664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Amortization of deferred compensation for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premium on investment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Change in derivative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refinancing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Gain on sale of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associated with debt discount accretion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commercial manufacturing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maturities and redemptions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2022 Loan,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2018 Loan, net of settlement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the sale of future royalties,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 in at the market offering,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140"/>
              <w:spacing w:after="0" w:line="203" w:lineRule="exact"/>
              <w:rPr>
                <w:sz w:val="20"/>
                <w:szCs w:val="20"/>
                <w:color w:val="auto"/>
              </w:rPr>
            </w:pPr>
            <w:r>
              <w:rPr>
                <w:rFonts w:ascii="Arial" w:cs="Arial" w:eastAsia="Arial" w:hAnsi="Arial"/>
                <w:sz w:val="18"/>
                <w:szCs w:val="18"/>
                <w:color w:val="auto"/>
              </w:rPr>
              <w:t>Issuance of derivative in connection with issuance of loan payable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 and where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Ardelyx, Inc. (the “Company,” “we,” “us” or “our”) is a biopharmaceutical company founded with a mission to discover, develop and commercialize innovative first-in-class medicines that meet significant unmet medical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business segment, which is the development and commercialization of biopharmaceutical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2021. The results for the three and six months ended June 30, 2022 are not necessarily indicative of results to be expected for the entire year ending December 31, 2022, or for any other interim period or future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2022, we had cash and investments of approximately $81.0 million. We have incurred operating losses since inception and our accumulated deficit as of June 30, 2022 is $767.9 million. Our current level of cash and investments alone is not sufficient to meet our plans for the next twelve months following the issuance of these financial statements. These factors raise substantial doubt regarding our ability to continue as a going concern for a period of one year from the issuance of these financial statements. We plan to address our operating cash flow requirements with our current cash and investments, cash generated from sales of IBSRELA, our potential receipt of anticipated milestones from our collaboration partners, our potential receipt of anticipated payments from our Japanese collaboration partner under the second amendment to our License Agreement, our ability to access the capital markets, as well as through the implementation of cash preservation activities to reduce or defer discretionary spending.</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significant accounting policies are described in Note 1 to our audited financial statements for the fiscal year ended December 31, 2021, included in our Annual Report on Form 10-K. Our significant accounting policies for the three and six months ended June 30, 2022 also included the policies discussed below related to accounts receivable, inventory, revenue and cost of revenue for commercial product sales. With the exception of those noted below, there have been no material changes in our significant accounting policies as previously disclosed in our Annual Report on Form 10-K for the fiscal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Accounts receivable is reported net of allowances for returns, chargebacks and contractual discounts offered to our customers. Our estimate of the allowance for doubtful accounts is based on an evaluation of the aging of our receivables. Trade receivable balances are written off against the allowance when it is probable that the receivable will not be collected. To date, we have determined that an allowance for doubtful accounts is not required. As of June 30, 2022 our accounts receivable balance is comprised of $4.1 million from our collaborators and $1.5 million from commercial customers. As of December 31, 2021 our accounts receivable balance was comprised of $0.5 million from our collaborators.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regulatory approval of drug product candidates, we incurred expenses for the manufacture of drug product that could potentially be available to support the commercial launch of our products.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Inventory is stated at the lower of cost or estimated net realizable value with cost determined under the first-in first-out method. Inventory costs include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management review of the expiration dates of IBSRELA compared to our forecasted sales. If actual market conditions are less favorable than projected by management, write-downs of inventory may be required, which would be recorded as cost of goods sold in the condensed statement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Net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account for our commercial product sales, net in accordance with Topic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received approval from the U.S. Food and Drug Administration (“FDA”) in September 2019 to market IBSRELA, the first and only sodium hydrogen exchanger 3 (“NHE3”) inhibitor for the treatment of irritable bowel syndrome with constipation ("IBS-C") in adults, in the United States ("U.S."). We began selling IBSRELA in the U.S. in March 2022. We distribute IBSRELA principally through a limited number of wholesalers and specialty pharmacy providers (collectively, our "Customers"). Our Customers subsequently sell IBSRELA to pharmacies and patients. Separately, we enter into arrangements with third parties that provide for government-mandated and privately-negotiated rebates, chargebacks and discounts. Revenue from product sales is recognized when our performance obligations are satisfied, which is when Customers obtain control of our product and occurs upon delivery.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including rebates, discounts, patient copay assistance programs, and estimated product returns. These estimates are based on the amounts earned or to be claimed for related sales and are classified as reductions of gross accounts receivable if the amount is payable to our Customers or a current liability if the amount is payable to a party other than a Customer. Where appropriate, these estimates are based on factors such as industry data and forecasted customer buying and payment patterns, our historical experience, current contractual and statutory requirements, specific known market events and trends. Overall,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historical experience, estimates will be more heavily based on the expected utilization from historical data we have accumulated since the IBSRELA product launch.</w:t>
      </w:r>
    </w:p>
    <w:p>
      <w:pPr>
        <w:spacing w:after="0" w:line="15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Rebates: Rebates include mandated discounts under the Medicaid Drug Rebate Program ("Medicaid") and the Medicare Coverage Gap Program ("Medicare"). Rebates are amounts owed after the final dispensing of products to a benefit plan participant and are based upon contractual agreements or legal requirements with the public-sector benefit providers. These estimates for rebates are recorded in the same period the related gross revenue is recognized, resulting in a reduction of product revenue and the establishment of a current liability which is included in accrued expenses on the condensed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estimated utilization by types of contracted purchasers.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Discounts and Fees: Our payment terms are generally 30 to 60 days. Wholesalers and specialty pharmacies are offered various forms of consideration, including service fees. Wholesalers may also receive prompt pay discounts for payment within a specified period. We expect prompt pay discounts to be earned when offered and therefore, we deduct the full amount of these discounts and service fees from product sales when revenue is recognized, resulting in a reduction of product revenue and accounts receivable.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and accrued expenses and other current liabilities on the condensed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consists of the cost of commercial goods sold to our Customers, international partners under product supply agreements, and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and six months ended June 30, 2022 were expensed prior to the fourth quarter of 2021, at which time our intent to commercialize IBSRELA was established and we commenced preparation for the commercial launch of IBSRELA.</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includes payments due to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as a result of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$11.9 million as cost of revenue under the AZ Termination Agreement.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on Deferred Royalty Obligation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net proceeds we receive from the sale of certain future royalties are amortized to non-cash interest expense over the estimated life of the associated agreement using the effective interest method. As we earn royalties and remit those royalties pursuant to the agreement, the balance of the deferred royalty obligation will be effectively repaid over the life of agreement. To determine the amortization of our deferred royalty obligation, we are required to estimate the total amount of future royalty payments we expect to earn. There are a number of factors that could materially affect the amount and timing of royalty payments, most of which are not within our control. We periodically assess the amount of royalty payments we expect to receive which are subject to the agreement and, to the extent that the amount or timing of such payments is materially different than our original estimates, we prospectively adjust the imputed interest rate and the related amortization of the deferred royalty obligation.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no new accounting pronouncements other than those disclosed in our most recent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various accounting standards and interpretations issued recently, none of which are expected to a have a material impact on our financial position,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Securities classified as cash, cash equivalents and investments as of June 30, 2022 and December 31, 2021 are summarized below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June 30, 2022</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Gross Unrealized</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50,433</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53,408</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16,931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16,882</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27,713</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27,604</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r>
      <w:tr>
        <w:trPr>
          <w:trHeight w:val="223"/>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31,935</w:t>
            </w:r>
          </w:p>
        </w:tc>
      </w:tr>
      <w:tr>
        <w:trPr>
          <w:trHeight w:val="23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3"/>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116,689</w:t>
            </w:r>
          </w:p>
        </w:tc>
      </w:tr>
      <w:tr>
        <w:trPr>
          <w:trHeight w:val="21"/>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equivalents consist of money market funds and other debt securities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our balance sheets. We use the specific identification method to determine the amount of realized gains or losses on sales of marketable securities. Realized gains or losses have been insignificant and are included in other income (expense), net, in the statement of operations and comprehensive loss.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short-term available-for-sale securities held as of June 30,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we write it down through the statement of operations and comprehensive loss to its fair value and establishes that value as a new cost basis for the investment. We did not identify any of our available-for-sale securities as other-than-temporarily impaired in any of the periods presented. As of June 30, 2022, no investment was in a continuous unrealized loss position for more than one year and we believe that it is more likely than not that the investments will be held until maturity or a forecasted recovery of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93" w:lineRule="exact"/>
        <w:rPr>
          <w:sz w:val="20"/>
          <w:szCs w:val="20"/>
          <w:color w:val="auto"/>
        </w:rPr>
      </w:pPr>
    </w:p>
    <w:p>
      <w:pPr>
        <w:jc w:val="both"/>
        <w:ind w:left="1440" w:right="40" w:hanging="1092"/>
        <w:spacing w:after="0" w:line="235" w:lineRule="auto"/>
        <w:tabs>
          <w:tab w:leader="none" w:pos="14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w:t>
      </w:r>
    </w:p>
    <w:p>
      <w:pPr>
        <w:spacing w:after="0" w:line="54" w:lineRule="exact"/>
        <w:rPr>
          <w:sz w:val="20"/>
          <w:szCs w:val="20"/>
          <w:color w:val="auto"/>
        </w:rPr>
      </w:pPr>
    </w:p>
    <w:p>
      <w:pPr>
        <w:jc w:val="both"/>
        <w:ind w:left="1440" w:right="40" w:hanging="1092"/>
        <w:spacing w:after="0" w:line="224" w:lineRule="auto"/>
        <w:tabs>
          <w:tab w:leader="none" w:pos="14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4"/>
                <w:szCs w:val="14"/>
                <w:color w:val="auto"/>
              </w:rPr>
            </w:pPr>
          </w:p>
        </w:tc>
        <w:tc>
          <w:tcPr>
            <w:tcW w:w="11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50,433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U.S. government-sponsored agency bonds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Derivative liabilities for exit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4"/>
                <w:szCs w:val="14"/>
                <w:color w:val="auto"/>
              </w:rPr>
            </w:pPr>
          </w:p>
        </w:tc>
        <w:tc>
          <w:tcPr>
            <w:tcW w:w="11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2018 Exit Fee and 2022 Exit Fee, as defined and discussed in </w:t>
      </w:r>
      <w:r>
        <w:rPr>
          <w:rFonts w:ascii="Arial" w:cs="Arial" w:eastAsia="Arial" w:hAnsi="Arial"/>
          <w:sz w:val="17"/>
          <w:szCs w:val="17"/>
          <w:i w:val="1"/>
          <w:iCs w:val="1"/>
          <w:color w:val="auto"/>
        </w:rPr>
        <w:t>Note 9. Derivative Liability</w:t>
      </w:r>
      <w:r>
        <w:rPr>
          <w:rFonts w:ascii="Arial" w:cs="Arial" w:eastAsia="Arial" w:hAnsi="Arial"/>
          <w:sz w:val="17"/>
          <w:szCs w:val="17"/>
          <w:color w:val="auto"/>
        </w:rPr>
        <w:t>, are classified as Level 3.</w:t>
      </w:r>
    </w:p>
    <w:p>
      <w:pPr>
        <w:spacing w:after="0" w:line="2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carrying amounts reflected in the balance sheets for cash equivalents, short-term investments, accounts receivable, prepaid expenses and other current assets, accounts payable and accrued expenses approximate their fair values at both June 30, 2022 and December 31, 2021, due to their short-term nature.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interest rates of our deferred royalty obligation and term loan facility approximate the rate at which we could obtain alternative financing. Therefore, the carrying amount of the deferred royalty obligation and the term loan facility approximated their fair values at June 30, 2022 and December 31, 2021. See </w:t>
      </w:r>
      <w:r>
        <w:rPr>
          <w:rFonts w:ascii="Arial" w:cs="Arial" w:eastAsia="Arial" w:hAnsi="Arial"/>
          <w:sz w:val="18"/>
          <w:szCs w:val="18"/>
          <w:i w:val="1"/>
          <w:iCs w:val="1"/>
          <w:color w:val="auto"/>
        </w:rPr>
        <w:t>Note 7. Deferred Royalty Obligation and Note 8. Borrowing</w:t>
      </w:r>
      <w:r>
        <w:rPr>
          <w:rFonts w:ascii="Arial" w:cs="Arial" w:eastAsia="Arial" w:hAnsi="Arial"/>
          <w:sz w:val="18"/>
          <w:szCs w:val="18"/>
          <w:color w:val="auto"/>
        </w:rPr>
        <w:t xml:space="preserve"> for a description of the Level 3 inputs used to estimate the fair value of each respective liability.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began capitalizing inventory during the fourth quarter of 2021, at which time our intent to commercialize IBSRELA was established and we commenced preparation for the commercial launch of IBSRELA. Inventory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June 30, 2022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3,606</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948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commercial manufacturing of $17.8 million and $9.4 million as of June 30, 2022 and December 31, 2021, respectively, consist of prepayments to third party contract manufacturing organizations for the manufacture of IBSRELA for production orders which we expect work to commence within the next 12 months. Prepayments for commercial manufacturing of $3.8 million as of June 30, 2022 that are expected to be converted into inventory after 12 months are included in other assets on our Condensed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PRODUCT REVENUE,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approval from the FDA in September 2019 to market IBSRELA, the first and only NHE3 inhibitor for the treatment of IBS-C in adults, in the U.S. We began selling IBSRELA in the U.S. in March 2022. We recorded net revenue for IBSRELA of $1.6 million and $2.0 million during the three and six months ended June 30, 2022,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AmerisourceBergen Drug Corporation, Cardinal Health, and McKesson Corporation made up 40.2%, 22.7%, and 24.6% of our gross product revenue during the three months ended June 30, 2022 and 35.1%, 21.7%, and 22.5% during the six months ended June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Discounts and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Other Fees,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Rebates</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Copay and</w:t>
            </w: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2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Returns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Activity related to 2022 sales</w:t>
            </w:r>
          </w:p>
        </w:tc>
        <w:tc>
          <w:tcPr>
            <w:tcW w:w="140" w:type="dxa"/>
            <w:vAlign w:val="bottom"/>
          </w:tcPr>
          <w:p>
            <w:pPr>
              <w:spacing w:after="0"/>
              <w:rPr>
                <w:sz w:val="19"/>
                <w:szCs w:val="19"/>
                <w:color w:val="auto"/>
              </w:rPr>
            </w:pPr>
          </w:p>
        </w:tc>
        <w:tc>
          <w:tcPr>
            <w:tcW w:w="1280" w:type="dxa"/>
            <w:vAlign w:val="bottom"/>
          </w:tcPr>
          <w:p>
            <w:pPr>
              <w:jc w:val="center"/>
              <w:ind w:left="890"/>
              <w:spacing w:after="0"/>
              <w:rPr>
                <w:sz w:val="20"/>
                <w:szCs w:val="20"/>
                <w:color w:val="auto"/>
              </w:rPr>
            </w:pPr>
            <w:r>
              <w:rPr>
                <w:rFonts w:ascii="Arial" w:cs="Arial" w:eastAsia="Arial" w:hAnsi="Arial"/>
                <w:sz w:val="18"/>
                <w:szCs w:val="18"/>
                <w:color w:val="auto"/>
                <w:w w:val="89"/>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Credits/deductions issued</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product sales or gross-to-net accruals during the three and six months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KKC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2019, we entered into a research collaboration and option agreement with KKC (the “2019 KKC Agreement”) for research associated with identifying two preclinical compounds that are ready for designation as development compounds (“DCs”), with one compound inhibiting the first undisclosed target (“Program 1”), and a second inhibiting the second undisclosed target (“Program 2”).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the terms of the 2019 KKC Agreement, KKC paid us a non-refundable, non-creditable upfront fee of $10.0 million in two installments as follows: the first installment of $5.0 million within 30 days of November 11, 2019 (the “Effective Date”), and the second installment of $5.0 million on the first anniversary of the Effective Date. The original term of the 2019 KKC Agreement commenced on the Effective Date and was to end on the earliest of: (i) 2 years following the Effective Date, (ii) the nomination of a program DC for both programs, (iii) the nomination of one program DC and the decision by the parties to cease research for the other program, or (iv) the decision by the parties to cease research for both programs. We entered into three amendments to</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2019 KKC Agreement, which have resulted in the extension of the original term. Under the third amendment to the 2019 KKC Agreement entered into on June 28, 2022, the current term will end on February 28, 2023.</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no material future obligations under the 2019 KKC Agreement and recorded no revenue under the 2019 KKC Agreement during the three and six months ended June 30, 2022. During the three and six months ended June 30, 2021, we recognized $1.3 million and $2.8 million, respectively, as collaborative development revenue under the 2019 KKC Agreement in the accompanying condensed statement of operations and comprehensive loss.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KKC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2017, we entered into an exclusive license agreement with KKC (the “2017 KKC Agreement”), for the development, commercialization, and distribution of tenapanor in Japan for cardiorenal indications. We granted KKC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assessed these arrangements in accordance with Accounting Standards Update (“ASU”)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jc w:val="both"/>
        <w:ind w:firstLine="8"/>
        <w:spacing w:after="0" w:line="253" w:lineRule="auto"/>
        <w:tabs>
          <w:tab w:leader="none" w:pos="41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KKC, is a customer. Under the terms of the 2017 KKC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KKC Agreement, and as such, each of the performance obligations is distinct.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Under the terms of the 2017 KKC Agreement, KKC paid us an up-front license fee of $30.0 million. We may be entitled to receive up to $55.0 million in total development and regulatory milestones, of which $10.0 million has been received and recognized as revenue as of June 30, 2022. We may also be eligible to receive approximately ¥8.5 billion for commercialization milestones, or approximately $62.3 million at the currency exchange rate on June 30, 2022, as well as reimbursement of costs plus a reasonable overhead for the supply of product and royalties on net sales throughout the term of the agreement. As discussed in </w:t>
      </w:r>
      <w:r>
        <w:rPr>
          <w:rFonts w:ascii="Arial" w:cs="Arial" w:eastAsia="Arial" w:hAnsi="Arial"/>
          <w:sz w:val="18"/>
          <w:szCs w:val="18"/>
          <w:i w:val="1"/>
          <w:iCs w:val="1"/>
          <w:color w:val="auto"/>
        </w:rPr>
        <w:t>Note 7. Deferred Royalty Obligation</w:t>
      </w:r>
      <w:r>
        <w:rPr>
          <w:rFonts w:ascii="Arial" w:cs="Arial" w:eastAsia="Arial" w:hAnsi="Arial"/>
          <w:sz w:val="18"/>
          <w:szCs w:val="18"/>
          <w:color w:val="auto"/>
        </w:rPr>
        <w:t>, the future royalties and commercial milestone payments we may receive under the 2017 KKC Agreement will be remitted to HealthCare Royalty Partners IV, L.P. pursuant to a Royalty and Sales Milestone Interest Acquisition Agreement. The variable consideration related to the remaining milestone payments has not been included in the transaction price as these were fully constrained at June 30, 2022.</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April 11, 2022, we entered into a second amendment (the "Amendment") to the 2017 KKC Agreement. Under the terms of the Amendment, we and KKC have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6"/>
          <w:szCs w:val="16"/>
          <w:i w:val="1"/>
          <w:iCs w:val="1"/>
          <w:color w:val="auto"/>
        </w:rPr>
        <w:t>Note 7. Deferred Royalty Obligation</w:t>
      </w:r>
      <w:r>
        <w:rPr>
          <w:rFonts w:ascii="Arial" w:cs="Arial" w:eastAsia="Arial" w:hAnsi="Arial"/>
          <w:sz w:val="16"/>
          <w:szCs w:val="16"/>
          <w:color w:val="auto"/>
        </w:rPr>
        <w:t>, the future commercial milestones and royalties we may receive under the 2017 KKC Agreement will be remitted to HealthCare Royalty Partners IV, L.P. pursuant to a Royalty and Sales Milestone Interest Acquisition Agreement. As consideration for the reduction in the royalty rate, KKC has agreed to pay us up to an additional $40.0 million payable in two tranches, with the first payment due following KKC's filing with the Japanese Ministry of Health, Labour and Welfare of its application for marketing approval for tenapanor and the second payment due following KKC’s receipt of regulatory approval to market tenapanor for hyperphosphatemia in Japan. The variable consideration related to the reduction in the royalty rate has not been included in the transaction price as these were fully constrained at June 30,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2022 we recognized no licensing revenue upon the achievement of development milestones. During the three and six months ended June 30, 2021, we recognized zero and $5.0 million respectively, as licensing revenue upon the initiation of phase 3 clinical studies by KKC in Japan to evaluate tenapanor for hyperphosphatemia. During the three and six months ended June 30, 2022, we recognized $952 thousand and $966 thousand, respectively, as product supply revenue related to the manufacturing supply of tenapanor and other materials to KKC pursuant to the 2017 KKC Agreement. During the three and six months ended June 30, 2021, we recognized zero and $126 thousand, respectively, as product supply revenue pursuant to the 2017 KKC Agreement.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detailed below under the heading </w:t>
      </w:r>
      <w:r>
        <w:rPr>
          <w:rFonts w:ascii="Arial" w:cs="Arial" w:eastAsia="Arial" w:hAnsi="Arial"/>
          <w:sz w:val="18"/>
          <w:szCs w:val="18"/>
          <w:i w:val="1"/>
          <w:iCs w:val="1"/>
          <w:color w:val="auto"/>
        </w:rPr>
        <w:t>Deferred revenue - non-current</w:t>
      </w:r>
      <w:r>
        <w:rPr>
          <w:rFonts w:ascii="Arial" w:cs="Arial" w:eastAsia="Arial" w:hAnsi="Arial"/>
          <w:sz w:val="18"/>
          <w:szCs w:val="18"/>
          <w:color w:val="auto"/>
        </w:rPr>
        <w:t>, we have received prepayments from KKC for the manufacturing of tenapanor drug substance that will be used to satisfy KKC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we entered into an exclusive license agreement with Fosun Pharma (the “Fosun Agreement”), for the development, commercialization and distribution of tenapanor in China for both hyperphosphatemia and IBS-C. Under the terms of the Fosun Agreement, Fosun paid us a $12.0 million upfront license fee. We may be entitled to receive development and commercialization milestones of up to $113.0 million, of which $3.0 million has been received and recognized as revenue as of June 30, 2022,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June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no revenue during the three and six months ended June 30, 2022 or 2021 related to the Fosun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2018, we entered into an exclusive license agreement with Knight (the “Knight Agreement”) for the development, commercialization and distribution of tenapanor in Canada for hyperphosphatemia and IBS-C. Under the terms of the Knight Agreement, Knight paid us a $2.3 million upfront payment. We may also be eligible to receive approximately CAD22.2 million for development and commercialization milestones, or approximately $17.2 million at the currency exchange rate on June 30, 2022, of which $0.7 million has been received and recognized as revenue as of June 30, 2022.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June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licensee of tenapanor or another NHE3 inhibitor, up to a maximum of $75.0 million in aggregate for (i) and (ii). As of June 30, 2022, to date in aggregate, we have recognized $11.9 million of the $75.0 million, which has been recorded as cost of revenue, and have paid AstraZeneca $11.6 million. During the three and six months ended June 30, 2022 we recognized and recorded as cost of revenue $0.2 million and $0.3 million, respectively, related to the AstraZeneca Termination Agreement. During the three and six months ended June 30, 2021 we recognized zero and $1.0 million, respectively, as cost of revenue related to the AstraZeneca Termination Agreement.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The June 30, 2022 and 2021 current deferred revenue balance is attributable entirely to the 2019 KKC Agreement and the non-current deferred revenue balances are attributable entirely to the 2017 KKC Agreement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current</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8"/>
              </w:rPr>
              <w:t>4,177</w:t>
            </w: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440" w:type="dxa"/>
            <w:vAlign w:val="bottom"/>
          </w:tcPr>
          <w:p>
            <w:pPr>
              <w:spacing w:after="0"/>
              <w:rPr>
                <w:sz w:val="19"/>
                <w:szCs w:val="19"/>
                <w:color w:val="auto"/>
              </w:rPr>
            </w:pPr>
          </w:p>
        </w:tc>
        <w:tc>
          <w:tcPr>
            <w:tcW w:w="16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94"/>
              </w:rPr>
              <w:t>(2,765)</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1,412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non-current</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Increases due to cash received during the period</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2,947</w:t>
            </w:r>
          </w:p>
        </w:tc>
      </w:tr>
      <w:tr>
        <w:trPr>
          <w:trHeight w:val="229"/>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DEFERRED ROYALTY OBLIGATION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2022, we and HealthCare Royalty Partners IV, L.P. (“HCR”) entered into a Royalty and Sales Milestone Interest Acquisition Agreement (the “HCR Agreement”). Under the terms of the HCR Agreement, HCR has agreed to pay us up to $20.0 million in exchange for the royalty payments and commercial milestone payments (collectively the “Royalty Interest Payments”) that we may receive under our 2017 License Agreement with KKC based upon KKC's net sales of tenapanor in Japan. As consideration for the sale of the Royalty Interest Payments, HCR paid to us a $10.0 million upfront payment, and we are eligible to receive a $5.0 million payment following KKC's receipt of regulatory approval to market tenapanor for hyperphosphatemia in Japan, and another $5.0 million payment in the event net sales by KKC in Japan exceed a certain annual target level by the end of 2025.</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KKC Agreement, to create or incur any liens with respect to the Royalty Interest Payments, the 2017 KKC Agreement or certain patents, or to sell, license or transfer certain patents in the field and territory described in the 2017 KKC Agreement.</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KKC Agreement in any manner which is likely to cause a material adverse effect on the Royalty Interest Payments, the occurrence of a termination of the 2017 KKC Agreement under certain circumstances or we or our assets become subject to certain legal proceedings, such as bankruptcy proceedings, or we are unable to pay our debts as they become due.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received the $10.0 million upfront payment from HCR during June 2022 and recorded it as a deferred royalty obligation on our condensed balance sheet. As part of the sale, we incurred approximately $0.4 million in transaction costs, which, along with the deferred royalty obligation, will be amortized to non-cash interest expense over the estimated life of the HCR Agreement using the effective interest method. As future royalties are remitted to us by KKC, and subsequently from us to HCR, the balance of the deferred royalty obligation will be effectively repaid over the life of the HCR Agreement. To determine the amortization of the deferred royalty obligation, we are required to estimate the total amount of future royalty payments to be received from KKC for sales of tenapanor in Japan. There are a number of factors that could materially affect the amount and timing of royalty payments from KKC, most of which are not within our control. We will periodically assess the estimated royalty payments from KKC and, to the extent that the amount or timing of such payments is materially different than our original estimates, we will prospectively adjust the imputed interest rate and the related amortization of the deferred royalty obligation. As of June 30, 2022, our effective interest rate used to amortize the liability is 34.4%. During the three and six months ended June 30, 2022, we did not recognize a material amount of non-cash interest expense for the amortization of the deferred royalty obligation.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16, 2018, we entered into a loan and security agreement (as amended on October 9, 2020, March 1, 2021, May 5, 2021, and July 29, 2021) (the "2018 Loan Agreement") with Solar Capital Ltd. and Western Alliance Bank (collectively the “2018 Lenders”). The 2018 Loan Agreement provided for a $50.0 million loan facility with a maturity date of November 1, 2022 (the “2018 Loan”). As of the Closing Date for the 2022 Loan, as discussed below, we owed $25.0 million in principal payments from the 2018 Loan, which we repaid in full at that time.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9. Derivative Liability</w:t>
      </w:r>
      <w:r>
        <w:rPr>
          <w:rFonts w:ascii="Arial" w:cs="Arial" w:eastAsia="Arial" w:hAnsi="Arial"/>
          <w:sz w:val="18"/>
          <w:szCs w:val="18"/>
          <w:color w:val="auto"/>
        </w:rPr>
        <w:t>, in connection with entering into the 2018 Loan Agreement, we entered into an agreement pursuant to which we agreed to pay $1.5 million in cash upon the occurrence of certain conditions (the "2018 Exit Fee"). Our obligations for the 2018 Exit Fee remain outstanding following the full repayment of the 2018 Loan in February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Investment Corp. Loan Agreement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23, 2022 (the “Closing Date”), we entered into a loan and security agreement (the “2022 Loan Agreement”) with SLR Investment Corp. as collateral agent (the “Agent”), and the lenders listed in the 2022 Loan Agreement (collectively the “2022 Lenders”). The 2022 Loan Agreement provides for a senior secured loan facility, with $27.5 million (the “Term A Loan”) funded on the Closing Date and an additional $22.5 million that we may borrow on or prior to July 25, 2023; provided that (i) we have received approval by the FDA for our NDA for the control of serum phosphorus in chronic kidney disease patients on dialysis by December 31, 2022, and (ii) we have achieved certain product revenue milestone targets described in the 2022 Loan Agreement (the “Term B Loan”, and collectively, the Term A Loan and the Term B Loan, the “2022 Loan”). On August 1, 2022, we entered into an amendment to the 2022 Loan Agreement with SLR Investment Corp. that extends the date by which we must receive approval by the FDA for our NDA for the control of serum phosphorus in chronic kidney disease patients on dialysis in order to borrow the additional $22.5 million from December 31, 2022 to March 31, 2023. The 2022 Term A Loan funds were used to repay the 2018 Loan with the 2018 Lenders. The 2022 Loan has a maturity date of March 1, 2027.</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Borrowings under the 2022 Loan bear interest at a floating per annum rate equal to 7.95% plus the greater of (i) one tenth percent (0.10%) and (ii) the one-month rate published by the Intercontinental Exchange Benchmark Administration Ltd or its successor. We are permitted to make interest-only payments on the 2022 Loan through March 31, 2024. Accordingly, beginning on April 1, 2024, we will be required to make monthly payments of interest plus repay the 2022 Loan in consecutive equal monthly installments of principal over 36 months. We were obligated to pay $0.2 million, upon the closing of the Term A Loan, and we are obligated to pay $0.1 million on the earliest of (i) the funding date of the Term B Loan, (ii) July 25, 2023, and (iii) the prepayment, refinancing, substitution, or replacement of the Term A Loan on or prior to July 25, 2023. We are obligated to pay a final fee equal to 4.95% of the aggregate original principal amount of the 2022 Loan funded upon the earliest to occur of the maturity date, the acceleration of the 2022 Loan, and the prepayment, refinancing, substitution, or replacement of the 2022 Loan. We may voluntarily prepay the outstanding 2022 Loan balance, subject to a prepayment premium of (i) 3% of the outstanding principal amount of the 2022 Loan if prepaid prior to or on the first anniversary of the Closing Date, (ii) 2% of the outstanding principal amount of the 2022 Loan if prepaid after the first anniversary of the Closing Date through and including the second anniversary of the Closing Date, or (iii) 1% of the outstanding principal amount of the 2022 Loan if prepaid after the second anniversary of the Closing Date and prior to the maturity date. The 2022 Loan is secured by substantially all of our assets, except for our intellectual property and certain other customary exclusions. Additionally, in connection with the 2022 Loan,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tested monthly at the end of each month. Notwithstanding the prepayment or termination of the 2022 Loan, the 2022 Exit Fee will expire 10 years from the Closing Date.</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Loan balance.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Loan balance as a current liability as of June 30, 2022 due to the determination of the existence of substantial doubt about our ability to continue operating as a going concern discussed in </w:t>
      </w:r>
      <w:r>
        <w:rPr>
          <w:rFonts w:ascii="Arial" w:cs="Arial" w:eastAsia="Arial" w:hAnsi="Arial"/>
          <w:sz w:val="17"/>
          <w:szCs w:val="17"/>
          <w:i w:val="1"/>
          <w:iCs w:val="1"/>
          <w:color w:val="auto"/>
        </w:rPr>
        <w:t>Note 1. Organization and Basis of Presentation: Liquidity</w:t>
      </w:r>
      <w:r>
        <w:rPr>
          <w:rFonts w:ascii="Arial" w:cs="Arial" w:eastAsia="Arial" w:hAnsi="Arial"/>
          <w:sz w:val="17"/>
          <w:szCs w:val="17"/>
          <w:color w:val="auto"/>
        </w:rPr>
        <w:t xml:space="preserve"> and our assessment that the material adverse change clause under the 2022 Loan Agreement is not within our control. The lenders have not invoked the material adverse change clause as of the date of issuance of these financial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our future payment obligations related to the 2022 Loan, excluding interest payments and the 2022 final fee,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5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Less: Unamortized discount</w:t>
            </w:r>
          </w:p>
        </w:tc>
        <w:tc>
          <w:tcPr>
            <w:tcW w:w="5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Unaccreted value of final fee</w:t>
            </w:r>
          </w:p>
        </w:tc>
        <w:tc>
          <w:tcPr>
            <w:tcW w:w="55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5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55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55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520" w:type="dxa"/>
            <w:vAlign w:val="bottom"/>
            <w:vMerge w:val="restart"/>
          </w:tcPr>
          <w:p>
            <w:pPr>
              <w:jc w:val="right"/>
              <w:ind w:right="397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26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Exit Fee</w:t>
      </w:r>
    </w:p>
    <w:p>
      <w:pPr>
        <w:spacing w:after="0" w:line="2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May 2018, in connection with entering into the 2018 Loan Agreement, we entered into an agreement pursuant to which we agreed to pay $1.5 million in cash (the “2018 Exit Fee”) upon any change of control transaction in respect of the Company or if we obtain both (i) FDA approval of tenapanor for the control of serum phosphorus in adult patients with CKD on dialysis and (ii) FDA approval of tenapanor for the treatment of patients with IBS-C, which was obtained on September 12, 2019 when the FDA approved IBSRELA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(tenapanor), a 50 milligram, twice daily oral pill for the treatment of IBS-C in adults (the “2018 Exit Fee Agreement”). Notwithstanding the February 2022 prepayment of the 2018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expenses and other current liabilities on the accompanying condensed balance sheets. As of both June 30, 2022 and December 31, 2021, the estimated fair value of the 2018 Exit Fee was $0.7 million.</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2018 derivative liability include: (i) our estimates of both the probability and timing of a potential $1.5 million payment to the 2018 Lenders as a result of the FDA approvals and (ii) a discount rate which was derived from our estimated cost of debt, adjusted with current LIBOR (or a comparable successor rate if LIBOR no longer exists). Generally, increases or decreases in the probability of occurrence would result in a directionally similar impact in the fair value measurement of the derivative liability and it is estimated that a 10.0% increase (decrease), not to exceed 100%, in the probability of occurrence would result in a fair value fluctuation of no more than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Exit Fee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23, 2022, in connection with entering into the 2022 Loan Agreement,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(the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As of June 30, 2022, the estimated fair value of the 2022 Exit Fee is $0.4 million.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derivative liability include: (i) our estimates of both the probability and timing of achieving the Revenue Milestone and (ii) the probability and timing of funding the Term B Loan, which is dependent upon (a) approval by the FDA for our NDA for the control of serum phosphorus in chronic kidney disease patients on dialysis by December 31, 2022, and (b) achievement of certain product revenue milestone targets. Generally, increases or decreases in the probability of occurrence would result in a directionally similar impact in the fair value measurement of the derivative liability and it is estimated that a 10.0% increase (decrease) in the probability of occurrence would not result in a material fair value fluctuation.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Changes in the fair value of our exit fee derivative liabilities recurring measurements included in Level 3 of the fair value hierarchy are presented as other income, net in our statements of operations and were as follows for the three and six months ended June 30, 2022 and 2021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2022 Exit Fee addition at fair value</w:t>
            </w:r>
          </w:p>
        </w:tc>
        <w:tc>
          <w:tcPr>
            <w:tcW w:w="3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estimated fair value:</w:t>
            </w:r>
          </w:p>
        </w:tc>
        <w:tc>
          <w:tcPr>
            <w:tcW w:w="3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jc w:val="center"/>
              <w:ind w:right="2510"/>
              <w:spacing w:after="0"/>
              <w:rPr>
                <w:sz w:val="20"/>
                <w:szCs w:val="20"/>
                <w:color w:val="auto"/>
              </w:rPr>
            </w:pPr>
            <w:r>
              <w:rPr>
                <w:rFonts w:ascii="Arial" w:cs="Arial" w:eastAsia="Arial" w:hAnsi="Arial"/>
                <w:sz w:val="18"/>
                <w:szCs w:val="18"/>
                <w:color w:val="auto"/>
                <w:w w:val="91"/>
              </w:rPr>
              <w:t>2018 Exit Fee</w:t>
            </w:r>
          </w:p>
        </w:tc>
        <w:tc>
          <w:tcPr>
            <w:tcW w:w="454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jc w:val="center"/>
              <w:ind w:right="2510"/>
              <w:spacing w:after="0"/>
              <w:rPr>
                <w:sz w:val="20"/>
                <w:szCs w:val="20"/>
                <w:color w:val="auto"/>
              </w:rPr>
            </w:pPr>
            <w:r>
              <w:rPr>
                <w:rFonts w:ascii="Arial" w:cs="Arial" w:eastAsia="Arial" w:hAnsi="Arial"/>
                <w:sz w:val="18"/>
                <w:szCs w:val="18"/>
                <w:color w:val="auto"/>
                <w:w w:val="91"/>
              </w:rPr>
              <w:t>2022 Exit Fee</w:t>
            </w:r>
          </w:p>
        </w:tc>
        <w:tc>
          <w:tcPr>
            <w:tcW w:w="454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jc w:val="center"/>
              <w:ind w:right="2570"/>
              <w:spacing w:after="0"/>
              <w:rPr>
                <w:sz w:val="20"/>
                <w:szCs w:val="20"/>
                <w:color w:val="auto"/>
              </w:rPr>
            </w:pPr>
            <w:r>
              <w:rPr>
                <w:rFonts w:ascii="Arial" w:cs="Arial" w:eastAsia="Arial" w:hAnsi="Arial"/>
                <w:sz w:val="18"/>
                <w:szCs w:val="18"/>
                <w:color w:val="auto"/>
                <w:w w:val="87"/>
              </w:rPr>
              <w:t>Balance at June 30,</w:t>
            </w:r>
          </w:p>
        </w:tc>
        <w:tc>
          <w:tcPr>
            <w:tcW w:w="32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60" w:type="dxa"/>
            <w:vAlign w:val="bottom"/>
            <w:vMerge w:val="restart"/>
          </w:tcPr>
          <w:p>
            <w:pPr>
              <w:jc w:val="right"/>
              <w:ind w:right="1550"/>
              <w:spacing w:after="0"/>
              <w:rPr>
                <w:sz w:val="20"/>
                <w:szCs w:val="20"/>
                <w:color w:val="auto"/>
              </w:rPr>
            </w:pPr>
            <w:r>
              <w:rPr>
                <w:rFonts w:ascii="Arial" w:cs="Arial" w:eastAsia="Arial" w:hAnsi="Arial"/>
                <w:sz w:val="18"/>
                <w:szCs w:val="18"/>
                <w:color w:val="auto"/>
              </w:rPr>
              <w:t>20</w:t>
            </w: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1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our facility leases presented in our condensed balance sheets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Facilities</w:t>
            </w:r>
          </w:p>
        </w:tc>
        <w:tc>
          <w:tcPr>
            <w:tcW w:w="28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Right-of-use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12,752</w:t>
            </w:r>
          </w:p>
        </w:tc>
      </w:tr>
      <w:tr>
        <w:trPr>
          <w:trHeight w:val="257"/>
        </w:trPr>
        <w:tc>
          <w:tcPr>
            <w:tcW w:w="7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29"/>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3,492</w:t>
            </w:r>
          </w:p>
        </w:tc>
      </w:tr>
      <w:tr>
        <w:trPr>
          <w:trHeight w:val="230"/>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9,748</w:t>
            </w:r>
          </w:p>
        </w:tc>
      </w:tr>
      <w:tr>
        <w:trPr>
          <w:trHeight w:val="248"/>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13,240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life (years)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6.9 %</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Lease costs, which are included in operating expenses in our statements of operations,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Cash paid for operating lease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1,064</w:t>
            </w:r>
          </w:p>
        </w:tc>
        <w:tc>
          <w:tcPr>
            <w:tcW w:w="120" w:type="dxa"/>
            <w:vAlign w:val="bottom"/>
          </w:tcPr>
          <w:p>
            <w:pPr>
              <w:spacing w:after="0"/>
              <w:rPr>
                <w:sz w:val="20"/>
                <w:szCs w:val="20"/>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766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1,554</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undiscounted cash payment obligations for our operating lease liabilities as of June 30, 2022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5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2023</w:t>
            </w:r>
          </w:p>
        </w:tc>
        <w:tc>
          <w:tcPr>
            <w:tcW w:w="4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2025</w:t>
            </w:r>
          </w:p>
        </w:tc>
        <w:tc>
          <w:tcPr>
            <w:tcW w:w="4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9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4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 expenses</w:t>
            </w:r>
          </w:p>
        </w:tc>
        <w:tc>
          <w:tcPr>
            <w:tcW w:w="49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4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operating lease liability</w:t>
            </w:r>
          </w:p>
        </w:tc>
        <w:tc>
          <w:tcPr>
            <w:tcW w:w="49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23"/>
        </w:trPr>
        <w:tc>
          <w:tcPr>
            <w:tcW w:w="4680" w:type="dxa"/>
            <w:vAlign w:val="bottom"/>
          </w:tcPr>
          <w:p>
            <w:pPr>
              <w:ind w:left="360"/>
              <w:spacing w:after="0"/>
              <w:rPr>
                <w:sz w:val="20"/>
                <w:szCs w:val="20"/>
                <w:color w:val="auto"/>
              </w:rPr>
            </w:pPr>
            <w:r>
              <w:rPr>
                <w:rFonts w:ascii="Arial" w:cs="Arial" w:eastAsia="Arial" w:hAnsi="Arial"/>
                <w:sz w:val="18"/>
                <w:szCs w:val="18"/>
                <w:color w:val="auto"/>
              </w:rPr>
              <w:t>Operating lease liability, net of current portion</w:t>
            </w:r>
          </w:p>
        </w:tc>
        <w:tc>
          <w:tcPr>
            <w:tcW w:w="49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920" w:type="dxa"/>
            <w:vAlign w:val="bottom"/>
            <w:vMerge w:val="restart"/>
          </w:tcPr>
          <w:p>
            <w:pPr>
              <w:jc w:val="right"/>
              <w:ind w:right="3790"/>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6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The 2020 Open Market Sales Agreement was fully utilized as of December 31, 2021. During the six months ended June 30, 2021 we sold 9.0 million shares and received gross proceeds of $63.8 million at a weighted average sales price of approximately $7.10 per share under the 2020 Open Market Sales Agreement.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 of the gross sales price for shares of common stock sold under the 2021 Open Market Sales Agreement. During the six months ended June 30, 2022 we sold 20.5 million shares and received gross proceeds of $18.9 million at a weighted average sales price of approximately $0.92 per share under the 2021 Open Market Sales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recognized for stock options, restricted stock units ("RSUs"), performance-based restricted stock units ("PRSUs") and our employee stock purchase program (the "ESPP") are recorded as operating expenses in our condensed statements of operations and comprehensive loss,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28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2022, the balance of inventory included in our condensed balance sheet includes $0.2 million stock-based compensation. During the three and six months ending June 30, 2022, the amount of stock-based compensation released from inventory into cost of revenue was not material.</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our total unrecognized stock-based compensation expense, net of estimated forfeitures, and average remaining vesting period, included the following (dollars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Unrecognized</w:t>
            </w: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Period (Years)</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grants</w:t>
            </w:r>
          </w:p>
        </w:tc>
        <w:tc>
          <w:tcPr>
            <w:tcW w:w="38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RSU grants</w:t>
            </w:r>
          </w:p>
        </w:tc>
        <w:tc>
          <w:tcPr>
            <w:tcW w:w="4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4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864"/>
        </w:trPr>
        <w:tc>
          <w:tcPr>
            <w:tcW w:w="3480" w:type="dxa"/>
            <w:vAlign w:val="bottom"/>
          </w:tcPr>
          <w:p>
            <w:pPr>
              <w:spacing w:after="0"/>
              <w:rPr>
                <w:sz w:val="24"/>
                <w:szCs w:val="24"/>
                <w:color w:val="auto"/>
              </w:rPr>
            </w:pPr>
          </w:p>
        </w:tc>
        <w:tc>
          <w:tcPr>
            <w:tcW w:w="3800" w:type="dxa"/>
            <w:vAlign w:val="bottom"/>
          </w:tcPr>
          <w:p>
            <w:pPr>
              <w:jc w:val="right"/>
              <w:ind w:right="147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stock option activity and related information for the six months ended June 30, 2022 is as follows (in thousands, except dollar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6"/>
        </w:trPr>
        <w:tc>
          <w:tcPr>
            <w:tcW w:w="6260" w:type="dxa"/>
            <w:vAlign w:val="bottom"/>
          </w:tcPr>
          <w:p>
            <w:pPr>
              <w:spacing w:after="0"/>
              <w:rPr>
                <w:sz w:val="15"/>
                <w:szCs w:val="15"/>
                <w:color w:val="auto"/>
              </w:rPr>
            </w:pPr>
          </w:p>
        </w:tc>
        <w:tc>
          <w:tcPr>
            <w:tcW w:w="19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Number of Shares</w:t>
            </w:r>
          </w:p>
        </w:tc>
        <w:tc>
          <w:tcPr>
            <w:tcW w:w="280" w:type="dxa"/>
            <w:vAlign w:val="bottom"/>
          </w:tcPr>
          <w:p>
            <w:pPr>
              <w:spacing w:after="0"/>
              <w:rPr>
                <w:sz w:val="15"/>
                <w:szCs w:val="15"/>
                <w:color w:val="auto"/>
              </w:rPr>
            </w:pPr>
          </w:p>
        </w:tc>
        <w:tc>
          <w:tcPr>
            <w:tcW w:w="208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forfeited or canceled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tcPr>
          <w:p>
            <w:pPr>
              <w:ind w:left="20"/>
              <w:spacing w:after="0" w:line="203" w:lineRule="exact"/>
              <w:rPr>
                <w:sz w:val="20"/>
                <w:szCs w:val="20"/>
                <w:color w:val="auto"/>
              </w:rPr>
            </w:pPr>
            <w:r>
              <w:rPr>
                <w:rFonts w:ascii="Arial" w:cs="Arial" w:eastAsia="Arial" w:hAnsi="Arial"/>
                <w:sz w:val="18"/>
                <w:szCs w:val="18"/>
                <w:color w:val="auto"/>
              </w:rPr>
              <w:t>Exercisable at June 30, 2022</w:t>
            </w:r>
          </w:p>
        </w:tc>
        <w:tc>
          <w:tcPr>
            <w:tcW w:w="1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7,085</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RSUs activity and related information for the six months ended June 30, 2022 is as follows (in thousands, except dollar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2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3"/>
              </w:rPr>
              <w:t>Number of</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1"/>
              </w:rPr>
              <w:t>RSUs</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2021</w:t>
            </w: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June 30, 2022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2022, we sold approximately 0.1 million shares of our common stock under the ESPP. The shares were purchased by employees at a purchase price of $0.65 per share resulting in proceeds to us of approximately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six months ended June 30, 2022, we issued no shares of our common stock to members of the board of directors in accordance with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six months ended June 30, 2022 and 2021, all potential common shares were determined to be anti-dilutive.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(78,344)</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Weighted average common shares outstanding - basic and diluted</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98,618</w:t>
            </w:r>
          </w:p>
        </w:tc>
      </w:tr>
      <w:tr>
        <w:trPr>
          <w:trHeight w:val="223"/>
        </w:trPr>
        <w:tc>
          <w:tcPr>
            <w:tcW w:w="5000" w:type="dxa"/>
            <w:vAlign w:val="bottom"/>
          </w:tcPr>
          <w:p>
            <w:pPr>
              <w:ind w:left="140"/>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1"/>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presented, all common stock equivalents are excluded from the computation of diluted loss per share, as the result would be anti-dilutive, including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35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4"/>
              </w:rPr>
              <w:t>13,099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12,447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13,182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12,211</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3,963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1,006</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issuable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16,819</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13,802</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17,321</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13,406</w:t>
            </w:r>
          </w:p>
        </w:tc>
      </w:tr>
      <w:tr>
        <w:trPr>
          <w:trHeight w:val="21"/>
        </w:trPr>
        <w:tc>
          <w:tcPr>
            <w:tcW w:w="3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claims arising in connection with our business. Based on information currently available, management believes that the amount, or range, of reasonably possible losses in connection with any pending actions against us will not be material to our financial condition or cash flows, and no contingent liabilities were accrued as of June 30, 2022 or 2021.</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2021.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biopharmaceutical company founded with a mission to discover, develop and commercialize innovative first-in-class medicines that meet significant unmet medical needs.</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in March 2022. As of June 30, 2022, we had an accumulated deficit of $767.9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continue to incur substantial operating losses for the foreseeable future as we commercialize IBSRELA, seek to gain approval for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control of serum phosphorus in adult patients with CKD on dialysis; prepare for the potential commercialization of XPHOZAH,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as well as funds from our loan agreements with our lenders.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unique discovery platform and deep understanding of the primary mechanism of sodium transport in the intestine resulted in our discovery and development of IBSRELA, a first-in-class, U.S. Food and Drug Administration (“FDA”) approved, sodium hydrogen exchanger 3 ("NHE3") inhibitor for the treatment of irritable bowel syndrome with constipation (“IBS-C”) in adults. IBSRELA acts locally in the gut and is minimally absorbed. IBS-C is a gastrointestinal disorder characterized by both abdominal pain and altered bowel movements, estimated to affect 11 million people in the U.S. IBS-C is associated with significantly impaired quality of life, reduced productivity, and substantial economic burden.</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our commercial launch of IBSRELA, we built a commercial organization highly experienced in launching novel therapies into specialty areas. We recognized our first sales of IBSRELA in the U.S. in March 2022. The established nature of the market, limited number of players, concentration of prescribers, recognized unmet need, and favorable response to the novel mechanism IBSRELA product profile enable a targeted promotional effort centered on the 9,000 health care providers that account for 50% of IBS-C prescriptions. Central to the go to market strategy for IBSRELA is a highly experienced specialty sales force, many with existing relationships across their GI target base, full company engagement, and innovative peer-to-peer and digital initiatives leveraging the rapidly evolving market dynamics in how HCPs receive information and interact with industry.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XPHOZAH for The Control of Serum Phosphorus in Adult Patients with CKD on Dialysis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XPHOZAH is a first-in-class medicine being developed for the control of serum phosphorus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If approved, XPHOZAH would be the first therapy for phosphate management that blocks phosphorus absorption at the primary site of uptake. It is not a phosphate binder.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2020, we submitted a new drug application ("NDA") to the FDA for XPHOZAH for the control of serum phosphorus in adult patients with CKD on dialysis. The NDA was supported by three Phase 3 trials involving over 1,000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28, 2021, we received a Complete Response Letter ("CRL") from the FDA regarding our NDA for tenapanor for the control of serum phosphorus in adult patients with CKD on dialysis. According to the CRL, while the FDA agrees “that the submitted data provide substantial evidence that tenapanor is effective in reducing serum phosphorus in adult patients with CKD on dialysis,” the FDA characterizes the magnitude of the treatment effect as “small and of unclear clinical significance.” In December 2021, we submitted a Formal Dispute Resolution Request (“FDRR”). The FDRR was focused on demonstrating that the data submitted in the NDA supported the clinical significance of the treatment effect of tenapanor.</w:t>
      </w: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4, 2022, we received an Appeal Denied Letter (“ADL”) from the FDA’s Office of Cardiology, Hematology, Endocrinology and Nephrology (“OCHEN”). On February 18, 2022, we submitted an appeal of the ADL to the FDA’s Center for Drug Evaluation and Research, Office of New Drugs (“OND”).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2022, we announced that OND had provided an interim response to our second level of appeal of the CRL. The OND noted that additional input from the Cardiovascular and Renal Drug Advisory Committee (“Advisory Committee”) in general, and specifically, from experts, including expert clinicians, would be valuable in further considering the clinical meaningfulness of the phosphate lowering effect observed in our phase 3 clinical program for XPHOZAH. Accordingly, the OND directed the Division of Cardiology and Nephrology to convene the Advisory Committee, and indicated that a response to our appeal could be expected within thirty calendar days after the conclusion of the Advisory Committee meeting. On June 21, 2022 we announced that the FDA has informed us that a meeting of the Advisory Committee is tentatively scheduled for November 16, 2022. There can be no assurances that the response from the Advisory Committee will be positive, or if the outcome of the Advisory Committee is positive, that approval of our NDA will ultimately be granted by the FDA.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small molecule potassium secretagogue program, RDX013, is focused on the development of a potential treatment for hyperkalemia.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2022, we reported that we have completed our data analyses of the Phase 2 dose ranging clinical trial for RDX013 evaluating the safety and efficacy of our potassium secretagogue for the treatment of hyperkalemia, or elevated potassium, in chronic kidney disease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steps for the program will be to evaluate a new formulation that potentially enhances subject compliance and the efficacy of RDX013 in an additional Phase 2 clinical study at such time as we have determined our available resources support conducting such an additional clinical study after prioritization of the commercialization of IBSRELA and preparations for the Advisory Committee meeting for XPHOZAH.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RDX020 Program: Small molecule for Treating Metabolic Acidosis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an ongoing discovery program targeting the inhibition of bicarbonate exchange for the treatment of metabolic acidosis, a highly prevalent comorbidity in CKD patients that is strongly correlated with disease progression and adverse outcomes. We have identified lead compounds that are potent, selective and proprietary inhibitors of bicarbonate secretion. Our research organization was eliminated as part of our October 2021 restructuring, and therefore, we currently expect to continue to advance this discovery program utilizing third-party resources managed by internal non-clinical expertise.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Knight has exclusive rights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 $2.3 million upfront payment. We may also be eligible to receive approximately CAD22.2 million for development and commercialization milestones, or approximately $17.2 million at the currency exchange rate on June 30, 2022, of which $0.7 million has been received and recognized as revenue as of June 30, 2022.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June 30,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KKC has exclusive rights for the development, commercialization and distribution of tenapanor in Japan for cardiorenal indications. Under the terms of the agreement with KKC, we received a $30.0 million upfront payment from KKC, and we may be entitled to receive up to $55.0 million in total development and regulatory milestones, of which $10.0 million has been received and recognized as revenue as of June 30, 2022. We may also be eligible to receive approximately ¥8.5 billion for commercialization milestones, or approximately $62.3 million at the currency exchange rate on June 30, 2022, as well as reimbursement of costs plus a reasonable overhead for the supply of product and royalties on net sales throughout the term of the agreement. As discussed in </w:t>
      </w:r>
      <w:r>
        <w:rPr>
          <w:rFonts w:ascii="Arial" w:cs="Arial" w:eastAsia="Arial" w:hAnsi="Arial"/>
          <w:sz w:val="16"/>
          <w:szCs w:val="16"/>
          <w:i w:val="1"/>
          <w:iCs w:val="1"/>
          <w:color w:val="auto"/>
        </w:rPr>
        <w:t>Note 7. Deferred Royalty Obligation</w:t>
      </w:r>
      <w:r>
        <w:rPr>
          <w:rFonts w:ascii="Arial" w:cs="Arial" w:eastAsia="Arial" w:hAnsi="Arial"/>
          <w:sz w:val="16"/>
          <w:szCs w:val="16"/>
          <w:color w:val="auto"/>
        </w:rPr>
        <w:t>, the future royalties and commercial milestone payments we may receive under the 2017 KKC Agreement will be remitted to HealthCare Royalty Partners IV, L.P. pursuant to a Royalty and Sales Milestone Interest Acquisition Agreement.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April 11, 2022, we entered into a second amendment (the "Amendment") to the 2017 KKC Agreement. Under the terms of the Amendment, we and KKC have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7"/>
          <w:szCs w:val="17"/>
          <w:i w:val="1"/>
          <w:iCs w:val="1"/>
          <w:color w:val="auto"/>
        </w:rPr>
        <w:t>Note 7. Deferred Royalty Obligation</w:t>
      </w:r>
      <w:r>
        <w:rPr>
          <w:rFonts w:ascii="Arial" w:cs="Arial" w:eastAsia="Arial" w:hAnsi="Arial"/>
          <w:sz w:val="17"/>
          <w:szCs w:val="17"/>
          <w:color w:val="auto"/>
        </w:rPr>
        <w:t>, the future royalties we may receive under the 2017 KKC Agreement will be remitted to HealthCare Royalty Partners IV, L.P. pursuant to a Royalty and Sales Milestone Interest Acquisition Agreement. As consideration for the reduction in the royalty rate, KKC has agreed to pay us up to an additional $40.0 million payable in two tranches, with the first payment due following KKC's filing with the Japanese Ministry of Health, Labour and Welfare of its application for marketing approval for tenapanor and the second payment due following KKC’s receipt of regulatory approval to market tenapanor for hyperphosphatemia in Japan.</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Fosun Pharma has exclusive rights for the development and commercialization of tenapanor in China for both hyperphosphatemia and IBS-C. Under the terms of the Fosun Agreement, Fosun paid us a $12.0 million upfront license fee. We may be entitled to receive development and commercialization milestones of up to $113.0 million, of which $3.0 million has been received and recognized as revenue as of June 30, 2022, as well as reimbursement of cost plus a reasonable overhead for the supply of product and tiered royalties on net sales ranging from the mid-teens to 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7"/>
          <w:szCs w:val="17"/>
          <w:i w:val="1"/>
          <w:iCs w:val="1"/>
          <w:color w:val="auto"/>
        </w:rPr>
        <w:t>The ongoing effects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COVID-19 pandemic, or any other outbreak of epidemic diseases, or the perception of their effects, could have a material adverse effect on our business, financial condition, results of operations or cash flows</w:t>
      </w:r>
      <w:r>
        <w:rPr>
          <w:rFonts w:ascii="Arial" w:cs="Arial" w:eastAsia="Arial" w:hAnsi="Arial"/>
          <w:sz w:val="17"/>
          <w:szCs w:val="17"/>
          <w:color w:val="auto"/>
        </w:rPr>
        <w:t>.” As of the date of issuance of this financial report, we are not aware of any specific event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 that would require updates to our estimates and judgments or revisions to the carrying value of our assets or liabilities. These estimates may change as new events occur and additional information is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critical accounting policies that we believe impact significant judgments and estimates used in the preparation of our condensed financial statements presented in this report are described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Annual Report on Form 10-K filed with the SEC on February 28,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we adopted the following critical accounting policies and significant judgements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Net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account for our commercial product sales, net in accordance with Topic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received approval from the FDA in September 2019 to market IBSRELA, the first and only NHE3 inhibitor for the treatment of IBS-C in adults, in the United States (the "U.S."). We began selling IBSRELA in the U.S. in March 2022. We distribute our products principally through a limited number of distributors and specialty pharmacy providers (collectively, our "Customers"). Our Customers subsequently sell our products to pharmacies and patients. Separately, we enter into arrangements with third parties that provide for government-mandated and privately-negotiated rebates, chargebacks and discounts. Revenue from product sales is recognized when our performance obligations are satisfied, which is when Customers obtain control of our product and occurs upon delivery.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including rebates, discounts, patient copay assistance programs, and estimated product returns. These estimates are based on the amounts earned or to be claimed for related sales and are classified as reductions of gross accounts receivable if the amount is payable to our Customers or a current liability if the amount is payable to a party other than a Customer. Where appropriate, these estimates are based on factors such as industry data and forecasted customer buying and payment patterns, our historical experience, current contractual and statutory requirements, specific known market events and trends. Overall,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historical experience, estimates will be more heavily based on the expected utilization from historical data we have accumulated since the IBSRELA product launch. Rebates are generally invoiced and paid quarterly in arrears.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Rebates: Rebates include mandated discounts under the Medicaid Drug Rebate Program ("Medicaid") and the Medicare Coverage Gap Program ("Medicare"). Rebates are amounts owed after the final dispensing of products to a benefit plan participant and are based upon contractual agreements or legal requirements with the public-sector benefit providers. These estimates for rebates are recorded in the same period the related gross revenue is recognized, resulting in a reduction of product revenue and the establishment of a current liability which is included in accrued expenses on the condensed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estimated utilization by types of contracted purchasers.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Discounts and Fees: Our payment terms are generally 30 to 60 days. Wholesalers and specialty pharmacies are offered various forms of consideration, including service fees. Wholesalers may also receive prompt pay discounts for payment within a specified period. We expect prompt pay discounts to be earned when offered and therefore, we deduct the full amount of these discounts and service fees from product sales when revenue is recognized, resulting in a reduction of product revenue and accounts receivable.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and accrued expenses and other current liabilities on the condensed balance sheets.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on Deferred Royalty Obligation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net proceeds we receive from the sale of certain future royalties are amortized to non-cash interest expense over the estimated life of the associated agreement using the effective interest method. As we earn royalties and remit those royalties pursuant to the agreement, the balance of the deferred royalty obligation will be effectively repaid over the life of agreement. To determine the amortization of our deferred royalty obligation, we are required to estimate the total amount of future royalty payments we expect to earn. There are a number of factors that could materially affect the amount and timing of royalty payments, most of which are not within our control. We periodically assess the amount of royalty payments we expect to receive which are subject to the agreement and, to the extent that the amount or timing of such payments is materially different than our original estimates, we prospectively adjust the imputed interest rate and the related amortization of the deferred royalty obligation.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A summary of recent accounting pronouncements that we have adopted or may expect to adopt is included in Note 1 – Organization and Basis of Presentation to our condensed financial statements (see Part I, Item 1 </w:t>
      </w:r>
      <w:r>
        <w:rPr>
          <w:rFonts w:ascii="Arial" w:cs="Arial" w:eastAsia="Arial" w:hAnsi="Arial"/>
          <w:sz w:val="16"/>
          <w:szCs w:val="16"/>
          <w:i w:val="1"/>
          <w:iCs w:val="1"/>
          <w:color w:val="auto"/>
        </w:rPr>
        <w:t>Notes to Condensed Financial Statements</w:t>
      </w:r>
      <w:r>
        <w:rPr>
          <w:rFonts w:ascii="Arial" w:cs="Arial" w:eastAsia="Arial" w:hAnsi="Arial"/>
          <w:sz w:val="16"/>
          <w:szCs w:val="16"/>
          <w:color w:val="auto"/>
        </w:rPr>
        <w:t>,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realized our first commercial product sales of IBSRELA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whether and the extent to which we are successful in our commercialization of IBSRELA, whether we are able to gain approval from the FDA for our NDA for XPHOZAH; the timing and progress of goods and services provided pursuant to our current or future collaborative partnerships; our or our collaborators’ achievement of clinical, regulatory or commercialization milestones, to the extent achieved; the timing and amount of any payments to us relating to the aforementioned milestones; and the extent to which tenapanor is approved and successfully commercialized by a collaboration partner. If our current collaboration partners or any future collaboration partners fail to obtain regulatory approval for tenapanor,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Cost of revenue consists of the cost of commercial goods sold to Customers, collaboration partners under product supply agreements, and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and six months ended June 30, 2022 were expensed prior to the fourth quarter of 2021, when our intent to commercialize IBSRELA was established and we commenced preparation for the commercial launch of IBSRELA. We believe our cost of goods sold for the three and six months ended June 30, 2022 would have been $140 thousand and $149 thousand higher, respectively, if we had not previously expensed certain material and production costs with respect to the units sold. As of June 30, 2022, we had approximately $31.2 million of inventory on hand that was previously expensed as research and development expense and will not be reported as cost of goods sold in future periods when sales of IBSRELA are recognized as revenue.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includes payments due to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$11.9 million as cost of revenue under the AZ Termination Agreement.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October 2021 restructuring plan, we eliminated our internal research organization and expect to continue our discovery efforts with respect to RDX020 through the use of third-parties managed internally by non-clinical expertise. 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7"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associated with producing tenapanor for the control of serum phosphorus in adult patients with CKD on dialysis prior to FDA approval;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consist primarily of salaries and related benefits, including stock-based compensation, for certain of our executives, our board members, and our finance, legal, business development, market development, commercial and support staff. Other selling, general and administrative expenses include facility related costs and professional fees for legal, accounting and audit, investor relations, other consulting services and allocated facility related costs not otherwise included in research and development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gains on sales of property and equipment, and currency exchange gains and losses.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ending December 31, 2022, for any other interim period, or for any other future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300" w:type="dxa"/>
            <w:vAlign w:val="bottom"/>
            <w:gridSpan w:val="7"/>
          </w:tcPr>
          <w:p>
            <w:pPr>
              <w:ind w:left="80"/>
              <w:spacing w:after="0"/>
              <w:rPr>
                <w:sz w:val="20"/>
                <w:szCs w:val="20"/>
                <w:color w:val="auto"/>
              </w:rPr>
            </w:pPr>
            <w:r>
              <w:rPr>
                <w:rFonts w:ascii="Arial" w:cs="Arial" w:eastAsia="Arial" w:hAnsi="Arial"/>
                <w:sz w:val="18"/>
                <w:szCs w:val="18"/>
                <w:b w:val="1"/>
                <w:bCs w:val="1"/>
                <w:color w:val="auto"/>
                <w:w w:val="97"/>
              </w:rPr>
              <w:t>Three Months Ended June</w:t>
            </w:r>
          </w:p>
        </w:tc>
        <w:tc>
          <w:tcPr>
            <w:tcW w:w="200" w:type="dxa"/>
            <w:vAlign w:val="bottom"/>
          </w:tcPr>
          <w:p>
            <w:pPr>
              <w:spacing w:after="0"/>
              <w:rPr>
                <w:sz w:val="17"/>
                <w:szCs w:val="17"/>
                <w:color w:val="auto"/>
              </w:rPr>
            </w:pPr>
          </w:p>
        </w:tc>
        <w:tc>
          <w:tcPr>
            <w:tcW w:w="110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7"/>
              </w:rPr>
              <w:t>Change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95"/>
              </w:rPr>
              <w:t>Six Months Ended June 30,</w:t>
            </w:r>
          </w:p>
        </w:tc>
        <w:tc>
          <w:tcPr>
            <w:tcW w:w="200" w:type="dxa"/>
            <w:vAlign w:val="bottom"/>
          </w:tcPr>
          <w:p>
            <w:pPr>
              <w:spacing w:after="0"/>
              <w:rPr>
                <w:sz w:val="17"/>
                <w:szCs w:val="17"/>
                <w:color w:val="auto"/>
              </w:rPr>
            </w:pPr>
          </w:p>
        </w:tc>
        <w:tc>
          <w:tcPr>
            <w:tcW w:w="1120" w:type="dxa"/>
            <w:vAlign w:val="bottom"/>
            <w:gridSpan w:val="3"/>
          </w:tcPr>
          <w:p>
            <w:pPr>
              <w:ind w:left="50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2022 vs. 2021</w:t>
            </w:r>
          </w:p>
        </w:tc>
        <w:tc>
          <w:tcPr>
            <w:tcW w:w="2260" w:type="dxa"/>
            <w:vAlign w:val="bottom"/>
            <w:gridSpan w:val="6"/>
            <w:vMerge w:val="continue"/>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2022 vs. 2021</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666.7 %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Collaborative development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3"/>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8"/>
          <w:szCs w:val="18"/>
          <w:color w:val="auto"/>
        </w:rPr>
        <w:t>(a) Percent change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-121920</wp:posOffset>
            </wp:positionV>
            <wp:extent cx="47834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to total revenues during the three months ended June 30, 2022 is primarily attributable to $1.6 million of net product sales for IBSRELA to our Customers in connection with the commercial launch of IBSRELA, as well as $1.0 million product supply revenue for which there was no comparable revenue during the three months ended June 30, 2021. Partially offsetting these increases was the full recognition of upfront payments associated with the 2019 KKC Agreement through the end of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to total revenues during the six months ended June 30, 2022 is primarily attributable to a $5.0 million development milestone that was earned during the prior year that did not recur during the current year, as well as the full recognition of upfront payments associated with the 2019 KKC Agreement through the end of 2021, for which there was no comparable revenue during the six months ended June 30, 2022. Partially offsetting these decreases is recognition of $2.0 million of net product sales for sales of IBSRELA to our Customers in connection with the commercial launch of IBSRELA.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1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Change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June</w:t>
            </w:r>
          </w:p>
        </w:tc>
        <w:tc>
          <w:tcPr>
            <w:tcW w:w="20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r>
      <w:tr>
        <w:trPr>
          <w:trHeight w:val="230"/>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2022 vs. 2021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2022 vs. 2021</w:t>
            </w:r>
          </w:p>
        </w:tc>
      </w:tr>
      <w:tr>
        <w:trPr>
          <w:trHeight w:val="223"/>
        </w:trPr>
        <w:tc>
          <w:tcPr>
            <w:tcW w:w="25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258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57,016</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w:t>
            </w: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Percent change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704659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fluctuations in cost of revenue for the three and six months ended June 30, 2022 are primarily attributable to payments due to AstraZeneca under the AZ Termination Agreement related to the commercial sales of IBSRELA during the three and six months ended June 30, 2022 and a development milestone we earned during the six months ended June 30, 2021. In addition, during the three and six months ended June 30, 2022, we incurred cost of revenue from sales of IBSRELA to our Customers in connection with the commercial launch of IBSRELA.</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11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June</w:t>
            </w:r>
          </w:p>
        </w:tc>
        <w:tc>
          <w:tcPr>
            <w:tcW w:w="200" w:type="dxa"/>
            <w:vAlign w:val="bottom"/>
          </w:tcPr>
          <w:p>
            <w:pPr>
              <w:spacing w:after="0"/>
              <w:rPr>
                <w:sz w:val="17"/>
                <w:szCs w:val="17"/>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2022 vs. 2021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2022 vs. 2021</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(74.0)%</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(43.5)%</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Facilities, equipment and</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(32.8)%</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expenses</w:t>
            </w: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156"/>
        </w:trPr>
        <w:tc>
          <w:tcPr>
            <w:tcW w:w="25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2"/>
              </w:rPr>
              <w:t>Total research and development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26,021</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(62.6)%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38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(60.0)%</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expenses</w:t>
            </w: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our external R&amp;D expenses for the three months ended June 30, 2022 is primarily the result of lower clinical study costs from the OPTIMIZE study, lower tenapanor manufacturing expense as we have begun to capitalize costs associated with the production of IBSRELA to inventory, and lower expenses for research following the elimination of our research function in the fourth quarter of 2021. The decrease in our employee-related expenses for the three and six months ended June 30, 2022 is due to lower compensation and benefits expenses for our research and development workforce following restructuring actions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fluctuations in general and administrative expenses for the three and six months ended June 30, 2022 is primarily due to the timing of costs associated with building and staffing our commercial infrastructure and teams as we prepared for the U.S. launch of IBSRELA. The changes consisted of headcount and related personnel costs and external spending for disease awareness initiatives, commercial infrastructure and strategy.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interest expense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23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Three Months Ended June</w:t>
            </w:r>
          </w:p>
        </w:tc>
        <w:tc>
          <w:tcPr>
            <w:tcW w:w="460" w:type="dxa"/>
            <w:vAlign w:val="bottom"/>
          </w:tcPr>
          <w:p>
            <w:pPr>
              <w:spacing w:after="0"/>
              <w:rPr>
                <w:sz w:val="18"/>
                <w:szCs w:val="18"/>
                <w:color w:val="auto"/>
              </w:rPr>
            </w:pPr>
          </w:p>
        </w:tc>
        <w:tc>
          <w:tcPr>
            <w:tcW w:w="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w w:val="96"/>
              </w:rPr>
              <w:t>Six Months Ended June 30,</w:t>
            </w:r>
          </w:p>
        </w:tc>
        <w:tc>
          <w:tcPr>
            <w:tcW w:w="240" w:type="dxa"/>
            <w:vAlign w:val="bottom"/>
          </w:tcPr>
          <w:p>
            <w:pPr>
              <w:spacing w:after="0"/>
              <w:rPr>
                <w:sz w:val="18"/>
                <w:szCs w:val="18"/>
                <w:color w:val="auto"/>
              </w:rPr>
            </w:pPr>
          </w:p>
        </w:tc>
        <w:tc>
          <w:tcPr>
            <w:tcW w:w="10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8"/>
              </w:rPr>
              <w:t>2022 vs. 2021</w:t>
            </w:r>
          </w:p>
        </w:tc>
        <w:tc>
          <w:tcPr>
            <w:tcW w:w="2320" w:type="dxa"/>
            <w:vAlign w:val="bottom"/>
            <w:gridSpan w:val="6"/>
            <w:vMerge w:val="continue"/>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2022 vs. 2021</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(33.4)%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interest expense for the three and six months ended June 30, 2022 was primarily due to lower principal outstanding on our loan payable.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other income, net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204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16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7"/>
              </w:rPr>
              <w:t>Change</w:t>
            </w:r>
          </w:p>
        </w:tc>
        <w:tc>
          <w:tcPr>
            <w:tcW w:w="198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Six Months Ended June</w:t>
            </w:r>
          </w:p>
        </w:tc>
        <w:tc>
          <w:tcPr>
            <w:tcW w:w="220" w:type="dxa"/>
            <w:vAlign w:val="bottom"/>
          </w:tcPr>
          <w:p>
            <w:pPr>
              <w:spacing w:after="0"/>
              <w:rPr>
                <w:sz w:val="18"/>
                <w:szCs w:val="18"/>
                <w:color w:val="auto"/>
              </w:rPr>
            </w:pPr>
          </w:p>
        </w:tc>
        <w:tc>
          <w:tcPr>
            <w:tcW w:w="15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Change</w:t>
            </w:r>
          </w:p>
        </w:tc>
      </w:tr>
      <w:tr>
        <w:trPr>
          <w:trHeight w:val="230"/>
        </w:trPr>
        <w:tc>
          <w:tcPr>
            <w:tcW w:w="2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85"/>
              </w:rPr>
              <w:t>June 30,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2022 vs. 2021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79"/>
              </w:rPr>
              <w:t>30,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9"/>
              </w:rPr>
              <w:t>2022 vs. 2021</w:t>
            </w:r>
          </w:p>
        </w:tc>
      </w:tr>
      <w:tr>
        <w:trPr>
          <w:trHeight w:val="223"/>
        </w:trPr>
        <w:tc>
          <w:tcPr>
            <w:tcW w:w="228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2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(777)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(244)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other income, net for the three and months ended June 30, 2022 is primarily due to revaluation of our 2018 Exit Fee during the three months ended June 30, 2021 following the receipt of the CRL from the FDA. Partially offsetting this decrease are sales of certain lab equipment and supplies for a net gain of $1.1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Capital Resources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7240" w:type="dxa"/>
            <w:vAlign w:val="bottom"/>
            <w:gridSpan w:val="7"/>
          </w:tcPr>
          <w:p>
            <w:pPr>
              <w:spacing w:after="0"/>
              <w:rPr>
                <w:sz w:val="20"/>
                <w:szCs w:val="20"/>
                <w:color w:val="auto"/>
              </w:rPr>
            </w:pPr>
            <w:r>
              <w:rPr>
                <w:rFonts w:ascii="Arial" w:cs="Arial" w:eastAsia="Arial" w:hAnsi="Arial"/>
                <w:sz w:val="18"/>
                <w:szCs w:val="18"/>
                <w:color w:val="auto"/>
              </w:rPr>
              <w:t>Below is a summary of our cash, cash equivalents and investments (in thousands):</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1"/>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(16,657)</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(37.6)%</w:t>
            </w:r>
          </w:p>
        </w:tc>
      </w:tr>
      <w:tr>
        <w:trPr>
          <w:trHeight w:val="24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 funds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(35,677)</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we had cash, cash equivalents and investments totaling $81.0 million compared to $116.7 million as of December 31, 2021. We have incurred operating losses since inception and our accumulated deficit as of June 30, 2022 is $767.9 million. Our current level of cash and investments alone is not sufficient to meet our plans for the next twelve months following the filing of these financial statements on August 4, 2022. These factors raise substantial doubt regarding our ability to continue as a going concern for a period of one year from the issuance of these financial statements. We plan to address our operating cash flow requirements with our current cash and investments, cash generated from the product launch of IBSRELA, our potential receipt of anticipated milestone payments from our collaboration partners, our potential receipt of anticipated payments from KKC under the Amendment, our ability to access the capital markets, and execute asset monetization strategies, as well as through the implementation of cash preservation activities to reduce or defer discretionary spending.</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The 2020 Open Market Sales Agreement was fully utilized as of December 31, 2021. During the six months ended June 30, 2021 we sold 9.0 million shares and received gross proceeds of $63.8 million at a weighted average sales price of approximately $7.10 per share under the 2021 Open Market Sales Agreement.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 of the gross sales price for shares of common stock sold under the 2021 Open Market Sales Agreement. During the six months ended June 30, 2022 we sold 20.5 million shares and received gross proceeds of $18.9 million at a weighted average sales price of approximately $0.92 per share under the 2021 Open Market Sales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2022, we entered into a loan and security agreement (the “2022 Loan Agreement”) with SLR Investment Corp. The 2022 Loan Agreement provides for a senior secured term loan facility, with $27.5 million funded at closing and an additional $22.5 million that we may borrow on or prior to July 25, 2023; provided that (i) we have received approval by the FDA for our NDA for tenapanor for the control of serum phosphorus in chronic kidney disease patients on dialysis by December 31, 2022, and (ii) we have achieved certain product revenue milestone targets described in the 2022 Loan Agreement. The initial funding of $27.5 million is being used to repay the 2018 Loan and to fund our ongoing operations. On August 1, 2022, we entered into an amendment to the 2022 Loan Agreement with SLR Investment Corp. that extends the date by which we must receive approval by the FDA for our NDA for the control of serum phosphorus in chronic kidney disease patients on dialysis in order to borrow the additional $22.5 million from December 31, 2022 to March 31, 2023. We had $25.0 million principal from the 2018 Loan outstanding as of the closing date. In connection with entering into the 2022 Loan Agreement,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(the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primary sources of cash have been from the sale and issuance of common stock (in both public offerings and private placements) and private placements of convertible preferred stock, funds from our collaboration partnerships and funds from our 2018 Loan Agreement and 2022 Loan Agreement.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uses of cash have been to fund operating expenses, primarily research and development expenditures, pre-commercial and commercial expenses. Cash used to fund operating expenses is impacted by the timing of when we pay these expenses, as reflected in the change in our outstanding accounts payable and accrued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w:t>
      </w:r>
    </w:p>
    <w:p>
      <w:pPr>
        <w:spacing w:after="0" w:line="22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130"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are successful in our efforts under the FDR process, including the Advisory Committee meeting to be convened as part of the FDR process, to secure approval for our NDA for XPHOZAH, or to reach resolution with the FDA regarding a path to address the deficiencies in the NDA noted in the CRL and ADL, and the time and cost associated with such path;</w:t>
      </w:r>
    </w:p>
    <w:p>
      <w:pPr>
        <w:spacing w:after="0" w:line="73"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manufacturing costs of IBSRELA and XPHOZAH;</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selling and marketing costs associated with IBSRELA and, if approved, XPHOZAH;</w:t>
      </w:r>
    </w:p>
    <w:p>
      <w:pPr>
        <w:spacing w:after="0" w:line="265"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amount of revenue, if any, that may be received from KKC in connection with the 2022 KKC Amendment;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clinical trials we are required to or decide to pursue for tenapanor or RDX013;</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340" w:hanging="332"/>
        <w:spacing w:after="0" w:line="295"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7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of interest and principal related to the 2022 Loan Agreement.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w w:val="96"/>
              </w:rPr>
              <w:t>The following table summarizes our cash flows (in thousands):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1"/>
        </w:trPr>
        <w:tc>
          <w:tcPr>
            <w:tcW w:w="4820" w:type="dxa"/>
            <w:vAlign w:val="bottom"/>
          </w:tcPr>
          <w:p>
            <w:pPr>
              <w:spacing w:after="0"/>
              <w:rPr>
                <w:sz w:val="24"/>
                <w:szCs w:val="2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Change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(58,901)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(78,493)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17,806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66.1 %</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22,075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(19,020)</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343.7 %</w:t>
            </w:r>
          </w:p>
        </w:tc>
      </w:tr>
      <w:tr>
        <w:trPr>
          <w:trHeight w:val="20"/>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six months ended June 30, 2022 decreased by $19.6 million primarily as a result of our net loss which was $23.3 million less than during the six months ended June 30, 2021. Partially offsetting the net loss improvement were changes to our operating assets and liabilities related to expenditures for commercial manufacturing and inventory for the production of IBSRELA.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increased by $7.1 million due to the timing of our investment maturities and purchases, as well as $1.3 million proceeds from sale of laboratory equipment and supplies during the six months ended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decreased by $41.4 million primarily due to net proceeds from issuance of our common stock pursuant to the at the market offerings of $62.4 million during the six months ended June 30, 2021 compared to $18.5 million during the six months ended June 30, 2022. In addition, during the six months ended June 30, 2022, we received net proceeds of $27.0 million pursuant to the 2022 Loan Agreement, $9.6 million in proceeds for the sale of certain future royalties, and repaid $33.0 million, net of settlement costs, to repay the 2018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2021, respectively, we did not have any off-balance sheet arrangements as defined in Item 303(a)(4) of Regulation S-K as promulgated by the SEC.</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an increase in interest rates would have any material negative impact on the fair value of our cash equivalents.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we had cash, cash equivalents and investments of $81.0 million, which consist of bank deposits and money market funds, as well as high quality fixed income instruments including corporate bonds, commercial paper, and asset-backed securities collateralized by non-mortgage consumer receivables. The credit rating of our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interest rate fluctuation exposure through our borrowings under the Loan Agreement and our investment in money market accounts which bear a variable interest rate. Borrowings under the 2022 Loan bear interest at a floating per annum rate equal to 7.95% plus the greater of (i) one tenth percent (0.10%) and (ii) the one-month rate published by the Intercontinental Exchange Benchmark Administration Ltd ("ICE") or its successor. A hypothetical increase in one-month ICE of 100 basis points above the current one-month ICE rates would have increased our interest expense by approximately $0.1 million for the three and six months ended June 30, 2022. As of June 30, 2022, we had an aggregate principal amount of $27.5 million outstanding pursuant to our 2022 Loan Agreement.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had no open forward foreign currency exchange contracts.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June 30, 2022.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June 30, 2022, our disclosure controls and procedures were effective at a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we implemented certain internal controls in connection with our product launch. There were no other changes in our internal control over financial reporting that occurred during our most recent fiscal quarter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7"/>
          <w:szCs w:val="17"/>
          <w:i w:val="1"/>
          <w:iCs w:val="1"/>
          <w:color w:val="auto"/>
        </w:rPr>
        <w:t>Strezsak v. Ardelyx, Inc., et al.</w:t>
      </w:r>
      <w:r>
        <w:rPr>
          <w:rFonts w:ascii="Arial" w:cs="Arial" w:eastAsia="Arial" w:hAnsi="Arial"/>
          <w:sz w:val="17"/>
          <w:szCs w:val="17"/>
          <w:color w:val="auto"/>
        </w:rPr>
        <w:t xml:space="preserve">, Case No. 4:21-cv-05868-HSG, and </w:t>
      </w:r>
      <w:r>
        <w:rPr>
          <w:rFonts w:ascii="Arial" w:cs="Arial" w:eastAsia="Arial" w:hAnsi="Arial"/>
          <w:sz w:val="17"/>
          <w:szCs w:val="17"/>
          <w:i w:val="1"/>
          <w:iCs w:val="1"/>
          <w:color w:val="auto"/>
        </w:rPr>
        <w:t>Siegel v.</w:t>
      </w:r>
      <w:r>
        <w:rPr>
          <w:rFonts w:ascii="Arial" w:cs="Arial" w:eastAsia="Arial" w:hAnsi="Arial"/>
          <w:sz w:val="17"/>
          <w:szCs w:val="17"/>
          <w:color w:val="auto"/>
        </w:rPr>
        <w:t xml:space="preserve"> </w:t>
      </w:r>
      <w:r>
        <w:rPr>
          <w:rFonts w:ascii="Arial" w:cs="Arial" w:eastAsia="Arial" w:hAnsi="Arial"/>
          <w:sz w:val="17"/>
          <w:szCs w:val="17"/>
          <w:i w:val="1"/>
          <w:iCs w:val="1"/>
          <w:color w:val="auto"/>
        </w:rPr>
        <w:t>Ardelyx, Inc., et al.</w:t>
      </w:r>
      <w:r>
        <w:rPr>
          <w:rFonts w:ascii="Arial" w:cs="Arial" w:eastAsia="Arial" w:hAnsi="Arial"/>
          <w:sz w:val="17"/>
          <w:szCs w:val="17"/>
          <w:color w:val="auto"/>
        </w:rPr>
        <w:t>, Case No. 5:21-cv-06228-HSG (together, the “Securities Class Actions”). The complaints allege that the defendants violated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10(b) and 20(a) of the Securities Exchange Act of 1934, as amended, and Rule 10b-5 thereunder, by making false and misleading statements and omissions of material fact related to tenapanor. The plaintiffs seek to represent all persons who purchased or otherwise acquired Ardelyx securities between August 6, 2020, and July 19, 2021. The plaintiffs seek damages and interest, and an award of costs, including attorneys’ fees. On September 28, 2021, several shareholders filed motions to consolidate the two putative class actions and to be appointed lead plaintiff and have their selection of counsel be appointed lead counsel, and on July 19, 2022, the court issued an order to consolidate the two putative class actions and appointed the lead plaintiff and lead counsel. The parties have agreed upon a proposed schedule for the lead plaintiff to file a consolidated amended complaint and for defendants to file a motion to dismiss. We believe the plaintiff’s claims are without merit and we have not recorded any accrual for a contingent liability associated with these legal proceedings.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December 7, 2021 and March 29, 2022, two verified shareholders derivative lawsuits were filed purportedly on behalf of Ardelyx against certain of Ardelyx’s executive officers and members of our board of directors, captioned </w:t>
      </w:r>
      <w:r>
        <w:rPr>
          <w:rFonts w:ascii="Arial" w:cs="Arial" w:eastAsia="Arial" w:hAnsi="Arial"/>
          <w:sz w:val="17"/>
          <w:szCs w:val="17"/>
          <w:i w:val="1"/>
          <w:iCs w:val="1"/>
          <w:color w:val="auto"/>
        </w:rPr>
        <w:t>Go v. Raab, et al.</w:t>
      </w:r>
      <w:r>
        <w:rPr>
          <w:rFonts w:ascii="Arial" w:cs="Arial" w:eastAsia="Arial" w:hAnsi="Arial"/>
          <w:sz w:val="17"/>
          <w:szCs w:val="17"/>
          <w:color w:val="auto"/>
        </w:rPr>
        <w:t xml:space="preserve">, Case No. 4:21-cv-09455-HSG, and </w:t>
      </w:r>
      <w:r>
        <w:rPr>
          <w:rFonts w:ascii="Arial" w:cs="Arial" w:eastAsia="Arial" w:hAnsi="Arial"/>
          <w:sz w:val="17"/>
          <w:szCs w:val="17"/>
          <w:i w:val="1"/>
          <w:iCs w:val="1"/>
          <w:color w:val="auto"/>
        </w:rPr>
        <w:t>Morris v. Raab, et al.</w:t>
      </w:r>
      <w:r>
        <w:rPr>
          <w:rFonts w:ascii="Arial" w:cs="Arial" w:eastAsia="Arial" w:hAnsi="Arial"/>
          <w:sz w:val="17"/>
          <w:szCs w:val="17"/>
          <w:color w:val="auto"/>
        </w:rPr>
        <w:t xml:space="preserve">, Case No. 4:22-cv-01988-JSC. The complaints allege violations of Section 14(a) of the Exchange Act, breaches of fiduciary duties, unjust enrichment, abuse of control, gross mismanagement, and waste, and seek contribution under Sections 10(b) and 21D of the Securities Exchange Act of 1934 from two executive officers. On January 19, and April 27, 2022, the court granted the parties’ stipulation to stay the </w:t>
      </w:r>
      <w:r>
        <w:rPr>
          <w:rFonts w:ascii="Arial" w:cs="Arial" w:eastAsia="Arial" w:hAnsi="Arial"/>
          <w:sz w:val="17"/>
          <w:szCs w:val="17"/>
          <w:i w:val="1"/>
          <w:iCs w:val="1"/>
          <w:color w:val="auto"/>
        </w:rPr>
        <w:t>Go</w:t>
      </w:r>
      <w:r>
        <w:rPr>
          <w:rFonts w:ascii="Arial" w:cs="Arial" w:eastAsia="Arial" w:hAnsi="Arial"/>
          <w:sz w:val="17"/>
          <w:szCs w:val="17"/>
          <w:color w:val="auto"/>
        </w:rPr>
        <w:t xml:space="preserve"> and </w:t>
      </w:r>
      <w:r>
        <w:rPr>
          <w:rFonts w:ascii="Arial" w:cs="Arial" w:eastAsia="Arial" w:hAnsi="Arial"/>
          <w:sz w:val="17"/>
          <w:szCs w:val="17"/>
          <w:i w:val="1"/>
          <w:iCs w:val="1"/>
          <w:color w:val="auto"/>
        </w:rPr>
        <w:t>Morris</w:t>
      </w:r>
      <w:r>
        <w:rPr>
          <w:rFonts w:ascii="Arial" w:cs="Arial" w:eastAsia="Arial" w:hAnsi="Arial"/>
          <w:sz w:val="17"/>
          <w:szCs w:val="17"/>
          <w:color w:val="auto"/>
        </w:rPr>
        <w:t xml:space="preserve"> actions, respectively, until resolution of the anticipated motion(s) to dismiss in the Securities Class Actions, and the cases remain stayed.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June 30, 2022, there is no litigation pending that would reasonably be expected to have a material adverse effect on our results of operations and financial condition, and no contingent liabilities were accrued as of June 30, 2022.</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i w:val="1"/>
          <w:iCs w:val="1"/>
          <w:color w:val="auto"/>
        </w:rPr>
        <w:t>We have incurred significant losses since our inception and we will incur losses in the future, which makes it difficult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recently commenced the commercialization of our first product, IBSRELA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(tenapanor) for the treatment of irritable bowel syndrome with constipation (“IBS-C”), and have generated limited revenue from product sales to date.</w:t>
      </w:r>
    </w:p>
    <w:p>
      <w:pPr>
        <w:spacing w:after="0" w:line="247"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June 30, 2022, we had an accumulated deficit of $767.9 million.</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expect to continue to incur substantial operating losses for the foreseeable future as we commercialize IBSRELA, seek to gain approval for XPHOZAH</w:t>
      </w:r>
      <w:r>
        <w:rPr>
          <w:rFonts w:ascii="Arial" w:cs="Arial" w:eastAsia="Arial" w:hAnsi="Arial"/>
          <w:sz w:val="20"/>
          <w:szCs w:val="20"/>
          <w:b w:val="1"/>
          <w:bCs w:val="1"/>
          <w:color w:val="auto"/>
          <w:vertAlign w:val="superscript"/>
        </w:rPr>
        <w:t>®</w:t>
      </w:r>
      <w:r>
        <w:rPr>
          <w:rFonts w:ascii="Arial" w:cs="Arial" w:eastAsia="Arial" w:hAnsi="Arial"/>
          <w:sz w:val="16"/>
          <w:szCs w:val="16"/>
          <w:color w:val="auto"/>
        </w:rPr>
        <w:t xml:space="preserve"> (tenapanor) for the control of serum phosphorus in adult patients with chronic kidney disease (“CKD”) on dialysis (the “Hyperphosphatemia Indication”); prepare for the potential commercialization of XPHOZAH, if approved; and incur manufacturing and development cost for, tenapanor.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Ernst &amp; Young LLP, our independent registered public accounting firm for the fiscal year ended December 31, 2021, has included an explanatory paragraph in their opinion that accompanies our audited financial statements as of the year ended December 31, 2021, indicating our current liquidity position raises substantial doubt about our ability to continue as a going concern. We plan to address our operating cash flow requirements with our current cash and investments, cash generated from the product launch of IBSRELA, our potential receipt of anticipated milestone payments from our collaboration partners, our potential receipt of anticipated payments from our collaboration partner, Kyowa Kirin, Co., Ltd. (“KKC”) in connection with the transaction entered into with KKC in March 2022 which amended our License Agreement entered into with KKC in 2017 (the “2022 KKC Amendment”); our ability to access the capital markets, as well as through the implementation of cash preservation activities to reduce or defer discretionary spending.</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our liquidity, financial condition and business prospects will be materially affected.</w:t>
      </w:r>
    </w:p>
    <w:p>
      <w:pPr>
        <w:spacing w:after="0" w:line="209"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will require substantial additional financing for the foreseeable future as we invest in the commercialization of IBSRELA and prepare for and participate in a Cardiovascular and Renal Drugs Advisory Committee (“Advisory Committee”) meeting in connection with the formal dispute resolution ("FDR") process commenced in response to the Complete Response Letter (“CRL”) received from the U.S. Food and Drug Administration (“FDA”) relating to our New Drug Application (“NDA”) for tenapanor for the Hyperphosphatemia Indication and the inability to access necessary capital when needed on acceptable terms, or at all, could force us to limit, reduce or terminate our efforts to commercialize IBSRELA or to seek and obtain approval for tenapanor for the Hyperphosphatemia Indication.</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Since our inception, most of our resources have been dedicated to our research and development activities, including developing tenapanor. Following the receipt of the CRL, we implemented two restructuring plans in order to reduce operating costs and to better align our workforce with the needs of our business. Notwithstanding the restructurings, we believe that we will continue to expend substantial resources for the foreseeable future, including, costs associated with our efforts to commercialize IBSRELA, which we began selling in the U.S. in March 2022, cost associated with our efforts to pursue approval for our NDA for tenapanor for the Hyperphosphatemia Indication through the FDR process, and Advisory Committee meeting; conducting pediatric clinical trials for IBSRELA and XPHOZAH, if approved, and manufacturing for IBSRELA and, if approved, XPHOZAH. Our future funding requirements will depend on many factors, including, but not limited to:</w:t>
      </w:r>
    </w:p>
    <w:p>
      <w:pPr>
        <w:spacing w:after="0" w:line="21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144" w:lineRule="exact"/>
        <w:rPr>
          <w:rFonts w:ascii="Arial" w:cs="Arial" w:eastAsia="Arial" w:hAnsi="Arial"/>
          <w:sz w:val="18"/>
          <w:szCs w:val="18"/>
          <w:color w:val="auto"/>
        </w:rPr>
      </w:pPr>
    </w:p>
    <w:p>
      <w:pPr>
        <w:jc w:val="both"/>
        <w:ind w:left="340" w:hanging="332"/>
        <w:spacing w:after="0" w:line="319"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we are successful in our efforts under the FDR process, including the Advisory Committee meeting to be convened as part of the FDR process, to secure approval for our NDA for tenapanor for the Hyperphosphatemia Indication, or to reach resolution with the FDA regarding a path to address the deficiencies in the NDA noted in the CRL and ADL, and the time and cost associated with such path;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right="20" w:hanging="332"/>
        <w:spacing w:after="0" w:line="308"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manufacturing costs of IBSRELA and XPHOZAH;</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selling and marketing costs associated with IBSRELA and, if approved, XPHOZAH;</w:t>
      </w:r>
    </w:p>
    <w:p>
      <w:pPr>
        <w:spacing w:after="0" w:line="265"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revenue, if any, that may be received from KKC in connection with the 2022 KKC Amendment;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clinical trials we are required to or decide to pursue for tenapanor or RDX013;</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144"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7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limit, reduce or terminate our commercialization of IBSRELA, delay, limit, reduce or terminate our efforts to secure approval for XPHOZAH for the Hyperphosphatemia Indication, or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the development and commercialization of XPHOZAH, if approved, through the use of alternative structures.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Global Market could result in a de-listing of our common stock</w:t>
      </w:r>
      <w:r>
        <w:rPr>
          <w:rFonts w:ascii="Arial" w:cs="Arial" w:eastAsia="Arial" w:hAnsi="Arial"/>
          <w:sz w:val="17"/>
          <w:szCs w:val="17"/>
          <w:color w:val="auto"/>
        </w:rPr>
        <w:t>.</w:t>
      </w:r>
    </w:p>
    <w:p>
      <w:pPr>
        <w:spacing w:after="0" w:line="2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we fail to satisfy the continued listing requirements of The Nasdaq Global Market ("Nasdaq") such as the minimum stockholders’ equity requirement or the minimum closing bid price requirement, Nasdaq may take steps to de-list our common stock. For example, on each of February 28, 2022 and May 23, 2022, we received a letter from Nasdaq indicating that Nasdaq had determined that we had failed to comply with the minimum bid price requirement of Nasdaq Listing Rule 5550(a)(2). Nasdaq Listing Rule 5550(a)(2) requires that companies listed on the Nasdaq Global Market maintain a minimum closing bid price of at least $1.00 per share (the “Listing Requirement”). We received a letter from Nasdaq dated March 31, 2022, indicating that we had regained compliance with the Listing Requirement after the closing bid price for its common stock listed on Nasdaq equaled or exceeded $1.00 per share for ten (10) consecutive business days. However, we have not yet regained compliance with the Listing Requirement following the second letter we received on May 23, 2022 letter, and there can be no assurances that we will regain compliance with the Listing Requirement during the 180 day grace period afforded us by Nasdaq. On April 29, 2022, we filed our definitive Proxy Statement with the U.S. Securities and Exchange Commission (the “SEC”) indicating our intention to seek approval from our stockholders during our Annual Meeting of Stockholders to be held on June 15, 2022, for a proposal to grant our Board of Directors authority to effect a reverse stock split of our authorized common stock and issued and outstanding common stock by amending our Amended and Restated Certificate of Incorporation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by September 15, 2022 and within a range of not less than 1-for-2 and not more than 1-for-10, if our Board of Directors deems it within our best interests. This proposal failed to receive a sufficient number of votes for approval from our stockholders during our Annual Meeting of Stockholders and the adjournment thereof. We are monitoring the bid price of our common stock and will consider options available to us to regain compliance with the Listing Requirement. There can be no assurances that we will have other options available to regain compliance with the Listing Requirement. If we fail to regain compliance with this requirement, or any other of the continued listing requirements of The Nasdaq Global Market, Nasdaq may take steps to de-list our common stock.</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If Nasdaq de-lists our securities for trading on the Nasdaq or takes other actions with respect to our Nasdaq listing, we could face significant adverse consequences, including:</w:t>
      </w:r>
    </w:p>
    <w:p>
      <w:pPr>
        <w:spacing w:after="0" w:line="198"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common stock;</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common stock;</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trading volume in and market price of our common stock;</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Such a de-listing would likely have an adverse effect on the price of our common stock and would impair the ability of our stockholders to sell or purchase our common stock. We may take actions to avoid such a de-listing or in the event of a de-listing, we may take actions to restore our compliance with Nasdaq’s listing requirements, but we can provide no assurance that any such action taken by us would allow our common stock to remain listed or to become listed again, stabilize the market price or improve the liquidity or trading volume of our common stock, prevent our common capitalization and stockholder’s equity from dropping below the Nasdaq minimum requirements, or prevent other future non-compliance with Nasdaq’s continued listing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generated limited revenue from product sales and may never be profitable.</w:t>
      </w:r>
    </w:p>
    <w:p>
      <w:pPr>
        <w:spacing w:after="0" w:line="27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began selling IBSRELA in the U.S. in March 2022, and have generated limited revenue from product sales to date. We have no other products approved for sale and have received a CRL from the FDA for our NDA for the Hyperphosphatemia Indication and an Appeal Denied Letter (“ADL”) in response to our first level of appeal of the CRL to the FDA Office of Cardiology, Hematology, Endocrinology and Nephrology (“OCHEN”). Additionally, we have received an Interim Response (the “Interim Response”) to our second level of appeal to the Office of New Drugs (“OND”), Center for Drug Evaluation and Research (CDER), in which OND indicated that additional input from the Advisory Committee, in general, and specifically from experts, including clinicians would be valuable in further considering the clinical meaningfulness of the phosphate lowering effect observed in our phase 3 clinical program for XPHOZAH. OND has directed the Division of Cardiology and Nephrology of OCHEN (the “Division”) to convene the Advisory Committee, and a tentative date for the Advisory Committee meeting has been set for November 16, 2022. There can be no assurances that the response from the Advisory Committee will be positive, or thatthat approval of our NDA will ultimately be granted by the FDA. To date, we have generated limited product revenue from product sales of IBSRELA. There can be no assurances that we will be successful in increasing the amount of product revenue from sales of IBSRELA. There can be no assurances that we will generate sufficient product revenue from sales of IBSRELA and, if approved, XPHOZAH, to cover our expenses. Our ability to generate product revenue from sales or pursuant to milestone payments depends heavily on many factors, including but not limited to:</w:t>
      </w:r>
    </w:p>
    <w:p>
      <w:pPr>
        <w:spacing w:after="0" w:line="20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IBSRELA;</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IBSRELA as a viable treatment option for IBS-C;</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340" w:hanging="332"/>
        <w:spacing w:after="0" w:line="29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successful in our efforts during the Advisory Committee meeting and under the FDR process to secure approval for our NDA for tenapanor for the Hyperphosphatemia Indication, or whether we are otherwise able during the FDR to reach resolution with the FDA regarding a path to addressing the deficiencies in our NDA noted in the CRL, ADL and Interim Response that is achievable in terms of clinical study design, time and cost;</w:t>
      </w:r>
    </w:p>
    <w:p>
      <w:pPr>
        <w:spacing w:after="0" w:line="79"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(in amount and quality) supply of product to support the market demand for IBSRELA, and, if approved,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340" w:right="20" w:hanging="332"/>
        <w:spacing w:after="0" w:line="341"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With respect to our commercialization of IBSRELA, and if we are successful in obtaining regulatory approval to market XPHOZAH, our revenue will be dependent, in part, upon the size of the markets in the U.S. and the label for which approval is or was granted, acceptance of the price for the product, and the ability to get reimbursement at any price. While there is significant uncertainty related to the insurance coverage and reimbursement of newly approved products in general in the United States, there is additional uncertainty related to insurance coverage and reimbursement for drugs, like XPHOZAH, which, if approved, will be marketed for the control of serum phosphorus in adult patients with CKD on dialysis or for another other related indication. If we are successful in obtaining regulatory approval to market XPHOZAH for such indication, our ability to generate and sustain future revenues from sales of tenapanor for such indication, may be dependent upon whether and when XPHOZAH, along with other oral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IBSRELA or, if approved, XPHOZAH, could limit our ability to market those products and decrease our ability to generate revenue” below. Additionally, if the number of adult patients for IBSRELA or, if approved, XPHOZAH is not as significant as we estimate, the indication approved by regulatory authorities for XPHOZAH is narrower than we expect, coverage and reimbursement for either IBSRELA or, if approved, XPHOZAH are not available in the manner and to the extent we expect, or the reasonably accepted population for treatment is narrowed by competition, physician choice or treatment guidelines, we may not generate significant revenue from the sale of IBSRELA or, if approved, XPHOZAH.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8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began selling IBSRELA, our approved treatment for IBS-C in adults in the U.S. in March 2022. The overall commercial success of IBSRELA will depend on a number of factors, including the following:</w:t>
      </w:r>
    </w:p>
    <w:p>
      <w:pPr>
        <w:spacing w:after="0" w:line="198" w:lineRule="exact"/>
        <w:rPr>
          <w:sz w:val="20"/>
          <w:szCs w:val="20"/>
          <w:color w:val="auto"/>
        </w:rPr>
      </w:pPr>
    </w:p>
    <w:p>
      <w:pPr>
        <w:ind w:left="340" w:hanging="332"/>
        <w:spacing w:after="0" w:line="308"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launch and market demand for IBSRELA;</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IBSRELA as a treatment for adult patients with IBS-C;</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treatable patient population;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market access and marketing efforts;</w:t>
      </w:r>
    </w:p>
    <w:p>
      <w:pPr>
        <w:spacing w:after="0" w:line="144"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physicians view IBSRELA as a safe and effective treatment for adult patients with IBS-C, which will impact the adoption of IBSRELA by physicians for the treatment of IBS-C;</w:t>
      </w:r>
    </w:p>
    <w:p>
      <w:pPr>
        <w:spacing w:after="0" w:line="62"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IBSRELA compared to alternative and competing treatments;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IBSRELA;</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IBSRELA;</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IBSRELA following approval.</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secure adequate physician and patient acceptance of IBSRELA or adequate coverage and reimbursement for IBSRELA, we may not generate sufficient revenue from sales of IBSRELA. Any failure of IBSRELA to achieve market acceptance, sufficient third-party coverage or reimbursement, or commercial success for would adversely affect our results of operations.</w:t>
      </w:r>
    </w:p>
    <w:p>
      <w:pPr>
        <w:spacing w:after="0" w:line="216"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b w:val="1"/>
          <w:bCs w:val="1"/>
          <w:i w:val="1"/>
          <w:iCs w:val="1"/>
          <w:color w:val="auto"/>
        </w:rPr>
        <w:t>We are pursuing regulatory approval for tenapanor for the control of serum phosphorus in adult patients with CKD on dialysis, and there can be no assurances that we will be successful in obtaining such regulatory approval.</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are pursuing regulatory approval for tenapanor for the control of serum phosphorus in adult patients with CKD on dialysis. To date, we have invested a significant amount of our efforts and financial resources in the research and development of tenapanor for the control of serum phosphorus in adult patients with CKD on dialysis. On July 28, 2021, we received a CRL from the Division regarding our NDA for tenapanor for the control of serum phosphorus in adult patients with CKD on dialysis. According to the CRL, the FDA has determined that the magnitude of the treatment effect observed in our Phase 3 clinical trials was small and of unclear of clinical significance. Following an End-of-Review Type A meeting (“End of Review Meeting”) in October 2021, with the Division, we submitted a Formal Dispute Resolution Request (“FDRR”) in December 2021. The FDRR was focused on demonstrating that the data submitted in the NDA supported the clinical significance of the treatment effect of tenapanor. On February 4, 2022, we received an ADL from OCHEN. On February 18, 2022, we submitted an appeal of the ADL to the FDA’s Center for Drug Evaluation and Research, Office of New Drugs (“OND”), and on April 15, 2022, we received an Interim Response from OND. The Interim Response indicated that OND would direct the Division to convene the Advisory Committee to provide additional input for consideration by OND, and the Advisory Committee meeting has been tentatively scheduled for November 16, 2022. OND expects to provide a response to the FDR within thirty (30) days after the conclusion of the Advisory Committee meeting. There can be no assurances that the response from the Advisory Committee will be positive, or that approval of the NDA will ultimately be granted by the FDA.</w:t>
      </w:r>
    </w:p>
    <w:p>
      <w:pPr>
        <w:spacing w:after="0" w:line="215" w:lineRule="exact"/>
        <w:rPr>
          <w:sz w:val="20"/>
          <w:szCs w:val="20"/>
          <w:color w:val="auto"/>
        </w:rPr>
      </w:pPr>
    </w:p>
    <w:p>
      <w:pPr>
        <w:jc w:val="both"/>
        <w:spacing w:after="0" w:line="418" w:lineRule="auto"/>
        <w:rPr>
          <w:sz w:val="20"/>
          <w:szCs w:val="20"/>
          <w:color w:val="auto"/>
        </w:rPr>
      </w:pPr>
      <w:r>
        <w:rPr>
          <w:rFonts w:ascii="Arial" w:cs="Arial" w:eastAsia="Arial" w:hAnsi="Arial"/>
          <w:sz w:val="15"/>
          <w:szCs w:val="15"/>
          <w:b w:val="1"/>
          <w:bCs w:val="1"/>
          <w:i w:val="1"/>
          <w:iCs w:val="1"/>
          <w:color w:val="auto"/>
        </w:rPr>
        <w:t>Even if we are successful in obtaining regulatory approval for tenapanor for control of serum phosphorus in adult patients with CKD on dialysis, the expense and time required to do so could adversely impact our ability to successfully commercialize XPHOZAH for the Hyperphosphatemia Indication.</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may not be successful in obtaining approval for tenapanor for the Hyperphosphatemia Indication, and if we are able to obtain approval, the expense and time to do so could adversely impact our ability to successfully commercialize XPHOZAH for the Hyperphosphatemia Indication, our business and our results of operations. If we are successful in obtaining approval for XPHOZAH for the Hyperphosphatemia Indication, the commercial success of XPHOZAH will depend on a number of factors, including the following:</w:t>
      </w:r>
    </w:p>
    <w:p>
      <w:pPr>
        <w:spacing w:after="0" w:line="215" w:lineRule="exact"/>
        <w:rPr>
          <w:sz w:val="20"/>
          <w:szCs w:val="20"/>
          <w:color w:val="auto"/>
        </w:rPr>
      </w:pPr>
    </w:p>
    <w:p>
      <w:pPr>
        <w:ind w:left="340" w:hanging="332"/>
        <w:spacing w:after="0" w:line="308"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both IBSRELA and XPHOZAH;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right="20" w:hanging="332"/>
        <w:spacing w:after="0" w:line="308"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the content and breadth of the label approved by the FDA for XPHOZAH may materially and adversely impact our ability to commercialize the product for the approved indication;</w:t>
      </w:r>
    </w:p>
    <w:p>
      <w:pPr>
        <w:spacing w:after="0" w:line="62"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when XPHOZAH, along with other oral end-stage renal disease (“ESRD”) related drugs without an injectable or intravenous equivalent, are bundled into the ESRD prospective payment system, and the manner in which such introduction into the ESRD prospective payment system may occur;</w:t>
      </w:r>
    </w:p>
    <w:p>
      <w:pPr>
        <w:spacing w:after="0" w:line="7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XPHOZAH;</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XPHOZAH as safe, effective and well-tolerated by patients and the medical community, and, the extent to which the issuance of a CRL by the FDA has impacted the potential acceptance of XPHOZAH as safe, effective and well-tolerated;</w:t>
      </w:r>
    </w:p>
    <w:p>
      <w:pPr>
        <w:spacing w:after="0" w:line="62"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the commercialization of IBSRELA and XPHOZAH and the complex pricing and reimbursement negotiations that may arise with marketing the same product at different doses for separate indications;</w:t>
      </w:r>
    </w:p>
    <w:p>
      <w:pPr>
        <w:spacing w:after="0" w:line="62"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XPHOZAH compared to alternative and competing treatments;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XPHOZAH by third-party payors;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XPHOZAH;</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XPHOZAH following approval.</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IBSRELA, and/or, if approved and commercialized, XPHOZAH, may cause undesirable side effects or have other properties that could limit the commercial success of the product.</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Undesirable side effects caused by IBSRELA, and/or, if approved, XPHOZAH, could cause us or regulatory authorities to interrupt, delay or halt the commercialization of the product. Despite our receipt of marketing approval for IBSRELA and the completion of our Phase 3 clinical program for XPHOZAH, the prevalence and/or severity of side effects caused by IBSRELA, and/or if approved, XPHOZAH, could result in a number of potentially significant negative consequences could occur, including:</w:t>
      </w:r>
    </w:p>
    <w:p>
      <w:pPr>
        <w:spacing w:after="0" w:line="21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144" w:lineRule="exact"/>
        <w:rPr>
          <w:rFonts w:ascii="Arial" w:cs="Arial" w:eastAsia="Arial" w:hAnsi="Arial"/>
          <w:sz w:val="18"/>
          <w:szCs w:val="18"/>
          <w:color w:val="auto"/>
        </w:rPr>
      </w:pPr>
    </w:p>
    <w:p>
      <w:pPr>
        <w:jc w:val="both"/>
        <w:ind w:left="340" w:hanging="332"/>
        <w:spacing w:after="0" w:line="337"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new labeling statements, such as a “black box” warning or a contraindication;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IBSRELA, and/or, if approved, XPHOZAH, and could result in the loss of significant revenue to us, which would materially and adversely affect our results of operations and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As a company, we have limited experience in the marketing, sale and distribution of pharmaceutical products; and there are significant risks in building and managing a commercial organization.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a company, we have limited experience in building and managing a commercial organization, or in the marketing, sale and distribution of pharmaceutical products. There can be no assurances that we will be successful in our efforts to retain, and incentivize qualified individuals, generate sufficient sales leads, comply with regulatory requirements applicable to the marketing and sale of drug products and effectively manage a geographically dispersed sales and marketing team.</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the commercialization of IBSRELA could be adversely impacted.</w:t>
      </w:r>
    </w:p>
    <w:p>
      <w:pPr>
        <w:spacing w:after="0" w:line="198" w:lineRule="exact"/>
        <w:rPr>
          <w:sz w:val="20"/>
          <w:szCs w:val="20"/>
          <w:color w:val="auto"/>
        </w:rPr>
      </w:pPr>
    </w:p>
    <w:p>
      <w:pPr>
        <w:jc w:val="both"/>
        <w:spacing w:after="0" w:line="377"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On February 23, 2022, we entered into a loan and security agreement with SLR Investment Corp. (the “Lender”) pursuant to which the Lender agreed to provide us a $50.0 million term loan facility with a maturity date of March 1, 2027. The loan was funded in the amount of $27.5 million on February 23, 2022 and the remaining $22.5 million may be funded upon the satisfaction of both (i) receipt from the FDA of approval of the NDA for tenapanor for the Hyperphosphatemia Indication on or prior to December 31, 2022 and (ii) our achievement of certain product revenue milestone targets described in the 2022 Loan Agreement. On August 1, 2022, we entered into an amendment to the 2022 Loan Agreement with SLR Investment Corp. that extends the date by which we must receive approval by the FDA for our NDA for the Hyperphosphatemia Indication in order to borrow the additional $22.5 million from December 31, 2022 to March 31, 2023.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We are permitted to make interest only payments on the loan facility through March 2024, with principal repayments commencing on April 1, 2024,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activities necessary to commercialize IBSRELA, and/or if approved, XPHOZAH, or clinical trials for tenapanor.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 commercialized products are uncertain. Failure to obtain or maintain adequate coverage and reimbursement for IBSRELA and, if approved, XPHOZAH, could limit our ability to market those products and decrease our ability to generate revenue.</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pricing, coverage and reimbursement of IBSRELA and, if approved, XPHOZAH, must be adequate to support a commercial infrastructure. The availability and adequacy of coverage and reimbursement by governmental and private payors are essential for most patients to be able to afford treatments. Sales of IBSRELA, and, if approved and commercialized,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if approved, XPHOZAH. Even if coverage is provided, the approved reimbursement amount may not be high enough to allow us to establish or maintain pricing sufficient to realize a return on our investment.</w:t>
      </w:r>
    </w:p>
    <w:p>
      <w:pPr>
        <w:spacing w:after="0" w:line="223"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20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There is increased uncertainty related to insurance coverage and reimbursement for drugs, like XPHOZAH for the Hyperphosphatemia Indication, which, if approved, will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for the Hyperphosphatemia Indication,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215"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IBSRELA, and if approved and commercialized, XPHOZAH.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b w:val="1"/>
          <w:bCs w:val="1"/>
          <w:i w:val="1"/>
          <w:iCs w:val="1"/>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XPHOZAH, and our future development efforts for tenapanor may be materially harmed.</w:t>
      </w:r>
    </w:p>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IBSRELA,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2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if approved, XPHOZAH, may be materially harmed.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Additionally, if we conduct additional clinical trials with RDX013,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the program, or termination of the clinical studies altogether. Any of these occurrences may significantly harm our business, financial condition and prospects.</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20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30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For example,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Additionally, XPHOZAH, if approved for the Hyperphosphatemia Indication will compete with phosphate binders used for the same or similar indication`. If approved, our label for XPHOZAH may include data comparing the effectiveness of tenapanor to phosphate binders used for the same indication. The various types of phosphate binders commercialized in the United States include the following: Calcium carbonate (many over-the-counter brands including Tums and Caltrate); Calcium acetate (several prescription brands including PhosLo and Phoslyra); Lanthanum carbonate (Fosrenol); Sevelamer hydrochloride (Renagel); Sevelamer carbonate (Renvela); Sucroferric oxyhydroxide (Velphoro); and Ferric citrate (Auryxia).</w:t>
      </w:r>
    </w:p>
    <w:p>
      <w:pPr>
        <w:spacing w:after="0" w:line="20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314"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9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IBSRELA, and/or, if approved, XPHOZAH.</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our commercial launch of IBSRELA.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1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the product;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or co-promote IBSRELA, and/or, if approved, XPHOZAH.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79"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21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1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216"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9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have received a CRL from the FDA regarding our NDA for the Hyperphosphatemia Indication. While we are pursuing an appeal through the FDR process, and an Advisory Committee has been tentatively scheduled for November 16, 2022, there can be no assurances that the outcome of the Advisory Committee will be positive, or that approval of the NDA for the Hyperphosphatemia Indication will ultimately be granted by the FDA.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The ongoing effects of the COVID-19 pandemic, or any other outbreak of epidemic diseases, or the perception of their effects, could have a material adverse effect on our business, financial condition, results of operations or cash flows.</w:t>
      </w:r>
    </w:p>
    <w:p>
      <w:pPr>
        <w:spacing w:after="0" w:line="19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Outbreaks of epidemic, pandemic, or contagious diseases, such as the current novel coronavirus (“COVID-19”) pandemic or, historically, the Ebola virus, Middle East Respiratory Syndrome, Severe Acute Respiratory Syndrome or the H1N1 virus, could disrupt our business. Economic and health conditions related to the COVID-19 pandemic in the United States and across most of the globe remain uncertain and continue to evolve. The continuing effects of the coronavirus outbreak may result in delays in the manufacture of tenapanor, or in the delivery of key intermediates or raw materials required to manufacture tenapanor or delays in clinical development activities by us, or our collaboration partners. Such effects could also materially and negatively impact our ability to successfully commercialize IBSRELA, and/or, if approved, XPHOZAH, or the ability of our collaboration partners to successfully commercialize such products, if approved for marketing and sale by the foreign regulatory authorities, including our ability, and that of our collaboration partners to educate physicians and patients about the benefits, administration and use of the product.</w:t>
      </w:r>
    </w:p>
    <w:p>
      <w:pPr>
        <w:spacing w:after="0" w:line="206" w:lineRule="exact"/>
        <w:rPr>
          <w:sz w:val="20"/>
          <w:szCs w:val="20"/>
          <w:color w:val="auto"/>
        </w:rPr>
      </w:pPr>
    </w:p>
    <w:p>
      <w:pPr>
        <w:jc w:val="both"/>
        <w:ind w:left="340" w:hanging="332"/>
        <w:spacing w:after="0" w:line="288"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we have reopened our offices and invited our personnel to return to the office, we continue to permit our personnel to work remotely, which could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81"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continue to experience operational interruptions or delays, which may impact timelines for regulatory submission, trial initiation and regulatory approval.</w:t>
      </w:r>
    </w:p>
    <w:p>
      <w:pPr>
        <w:spacing w:after="0" w:line="6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full effects of the COVID-19 remain unknown. The extent to which the outbreak may continue to impact our business, including, our commercialization and manufacturing will depend on future developments, which are highly uncertain and cannot be predicted with confidence, such as access to physician offices for our commercial and medical teams, business closures or business disruptions.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31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our continued efforts to seek approval for our NDA for tenapanor for the Hyperphosphatemia Indication and/or the development of RDX013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09" w:lineRule="exact"/>
        <w:rPr>
          <w:sz w:val="20"/>
          <w:szCs w:val="20"/>
          <w:color w:val="auto"/>
        </w:rPr>
      </w:pPr>
    </w:p>
    <w:p>
      <w:pPr>
        <w:ind w:left="340" w:hanging="332"/>
        <w:spacing w:after="0" w:line="308"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4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09" w:lineRule="exact"/>
        <w:rPr>
          <w:sz w:val="20"/>
          <w:szCs w:val="20"/>
          <w:color w:val="auto"/>
        </w:rPr>
      </w:pPr>
    </w:p>
    <w:p>
      <w:pPr>
        <w:jc w:val="both"/>
        <w:spacing w:after="0" w:line="418" w:lineRule="auto"/>
        <w:rPr>
          <w:sz w:val="20"/>
          <w:szCs w:val="20"/>
          <w:color w:val="auto"/>
        </w:rPr>
      </w:pPr>
      <w:r>
        <w:rPr>
          <w:rFonts w:ascii="Arial" w:cs="Arial" w:eastAsia="Arial" w:hAnsi="Arial"/>
          <w:sz w:val="15"/>
          <w:szCs w:val="15"/>
          <w:b w:val="1"/>
          <w:bCs w:val="1"/>
          <w:i w:val="1"/>
          <w:iCs w:val="1"/>
          <w:color w:val="auto"/>
        </w:rPr>
        <w:t>Our CMOs manufacture tenapanor API outside of the United States, and we may seek and obtain approval to commercialize IBSRELA or XPHOZAH outside of the United States, and as a result, a variety of risks associated with international operations could materially adversely affect our business.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or our collaboration partners may decide to seek marketing approval for IBSRELA or XPHOZAH outside the United States. Additionally we have contractual arrangements with CMOs involving the manufacture of tenapanor API outside of the United States, and we may otherwise engage in business outside the United States, including entering into additional contractual agreements with third-parties. We are subject to additional risks related to entering these international business markets and relationships, including:</w:t>
      </w:r>
    </w:p>
    <w:p>
      <w:pPr>
        <w:spacing w:after="0" w:line="215"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manufacturers’ facilities pending their use and disposal. We cannot eliminate the risk of contamination, which could cause an interruption of our commercialization efforts,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b w:val="1"/>
          <w:bCs w:val="1"/>
          <w:i w:val="1"/>
          <w:iCs w:val="1"/>
          <w:color w:val="auto"/>
        </w:rPr>
        <w:t>Despite having received regulatory approval for IBSRELA, and even if we receive regulatory approval for XPHOZAH, we will be subject to ongoing regulatory obligations and continued regulatory review, which may result in significant additional expense. Additionally, IBSRELA, and, if approved, XPHOZAH, could be subject to other restrictions and market withdrawal, and we may be subject to penalties if we fail to comply with regulatory requirements or experience unanticipated problems with our products.</w:t>
      </w:r>
    </w:p>
    <w:p>
      <w:pPr>
        <w:spacing w:after="0" w:line="215"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8"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 or fines;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if approved, XPHOZAH. If regulatory sanctions are applied or if regulatory approval is withdrawn, the value of our company and our operating results will be adversely affected.</w:t>
      </w:r>
    </w:p>
    <w:p>
      <w:pPr>
        <w:spacing w:after="0" w:line="215"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209"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41"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of IBSRELA and XPHOZAH. The manufacturing facilities on which we rely may not continue to meet regulatory requirements or may not be able to meet supply demands.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All entities involved in the preparation of product for commercial sale, or product candidates for clinical trials, including our existing contract manufacturers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16"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1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and other government agencies. With respect to the commercialization of IBSRELA and/or, if approved,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2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IBSRELA and/or, if approved, XPHOZAH, may cause or contribute to adverse medical events that we are required to report to regulatory agencies and if we fail to do so we could be subject to sanctions that would materially harm our business.</w:t>
      </w:r>
    </w:p>
    <w:p>
      <w:pPr>
        <w:spacing w:after="0" w:line="198"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Some participants in clinical studies of tenapanor have reported adverse effects after being treated with tenapanor, including diarrhea, abdominal distension, flatulence and dizziness. 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9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79"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77" w:lineRule="auto"/>
        <w:rPr>
          <w:sz w:val="20"/>
          <w:szCs w:val="20"/>
          <w:color w:val="auto"/>
        </w:rPr>
      </w:pPr>
      <w:r>
        <w:rPr>
          <w:rFonts w:ascii="Arial" w:cs="Arial" w:eastAsia="Arial" w:hAnsi="Arial"/>
          <w:sz w:val="16"/>
          <w:szCs w:val="16"/>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209" w:lineRule="exact"/>
        <w:rPr>
          <w:sz w:val="20"/>
          <w:szCs w:val="20"/>
          <w:color w:val="auto"/>
        </w:rPr>
      </w:pPr>
    </w:p>
    <w:p>
      <w:pPr>
        <w:jc w:val="both"/>
        <w:ind w:left="340" w:hanging="332"/>
        <w:spacing w:after="0" w:line="337" w:lineRule="auto"/>
        <w:tabs>
          <w:tab w:leader="none" w:pos="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46" w:lineRule="exact"/>
        <w:rPr>
          <w:rFonts w:ascii="Arial" w:cs="Arial" w:eastAsia="Arial" w:hAnsi="Arial"/>
          <w:sz w:val="16"/>
          <w:szCs w:val="16"/>
          <w:color w:val="auto"/>
        </w:rPr>
      </w:pPr>
    </w:p>
    <w:p>
      <w:pPr>
        <w:jc w:val="both"/>
        <w:ind w:left="340" w:hanging="332"/>
        <w:spacing w:after="0" w:line="290"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79"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3"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73" w:lineRule="exact"/>
        <w:rPr>
          <w:rFonts w:ascii="Arial" w:cs="Arial" w:eastAsia="Arial" w:hAnsi="Arial"/>
          <w:sz w:val="18"/>
          <w:szCs w:val="18"/>
          <w:color w:val="auto"/>
        </w:rPr>
      </w:pPr>
    </w:p>
    <w:p>
      <w:pPr>
        <w:jc w:val="both"/>
        <w:ind w:left="340" w:hanging="332"/>
        <w:spacing w:after="0" w:line="309"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64" w:lineRule="exact"/>
        <w:rPr>
          <w:rFonts w:ascii="Arial" w:cs="Arial" w:eastAsia="Arial" w:hAnsi="Arial"/>
          <w:sz w:val="17"/>
          <w:szCs w:val="17"/>
          <w:color w:val="auto"/>
        </w:rPr>
      </w:pPr>
    </w:p>
    <w:p>
      <w:pPr>
        <w:ind w:left="340" w:hanging="332"/>
        <w:spacing w:after="0" w:line="308"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62"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73"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06" w:lineRule="exact"/>
        <w:rPr>
          <w:sz w:val="20"/>
          <w:szCs w:val="20"/>
          <w:color w:val="auto"/>
        </w:rPr>
      </w:pPr>
    </w:p>
    <w:p>
      <w:pPr>
        <w:jc w:val="both"/>
        <w:spacing w:after="0" w:line="341"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1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144"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5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March 31, 2022 and a 1% reduction from April 1, 2022 through June 30,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By way of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spacing w:after="0" w:line="209"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With the commercial launch of IBSRELA, we participate in the Medicaid Drug Rebate Program ("MDRP") and other federal and state government pricing programs in the United States,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the U.S. Centers for Medicare</w:t>
      </w:r>
    </w:p>
    <w:p>
      <w:pPr>
        <w:spacing w:after="0" w:line="3" w:lineRule="exact"/>
        <w:rPr>
          <w:sz w:val="20"/>
          <w:szCs w:val="20"/>
          <w:color w:val="auto"/>
        </w:rPr>
      </w:pPr>
    </w:p>
    <w:p>
      <w:pPr>
        <w:jc w:val="both"/>
        <w:ind w:firstLine="8"/>
        <w:spacing w:after="0" w:line="285" w:lineRule="auto"/>
        <w:tabs>
          <w:tab w:leader="none" w:pos="2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Federal law requires that a manufacturer that participates in the MDRP also participate in the Public Health Service’s 340B drug pricing program (the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will be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21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We cannot assure you that our submissions will not be found to be incomplete or incorrect.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obtain, maintain and protect our intellectual property rights</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success and ability to compete depend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21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rely in part on our portfolio of issued and pending patent applications in the United States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Patents have a limited lifespan. In the United States,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79" w:lineRule="exact"/>
        <w:rPr>
          <w:sz w:val="20"/>
          <w:szCs w:val="20"/>
          <w:color w:val="auto"/>
        </w:rPr>
      </w:pPr>
    </w:p>
    <w:p>
      <w:pPr>
        <w:ind w:left="340" w:hanging="332"/>
        <w:spacing w:after="0" w:line="308"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 or product candidates;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will not develop, manufacture and/or commercialize similar or alternative products or technologies that do not infringe our patents;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144"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i w:val="1"/>
          <w:iCs w:val="1"/>
          <w:color w:val="auto"/>
        </w:rPr>
        <w:t>We may become subject to third party claims alleging infringement, misappropriation or violation of such third parties’ patents or other intellectual property rights and/or third party claims seeking to invalidate our patents, which would be costly, time consuming and, if successfully asserted against us, delay or prevent the development, manufacture or commercialization of our products or product candidates.</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0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addition to infringement claims against us, third parties may also raise similar claims before administrative bodies in the United States or abroad. Such mechanisms include reexamination, post grant review, inter parties review, derivation or opposition proceedings before the United States Patent and Trademark Office (the “USPTO”) or other jurisdictional body relating to our intellectual property rights or the intellectual property rights of others.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If our intellectual property related to IBSRELA, XPHOZAH, RDX013 or any future product candidates is not adequate or if we are not able to successfully enforce our intellectual property rights, the commercial value of IBSRELA, or our product candidates may be adversely affected and we may not be able to compete effectively in our market.</w:t>
      </w: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would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99" w:lineRule="exact"/>
        <w:rPr>
          <w:sz w:val="20"/>
          <w:szCs w:val="20"/>
          <w:color w:val="auto"/>
        </w:rPr>
      </w:pPr>
    </w:p>
    <w:p>
      <w:pPr>
        <w:jc w:val="both"/>
        <w:spacing w:after="0" w:line="377"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marketing exclusivity for IBSRELA or our product candidates, our business may be materially harmed.</w:t>
      </w:r>
    </w:p>
    <w:p>
      <w:pPr>
        <w:spacing w:after="0" w:line="15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79"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20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9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30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98"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commercialization of IBSRELA;</w:t>
      </w:r>
    </w:p>
    <w:p>
      <w:pPr>
        <w:spacing w:after="0" w:line="144" w:lineRule="exact"/>
        <w:rPr>
          <w:rFonts w:ascii="Arial" w:cs="Arial" w:eastAsia="Arial" w:hAnsi="Arial"/>
          <w:sz w:val="18"/>
          <w:szCs w:val="18"/>
          <w:color w:val="auto"/>
        </w:rPr>
      </w:pPr>
    </w:p>
    <w:p>
      <w:pPr>
        <w:ind w:left="340" w:hanging="332"/>
        <w:spacing w:after="0" w:line="341"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or lack of success with regards to the Advisory Committee meeting convened as a part of our FDR related to our NDA seeking marketing approval for tenapanor for the Hyperphosphatemia Indication, and announcements of regulatory decisions regarding our NDA;</w:t>
      </w:r>
    </w:p>
    <w:p>
      <w:pPr>
        <w:spacing w:after="0" w:line="38" w:lineRule="exact"/>
        <w:rPr>
          <w:rFonts w:ascii="Arial" w:cs="Arial" w:eastAsia="Arial" w:hAnsi="Arial"/>
          <w:sz w:val="17"/>
          <w:szCs w:val="17"/>
          <w:color w:val="auto"/>
        </w:rPr>
      </w:pPr>
    </w:p>
    <w:p>
      <w:pPr>
        <w:ind w:left="340" w:right="20" w:hanging="332"/>
        <w:spacing w:after="0" w:line="30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regarding any potential receipt from Nasdaq of notice regarding lack of compliance with the listing requirements of Nasdaq or a de-listing of our common stock;</w:t>
      </w:r>
    </w:p>
    <w:p>
      <w:pPr>
        <w:spacing w:after="0" w:line="62"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contract manufacturing organizations, or specific label restrictions or patient populations for XPHOZAH’s use, if approved, or changes or delays in the regulatory review process;</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regarding whether XPHOZAH, if approved, alone or with other oral only medications, will be included in the bundled prospective payment system for the treatment of ESRD patients, and the time and manner in which such transition is achieved;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commercial launch of IBSRELA, or the clinical development and commercialization of any of our product candidates;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8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209"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79"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For example,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20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09" w:lineRule="exact"/>
        <w:rPr>
          <w:sz w:val="20"/>
          <w:szCs w:val="20"/>
          <w:color w:val="auto"/>
        </w:rPr>
      </w:pPr>
    </w:p>
    <w:p>
      <w:pPr>
        <w:ind w:left="340" w:right="20" w:hanging="332"/>
        <w:spacing w:after="0" w:line="308"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340" w:hanging="332"/>
        <w:spacing w:after="0" w:line="377"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44"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167"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jc w:val="both"/>
        <w:ind w:left="340" w:hanging="332"/>
        <w:spacing w:after="0" w:line="295"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8"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98" w:lineRule="exact"/>
        <w:rPr>
          <w:sz w:val="20"/>
          <w:szCs w:val="20"/>
          <w:color w:val="auto"/>
        </w:rPr>
      </w:pPr>
    </w:p>
    <w:p>
      <w:pPr>
        <w:jc w:val="both"/>
        <w:ind w:left="340" w:hanging="332"/>
        <w:spacing w:after="0" w:line="290"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4" w:lineRule="exact"/>
        <w:rPr>
          <w:rFonts w:ascii="Arial" w:cs="Arial" w:eastAsia="Arial" w:hAnsi="Arial"/>
          <w:sz w:val="18"/>
          <w:szCs w:val="18"/>
          <w:color w:val="auto"/>
        </w:rPr>
      </w:pPr>
    </w:p>
    <w:p>
      <w:pPr>
        <w:ind w:left="340" w:hanging="332"/>
        <w:spacing w:after="0" w:line="341"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8" w:lineRule="exact"/>
        <w:rPr>
          <w:rFonts w:ascii="Arial" w:cs="Arial" w:eastAsia="Arial" w:hAnsi="Arial"/>
          <w:sz w:val="17"/>
          <w:szCs w:val="17"/>
          <w:color w:val="auto"/>
        </w:rPr>
      </w:pPr>
    </w:p>
    <w:p>
      <w:pPr>
        <w:jc w:val="both"/>
        <w:ind w:left="340" w:hanging="332"/>
        <w:spacing w:after="0" w:line="295"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73"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63"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98"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February 23, 2022, we entered into a loan and security agreement pursuant to which the Lenders agreed to provide us a loan facility for up to $50.0 million. Covenants in the loan and security agreement limit our ability to pay dividends or make other distributions. For additional information refer to “NOTE 8. BORROWING” in the notes to our condensed financial statements in Part I, Item 1, </w:t>
      </w:r>
      <w:r>
        <w:rPr>
          <w:rFonts w:ascii="Arial" w:cs="Arial" w:eastAsia="Arial" w:hAnsi="Arial"/>
          <w:sz w:val="18"/>
          <w:szCs w:val="18"/>
          <w:i w:val="1"/>
          <w:iCs w:val="1"/>
          <w:color w:val="auto"/>
        </w:rPr>
        <w:t>Notes to Condensed Financial Statements</w:t>
      </w:r>
      <w:r>
        <w:rPr>
          <w:rFonts w:ascii="Arial" w:cs="Arial" w:eastAsia="Arial" w:hAnsi="Arial"/>
          <w:sz w:val="18"/>
          <w:szCs w:val="18"/>
          <w:color w:val="auto"/>
        </w:rPr>
        <w:t>, of this Quarterly Report on Form 10-Q.</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2022 Loan Agreement with SLR Investment Corp. provides us the right to borrow an additional $22.5 million on or prior to July 25, 2023; provided that (i) we have achieved certain product revenue milestone targets described in the 2022 Loan Agreement and (ii) that we have received approval by the FDA for our NDA for the Hyperphosphatemia Indication by a particular date. On August 1, 2022, we entered into an amendment to the 2022 Loan Agreement to extend the date for approval of our NDA for the Hyperphosphatemia Indication from December 31, 2022 to March 31, 2023.</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5700" w:type="dxa"/>
            <w:vAlign w:val="bottom"/>
            <w:gridSpan w:val="13"/>
          </w:tcPr>
          <w:p>
            <w:pPr>
              <w:ind w:left="80"/>
              <w:spacing w:after="0"/>
              <w:rPr>
                <w:sz w:val="20"/>
                <w:szCs w:val="20"/>
                <w:color w:val="auto"/>
              </w:rPr>
            </w:pPr>
            <w:r>
              <w:rPr>
                <w:rFonts w:ascii="Arial" w:cs="Arial" w:eastAsia="Arial" w:hAnsi="Arial"/>
                <w:sz w:val="18"/>
                <w:szCs w:val="18"/>
                <w:b w:val="1"/>
                <w:bCs w:val="1"/>
                <w:color w:val="auto"/>
              </w:rPr>
              <w:t>Exhibits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500" w:type="dxa"/>
            <w:vAlign w:val="bottom"/>
            <w:gridSpan w:val="10"/>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1"/>
                <w:szCs w:val="11"/>
                <w:color w:val="auto"/>
              </w:rPr>
            </w:pP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1"/>
                <w:szCs w:val="11"/>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20" w:type="dxa"/>
            <w:vAlign w:val="bottom"/>
            <w:vMerge w:val="restart"/>
          </w:tcPr>
          <w:p>
            <w:pPr>
              <w:spacing w:after="0"/>
              <w:rPr>
                <w:sz w:val="11"/>
                <w:szCs w:val="11"/>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0"/>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2"/>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54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Royalty and Sales Milestone Interest Acquisition Agreement dated June 29,</w:t>
              </w:r>
            </w:hyperlink>
          </w:p>
        </w:tc>
        <w:tc>
          <w:tcPr>
            <w:tcW w:w="24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gridSpan w:val="13"/>
          </w:tcPr>
          <w:p>
            <w:pPr>
              <w:spacing w:after="0" w:line="156" w:lineRule="exact"/>
              <w:rPr>
                <w:rFonts w:ascii="Arial" w:cs="Arial" w:eastAsia="Arial" w:hAnsi="Arial"/>
                <w:sz w:val="18"/>
                <w:szCs w:val="18"/>
                <w:color w:val="0000FF"/>
                <w:w w:val="93"/>
              </w:rPr>
            </w:pPr>
            <w:hyperlink w:anchor="page82">
              <w:r>
                <w:rPr>
                  <w:rFonts w:ascii="Arial" w:cs="Arial" w:eastAsia="Arial" w:hAnsi="Arial"/>
                  <w:sz w:val="18"/>
                  <w:szCs w:val="18"/>
                  <w:color w:val="0000FF"/>
                  <w:w w:val="93"/>
                </w:rPr>
                <w:t>2022, by and between Ardelyx, Inc. and Healthcare Royalty Partners IV, L.P.</w:t>
              </w:r>
            </w:hyperlink>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w w:val="92"/>
              </w:rPr>
            </w:pPr>
            <w:hyperlink w:anchor="page139">
              <w:r>
                <w:rPr>
                  <w:rFonts w:ascii="Arial" w:cs="Arial" w:eastAsia="Arial" w:hAnsi="Arial"/>
                  <w:sz w:val="18"/>
                  <w:szCs w:val="18"/>
                  <w:color w:val="0000FF"/>
                  <w:w w:val="92"/>
                </w:rPr>
                <w:t>First Amendment to the Loan and Security Agreement dated August 1, 2022,</w:t>
              </w:r>
            </w:hyperlink>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39">
              <w:r>
                <w:rPr>
                  <w:rFonts w:ascii="Arial" w:cs="Arial" w:eastAsia="Arial" w:hAnsi="Arial"/>
                  <w:sz w:val="18"/>
                  <w:szCs w:val="18"/>
                  <w:color w:val="0000FF"/>
                </w:rPr>
                <w:t>by and between Ardelyx, Inc. and SLR Investment Corp.</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w w:val="99"/>
              </w:rPr>
            </w:pPr>
            <w:hyperlink w:anchor="page142">
              <w:r>
                <w:rPr>
                  <w:rFonts w:ascii="Arial" w:cs="Arial" w:eastAsia="Arial" w:hAnsi="Arial"/>
                  <w:sz w:val="18"/>
                  <w:szCs w:val="18"/>
                  <w:color w:val="0000FF"/>
                  <w:w w:val="99"/>
                </w:rPr>
                <w:t>Second Amended and Restated Non-Employee Director Compensation</w:t>
              </w:r>
            </w:hyperlink>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42">
              <w:r>
                <w:rPr>
                  <w:rFonts w:ascii="Arial" w:cs="Arial" w:eastAsia="Arial" w:hAnsi="Arial"/>
                  <w:sz w:val="18"/>
                  <w:szCs w:val="18"/>
                  <w:color w:val="0000FF"/>
                </w:rPr>
                <w:t>Program</w:t>
              </w:r>
            </w:hyperlink>
          </w:p>
        </w:tc>
        <w:tc>
          <w:tcPr>
            <w:tcW w:w="46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Certification of Chief Executive Officer Pursuant to Section 302 of the</w:t>
              </w:r>
            </w:hyperlink>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45">
              <w:r>
                <w:rPr>
                  <w:rFonts w:ascii="Arial" w:cs="Arial" w:eastAsia="Arial" w:hAnsi="Arial"/>
                  <w:sz w:val="18"/>
                  <w:szCs w:val="18"/>
                  <w:color w:val="0000FF"/>
                </w:rPr>
                <w:t>Sarbanes-Oxley Act of 2002.</w:t>
              </w:r>
            </w:hyperlink>
          </w:p>
        </w:tc>
        <w:tc>
          <w:tcPr>
            <w:tcW w:w="48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Certification of Chief Financial Officer Pursuant to Section 302 of the</w:t>
              </w:r>
            </w:hyperlink>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46">
              <w:r>
                <w:rPr>
                  <w:rFonts w:ascii="Arial" w:cs="Arial" w:eastAsia="Arial" w:hAnsi="Arial"/>
                  <w:sz w:val="18"/>
                  <w:szCs w:val="18"/>
                  <w:color w:val="0000FF"/>
                </w:rPr>
                <w:t>Sarbanes-Oxley Act of 2002.</w:t>
              </w:r>
            </w:hyperlink>
          </w:p>
        </w:tc>
        <w:tc>
          <w:tcPr>
            <w:tcW w:w="540" w:type="dxa"/>
            <w:vAlign w:val="bottom"/>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w w:val="95"/>
              </w:rPr>
            </w:pPr>
            <w:hyperlink w:anchor="page147">
              <w:r>
                <w:rPr>
                  <w:rFonts w:ascii="Arial" w:cs="Arial" w:eastAsia="Arial" w:hAnsi="Arial"/>
                  <w:sz w:val="18"/>
                  <w:szCs w:val="18"/>
                  <w:color w:val="0000FF"/>
                  <w:w w:val="95"/>
                </w:rPr>
                <w:t>Certification of Chief Executive Officer and Chief Financial Officer Pursuant</w:t>
              </w:r>
            </w:hyperlink>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147">
              <w:r>
                <w:rPr>
                  <w:rFonts w:ascii="Arial" w:cs="Arial" w:eastAsia="Arial" w:hAnsi="Arial"/>
                  <w:sz w:val="18"/>
                  <w:szCs w:val="18"/>
                  <w:color w:val="0000FF"/>
                </w:rPr>
                <w:t>to Section 906 of the Sarbanes-Oxley Act of 2002.</w:t>
              </w:r>
            </w:hyperlink>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w w:val="96"/>
              </w:rPr>
              <w:t>The following financial statements, formatted in Inline Extensible Business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76" w:lineRule="exact"/>
              <w:rPr>
                <w:sz w:val="20"/>
                <w:szCs w:val="20"/>
                <w:color w:val="auto"/>
              </w:rPr>
            </w:pPr>
            <w:r>
              <w:rPr>
                <w:rFonts w:ascii="Arial" w:cs="Arial" w:eastAsia="Arial" w:hAnsi="Arial"/>
                <w:sz w:val="18"/>
                <w:szCs w:val="18"/>
                <w:color w:val="auto"/>
                <w:w w:val="94"/>
              </w:rPr>
              <w:t>Reporting Language (XBRL): (i) Condensed Balance Sheets as of June 30,</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76" w:lineRule="exact"/>
              <w:rPr>
                <w:sz w:val="20"/>
                <w:szCs w:val="20"/>
                <w:color w:val="auto"/>
              </w:rPr>
            </w:pPr>
            <w:r>
              <w:rPr>
                <w:rFonts w:ascii="Arial" w:cs="Arial" w:eastAsia="Arial" w:hAnsi="Arial"/>
                <w:sz w:val="18"/>
                <w:szCs w:val="18"/>
                <w:color w:val="auto"/>
                <w:w w:val="93"/>
              </w:rPr>
              <w:t>2022 and December 31, 2021, (ii) Condensed Statements of Operations and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76" w:lineRule="exact"/>
              <w:rPr>
                <w:sz w:val="20"/>
                <w:szCs w:val="20"/>
                <w:color w:val="auto"/>
              </w:rPr>
            </w:pPr>
            <w:r>
              <w:rPr>
                <w:rFonts w:ascii="Arial" w:cs="Arial" w:eastAsia="Arial" w:hAnsi="Arial"/>
                <w:sz w:val="18"/>
                <w:szCs w:val="18"/>
                <w:color w:val="auto"/>
                <w:w w:val="93"/>
              </w:rPr>
              <w:t>Comprehensive Loss for the three and six months ended June 30, 2022 and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76" w:lineRule="exact"/>
              <w:rPr>
                <w:sz w:val="20"/>
                <w:szCs w:val="20"/>
                <w:color w:val="auto"/>
              </w:rPr>
            </w:pPr>
            <w:r>
              <w:rPr>
                <w:rFonts w:ascii="Arial" w:cs="Arial" w:eastAsia="Arial" w:hAnsi="Arial"/>
                <w:sz w:val="18"/>
                <w:szCs w:val="18"/>
                <w:color w:val="auto"/>
                <w:w w:val="92"/>
              </w:rPr>
              <w:t>2021, (iii) Condensed Statements of Cash Flows for the three and six months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76" w:lineRule="exact"/>
              <w:rPr>
                <w:sz w:val="20"/>
                <w:szCs w:val="20"/>
                <w:color w:val="auto"/>
              </w:rPr>
            </w:pPr>
            <w:r>
              <w:rPr>
                <w:rFonts w:ascii="Arial" w:cs="Arial" w:eastAsia="Arial" w:hAnsi="Arial"/>
                <w:sz w:val="18"/>
                <w:szCs w:val="18"/>
                <w:color w:val="auto"/>
                <w:w w:val="98"/>
              </w:rPr>
              <w:t>ended June 30, 2022 and 2021, and (iv) Notes to Unaudited Condensed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00" w:right="4720" w:hanging="874"/>
        <w:spacing w:after="0" w:line="23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10" w:lineRule="exact"/>
        <w:rPr>
          <w:rFonts w:ascii="Arial" w:cs="Arial" w:eastAsia="Arial" w:hAnsi="Arial"/>
          <w:sz w:val="18"/>
          <w:szCs w:val="18"/>
          <w:color w:val="auto"/>
        </w:rPr>
      </w:pPr>
    </w:p>
    <w:p>
      <w:pPr>
        <w:ind w:left="340" w:right="160" w:hanging="332"/>
        <w:spacing w:after="0" w:line="235" w:lineRule="auto"/>
        <w:tabs>
          <w:tab w:leader="none" w:pos="2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229" w:lineRule="exact"/>
        <w:rPr>
          <w:sz w:val="20"/>
          <w:szCs w:val="20"/>
          <w:color w:val="auto"/>
        </w:rPr>
      </w:pPr>
    </w:p>
    <w:p>
      <w:pPr>
        <w:ind w:left="5540" w:right="3420" w:hanging="5532"/>
        <w:spacing w:after="0" w:line="903" w:lineRule="auto"/>
        <w:tabs>
          <w:tab w:leader="none" w:pos="2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management contract or management or non-employee director compensatory plan.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83" w:lineRule="exact"/>
        <w:rPr>
          <w:sz w:val="20"/>
          <w:szCs w:val="20"/>
          <w:color w:val="auto"/>
        </w:rPr>
      </w:pPr>
    </w:p>
    <w:p>
      <w:pPr>
        <w:ind w:left="20"/>
        <w:spacing w:after="0"/>
        <w:tabs>
          <w:tab w:leader="none" w:pos="5440" w:val="left"/>
          <w:tab w:leader="none" w:pos="59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261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Robert Felsch</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41" w:right="339" w:bottom="1440" w:gutter="0" w:footer="0" w:header="0"/>
        </w:sectPr>
      </w:pPr>
    </w:p>
    <w:bookmarkStart w:id="81" w:name="page82"/>
    <w:bookmarkEnd w:id="81"/>
    <w:p>
      <w:pPr>
        <w:ind w:left="1012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AND SALES MILESTONE INTEREST ACQUISITION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June 29,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HealthCare Royalty Partners IV, L.P.</w:t>
      </w:r>
    </w:p>
    <w:p>
      <w:pPr>
        <w:sectPr>
          <w:pgSz w:w="11900" w:h="16838" w:orient="portrait"/>
          <w:cols w:equalWidth="0" w:num="1">
            <w:col w:w="11240"/>
          </w:cols>
          <w:pgMar w:left="320" w:top="98" w:right="339" w:bottom="1440" w:gutter="0" w:footer="0" w:header="0"/>
        </w:sectPr>
      </w:pPr>
    </w:p>
    <w:bookmarkStart w:id="82" w:name="page83"/>
    <w:bookmarkEnd w:id="82"/>
    <w:tbl>
      <w:tblPr>
        <w:tblLayout w:type="fixed"/>
        <w:tblInd w:w="80" w:type="dxa"/>
        <w:tblCellMar>
          <w:top w:w="0" w:type="dxa"/>
          <w:left w:w="0" w:type="dxa"/>
          <w:bottom w:w="0" w:type="dxa"/>
          <w:right w:w="0" w:type="dxa"/>
        </w:tblCellMar>
      </w:tblPr>
      <w:tr>
        <w:trPr>
          <w:trHeight w:val="280"/>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0" w:type="dxa"/>
            <w:vAlign w:val="bottom"/>
            <w:gridSpan w:val="7"/>
          </w:tcPr>
          <w:p>
            <w:pPr>
              <w:ind w:left="180"/>
              <w:spacing w:after="0"/>
              <w:rPr>
                <w:sz w:val="20"/>
                <w:szCs w:val="20"/>
                <w:color w:val="auto"/>
              </w:rPr>
            </w:pPr>
            <w:r>
              <w:rPr>
                <w:rFonts w:ascii="Arial" w:cs="Arial" w:eastAsia="Arial" w:hAnsi="Arial"/>
                <w:sz w:val="22"/>
                <w:szCs w:val="22"/>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2420" w:type="dxa"/>
            <w:vAlign w:val="bottom"/>
            <w:gridSpan w:val="7"/>
          </w:tcPr>
          <w:p>
            <w:pPr>
              <w:spacing w:after="0"/>
              <w:rPr>
                <w:rFonts w:ascii="Arial" w:cs="Arial" w:eastAsia="Arial" w:hAnsi="Arial"/>
                <w:sz w:val="22"/>
                <w:szCs w:val="22"/>
                <w:color w:val="0563C1"/>
                <w:w w:val="94"/>
              </w:rPr>
            </w:pPr>
            <w:hyperlink w:anchor="page85">
              <w:r>
                <w:rPr>
                  <w:rFonts w:ascii="Arial" w:cs="Arial" w:eastAsia="Arial" w:hAnsi="Arial"/>
                  <w:sz w:val="22"/>
                  <w:szCs w:val="22"/>
                  <w:color w:val="0563C1"/>
                  <w:w w:val="94"/>
                </w:rPr>
                <w:t>ARTICLE I DEFINITIONS</w:t>
              </w:r>
            </w:hyperlink>
          </w:p>
        </w:tc>
        <w:tc>
          <w:tcPr>
            <w:tcW w:w="8180" w:type="dxa"/>
            <w:vAlign w:val="bottom"/>
            <w:gridSpan w:val="22"/>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0000FF"/>
              </w:rPr>
            </w:pPr>
            <w:hyperlink w:anchor="page85">
              <w:r>
                <w:rPr>
                  <w:rFonts w:ascii="Arial" w:cs="Arial" w:eastAsia="Arial" w:hAnsi="Arial"/>
                  <w:sz w:val="22"/>
                  <w:szCs w:val="22"/>
                  <w:color w:val="0000FF"/>
                </w:rPr>
                <w:t>1</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60" w:type="dxa"/>
            <w:vAlign w:val="bottom"/>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1.01.</w:t>
              </w:r>
            </w:hyperlink>
          </w:p>
        </w:tc>
        <w:tc>
          <w:tcPr>
            <w:tcW w:w="220" w:type="dxa"/>
            <w:vAlign w:val="bottom"/>
          </w:tcPr>
          <w:p>
            <w:pPr>
              <w:spacing w:after="0"/>
              <w:rPr>
                <w:sz w:val="21"/>
                <w:szCs w:val="21"/>
                <w:color w:val="auto"/>
              </w:rPr>
            </w:pPr>
          </w:p>
        </w:tc>
        <w:tc>
          <w:tcPr>
            <w:tcW w:w="1040" w:type="dxa"/>
            <w:vAlign w:val="bottom"/>
            <w:gridSpan w:val="5"/>
          </w:tcPr>
          <w:p>
            <w:pPr>
              <w:spacing w:after="0" w:line="250" w:lineRule="exact"/>
              <w:rPr>
                <w:rFonts w:ascii="Arial" w:cs="Arial" w:eastAsia="Arial" w:hAnsi="Arial"/>
                <w:sz w:val="22"/>
                <w:szCs w:val="22"/>
                <w:b w:val="1"/>
                <w:bCs w:val="1"/>
                <w:color w:val="0563C1"/>
                <w:w w:val="87"/>
              </w:rPr>
            </w:pPr>
            <w:hyperlink w:anchor="page85">
              <w:r>
                <w:rPr>
                  <w:rFonts w:ascii="Arial" w:cs="Arial" w:eastAsia="Arial" w:hAnsi="Arial"/>
                  <w:sz w:val="22"/>
                  <w:szCs w:val="22"/>
                  <w:b w:val="1"/>
                  <w:bCs w:val="1"/>
                  <w:color w:val="0563C1"/>
                  <w:w w:val="87"/>
                </w:rPr>
                <w:t>Definitions</w:t>
              </w:r>
            </w:hyperlink>
          </w:p>
        </w:tc>
        <w:tc>
          <w:tcPr>
            <w:tcW w:w="8180" w:type="dxa"/>
            <w:vAlign w:val="bottom"/>
            <w:gridSpan w:val="22"/>
          </w:tcPr>
          <w:p>
            <w:pPr>
              <w:spacing w:after="0"/>
              <w:rPr>
                <w:sz w:val="21"/>
                <w:szCs w:val="21"/>
                <w:color w:val="auto"/>
              </w:rPr>
            </w:pPr>
          </w:p>
        </w:tc>
        <w:tc>
          <w:tcPr>
            <w:tcW w:w="200" w:type="dxa"/>
            <w:vAlign w:val="bottom"/>
            <w:gridSpan w:val="2"/>
          </w:tcPr>
          <w:p>
            <w:pPr>
              <w:spacing w:after="0" w:line="250" w:lineRule="exact"/>
              <w:rPr>
                <w:rFonts w:ascii="Arial" w:cs="Arial" w:eastAsia="Arial" w:hAnsi="Arial"/>
                <w:sz w:val="22"/>
                <w:szCs w:val="22"/>
                <w:color w:val="0000FF"/>
              </w:rPr>
            </w:pPr>
            <w:hyperlink w:anchor="page85">
              <w:r>
                <w:rPr>
                  <w:rFonts w:ascii="Arial" w:cs="Arial" w:eastAsia="Arial" w:hAnsi="Arial"/>
                  <w:sz w:val="22"/>
                  <w:szCs w:val="22"/>
                  <w:color w:val="0000FF"/>
                </w:rPr>
                <w:t>1</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20" w:type="dxa"/>
            <w:vAlign w:val="bottom"/>
            <w:tcBorders>
              <w:bottom w:val="single" w:sz="8" w:color="0563C1"/>
            </w:tcBorders>
            <w:gridSpan w:val="25"/>
          </w:tcPr>
          <w:p>
            <w:pPr>
              <w:spacing w:after="0" w:line="250" w:lineRule="exact"/>
              <w:rPr>
                <w:rFonts w:ascii="Arial" w:cs="Arial" w:eastAsia="Arial" w:hAnsi="Arial"/>
                <w:sz w:val="22"/>
                <w:szCs w:val="22"/>
                <w:color w:val="0563C1"/>
                <w:w w:val="93"/>
              </w:rPr>
            </w:pPr>
            <w:hyperlink w:anchor="page85">
              <w:r>
                <w:rPr>
                  <w:rFonts w:ascii="Arial" w:cs="Arial" w:eastAsia="Arial" w:hAnsi="Arial"/>
                  <w:sz w:val="22"/>
                  <w:szCs w:val="22"/>
                  <w:color w:val="0563C1"/>
                  <w:w w:val="93"/>
                </w:rPr>
                <w:t>ARTICLE II ASSIGNMENT OF THE PURCHASED ASSETS</w:t>
              </w:r>
            </w:hyperlink>
          </w:p>
        </w:tc>
        <w:tc>
          <w:tcPr>
            <w:tcW w:w="5080" w:type="dxa"/>
            <w:vAlign w:val="bottom"/>
            <w:gridSpan w:val="4"/>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15</w:t>
              </w:r>
            </w:hyperlink>
          </w:p>
        </w:tc>
      </w:tr>
      <w:tr>
        <w:trPr>
          <w:trHeight w:val="250"/>
        </w:trPr>
        <w:tc>
          <w:tcPr>
            <w:tcW w:w="1160" w:type="dxa"/>
            <w:vAlign w:val="bottom"/>
            <w:tcBorders>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2.01.</w:t>
              </w:r>
            </w:hyperlink>
          </w:p>
        </w:tc>
        <w:tc>
          <w:tcPr>
            <w:tcW w:w="220" w:type="dxa"/>
            <w:vAlign w:val="bottom"/>
            <w:tcBorders>
              <w:bottom w:val="single" w:sz="8" w:color="0000FF"/>
            </w:tcBorders>
          </w:tcPr>
          <w:p>
            <w:pPr>
              <w:spacing w:after="0"/>
              <w:rPr>
                <w:sz w:val="21"/>
                <w:szCs w:val="21"/>
                <w:color w:val="auto"/>
              </w:rPr>
            </w:pPr>
          </w:p>
        </w:tc>
        <w:tc>
          <w:tcPr>
            <w:tcW w:w="1080" w:type="dxa"/>
            <w:vAlign w:val="bottom"/>
            <w:tcBorders>
              <w:bottom w:val="single" w:sz="8" w:color="0563C1"/>
            </w:tcBorders>
            <w:gridSpan w:val="6"/>
          </w:tcPr>
          <w:p>
            <w:pPr>
              <w:spacing w:after="0" w:line="250" w:lineRule="exact"/>
              <w:rPr>
                <w:rFonts w:ascii="Arial" w:cs="Arial" w:eastAsia="Arial" w:hAnsi="Arial"/>
                <w:sz w:val="22"/>
                <w:szCs w:val="22"/>
                <w:b w:val="1"/>
                <w:bCs w:val="1"/>
                <w:color w:val="0563C1"/>
                <w:w w:val="84"/>
              </w:rPr>
            </w:pPr>
            <w:hyperlink w:anchor="page85">
              <w:r>
                <w:rPr>
                  <w:rFonts w:ascii="Arial" w:cs="Arial" w:eastAsia="Arial" w:hAnsi="Arial"/>
                  <w:sz w:val="22"/>
                  <w:szCs w:val="22"/>
                  <w:b w:val="1"/>
                  <w:bCs w:val="1"/>
                  <w:color w:val="0563C1"/>
                  <w:w w:val="84"/>
                </w:rPr>
                <w:t>Assignment</w:t>
              </w:r>
            </w:hyperlink>
          </w:p>
        </w:tc>
        <w:tc>
          <w:tcPr>
            <w:tcW w:w="8140" w:type="dxa"/>
            <w:vAlign w:val="bottom"/>
            <w:gridSpan w:val="21"/>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15</w:t>
              </w:r>
            </w:hyperlink>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2.02.  Royalty Interest Payments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16</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2.03.  Payments to Seller</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16</w:t>
              </w:r>
            </w:hyperlink>
          </w:p>
        </w:tc>
      </w:tr>
      <w:tr>
        <w:trPr>
          <w:trHeight w:val="250"/>
        </w:trPr>
        <w:tc>
          <w:tcPr>
            <w:tcW w:w="1160" w:type="dxa"/>
            <w:vAlign w:val="bottom"/>
            <w:tcBorders>
              <w:top w:val="single" w:sz="8" w:color="0563C1"/>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2.04.</w:t>
              </w:r>
            </w:hyperlink>
          </w:p>
        </w:tc>
        <w:tc>
          <w:tcPr>
            <w:tcW w:w="220" w:type="dxa"/>
            <w:vAlign w:val="bottom"/>
            <w:tcBorders>
              <w:top w:val="single" w:sz="8" w:color="0000FF"/>
              <w:bottom w:val="single" w:sz="8" w:color="0000FF"/>
            </w:tcBorders>
          </w:tcPr>
          <w:p>
            <w:pPr>
              <w:spacing w:after="0"/>
              <w:rPr>
                <w:sz w:val="21"/>
                <w:szCs w:val="21"/>
                <w:color w:val="auto"/>
              </w:rPr>
            </w:pPr>
          </w:p>
        </w:tc>
        <w:tc>
          <w:tcPr>
            <w:tcW w:w="1420" w:type="dxa"/>
            <w:vAlign w:val="bottom"/>
            <w:tcBorders>
              <w:top w:val="single" w:sz="8" w:color="0563C1"/>
              <w:bottom w:val="single" w:sz="8" w:color="0563C1"/>
            </w:tcBorders>
            <w:gridSpan w:val="11"/>
          </w:tcPr>
          <w:p>
            <w:pPr>
              <w:spacing w:after="0" w:line="250" w:lineRule="exact"/>
              <w:rPr>
                <w:rFonts w:ascii="Arial" w:cs="Arial" w:eastAsia="Arial" w:hAnsi="Arial"/>
                <w:sz w:val="22"/>
                <w:szCs w:val="22"/>
                <w:b w:val="1"/>
                <w:bCs w:val="1"/>
                <w:color w:val="0563C1"/>
                <w:w w:val="86"/>
              </w:rPr>
            </w:pPr>
            <w:hyperlink w:anchor="page85">
              <w:r>
                <w:rPr>
                  <w:rFonts w:ascii="Arial" w:cs="Arial" w:eastAsia="Arial" w:hAnsi="Arial"/>
                  <w:sz w:val="22"/>
                  <w:szCs w:val="22"/>
                  <w:b w:val="1"/>
                  <w:bCs w:val="1"/>
                  <w:color w:val="0563C1"/>
                  <w:w w:val="86"/>
                </w:rPr>
                <w:t>No Assumption</w:t>
              </w:r>
            </w:hyperlink>
          </w:p>
        </w:tc>
        <w:tc>
          <w:tcPr>
            <w:tcW w:w="280" w:type="dxa"/>
            <w:vAlign w:val="bottom"/>
            <w:tcBorders>
              <w:top w:val="single" w:sz="8" w:color="0563C1"/>
            </w:tcBorders>
          </w:tcPr>
          <w:p>
            <w:pPr>
              <w:spacing w:after="0"/>
              <w:rPr>
                <w:sz w:val="21"/>
                <w:szCs w:val="21"/>
                <w:color w:val="auto"/>
              </w:rPr>
            </w:pPr>
          </w:p>
        </w:tc>
        <w:tc>
          <w:tcPr>
            <w:tcW w:w="7520" w:type="dxa"/>
            <w:vAlign w:val="bottom"/>
            <w:gridSpan w:val="15"/>
          </w:tcPr>
          <w:p>
            <w:pPr>
              <w:spacing w:after="0"/>
              <w:rPr>
                <w:sz w:val="21"/>
                <w:szCs w:val="21"/>
                <w:color w:val="auto"/>
              </w:rPr>
            </w:pPr>
          </w:p>
        </w:tc>
        <w:tc>
          <w:tcPr>
            <w:tcW w:w="200" w:type="dxa"/>
            <w:vAlign w:val="bottom"/>
            <w:tcBorders>
              <w:top w:val="single" w:sz="8" w:color="0000FF"/>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17</w:t>
              </w:r>
            </w:hyperlink>
          </w:p>
        </w:tc>
      </w:tr>
      <w:tr>
        <w:trPr>
          <w:trHeight w:val="250"/>
        </w:trPr>
        <w:tc>
          <w:tcPr>
            <w:tcW w:w="10600" w:type="dxa"/>
            <w:vAlign w:val="bottom"/>
            <w:gridSpan w:val="29"/>
          </w:tcPr>
          <w:p>
            <w:pPr>
              <w:spacing w:after="0" w:line="250" w:lineRule="exact"/>
              <w:rPr>
                <w:rFonts w:ascii="Arial" w:cs="Arial" w:eastAsia="Arial" w:hAnsi="Arial"/>
                <w:sz w:val="22"/>
                <w:szCs w:val="22"/>
                <w:color w:val="0563C1"/>
              </w:rPr>
            </w:pPr>
            <w:hyperlink w:anchor="page85">
              <w:r>
                <w:rPr>
                  <w:rFonts w:ascii="Arial" w:cs="Arial" w:eastAsia="Arial" w:hAnsi="Arial"/>
                  <w:sz w:val="22"/>
                  <w:szCs w:val="22"/>
                  <w:color w:val="0563C1"/>
                </w:rPr>
                <w:t>ARTICLE III REPRESENTATIONS AND WARRANTIES OF SELLER</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18</w:t>
              </w:r>
            </w:hyperlink>
          </w:p>
        </w:tc>
      </w:tr>
      <w:tr>
        <w:trPr>
          <w:trHeight w:val="250"/>
        </w:trPr>
        <w:tc>
          <w:tcPr>
            <w:tcW w:w="1160" w:type="dxa"/>
            <w:vAlign w:val="bottom"/>
            <w:tcBorders>
              <w:top w:val="single" w:sz="8" w:color="0563C1"/>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3.01.</w:t>
              </w:r>
            </w:hyperlink>
          </w:p>
        </w:tc>
        <w:tc>
          <w:tcPr>
            <w:tcW w:w="220" w:type="dxa"/>
            <w:vAlign w:val="bottom"/>
            <w:tcBorders>
              <w:top w:val="single" w:sz="8" w:color="0563C1"/>
              <w:bottom w:val="single" w:sz="8" w:color="0000FF"/>
            </w:tcBorders>
          </w:tcPr>
          <w:p>
            <w:pPr>
              <w:spacing w:after="0"/>
              <w:rPr>
                <w:sz w:val="21"/>
                <w:szCs w:val="21"/>
                <w:color w:val="auto"/>
              </w:rPr>
            </w:pPr>
          </w:p>
        </w:tc>
        <w:tc>
          <w:tcPr>
            <w:tcW w:w="1220" w:type="dxa"/>
            <w:vAlign w:val="bottom"/>
            <w:tcBorders>
              <w:top w:val="single" w:sz="8" w:color="0563C1"/>
              <w:bottom w:val="single" w:sz="8" w:color="0563C1"/>
            </w:tcBorders>
            <w:gridSpan w:val="8"/>
          </w:tcPr>
          <w:p>
            <w:pPr>
              <w:spacing w:after="0" w:line="250" w:lineRule="exact"/>
              <w:rPr>
                <w:rFonts w:ascii="Arial" w:cs="Arial" w:eastAsia="Arial" w:hAnsi="Arial"/>
                <w:sz w:val="22"/>
                <w:szCs w:val="22"/>
                <w:b w:val="1"/>
                <w:bCs w:val="1"/>
                <w:color w:val="0563C1"/>
                <w:w w:val="89"/>
              </w:rPr>
            </w:pPr>
            <w:hyperlink w:anchor="page85">
              <w:r>
                <w:rPr>
                  <w:rFonts w:ascii="Arial" w:cs="Arial" w:eastAsia="Arial" w:hAnsi="Arial"/>
                  <w:sz w:val="22"/>
                  <w:szCs w:val="22"/>
                  <w:b w:val="1"/>
                  <w:bCs w:val="1"/>
                  <w:color w:val="0563C1"/>
                  <w:w w:val="89"/>
                </w:rPr>
                <w:t>Organization</w:t>
              </w:r>
            </w:hyperlink>
          </w:p>
        </w:tc>
        <w:tc>
          <w:tcPr>
            <w:tcW w:w="3720" w:type="dxa"/>
            <w:vAlign w:val="bottom"/>
            <w:tcBorders>
              <w:top w:val="single" w:sz="8" w:color="0563C1"/>
            </w:tcBorders>
            <w:gridSpan w:val="18"/>
          </w:tcPr>
          <w:p>
            <w:pPr>
              <w:spacing w:after="0"/>
              <w:rPr>
                <w:sz w:val="21"/>
                <w:szCs w:val="21"/>
                <w:color w:val="auto"/>
              </w:rPr>
            </w:pPr>
          </w:p>
        </w:tc>
        <w:tc>
          <w:tcPr>
            <w:tcW w:w="4280" w:type="dxa"/>
            <w:vAlign w:val="bottom"/>
          </w:tcPr>
          <w:p>
            <w:pPr>
              <w:spacing w:after="0"/>
              <w:rPr>
                <w:sz w:val="21"/>
                <w:szCs w:val="21"/>
                <w:color w:val="auto"/>
              </w:rPr>
            </w:pPr>
          </w:p>
        </w:tc>
        <w:tc>
          <w:tcPr>
            <w:tcW w:w="200" w:type="dxa"/>
            <w:vAlign w:val="bottom"/>
            <w:tcBorders>
              <w:top w:val="single" w:sz="8" w:color="0000FF"/>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18</w:t>
              </w:r>
            </w:hyperlink>
          </w:p>
        </w:tc>
      </w:tr>
      <w:tr>
        <w:trPr>
          <w:trHeight w:val="250"/>
        </w:trPr>
        <w:tc>
          <w:tcPr>
            <w:tcW w:w="1160" w:type="dxa"/>
            <w:vAlign w:val="bottom"/>
            <w:tcBorders>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3.02.</w:t>
              </w:r>
            </w:hyperlink>
          </w:p>
        </w:tc>
        <w:tc>
          <w:tcPr>
            <w:tcW w:w="220" w:type="dxa"/>
            <w:vAlign w:val="bottom"/>
            <w:tcBorders>
              <w:bottom w:val="single" w:sz="8" w:color="0000FF"/>
            </w:tcBorders>
          </w:tcPr>
          <w:p>
            <w:pPr>
              <w:spacing w:after="0"/>
              <w:rPr>
                <w:sz w:val="21"/>
                <w:szCs w:val="21"/>
                <w:color w:val="auto"/>
              </w:rPr>
            </w:pPr>
          </w:p>
        </w:tc>
        <w:tc>
          <w:tcPr>
            <w:tcW w:w="2820" w:type="dxa"/>
            <w:vAlign w:val="bottom"/>
            <w:tcBorders>
              <w:bottom w:val="single" w:sz="8" w:color="0563C1"/>
            </w:tcBorders>
            <w:gridSpan w:val="20"/>
          </w:tcPr>
          <w:p>
            <w:pPr>
              <w:spacing w:after="0" w:line="250" w:lineRule="exact"/>
              <w:rPr>
                <w:rFonts w:ascii="Arial" w:cs="Arial" w:eastAsia="Arial" w:hAnsi="Arial"/>
                <w:sz w:val="22"/>
                <w:szCs w:val="22"/>
                <w:b w:val="1"/>
                <w:bCs w:val="1"/>
                <w:color w:val="0563C1"/>
                <w:w w:val="89"/>
              </w:rPr>
            </w:pPr>
            <w:hyperlink w:anchor="page85">
              <w:r>
                <w:rPr>
                  <w:rFonts w:ascii="Arial" w:cs="Arial" w:eastAsia="Arial" w:hAnsi="Arial"/>
                  <w:sz w:val="22"/>
                  <w:szCs w:val="22"/>
                  <w:b w:val="1"/>
                  <w:bCs w:val="1"/>
                  <w:color w:val="0563C1"/>
                  <w:w w:val="89"/>
                </w:rPr>
                <w:t>Authorizations; Enforceability</w:t>
              </w:r>
            </w:hyperlink>
          </w:p>
        </w:tc>
        <w:tc>
          <w:tcPr>
            <w:tcW w:w="6400" w:type="dxa"/>
            <w:vAlign w:val="bottom"/>
            <w:gridSpan w:val="7"/>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19</w:t>
              </w:r>
            </w:hyperlink>
          </w:p>
        </w:tc>
      </w:tr>
      <w:tr>
        <w:trPr>
          <w:trHeight w:val="250"/>
        </w:trPr>
        <w:tc>
          <w:tcPr>
            <w:tcW w:w="1160" w:type="dxa"/>
            <w:vAlign w:val="bottom"/>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3.03.</w:t>
              </w:r>
            </w:hyperlink>
          </w:p>
        </w:tc>
        <w:tc>
          <w:tcPr>
            <w:tcW w:w="220" w:type="dxa"/>
            <w:vAlign w:val="bottom"/>
          </w:tcPr>
          <w:p>
            <w:pPr>
              <w:spacing w:after="0"/>
              <w:rPr>
                <w:sz w:val="21"/>
                <w:szCs w:val="21"/>
                <w:color w:val="auto"/>
              </w:rPr>
            </w:pPr>
          </w:p>
        </w:tc>
        <w:tc>
          <w:tcPr>
            <w:tcW w:w="9220" w:type="dxa"/>
            <w:vAlign w:val="bottom"/>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Litigation</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19</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3.04.  Compliance with Laws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19</w:t>
              </w:r>
            </w:hyperlink>
          </w:p>
        </w:tc>
      </w:tr>
      <w:tr>
        <w:trPr>
          <w:trHeight w:val="250"/>
        </w:trPr>
        <w:tc>
          <w:tcPr>
            <w:tcW w:w="1160" w:type="dxa"/>
            <w:vAlign w:val="bottom"/>
            <w:tcBorders>
              <w:top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3.05.</w:t>
              </w:r>
            </w:hyperlink>
          </w:p>
        </w:tc>
        <w:tc>
          <w:tcPr>
            <w:tcW w:w="220" w:type="dxa"/>
            <w:vAlign w:val="bottom"/>
            <w:tcBorders>
              <w:top w:val="single" w:sz="8" w:color="0000FF"/>
            </w:tcBorders>
          </w:tcPr>
          <w:p>
            <w:pPr>
              <w:spacing w:after="0"/>
              <w:rPr>
                <w:sz w:val="21"/>
                <w:szCs w:val="21"/>
                <w:color w:val="auto"/>
              </w:rPr>
            </w:pPr>
          </w:p>
        </w:tc>
        <w:tc>
          <w:tcPr>
            <w:tcW w:w="2100" w:type="dxa"/>
            <w:vAlign w:val="bottom"/>
            <w:tcBorders>
              <w:top w:val="single" w:sz="8" w:color="0563C1"/>
            </w:tcBorders>
            <w:gridSpan w:val="16"/>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Conflicts</w:t>
              </w:r>
            </w:hyperlink>
          </w:p>
        </w:tc>
        <w:tc>
          <w:tcPr>
            <w:tcW w:w="7120" w:type="dxa"/>
            <w:vAlign w:val="bottom"/>
            <w:gridSpan w:val="11"/>
          </w:tcPr>
          <w:p>
            <w:pPr>
              <w:spacing w:after="0"/>
              <w:rPr>
                <w:sz w:val="21"/>
                <w:szCs w:val="21"/>
                <w:color w:val="auto"/>
              </w:rPr>
            </w:pPr>
          </w:p>
        </w:tc>
        <w:tc>
          <w:tcPr>
            <w:tcW w:w="200" w:type="dxa"/>
            <w:vAlign w:val="bottom"/>
            <w:tcBorders>
              <w:top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20</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Borders>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3.06.</w:t>
              </w:r>
            </w:hyperlink>
          </w:p>
        </w:tc>
        <w:tc>
          <w:tcPr>
            <w:tcW w:w="220" w:type="dxa"/>
            <w:vAlign w:val="bottom"/>
            <w:tcBorders>
              <w:bottom w:val="single" w:sz="8" w:color="0563C1"/>
            </w:tcBorders>
          </w:tcPr>
          <w:p>
            <w:pPr>
              <w:spacing w:after="0"/>
              <w:rPr>
                <w:sz w:val="21"/>
                <w:szCs w:val="21"/>
                <w:color w:val="auto"/>
              </w:rPr>
            </w:pPr>
          </w:p>
        </w:tc>
        <w:tc>
          <w:tcPr>
            <w:tcW w:w="1040" w:type="dxa"/>
            <w:vAlign w:val="bottom"/>
            <w:tcBorders>
              <w:bottom w:val="single" w:sz="8" w:color="0563C1"/>
            </w:tcBorders>
            <w:gridSpan w:val="5"/>
          </w:tcPr>
          <w:p>
            <w:pPr>
              <w:spacing w:after="0" w:line="250" w:lineRule="exact"/>
              <w:rPr>
                <w:rFonts w:ascii="Arial" w:cs="Arial" w:eastAsia="Arial" w:hAnsi="Arial"/>
                <w:sz w:val="22"/>
                <w:szCs w:val="22"/>
                <w:b w:val="1"/>
                <w:bCs w:val="1"/>
                <w:color w:val="0563C1"/>
                <w:w w:val="87"/>
              </w:rPr>
            </w:pPr>
            <w:hyperlink w:anchor="page85">
              <w:r>
                <w:rPr>
                  <w:rFonts w:ascii="Arial" w:cs="Arial" w:eastAsia="Arial" w:hAnsi="Arial"/>
                  <w:sz w:val="22"/>
                  <w:szCs w:val="22"/>
                  <w:b w:val="1"/>
                  <w:bCs w:val="1"/>
                  <w:color w:val="0563C1"/>
                  <w:w w:val="87"/>
                </w:rPr>
                <w:t>Ownership</w:t>
              </w:r>
            </w:hyperlink>
          </w:p>
        </w:tc>
        <w:tc>
          <w:tcPr>
            <w:tcW w:w="8180" w:type="dxa"/>
            <w:vAlign w:val="bottom"/>
            <w:gridSpan w:val="22"/>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20</w:t>
              </w:r>
            </w:hyperlink>
          </w:p>
        </w:tc>
      </w:tr>
      <w:tr>
        <w:trPr>
          <w:trHeight w:val="250"/>
        </w:trPr>
        <w:tc>
          <w:tcPr>
            <w:tcW w:w="1160" w:type="dxa"/>
            <w:vAlign w:val="bottom"/>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3.07.</w:t>
              </w:r>
            </w:hyperlink>
          </w:p>
        </w:tc>
        <w:tc>
          <w:tcPr>
            <w:tcW w:w="220" w:type="dxa"/>
            <w:vAlign w:val="bottom"/>
          </w:tcPr>
          <w:p>
            <w:pPr>
              <w:spacing w:after="0"/>
              <w:rPr>
                <w:sz w:val="21"/>
                <w:szCs w:val="21"/>
                <w:color w:val="auto"/>
              </w:rPr>
            </w:pPr>
          </w:p>
        </w:tc>
        <w:tc>
          <w:tcPr>
            <w:tcW w:w="9220" w:type="dxa"/>
            <w:vAlign w:val="bottom"/>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Subordination</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21</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Borders>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3.08.</w:t>
              </w:r>
            </w:hyperlink>
          </w:p>
        </w:tc>
        <w:tc>
          <w:tcPr>
            <w:tcW w:w="220" w:type="dxa"/>
            <w:vAlign w:val="bottom"/>
            <w:tcBorders>
              <w:bottom w:val="single" w:sz="8" w:color="0563C1"/>
            </w:tcBorders>
          </w:tcPr>
          <w:p>
            <w:pPr>
              <w:spacing w:after="0"/>
              <w:rPr>
                <w:sz w:val="21"/>
                <w:szCs w:val="21"/>
                <w:color w:val="auto"/>
              </w:rPr>
            </w:pPr>
          </w:p>
        </w:tc>
        <w:tc>
          <w:tcPr>
            <w:tcW w:w="1820" w:type="dxa"/>
            <w:vAlign w:val="bottom"/>
            <w:tcBorders>
              <w:bottom w:val="single" w:sz="8" w:color="0563C1"/>
            </w:tcBorders>
            <w:gridSpan w:val="13"/>
          </w:tcPr>
          <w:p>
            <w:pPr>
              <w:spacing w:after="0" w:line="250" w:lineRule="exact"/>
              <w:rPr>
                <w:rFonts w:ascii="Arial" w:cs="Arial" w:eastAsia="Arial" w:hAnsi="Arial"/>
                <w:sz w:val="22"/>
                <w:szCs w:val="22"/>
                <w:b w:val="1"/>
                <w:bCs w:val="1"/>
                <w:color w:val="0563C1"/>
                <w:w w:val="87"/>
              </w:rPr>
            </w:pPr>
            <w:hyperlink w:anchor="page85">
              <w:r>
                <w:rPr>
                  <w:rFonts w:ascii="Arial" w:cs="Arial" w:eastAsia="Arial" w:hAnsi="Arial"/>
                  <w:sz w:val="22"/>
                  <w:szCs w:val="22"/>
                  <w:b w:val="1"/>
                  <w:bCs w:val="1"/>
                  <w:color w:val="0563C1"/>
                  <w:w w:val="87"/>
                </w:rPr>
                <w:t>License Agreement</w:t>
              </w:r>
            </w:hyperlink>
          </w:p>
        </w:tc>
        <w:tc>
          <w:tcPr>
            <w:tcW w:w="7400" w:type="dxa"/>
            <w:vAlign w:val="bottom"/>
            <w:gridSpan w:val="14"/>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21</w:t>
              </w:r>
            </w:hyperlink>
          </w:p>
        </w:tc>
      </w:tr>
      <w:tr>
        <w:trPr>
          <w:trHeight w:val="250"/>
        </w:trPr>
        <w:tc>
          <w:tcPr>
            <w:tcW w:w="1380" w:type="dxa"/>
            <w:vAlign w:val="bottom"/>
            <w:gridSpan w:val="2"/>
          </w:tcPr>
          <w:p>
            <w:pPr>
              <w:spacing w:after="0" w:line="250" w:lineRule="exact"/>
              <w:rPr>
                <w:rFonts w:ascii="Arial" w:cs="Arial" w:eastAsia="Arial" w:hAnsi="Arial"/>
                <w:sz w:val="22"/>
                <w:szCs w:val="22"/>
                <w:b w:val="1"/>
                <w:bCs w:val="1"/>
                <w:color w:val="0563C1"/>
                <w:w w:val="99"/>
              </w:rPr>
            </w:pPr>
            <w:hyperlink w:anchor="page85">
              <w:r>
                <w:rPr>
                  <w:rFonts w:ascii="Arial" w:cs="Arial" w:eastAsia="Arial" w:hAnsi="Arial"/>
                  <w:sz w:val="22"/>
                  <w:szCs w:val="22"/>
                  <w:b w:val="1"/>
                  <w:bCs w:val="1"/>
                  <w:color w:val="0563C1"/>
                  <w:w w:val="99"/>
                </w:rPr>
                <w:t>Section 3.09.</w:t>
              </w:r>
            </w:hyperlink>
          </w:p>
        </w:tc>
        <w:tc>
          <w:tcPr>
            <w:tcW w:w="9220" w:type="dxa"/>
            <w:vAlign w:val="bottom"/>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Production Agreements.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23</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00" w:type="dxa"/>
            <w:vAlign w:val="bottom"/>
            <w:tcBorders>
              <w:left w:val="single" w:sz="8" w:color="0563C1"/>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3.10.  Net Sales; Milestones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25</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380" w:type="dxa"/>
            <w:vAlign w:val="bottom"/>
            <w:gridSpan w:val="2"/>
          </w:tcPr>
          <w:p>
            <w:pPr>
              <w:spacing w:after="0" w:line="250" w:lineRule="exact"/>
              <w:rPr>
                <w:rFonts w:ascii="Arial" w:cs="Arial" w:eastAsia="Arial" w:hAnsi="Arial"/>
                <w:sz w:val="22"/>
                <w:szCs w:val="22"/>
                <w:b w:val="1"/>
                <w:bCs w:val="1"/>
                <w:color w:val="0563C1"/>
                <w:w w:val="99"/>
              </w:rPr>
            </w:pPr>
            <w:hyperlink w:anchor="page85">
              <w:r>
                <w:rPr>
                  <w:rFonts w:ascii="Arial" w:cs="Arial" w:eastAsia="Arial" w:hAnsi="Arial"/>
                  <w:sz w:val="22"/>
                  <w:szCs w:val="22"/>
                  <w:b w:val="1"/>
                  <w:bCs w:val="1"/>
                  <w:color w:val="0563C1"/>
                  <w:w w:val="99"/>
                </w:rPr>
                <w:t>Section 3.11.</w:t>
              </w:r>
            </w:hyperlink>
          </w:p>
        </w:tc>
        <w:tc>
          <w:tcPr>
            <w:tcW w:w="9220" w:type="dxa"/>
            <w:vAlign w:val="bottom"/>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Broker’s Fees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25</w:t>
              </w:r>
            </w:hyperlink>
          </w:p>
        </w:tc>
      </w:tr>
      <w:tr>
        <w:trPr>
          <w:trHeight w:val="20"/>
        </w:trPr>
        <w:tc>
          <w:tcPr>
            <w:tcW w:w="1160" w:type="dxa"/>
            <w:vAlign w:val="bottom"/>
            <w:tcBorders>
              <w:right w:val="single" w:sz="8" w:color="0000FF"/>
            </w:tcBorders>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3.12.</w:t>
              </w:r>
            </w:hyperlink>
          </w:p>
        </w:tc>
        <w:tc>
          <w:tcPr>
            <w:tcW w:w="220" w:type="dxa"/>
            <w:vAlign w:val="bottom"/>
          </w:tcPr>
          <w:p>
            <w:pPr>
              <w:spacing w:after="0"/>
              <w:rPr>
                <w:sz w:val="21"/>
                <w:szCs w:val="21"/>
                <w:color w:val="auto"/>
              </w:rPr>
            </w:pPr>
          </w:p>
        </w:tc>
        <w:tc>
          <w:tcPr>
            <w:tcW w:w="9220" w:type="dxa"/>
            <w:vAlign w:val="bottom"/>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Information</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26</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5300" w:type="dxa"/>
            <w:vAlign w:val="bottom"/>
            <w:tcBorders>
              <w:bottom w:val="single" w:sz="8" w:color="0563C1"/>
            </w:tcBorders>
            <w:gridSpan w:val="24"/>
          </w:tcPr>
          <w:p>
            <w:pPr>
              <w:spacing w:after="0" w:line="250" w:lineRule="exact"/>
              <w:rPr>
                <w:rFonts w:ascii="Arial" w:cs="Arial" w:eastAsia="Arial" w:hAnsi="Arial"/>
                <w:sz w:val="22"/>
                <w:szCs w:val="22"/>
                <w:b w:val="1"/>
                <w:bCs w:val="1"/>
                <w:color w:val="0563C1"/>
                <w:w w:val="90"/>
              </w:rPr>
            </w:pPr>
            <w:hyperlink w:anchor="page85">
              <w:r>
                <w:rPr>
                  <w:rFonts w:ascii="Arial" w:cs="Arial" w:eastAsia="Arial" w:hAnsi="Arial"/>
                  <w:sz w:val="22"/>
                  <w:szCs w:val="22"/>
                  <w:b w:val="1"/>
                  <w:bCs w:val="1"/>
                  <w:color w:val="0563C1"/>
                  <w:w w:val="90"/>
                </w:rPr>
                <w:t>Section 3.13.  Insolvency Event; Material Adverse Effect</w:t>
              </w:r>
            </w:hyperlink>
          </w:p>
        </w:tc>
        <w:tc>
          <w:tcPr>
            <w:tcW w:w="5300" w:type="dxa"/>
            <w:vAlign w:val="bottom"/>
            <w:gridSpan w:val="5"/>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26</w:t>
              </w:r>
            </w:hyperlink>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3.14.  Indebtedness and Liens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26</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tcBorders>
              <w:right w:val="single" w:sz="8" w:color="0563C1"/>
            </w:tcBorders>
            <w:gridSpan w:val="3"/>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3.15.  Intellectual Property Rights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26</w:t>
              </w:r>
            </w:hyperlink>
          </w:p>
        </w:tc>
      </w:tr>
      <w:tr>
        <w:trPr>
          <w:trHeight w:val="250"/>
        </w:trPr>
        <w:tc>
          <w:tcPr>
            <w:tcW w:w="1160" w:type="dxa"/>
            <w:vAlign w:val="bottom"/>
            <w:tcBorders>
              <w:top w:val="single" w:sz="8" w:color="0563C1"/>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3.16.</w:t>
              </w:r>
            </w:hyperlink>
          </w:p>
        </w:tc>
        <w:tc>
          <w:tcPr>
            <w:tcW w:w="220" w:type="dxa"/>
            <w:vAlign w:val="bottom"/>
            <w:tcBorders>
              <w:top w:val="single" w:sz="8" w:color="0563C1"/>
              <w:bottom w:val="single" w:sz="8" w:color="0000FF"/>
            </w:tcBorders>
          </w:tcPr>
          <w:p>
            <w:pPr>
              <w:spacing w:after="0"/>
              <w:rPr>
                <w:sz w:val="21"/>
                <w:szCs w:val="21"/>
                <w:color w:val="auto"/>
              </w:rPr>
            </w:pPr>
          </w:p>
        </w:tc>
        <w:tc>
          <w:tcPr>
            <w:tcW w:w="1120" w:type="dxa"/>
            <w:vAlign w:val="bottom"/>
            <w:tcBorders>
              <w:top w:val="single" w:sz="8" w:color="0563C1"/>
              <w:bottom w:val="single" w:sz="8" w:color="0563C1"/>
            </w:tcBorders>
            <w:gridSpan w:val="7"/>
          </w:tcPr>
          <w:p>
            <w:pPr>
              <w:spacing w:after="0" w:line="250" w:lineRule="exact"/>
              <w:rPr>
                <w:rFonts w:ascii="Arial" w:cs="Arial" w:eastAsia="Arial" w:hAnsi="Arial"/>
                <w:sz w:val="22"/>
                <w:szCs w:val="22"/>
                <w:b w:val="1"/>
                <w:bCs w:val="1"/>
                <w:color w:val="0563C1"/>
                <w:w w:val="86"/>
              </w:rPr>
            </w:pPr>
            <w:hyperlink w:anchor="page85">
              <w:r>
                <w:rPr>
                  <w:rFonts w:ascii="Arial" w:cs="Arial" w:eastAsia="Arial" w:hAnsi="Arial"/>
                  <w:sz w:val="22"/>
                  <w:szCs w:val="22"/>
                  <w:b w:val="1"/>
                  <w:bCs w:val="1"/>
                  <w:color w:val="0563C1"/>
                  <w:w w:val="86"/>
                </w:rPr>
                <w:t>Compliance</w:t>
              </w:r>
            </w:hyperlink>
          </w:p>
        </w:tc>
        <w:tc>
          <w:tcPr>
            <w:tcW w:w="1440" w:type="dxa"/>
            <w:vAlign w:val="bottom"/>
            <w:tcBorders>
              <w:top w:val="single" w:sz="8" w:color="0563C1"/>
            </w:tcBorders>
            <w:gridSpan w:val="12"/>
          </w:tcPr>
          <w:p>
            <w:pPr>
              <w:spacing w:after="0"/>
              <w:rPr>
                <w:sz w:val="21"/>
                <w:szCs w:val="21"/>
                <w:color w:val="auto"/>
              </w:rPr>
            </w:pPr>
          </w:p>
        </w:tc>
        <w:tc>
          <w:tcPr>
            <w:tcW w:w="6660" w:type="dxa"/>
            <w:vAlign w:val="bottom"/>
            <w:gridSpan w:val="8"/>
          </w:tcPr>
          <w:p>
            <w:pPr>
              <w:spacing w:after="0"/>
              <w:rPr>
                <w:sz w:val="21"/>
                <w:szCs w:val="21"/>
                <w:color w:val="auto"/>
              </w:rPr>
            </w:pPr>
          </w:p>
        </w:tc>
        <w:tc>
          <w:tcPr>
            <w:tcW w:w="200" w:type="dxa"/>
            <w:vAlign w:val="bottom"/>
            <w:tcBorders>
              <w:top w:val="single" w:sz="8" w:color="0000FF"/>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29</w:t>
              </w:r>
            </w:hyperlink>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3.17.  Exploitation; Material Information</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29</w:t>
              </w:r>
            </w:hyperlink>
          </w:p>
        </w:tc>
      </w:tr>
      <w:tr>
        <w:trPr>
          <w:trHeight w:val="250"/>
        </w:trPr>
        <w:tc>
          <w:tcPr>
            <w:tcW w:w="1160" w:type="dxa"/>
            <w:vAlign w:val="bottom"/>
            <w:tcBorders>
              <w:top w:val="single" w:sz="8" w:color="0563C1"/>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3.18.</w:t>
              </w:r>
            </w:hyperlink>
          </w:p>
        </w:tc>
        <w:tc>
          <w:tcPr>
            <w:tcW w:w="220" w:type="dxa"/>
            <w:vAlign w:val="bottom"/>
            <w:tcBorders>
              <w:top w:val="single" w:sz="8" w:color="0000FF"/>
              <w:bottom w:val="single" w:sz="8" w:color="0000FF"/>
            </w:tcBorders>
          </w:tcPr>
          <w:p>
            <w:pPr>
              <w:spacing w:after="0"/>
              <w:rPr>
                <w:sz w:val="21"/>
                <w:szCs w:val="21"/>
                <w:color w:val="auto"/>
              </w:rPr>
            </w:pPr>
          </w:p>
        </w:tc>
        <w:tc>
          <w:tcPr>
            <w:tcW w:w="520" w:type="dxa"/>
            <w:vAlign w:val="bottom"/>
            <w:tcBorders>
              <w:top w:val="single" w:sz="8" w:color="0563C1"/>
              <w:bottom w:val="single" w:sz="8" w:color="0563C1"/>
            </w:tcBorders>
          </w:tcPr>
          <w:p>
            <w:pPr>
              <w:spacing w:after="0" w:line="250" w:lineRule="exact"/>
              <w:rPr>
                <w:rFonts w:ascii="Arial" w:cs="Arial" w:eastAsia="Arial" w:hAnsi="Arial"/>
                <w:sz w:val="22"/>
                <w:szCs w:val="22"/>
                <w:b w:val="1"/>
                <w:bCs w:val="1"/>
                <w:color w:val="0563C1"/>
                <w:w w:val="80"/>
              </w:rPr>
            </w:pPr>
            <w:hyperlink w:anchor="page85">
              <w:r>
                <w:rPr>
                  <w:rFonts w:ascii="Arial" w:cs="Arial" w:eastAsia="Arial" w:hAnsi="Arial"/>
                  <w:sz w:val="22"/>
                  <w:szCs w:val="22"/>
                  <w:b w:val="1"/>
                  <w:bCs w:val="1"/>
                  <w:color w:val="0563C1"/>
                  <w:w w:val="80"/>
                </w:rPr>
                <w:t>Taxes</w:t>
              </w:r>
            </w:hyperlink>
          </w:p>
        </w:tc>
        <w:tc>
          <w:tcPr>
            <w:tcW w:w="2720" w:type="dxa"/>
            <w:vAlign w:val="bottom"/>
            <w:tcBorders>
              <w:top w:val="single" w:sz="8" w:color="0563C1"/>
            </w:tcBorders>
            <w:gridSpan w:val="20"/>
          </w:tcPr>
          <w:p>
            <w:pPr>
              <w:spacing w:after="0"/>
              <w:rPr>
                <w:sz w:val="21"/>
                <w:szCs w:val="21"/>
                <w:color w:val="auto"/>
              </w:rPr>
            </w:pPr>
          </w:p>
        </w:tc>
        <w:tc>
          <w:tcPr>
            <w:tcW w:w="5980" w:type="dxa"/>
            <w:vAlign w:val="bottom"/>
            <w:gridSpan w:val="6"/>
          </w:tcPr>
          <w:p>
            <w:pPr>
              <w:spacing w:after="0"/>
              <w:rPr>
                <w:sz w:val="21"/>
                <w:szCs w:val="21"/>
                <w:color w:val="auto"/>
              </w:rPr>
            </w:pPr>
          </w:p>
        </w:tc>
        <w:tc>
          <w:tcPr>
            <w:tcW w:w="200" w:type="dxa"/>
            <w:vAlign w:val="bottom"/>
            <w:tcBorders>
              <w:top w:val="single" w:sz="8" w:color="0000FF"/>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30</w:t>
              </w:r>
            </w:hyperlink>
          </w:p>
        </w:tc>
      </w:tr>
      <w:tr>
        <w:trPr>
          <w:trHeight w:val="250"/>
        </w:trPr>
        <w:tc>
          <w:tcPr>
            <w:tcW w:w="6280" w:type="dxa"/>
            <w:vAlign w:val="bottom"/>
            <w:tcBorders>
              <w:bottom w:val="single" w:sz="8" w:color="0563C1"/>
            </w:tcBorders>
            <w:gridSpan w:val="27"/>
          </w:tcPr>
          <w:p>
            <w:pPr>
              <w:spacing w:after="0" w:line="250" w:lineRule="exact"/>
              <w:rPr>
                <w:rFonts w:ascii="Arial" w:cs="Arial" w:eastAsia="Arial" w:hAnsi="Arial"/>
                <w:sz w:val="22"/>
                <w:szCs w:val="22"/>
                <w:color w:val="0563C1"/>
                <w:w w:val="93"/>
              </w:rPr>
            </w:pPr>
            <w:hyperlink w:anchor="page85">
              <w:r>
                <w:rPr>
                  <w:rFonts w:ascii="Arial" w:cs="Arial" w:eastAsia="Arial" w:hAnsi="Arial"/>
                  <w:sz w:val="22"/>
                  <w:szCs w:val="22"/>
                  <w:color w:val="0563C1"/>
                  <w:w w:val="93"/>
                </w:rPr>
                <w:t>ARTICLE IV REPRESENTATIONS AND WARRANTIES OF BUYER</w:t>
              </w:r>
            </w:hyperlink>
          </w:p>
        </w:tc>
        <w:tc>
          <w:tcPr>
            <w:tcW w:w="4320" w:type="dxa"/>
            <w:vAlign w:val="bottom"/>
            <w:gridSpan w:val="2"/>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30</w:t>
              </w:r>
            </w:hyperlink>
          </w:p>
        </w:tc>
      </w:tr>
      <w:tr>
        <w:trPr>
          <w:trHeight w:val="250"/>
        </w:trPr>
        <w:tc>
          <w:tcPr>
            <w:tcW w:w="1160" w:type="dxa"/>
            <w:vAlign w:val="bottom"/>
            <w:tcBorders>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4.01.</w:t>
              </w:r>
            </w:hyperlink>
          </w:p>
        </w:tc>
        <w:tc>
          <w:tcPr>
            <w:tcW w:w="220" w:type="dxa"/>
            <w:vAlign w:val="bottom"/>
            <w:tcBorders>
              <w:bottom w:val="single" w:sz="8" w:color="0000FF"/>
            </w:tcBorders>
          </w:tcPr>
          <w:p>
            <w:pPr>
              <w:spacing w:after="0"/>
              <w:rPr>
                <w:sz w:val="21"/>
                <w:szCs w:val="21"/>
                <w:color w:val="auto"/>
              </w:rPr>
            </w:pPr>
          </w:p>
        </w:tc>
        <w:tc>
          <w:tcPr>
            <w:tcW w:w="1220" w:type="dxa"/>
            <w:vAlign w:val="bottom"/>
            <w:tcBorders>
              <w:bottom w:val="single" w:sz="8" w:color="0563C1"/>
            </w:tcBorders>
            <w:gridSpan w:val="8"/>
          </w:tcPr>
          <w:p>
            <w:pPr>
              <w:spacing w:after="0" w:line="250" w:lineRule="exact"/>
              <w:rPr>
                <w:rFonts w:ascii="Arial" w:cs="Arial" w:eastAsia="Arial" w:hAnsi="Arial"/>
                <w:sz w:val="22"/>
                <w:szCs w:val="22"/>
                <w:b w:val="1"/>
                <w:bCs w:val="1"/>
                <w:color w:val="0563C1"/>
                <w:w w:val="89"/>
              </w:rPr>
            </w:pPr>
            <w:hyperlink w:anchor="page85">
              <w:r>
                <w:rPr>
                  <w:rFonts w:ascii="Arial" w:cs="Arial" w:eastAsia="Arial" w:hAnsi="Arial"/>
                  <w:sz w:val="22"/>
                  <w:szCs w:val="22"/>
                  <w:b w:val="1"/>
                  <w:bCs w:val="1"/>
                  <w:color w:val="0563C1"/>
                  <w:w w:val="89"/>
                </w:rPr>
                <w:t>Organization</w:t>
              </w:r>
            </w:hyperlink>
          </w:p>
        </w:tc>
        <w:tc>
          <w:tcPr>
            <w:tcW w:w="8000" w:type="dxa"/>
            <w:vAlign w:val="bottom"/>
            <w:gridSpan w:val="19"/>
          </w:tcPr>
          <w:p>
            <w:pPr>
              <w:spacing w:after="0"/>
              <w:rPr>
                <w:sz w:val="21"/>
                <w:szCs w:val="21"/>
                <w:color w:val="auto"/>
              </w:rPr>
            </w:pPr>
          </w:p>
        </w:tc>
        <w:tc>
          <w:tcPr>
            <w:tcW w:w="200" w:type="dxa"/>
            <w:vAlign w:val="bottom"/>
            <w:tcBorders>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30</w:t>
              </w:r>
            </w:hyperlink>
          </w:p>
        </w:tc>
      </w:tr>
      <w:tr>
        <w:trPr>
          <w:trHeight w:val="250"/>
        </w:trPr>
        <w:tc>
          <w:tcPr>
            <w:tcW w:w="1160" w:type="dxa"/>
            <w:vAlign w:val="bottom"/>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4.02.</w:t>
              </w:r>
            </w:hyperlink>
          </w:p>
        </w:tc>
        <w:tc>
          <w:tcPr>
            <w:tcW w:w="220" w:type="dxa"/>
            <w:vAlign w:val="bottom"/>
          </w:tcPr>
          <w:p>
            <w:pPr>
              <w:spacing w:after="0"/>
              <w:rPr>
                <w:sz w:val="21"/>
                <w:szCs w:val="21"/>
                <w:color w:val="auto"/>
              </w:rPr>
            </w:pPr>
          </w:p>
        </w:tc>
        <w:tc>
          <w:tcPr>
            <w:tcW w:w="9220" w:type="dxa"/>
            <w:vAlign w:val="bottom"/>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Authorization</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30</w:t>
              </w:r>
            </w:hyperlink>
          </w:p>
        </w:tc>
      </w:tr>
      <w:tr>
        <w:trPr>
          <w:trHeight w:val="250"/>
        </w:trPr>
        <w:tc>
          <w:tcPr>
            <w:tcW w:w="1160" w:type="dxa"/>
            <w:vAlign w:val="bottom"/>
            <w:tcBorders>
              <w:top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4.03.</w:t>
              </w:r>
            </w:hyperlink>
          </w:p>
        </w:tc>
        <w:tc>
          <w:tcPr>
            <w:tcW w:w="220" w:type="dxa"/>
            <w:vAlign w:val="bottom"/>
            <w:tcBorders>
              <w:top w:val="single" w:sz="8" w:color="0000FF"/>
            </w:tcBorders>
          </w:tcPr>
          <w:p>
            <w:pPr>
              <w:spacing w:after="0"/>
              <w:rPr>
                <w:sz w:val="21"/>
                <w:szCs w:val="21"/>
                <w:color w:val="auto"/>
              </w:rPr>
            </w:pPr>
          </w:p>
        </w:tc>
        <w:tc>
          <w:tcPr>
            <w:tcW w:w="1320" w:type="dxa"/>
            <w:vAlign w:val="bottom"/>
            <w:tcBorders>
              <w:top w:val="single" w:sz="8" w:color="0563C1"/>
            </w:tcBorders>
            <w:gridSpan w:val="10"/>
          </w:tcPr>
          <w:p>
            <w:pPr>
              <w:spacing w:after="0" w:line="250" w:lineRule="exact"/>
              <w:rPr>
                <w:rFonts w:ascii="Arial" w:cs="Arial" w:eastAsia="Arial" w:hAnsi="Arial"/>
                <w:sz w:val="22"/>
                <w:szCs w:val="22"/>
                <w:b w:val="1"/>
                <w:bCs w:val="1"/>
                <w:color w:val="0563C1"/>
                <w:w w:val="87"/>
              </w:rPr>
            </w:pPr>
            <w:hyperlink w:anchor="page85">
              <w:r>
                <w:rPr>
                  <w:rFonts w:ascii="Arial" w:cs="Arial" w:eastAsia="Arial" w:hAnsi="Arial"/>
                  <w:sz w:val="22"/>
                  <w:szCs w:val="22"/>
                  <w:b w:val="1"/>
                  <w:bCs w:val="1"/>
                  <w:color w:val="0563C1"/>
                  <w:w w:val="87"/>
                </w:rPr>
                <w:t>Broker’s Fees</w:t>
              </w:r>
            </w:hyperlink>
          </w:p>
        </w:tc>
        <w:tc>
          <w:tcPr>
            <w:tcW w:w="7900" w:type="dxa"/>
            <w:vAlign w:val="bottom"/>
            <w:gridSpan w:val="17"/>
          </w:tcPr>
          <w:p>
            <w:pPr>
              <w:spacing w:after="0"/>
              <w:rPr>
                <w:sz w:val="21"/>
                <w:szCs w:val="21"/>
                <w:color w:val="auto"/>
              </w:rPr>
            </w:pPr>
          </w:p>
        </w:tc>
        <w:tc>
          <w:tcPr>
            <w:tcW w:w="200" w:type="dxa"/>
            <w:vAlign w:val="bottom"/>
            <w:tcBorders>
              <w:top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30</w:t>
              </w:r>
            </w:hyperlink>
          </w:p>
        </w:tc>
      </w:tr>
      <w:tr>
        <w:trPr>
          <w:trHeight w:val="250"/>
        </w:trPr>
        <w:tc>
          <w:tcPr>
            <w:tcW w:w="1160" w:type="dxa"/>
            <w:vAlign w:val="bottom"/>
            <w:tcBorders>
              <w:top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4.04.</w:t>
              </w:r>
            </w:hyperlink>
          </w:p>
        </w:tc>
        <w:tc>
          <w:tcPr>
            <w:tcW w:w="220" w:type="dxa"/>
            <w:vAlign w:val="bottom"/>
            <w:tcBorders>
              <w:top w:val="single" w:sz="8" w:color="0000FF"/>
            </w:tcBorders>
          </w:tcPr>
          <w:p>
            <w:pPr>
              <w:spacing w:after="0"/>
              <w:rPr>
                <w:sz w:val="21"/>
                <w:szCs w:val="21"/>
                <w:color w:val="auto"/>
              </w:rPr>
            </w:pPr>
          </w:p>
        </w:tc>
        <w:tc>
          <w:tcPr>
            <w:tcW w:w="1260" w:type="dxa"/>
            <w:vAlign w:val="bottom"/>
            <w:tcBorders>
              <w:top w:val="single" w:sz="8" w:color="0563C1"/>
            </w:tcBorders>
            <w:gridSpan w:val="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Conflicts</w:t>
              </w:r>
            </w:hyperlink>
          </w:p>
        </w:tc>
        <w:tc>
          <w:tcPr>
            <w:tcW w:w="7960" w:type="dxa"/>
            <w:vAlign w:val="bottom"/>
            <w:gridSpan w:val="18"/>
          </w:tcPr>
          <w:p>
            <w:pPr>
              <w:spacing w:after="0"/>
              <w:rPr>
                <w:sz w:val="21"/>
                <w:szCs w:val="21"/>
                <w:color w:val="auto"/>
              </w:rPr>
            </w:pPr>
          </w:p>
        </w:tc>
        <w:tc>
          <w:tcPr>
            <w:tcW w:w="200" w:type="dxa"/>
            <w:vAlign w:val="bottom"/>
            <w:tcBorders>
              <w:top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30</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563C1"/>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0600" w:type="dxa"/>
            <w:vAlign w:val="bottom"/>
            <w:gridSpan w:val="29"/>
          </w:tcPr>
          <w:p>
            <w:pPr>
              <w:spacing w:after="0" w:line="250" w:lineRule="exact"/>
              <w:rPr>
                <w:rFonts w:ascii="Arial" w:cs="Arial" w:eastAsia="Arial" w:hAnsi="Arial"/>
                <w:sz w:val="22"/>
                <w:szCs w:val="22"/>
                <w:color w:val="0563C1"/>
              </w:rPr>
            </w:pPr>
            <w:hyperlink w:anchor="page85">
              <w:r>
                <w:rPr>
                  <w:rFonts w:ascii="Arial" w:cs="Arial" w:eastAsia="Arial" w:hAnsi="Arial"/>
                  <w:sz w:val="22"/>
                  <w:szCs w:val="22"/>
                  <w:color w:val="0563C1"/>
                </w:rPr>
                <w:t>ARTICLE V COVENANTS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31</w:t>
              </w:r>
            </w:hyperlink>
          </w:p>
        </w:tc>
      </w:tr>
      <w:tr>
        <w:trPr>
          <w:trHeight w:val="20"/>
        </w:trPr>
        <w:tc>
          <w:tcPr>
            <w:tcW w:w="2460" w:type="dxa"/>
            <w:vAlign w:val="bottom"/>
            <w:gridSpan w:val="8"/>
            <w:shd w:val="clear" w:color="auto" w:fill="0563C1"/>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5.01.  Consents and Waivers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31</w:t>
              </w:r>
            </w:hyperlink>
          </w:p>
        </w:tc>
      </w:tr>
      <w:tr>
        <w:trPr>
          <w:trHeight w:val="250"/>
        </w:trPr>
        <w:tc>
          <w:tcPr>
            <w:tcW w:w="1160" w:type="dxa"/>
            <w:vAlign w:val="bottom"/>
            <w:tcBorders>
              <w:top w:val="single" w:sz="8" w:color="0563C1"/>
              <w:bottom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5.02.</w:t>
              </w:r>
            </w:hyperlink>
          </w:p>
        </w:tc>
        <w:tc>
          <w:tcPr>
            <w:tcW w:w="220" w:type="dxa"/>
            <w:vAlign w:val="bottom"/>
            <w:tcBorders>
              <w:top w:val="single" w:sz="8" w:color="0000FF"/>
              <w:bottom w:val="single" w:sz="8" w:color="0000FF"/>
            </w:tcBorders>
          </w:tcPr>
          <w:p>
            <w:pPr>
              <w:spacing w:after="0"/>
              <w:rPr>
                <w:sz w:val="21"/>
                <w:szCs w:val="21"/>
                <w:color w:val="auto"/>
              </w:rPr>
            </w:pPr>
          </w:p>
        </w:tc>
        <w:tc>
          <w:tcPr>
            <w:tcW w:w="1120" w:type="dxa"/>
            <w:vAlign w:val="bottom"/>
            <w:tcBorders>
              <w:top w:val="single" w:sz="8" w:color="0563C1"/>
              <w:bottom w:val="single" w:sz="8" w:color="0563C1"/>
            </w:tcBorders>
            <w:gridSpan w:val="7"/>
          </w:tcPr>
          <w:p>
            <w:pPr>
              <w:spacing w:after="0" w:line="250" w:lineRule="exact"/>
              <w:rPr>
                <w:rFonts w:ascii="Arial" w:cs="Arial" w:eastAsia="Arial" w:hAnsi="Arial"/>
                <w:sz w:val="22"/>
                <w:szCs w:val="22"/>
                <w:b w:val="1"/>
                <w:bCs w:val="1"/>
                <w:color w:val="0563C1"/>
                <w:w w:val="86"/>
              </w:rPr>
            </w:pPr>
            <w:hyperlink w:anchor="page85">
              <w:r>
                <w:rPr>
                  <w:rFonts w:ascii="Arial" w:cs="Arial" w:eastAsia="Arial" w:hAnsi="Arial"/>
                  <w:sz w:val="22"/>
                  <w:szCs w:val="22"/>
                  <w:b w:val="1"/>
                  <w:bCs w:val="1"/>
                  <w:color w:val="0563C1"/>
                  <w:w w:val="86"/>
                </w:rPr>
                <w:t>Compliance</w:t>
              </w:r>
            </w:hyperlink>
          </w:p>
        </w:tc>
        <w:tc>
          <w:tcPr>
            <w:tcW w:w="920" w:type="dxa"/>
            <w:vAlign w:val="bottom"/>
            <w:tcBorders>
              <w:top w:val="single" w:sz="8" w:color="0563C1"/>
            </w:tcBorders>
            <w:gridSpan w:val="8"/>
          </w:tcPr>
          <w:p>
            <w:pPr>
              <w:spacing w:after="0"/>
              <w:rPr>
                <w:sz w:val="21"/>
                <w:szCs w:val="21"/>
                <w:color w:val="auto"/>
              </w:rPr>
            </w:pPr>
          </w:p>
        </w:tc>
        <w:tc>
          <w:tcPr>
            <w:tcW w:w="7180" w:type="dxa"/>
            <w:vAlign w:val="bottom"/>
            <w:gridSpan w:val="12"/>
          </w:tcPr>
          <w:p>
            <w:pPr>
              <w:spacing w:after="0"/>
              <w:rPr>
                <w:sz w:val="21"/>
                <w:szCs w:val="21"/>
                <w:color w:val="auto"/>
              </w:rPr>
            </w:pPr>
          </w:p>
        </w:tc>
        <w:tc>
          <w:tcPr>
            <w:tcW w:w="200" w:type="dxa"/>
            <w:vAlign w:val="bottom"/>
            <w:tcBorders>
              <w:top w:val="single" w:sz="8" w:color="0000FF"/>
              <w:bottom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31</w:t>
              </w:r>
            </w:hyperlink>
          </w:p>
        </w:tc>
      </w:tr>
      <w:tr>
        <w:trPr>
          <w:trHeight w:val="250"/>
        </w:trPr>
        <w:tc>
          <w:tcPr>
            <w:tcW w:w="10600" w:type="dxa"/>
            <w:vAlign w:val="bottom"/>
            <w:gridSpan w:val="2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5.03.  Confidentiality; Public Announcement; SEC Filings</w:t>
              </w:r>
            </w:hyperlink>
          </w:p>
        </w:tc>
        <w:tc>
          <w:tcPr>
            <w:tcW w:w="200" w:type="dxa"/>
            <w:vAlign w:val="bottom"/>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32</w:t>
              </w:r>
            </w:hyperlink>
          </w:p>
        </w:tc>
      </w:tr>
      <w:tr>
        <w:trPr>
          <w:trHeight w:val="250"/>
        </w:trPr>
        <w:tc>
          <w:tcPr>
            <w:tcW w:w="1160" w:type="dxa"/>
            <w:vAlign w:val="bottom"/>
            <w:tcBorders>
              <w:top w:val="single" w:sz="8" w:color="0563C1"/>
            </w:tcBorders>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5.04.</w:t>
              </w:r>
            </w:hyperlink>
          </w:p>
        </w:tc>
        <w:tc>
          <w:tcPr>
            <w:tcW w:w="220" w:type="dxa"/>
            <w:vAlign w:val="bottom"/>
            <w:tcBorders>
              <w:top w:val="single" w:sz="8" w:color="0000FF"/>
            </w:tcBorders>
          </w:tcPr>
          <w:p>
            <w:pPr>
              <w:spacing w:after="0"/>
              <w:rPr>
                <w:sz w:val="21"/>
                <w:szCs w:val="21"/>
                <w:color w:val="auto"/>
              </w:rPr>
            </w:pPr>
          </w:p>
        </w:tc>
        <w:tc>
          <w:tcPr>
            <w:tcW w:w="4780" w:type="dxa"/>
            <w:vAlign w:val="bottom"/>
            <w:tcBorders>
              <w:top w:val="single" w:sz="8" w:color="0563C1"/>
            </w:tcBorders>
            <w:gridSpan w:val="24"/>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Further Assurances</w:t>
              </w:r>
            </w:hyperlink>
          </w:p>
        </w:tc>
        <w:tc>
          <w:tcPr>
            <w:tcW w:w="4440" w:type="dxa"/>
            <w:vAlign w:val="bottom"/>
            <w:gridSpan w:val="3"/>
          </w:tcPr>
          <w:p>
            <w:pPr>
              <w:spacing w:after="0"/>
              <w:rPr>
                <w:sz w:val="21"/>
                <w:szCs w:val="21"/>
                <w:color w:val="auto"/>
              </w:rPr>
            </w:pPr>
          </w:p>
        </w:tc>
        <w:tc>
          <w:tcPr>
            <w:tcW w:w="200" w:type="dxa"/>
            <w:vAlign w:val="bottom"/>
            <w:tcBorders>
              <w:top w:val="single" w:sz="8" w:color="0000FF"/>
            </w:tcBorders>
            <w:gridSpan w:val="2"/>
          </w:tcPr>
          <w:p>
            <w:pPr>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35</w:t>
              </w:r>
            </w:hyperlink>
          </w:p>
        </w:tc>
      </w:tr>
      <w:tr>
        <w:trPr>
          <w:trHeight w:val="20"/>
        </w:trPr>
        <w:tc>
          <w:tcPr>
            <w:tcW w:w="116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20" w:top="1395" w:right="359" w:bottom="1440" w:gutter="0" w:footer="0" w:header="0"/>
        </w:sectPr>
      </w:pP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20"/>
          </w:cols>
          <w:pgMar w:left="320" w:top="1395" w:right="359" w:bottom="1440" w:gutter="0" w:footer="0" w:header="0"/>
          <w:type w:val="continuous"/>
        </w:sectPr>
      </w:pPr>
    </w:p>
    <w:bookmarkStart w:id="83" w:name="page84"/>
    <w:bookmarkEnd w:id="83"/>
    <w:tbl>
      <w:tblPr>
        <w:tblLayout w:type="fixed"/>
        <w:tblInd w:w="80" w:type="dxa"/>
        <w:tblCellMar>
          <w:top w:w="0" w:type="dxa"/>
          <w:left w:w="0" w:type="dxa"/>
          <w:bottom w:w="0" w:type="dxa"/>
          <w:right w:w="0" w:type="dxa"/>
        </w:tblCellMar>
      </w:tblPr>
      <w:tr>
        <w:trPr>
          <w:trHeight w:val="253"/>
        </w:trPr>
        <w:tc>
          <w:tcPr>
            <w:tcW w:w="10600" w:type="dxa"/>
            <w:vAlign w:val="bottom"/>
            <w:gridSpan w:val="35"/>
          </w:tcPr>
          <w:p>
            <w:pPr>
              <w:spacing w:after="0"/>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5.05.  Notice by Seller</w:t>
              </w:r>
            </w:hyperlink>
          </w:p>
        </w:tc>
        <w:tc>
          <w:tcPr>
            <w:tcW w:w="200" w:type="dxa"/>
            <w:vAlign w:val="bottom"/>
          </w:tcPr>
          <w:p>
            <w:pPr>
              <w:jc w:val="right"/>
              <w:spacing w:after="0"/>
              <w:rPr>
                <w:rFonts w:ascii="Arial" w:cs="Arial" w:eastAsia="Arial" w:hAnsi="Arial"/>
                <w:sz w:val="22"/>
                <w:szCs w:val="22"/>
                <w:color w:val="0000FF"/>
                <w:w w:val="73"/>
              </w:rPr>
            </w:pPr>
            <w:hyperlink w:anchor="page85">
              <w:r>
                <w:rPr>
                  <w:rFonts w:ascii="Arial" w:cs="Arial" w:eastAsia="Arial" w:hAnsi="Arial"/>
                  <w:sz w:val="22"/>
                  <w:szCs w:val="22"/>
                  <w:color w:val="0000FF"/>
                  <w:w w:val="73"/>
                </w:rPr>
                <w:t>36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5.07.</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Negative Covenants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38</w:t>
              </w:r>
            </w:hyperlink>
          </w:p>
        </w:tc>
        <w:tc>
          <w:tcPr>
            <w:tcW w:w="0" w:type="dxa"/>
            <w:vAlign w:val="bottom"/>
          </w:tcPr>
          <w:p>
            <w:pPr>
              <w:spacing w:after="0"/>
              <w:rPr>
                <w:sz w:val="1"/>
                <w:szCs w:val="1"/>
                <w:color w:val="auto"/>
              </w:rPr>
            </w:pPr>
          </w:p>
        </w:tc>
      </w:tr>
      <w:tr>
        <w:trPr>
          <w:trHeight w:val="250"/>
        </w:trPr>
        <w:tc>
          <w:tcPr>
            <w:tcW w:w="1160" w:type="dxa"/>
            <w:vAlign w:val="bottom"/>
            <w:tcBorders>
              <w:top w:val="single" w:sz="8" w:color="0563C1"/>
              <w:bottom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5.08.</w:t>
              </w:r>
            </w:hyperlink>
          </w:p>
        </w:tc>
        <w:tc>
          <w:tcPr>
            <w:tcW w:w="220" w:type="dxa"/>
            <w:vAlign w:val="bottom"/>
            <w:tcBorders>
              <w:top w:val="single" w:sz="8" w:color="0000FF"/>
              <w:bottom w:val="single" w:sz="8" w:color="0000FF"/>
            </w:tcBorders>
          </w:tcPr>
          <w:p>
            <w:pPr>
              <w:spacing w:after="0"/>
              <w:rPr>
                <w:sz w:val="21"/>
                <w:szCs w:val="21"/>
                <w:color w:val="auto"/>
              </w:rPr>
            </w:pPr>
          </w:p>
        </w:tc>
        <w:tc>
          <w:tcPr>
            <w:tcW w:w="1780" w:type="dxa"/>
            <w:vAlign w:val="bottom"/>
            <w:tcBorders>
              <w:top w:val="single" w:sz="8" w:color="0563C1"/>
              <w:bottom w:val="single" w:sz="8" w:color="0563C1"/>
            </w:tcBorders>
            <w:gridSpan w:val="13"/>
          </w:tcPr>
          <w:p>
            <w:pPr>
              <w:spacing w:after="0" w:line="250" w:lineRule="exact"/>
              <w:rPr>
                <w:rFonts w:ascii="Arial" w:cs="Arial" w:eastAsia="Arial" w:hAnsi="Arial"/>
                <w:sz w:val="22"/>
                <w:szCs w:val="22"/>
                <w:b w:val="1"/>
                <w:bCs w:val="1"/>
                <w:color w:val="0563C1"/>
                <w:w w:val="87"/>
              </w:rPr>
            </w:pPr>
            <w:hyperlink w:anchor="page85">
              <w:r>
                <w:rPr>
                  <w:rFonts w:ascii="Arial" w:cs="Arial" w:eastAsia="Arial" w:hAnsi="Arial"/>
                  <w:sz w:val="22"/>
                  <w:szCs w:val="22"/>
                  <w:b w:val="1"/>
                  <w:bCs w:val="1"/>
                  <w:color w:val="0563C1"/>
                  <w:w w:val="87"/>
                </w:rPr>
                <w:t>Future Agreements</w:t>
              </w:r>
            </w:hyperlink>
          </w:p>
        </w:tc>
        <w:tc>
          <w:tcPr>
            <w:tcW w:w="40" w:type="dxa"/>
            <w:vAlign w:val="bottom"/>
            <w:tcBorders>
              <w:top w:val="single" w:sz="8" w:color="0563C1"/>
            </w:tcBorders>
            <w:gridSpan w:val="2"/>
          </w:tcPr>
          <w:p>
            <w:pPr>
              <w:spacing w:after="0"/>
              <w:rPr>
                <w:sz w:val="21"/>
                <w:szCs w:val="21"/>
                <w:color w:val="auto"/>
              </w:rPr>
            </w:pPr>
          </w:p>
        </w:tc>
        <w:tc>
          <w:tcPr>
            <w:tcW w:w="7400" w:type="dxa"/>
            <w:vAlign w:val="bottom"/>
            <w:gridSpan w:val="17"/>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39</w:t>
              </w:r>
            </w:hyperlink>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5.09.</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Records; Access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39</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5.10.</w:t>
              </w:r>
            </w:hyperlink>
          </w:p>
        </w:tc>
        <w:tc>
          <w:tcPr>
            <w:tcW w:w="220" w:type="dxa"/>
            <w:vAlign w:val="bottom"/>
            <w:tcBorders>
              <w:bottom w:val="single" w:sz="8" w:color="0000FF"/>
            </w:tcBorders>
          </w:tcPr>
          <w:p>
            <w:pPr>
              <w:spacing w:after="0"/>
              <w:rPr>
                <w:sz w:val="21"/>
                <w:szCs w:val="21"/>
                <w:color w:val="auto"/>
              </w:rPr>
            </w:pPr>
          </w:p>
        </w:tc>
        <w:tc>
          <w:tcPr>
            <w:tcW w:w="2060" w:type="dxa"/>
            <w:vAlign w:val="bottom"/>
            <w:tcBorders>
              <w:bottom w:val="single" w:sz="8" w:color="0563C1"/>
            </w:tcBorders>
            <w:gridSpan w:val="18"/>
          </w:tcPr>
          <w:p>
            <w:pPr>
              <w:spacing w:after="0" w:line="250" w:lineRule="exact"/>
              <w:rPr>
                <w:rFonts w:ascii="Arial" w:cs="Arial" w:eastAsia="Arial" w:hAnsi="Arial"/>
                <w:sz w:val="22"/>
                <w:szCs w:val="22"/>
                <w:b w:val="1"/>
                <w:bCs w:val="1"/>
                <w:color w:val="0563C1"/>
                <w:w w:val="89"/>
              </w:rPr>
            </w:pPr>
            <w:hyperlink w:anchor="page85">
              <w:r>
                <w:rPr>
                  <w:rFonts w:ascii="Arial" w:cs="Arial" w:eastAsia="Arial" w:hAnsi="Arial"/>
                  <w:sz w:val="22"/>
                  <w:szCs w:val="22"/>
                  <w:b w:val="1"/>
                  <w:bCs w:val="1"/>
                  <w:color w:val="0563C1"/>
                  <w:w w:val="89"/>
                </w:rPr>
                <w:t>Regulatory Approvals</w:t>
              </w:r>
            </w:hyperlink>
          </w:p>
        </w:tc>
        <w:tc>
          <w:tcPr>
            <w:tcW w:w="7160" w:type="dxa"/>
            <w:vAlign w:val="bottom"/>
            <w:gridSpan w:val="14"/>
          </w:tcPr>
          <w:p>
            <w:pPr>
              <w:spacing w:after="0"/>
              <w:rPr>
                <w:sz w:val="21"/>
                <w:szCs w:val="21"/>
                <w:color w:val="auto"/>
              </w:rPr>
            </w:pPr>
          </w:p>
        </w:tc>
        <w:tc>
          <w:tcPr>
            <w:tcW w:w="200" w:type="dxa"/>
            <w:vAlign w:val="bottom"/>
            <w:tcBorders>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40</w:t>
              </w:r>
            </w:hyperlink>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5.11.</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Misdirected Payments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40</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000FF"/>
            </w:tcBorders>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tcBorders>
              <w:righ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5.12.</w:t>
              </w:r>
            </w:hyperlink>
          </w:p>
        </w:tc>
        <w:tc>
          <w:tcPr>
            <w:tcW w:w="220" w:type="dxa"/>
            <w:vAlign w:val="bottom"/>
            <w:tcBorders>
              <w:bottom w:val="single" w:sz="8" w:color="0000FF"/>
            </w:tcBorders>
          </w:tcPr>
          <w:p>
            <w:pPr>
              <w:spacing w:after="0"/>
              <w:rPr>
                <w:sz w:val="21"/>
                <w:szCs w:val="21"/>
                <w:color w:val="auto"/>
              </w:rPr>
            </w:pPr>
          </w:p>
        </w:tc>
        <w:tc>
          <w:tcPr>
            <w:tcW w:w="1900" w:type="dxa"/>
            <w:vAlign w:val="bottom"/>
            <w:tcBorders>
              <w:bottom w:val="single" w:sz="8" w:color="0563C1"/>
            </w:tcBorders>
            <w:gridSpan w:val="16"/>
          </w:tcPr>
          <w:p>
            <w:pPr>
              <w:spacing w:after="0" w:line="250" w:lineRule="exact"/>
              <w:rPr>
                <w:rFonts w:ascii="Arial" w:cs="Arial" w:eastAsia="Arial" w:hAnsi="Arial"/>
                <w:sz w:val="22"/>
                <w:szCs w:val="22"/>
                <w:b w:val="1"/>
                <w:bCs w:val="1"/>
                <w:color w:val="0563C1"/>
                <w:w w:val="86"/>
              </w:rPr>
            </w:pPr>
            <w:hyperlink w:anchor="page85">
              <w:r>
                <w:rPr>
                  <w:rFonts w:ascii="Arial" w:cs="Arial" w:eastAsia="Arial" w:hAnsi="Arial"/>
                  <w:sz w:val="22"/>
                  <w:szCs w:val="22"/>
                  <w:b w:val="1"/>
                  <w:bCs w:val="1"/>
                  <w:color w:val="0563C1"/>
                  <w:w w:val="86"/>
                </w:rPr>
                <w:t>Licensee Instruction</w:t>
              </w:r>
            </w:hyperlink>
          </w:p>
        </w:tc>
        <w:tc>
          <w:tcPr>
            <w:tcW w:w="7320" w:type="dxa"/>
            <w:vAlign w:val="bottom"/>
            <w:gridSpan w:val="16"/>
          </w:tcPr>
          <w:p>
            <w:pPr>
              <w:spacing w:after="0"/>
              <w:rPr>
                <w:sz w:val="21"/>
                <w:szCs w:val="21"/>
                <w:color w:val="auto"/>
              </w:rPr>
            </w:pPr>
          </w:p>
        </w:tc>
        <w:tc>
          <w:tcPr>
            <w:tcW w:w="200" w:type="dxa"/>
            <w:vAlign w:val="bottom"/>
            <w:tcBorders>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41</w:t>
              </w:r>
            </w:hyperlink>
          </w:p>
        </w:tc>
        <w:tc>
          <w:tcPr>
            <w:tcW w:w="0" w:type="dxa"/>
            <w:vAlign w:val="bottom"/>
          </w:tcPr>
          <w:p>
            <w:pPr>
              <w:spacing w:after="0"/>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5.13.  Seller’s Commercially Reasonable Efforts and Judgment</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41</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tcBorders>
              <w:right w:val="single" w:sz="8" w:color="0563C1"/>
            </w:tcBorders>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5.14.  Royalty Reports; Notices and Communications from Licensee.</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42</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tcBorders>
              <w:right w:val="single" w:sz="8" w:color="0563C1"/>
            </w:tcBorders>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5.15.  Maintenance of License Agreement.</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42</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tcBorders>
              <w:right w:val="single" w:sz="8" w:color="0563C1"/>
            </w:tcBorders>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w w:val="95"/>
              </w:rPr>
            </w:pPr>
            <w:hyperlink w:anchor="page85">
              <w:r>
                <w:rPr>
                  <w:rFonts w:ascii="Arial" w:cs="Arial" w:eastAsia="Arial" w:hAnsi="Arial"/>
                  <w:sz w:val="22"/>
                  <w:szCs w:val="22"/>
                  <w:b w:val="1"/>
                  <w:bCs w:val="1"/>
                  <w:color w:val="0563C1"/>
                  <w:w w:val="95"/>
                </w:rPr>
                <w:t>Section 5.16.  Enforcement of License Agreement and the Production Agreements (excluding the Back-up</w:t>
              </w:r>
            </w:hyperlink>
          </w:p>
        </w:tc>
        <w:tc>
          <w:tcPr>
            <w:tcW w:w="200" w:type="dxa"/>
            <w:vAlign w:val="bottom"/>
            <w:vMerge w:val="restart"/>
          </w:tcPr>
          <w:p>
            <w:pPr>
              <w:jc w:val="right"/>
              <w:spacing w:after="0"/>
              <w:rPr>
                <w:rFonts w:ascii="Arial" w:cs="Arial" w:eastAsia="Arial" w:hAnsi="Arial"/>
                <w:sz w:val="22"/>
                <w:szCs w:val="22"/>
                <w:color w:val="0000FF"/>
                <w:w w:val="73"/>
              </w:rPr>
            </w:pPr>
            <w:hyperlink w:anchor="page85">
              <w:r>
                <w:rPr>
                  <w:rFonts w:ascii="Arial" w:cs="Arial" w:eastAsia="Arial" w:hAnsi="Arial"/>
                  <w:sz w:val="22"/>
                  <w:szCs w:val="22"/>
                  <w:color w:val="0000FF"/>
                  <w:w w:val="73"/>
                </w:rPr>
                <w:t>42</w:t>
              </w:r>
            </w:hyperlink>
          </w:p>
        </w:tc>
        <w:tc>
          <w:tcPr>
            <w:tcW w:w="0" w:type="dxa"/>
            <w:vAlign w:val="bottom"/>
          </w:tcPr>
          <w:p>
            <w:pPr>
              <w:spacing w:after="0"/>
              <w:rPr>
                <w:sz w:val="1"/>
                <w:szCs w:val="1"/>
                <w:color w:val="auto"/>
              </w:rPr>
            </w:pPr>
          </w:p>
        </w:tc>
      </w:tr>
      <w:tr>
        <w:trPr>
          <w:trHeight w:val="196"/>
        </w:trPr>
        <w:tc>
          <w:tcPr>
            <w:tcW w:w="1160" w:type="dxa"/>
            <w:vAlign w:val="bottom"/>
            <w:tcBorders>
              <w:top w:val="single" w:sz="8" w:color="0563C1"/>
              <w:bottom w:val="single" w:sz="8" w:color="0563C1"/>
            </w:tcBorders>
            <w:gridSpan w:val="2"/>
          </w:tcPr>
          <w:p>
            <w:pPr>
              <w:spacing w:after="0" w:line="195" w:lineRule="exact"/>
              <w:rPr>
                <w:rFonts w:ascii="Arial" w:cs="Arial" w:eastAsia="Arial" w:hAnsi="Arial"/>
                <w:sz w:val="22"/>
                <w:szCs w:val="22"/>
                <w:b w:val="1"/>
                <w:bCs w:val="1"/>
                <w:color w:val="0563C1"/>
                <w:w w:val="73"/>
              </w:rPr>
            </w:pPr>
            <w:hyperlink w:anchor="page85">
              <w:r>
                <w:rPr>
                  <w:rFonts w:ascii="Arial" w:cs="Arial" w:eastAsia="Arial" w:hAnsi="Arial"/>
                  <w:sz w:val="22"/>
                  <w:szCs w:val="22"/>
                  <w:b w:val="1"/>
                  <w:bCs w:val="1"/>
                  <w:color w:val="0563C1"/>
                  <w:w w:val="73"/>
                </w:rPr>
                <w:t>Manufacturing</w:t>
              </w:r>
            </w:hyperlink>
          </w:p>
        </w:tc>
        <w:tc>
          <w:tcPr>
            <w:tcW w:w="220" w:type="dxa"/>
            <w:vAlign w:val="bottom"/>
            <w:tcBorders>
              <w:top w:val="single" w:sz="8" w:color="0000FF"/>
              <w:bottom w:val="single" w:sz="8" w:color="0563C1"/>
            </w:tcBorders>
          </w:tcPr>
          <w:p>
            <w:pPr>
              <w:spacing w:after="0"/>
              <w:rPr>
                <w:sz w:val="17"/>
                <w:szCs w:val="17"/>
                <w:color w:val="auto"/>
              </w:rPr>
            </w:pPr>
          </w:p>
        </w:tc>
        <w:tc>
          <w:tcPr>
            <w:tcW w:w="1300" w:type="dxa"/>
            <w:vAlign w:val="bottom"/>
            <w:tcBorders>
              <w:top w:val="single" w:sz="8" w:color="0563C1"/>
              <w:bottom w:val="single" w:sz="8" w:color="0563C1"/>
            </w:tcBorders>
            <w:gridSpan w:val="9"/>
          </w:tcPr>
          <w:p>
            <w:pPr>
              <w:ind w:left="80"/>
              <w:spacing w:after="0" w:line="195" w:lineRule="exact"/>
              <w:rPr>
                <w:rFonts w:ascii="Arial" w:cs="Arial" w:eastAsia="Arial" w:hAnsi="Arial"/>
                <w:sz w:val="22"/>
                <w:szCs w:val="22"/>
                <w:b w:val="1"/>
                <w:bCs w:val="1"/>
                <w:color w:val="0563C1"/>
                <w:w w:val="85"/>
              </w:rPr>
            </w:pPr>
            <w:hyperlink w:anchor="page85">
              <w:r>
                <w:rPr>
                  <w:rFonts w:ascii="Arial" w:cs="Arial" w:eastAsia="Arial" w:hAnsi="Arial"/>
                  <w:sz w:val="22"/>
                  <w:szCs w:val="22"/>
                  <w:b w:val="1"/>
                  <w:bCs w:val="1"/>
                  <w:color w:val="0563C1"/>
                  <w:w w:val="85"/>
                </w:rPr>
                <w:t>Agreements).</w:t>
              </w:r>
            </w:hyperlink>
          </w:p>
        </w:tc>
        <w:tc>
          <w:tcPr>
            <w:tcW w:w="7120" w:type="dxa"/>
            <w:vAlign w:val="bottom"/>
            <w:tcBorders>
              <w:top w:val="single" w:sz="8" w:color="0563C1"/>
            </w:tcBorders>
            <w:gridSpan w:val="22"/>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5.17.</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Audits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43</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5.18.</w:t>
              </w:r>
            </w:hyperlink>
          </w:p>
        </w:tc>
        <w:tc>
          <w:tcPr>
            <w:tcW w:w="220" w:type="dxa"/>
            <w:vAlign w:val="bottom"/>
            <w:tcBorders>
              <w:bottom w:val="single" w:sz="8" w:color="0563C1"/>
            </w:tcBorders>
          </w:tcPr>
          <w:p>
            <w:pPr>
              <w:spacing w:after="0"/>
              <w:rPr>
                <w:sz w:val="21"/>
                <w:szCs w:val="21"/>
                <w:color w:val="auto"/>
              </w:rPr>
            </w:pPr>
          </w:p>
        </w:tc>
        <w:tc>
          <w:tcPr>
            <w:tcW w:w="2280" w:type="dxa"/>
            <w:vAlign w:val="bottom"/>
            <w:tcBorders>
              <w:bottom w:val="single" w:sz="8" w:color="0563C1"/>
            </w:tcBorders>
            <w:gridSpan w:val="21"/>
          </w:tcPr>
          <w:p>
            <w:pPr>
              <w:spacing w:after="0" w:line="250" w:lineRule="exact"/>
              <w:rPr>
                <w:rFonts w:ascii="Arial" w:cs="Arial" w:eastAsia="Arial" w:hAnsi="Arial"/>
                <w:sz w:val="22"/>
                <w:szCs w:val="22"/>
                <w:b w:val="1"/>
                <w:bCs w:val="1"/>
                <w:color w:val="0563C1"/>
                <w:w w:val="85"/>
              </w:rPr>
            </w:pPr>
            <w:hyperlink w:anchor="page85">
              <w:r>
                <w:rPr>
                  <w:rFonts w:ascii="Arial" w:cs="Arial" w:eastAsia="Arial" w:hAnsi="Arial"/>
                  <w:sz w:val="22"/>
                  <w:szCs w:val="22"/>
                  <w:b w:val="1"/>
                  <w:bCs w:val="1"/>
                  <w:color w:val="0563C1"/>
                  <w:w w:val="85"/>
                </w:rPr>
                <w:t>Post-Closing Obligations</w:t>
              </w:r>
            </w:hyperlink>
          </w:p>
        </w:tc>
        <w:tc>
          <w:tcPr>
            <w:tcW w:w="6940" w:type="dxa"/>
            <w:vAlign w:val="bottom"/>
            <w:gridSpan w:val="11"/>
          </w:tcPr>
          <w:p>
            <w:pPr>
              <w:spacing w:after="0"/>
              <w:rPr>
                <w:sz w:val="21"/>
                <w:szCs w:val="21"/>
                <w:color w:val="auto"/>
              </w:rPr>
            </w:pPr>
          </w:p>
        </w:tc>
        <w:tc>
          <w:tcPr>
            <w:tcW w:w="200" w:type="dxa"/>
            <w:vAlign w:val="bottom"/>
            <w:tcBorders>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43</w:t>
              </w:r>
            </w:hyperlink>
          </w:p>
        </w:tc>
        <w:tc>
          <w:tcPr>
            <w:tcW w:w="0" w:type="dxa"/>
            <w:vAlign w:val="bottom"/>
          </w:tcPr>
          <w:p>
            <w:pPr>
              <w:spacing w:after="0"/>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color w:val="0563C1"/>
              </w:rPr>
            </w:pPr>
            <w:hyperlink w:anchor="page85">
              <w:r>
                <w:rPr>
                  <w:rFonts w:ascii="Arial" w:cs="Arial" w:eastAsia="Arial" w:hAnsi="Arial"/>
                  <w:sz w:val="22"/>
                  <w:szCs w:val="22"/>
                  <w:color w:val="0563C1"/>
                </w:rPr>
                <w:t>ARTICLE VI THE CLOSING; CONDITIONS TO CLOSING</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44</w:t>
              </w:r>
            </w:hyperlink>
          </w:p>
        </w:tc>
        <w:tc>
          <w:tcPr>
            <w:tcW w:w="0" w:type="dxa"/>
            <w:vAlign w:val="bottom"/>
          </w:tcPr>
          <w:p>
            <w:pPr>
              <w:spacing w:after="0"/>
              <w:rPr>
                <w:sz w:val="1"/>
                <w:szCs w:val="1"/>
                <w:color w:val="auto"/>
              </w:rPr>
            </w:pPr>
          </w:p>
        </w:tc>
      </w:tr>
      <w:tr>
        <w:trPr>
          <w:trHeight w:val="250"/>
        </w:trPr>
        <w:tc>
          <w:tcPr>
            <w:tcW w:w="1160" w:type="dxa"/>
            <w:vAlign w:val="bottom"/>
            <w:tcBorders>
              <w:top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6.01.</w:t>
              </w:r>
            </w:hyperlink>
          </w:p>
        </w:tc>
        <w:tc>
          <w:tcPr>
            <w:tcW w:w="220" w:type="dxa"/>
            <w:vAlign w:val="bottom"/>
            <w:tcBorders>
              <w:top w:val="single" w:sz="8" w:color="0563C1"/>
            </w:tcBorders>
          </w:tcPr>
          <w:p>
            <w:pPr>
              <w:spacing w:after="0"/>
              <w:rPr>
                <w:sz w:val="21"/>
                <w:szCs w:val="21"/>
                <w:color w:val="auto"/>
              </w:rPr>
            </w:pPr>
          </w:p>
        </w:tc>
        <w:tc>
          <w:tcPr>
            <w:tcW w:w="4020" w:type="dxa"/>
            <w:vAlign w:val="bottom"/>
            <w:tcBorders>
              <w:top w:val="single" w:sz="8" w:color="0563C1"/>
            </w:tcBorders>
            <w:gridSpan w:val="27"/>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Closing</w:t>
              </w:r>
            </w:hyperlink>
          </w:p>
        </w:tc>
        <w:tc>
          <w:tcPr>
            <w:tcW w:w="5200" w:type="dxa"/>
            <w:vAlign w:val="bottom"/>
            <w:gridSpan w:val="5"/>
          </w:tcPr>
          <w:p>
            <w:pPr>
              <w:spacing w:after="0"/>
              <w:rPr>
                <w:sz w:val="21"/>
                <w:szCs w:val="21"/>
                <w:color w:val="auto"/>
              </w:rPr>
            </w:pPr>
          </w:p>
        </w:tc>
        <w:tc>
          <w:tcPr>
            <w:tcW w:w="200" w:type="dxa"/>
            <w:vAlign w:val="bottom"/>
            <w:tcBorders>
              <w:top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800" w:type="dxa"/>
            <w:vAlign w:val="bottom"/>
            <w:tcBorders>
              <w:right w:val="single" w:sz="8" w:color="0000FF"/>
            </w:tcBorders>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6.02.  Conditions Applicable to Buyer</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44</w:t>
              </w:r>
            </w:hyperlink>
          </w:p>
        </w:tc>
        <w:tc>
          <w:tcPr>
            <w:tcW w:w="0" w:type="dxa"/>
            <w:vAlign w:val="bottom"/>
          </w:tcPr>
          <w:p>
            <w:pPr>
              <w:spacing w:after="0"/>
              <w:rPr>
                <w:sz w:val="1"/>
                <w:szCs w:val="1"/>
                <w:color w:val="auto"/>
              </w:rPr>
            </w:pPr>
          </w:p>
        </w:tc>
      </w:tr>
      <w:tr>
        <w:trPr>
          <w:trHeight w:val="250"/>
        </w:trPr>
        <w:tc>
          <w:tcPr>
            <w:tcW w:w="2820" w:type="dxa"/>
            <w:vAlign w:val="bottom"/>
            <w:tcBorders>
              <w:top w:val="single" w:sz="8" w:color="0563C1"/>
              <w:bottom w:val="single" w:sz="8" w:color="0563C1"/>
            </w:tcBorders>
            <w:gridSpan w:val="13"/>
          </w:tcPr>
          <w:p>
            <w:pPr>
              <w:spacing w:after="0" w:line="250" w:lineRule="exact"/>
              <w:rPr>
                <w:rFonts w:ascii="Arial" w:cs="Arial" w:eastAsia="Arial" w:hAnsi="Arial"/>
                <w:sz w:val="22"/>
                <w:szCs w:val="22"/>
                <w:color w:val="0563C1"/>
                <w:w w:val="98"/>
              </w:rPr>
            </w:pPr>
            <w:hyperlink w:anchor="page85">
              <w:r>
                <w:rPr>
                  <w:rFonts w:ascii="Arial" w:cs="Arial" w:eastAsia="Arial" w:hAnsi="Arial"/>
                  <w:sz w:val="22"/>
                  <w:szCs w:val="22"/>
                  <w:color w:val="0563C1"/>
                  <w:w w:val="98"/>
                </w:rPr>
                <w:t>ARTICLE VII TERMINATION</w:t>
              </w:r>
            </w:hyperlink>
          </w:p>
        </w:tc>
        <w:tc>
          <w:tcPr>
            <w:tcW w:w="1460" w:type="dxa"/>
            <w:vAlign w:val="bottom"/>
            <w:tcBorders>
              <w:top w:val="single" w:sz="8" w:color="0563C1"/>
            </w:tcBorders>
            <w:gridSpan w:val="14"/>
          </w:tcPr>
          <w:p>
            <w:pPr>
              <w:spacing w:after="0"/>
              <w:rPr>
                <w:sz w:val="21"/>
                <w:szCs w:val="21"/>
                <w:color w:val="auto"/>
              </w:rPr>
            </w:pPr>
          </w:p>
        </w:tc>
        <w:tc>
          <w:tcPr>
            <w:tcW w:w="6320" w:type="dxa"/>
            <w:vAlign w:val="bottom"/>
            <w:gridSpan w:val="8"/>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45</w:t>
              </w:r>
            </w:hyperlink>
          </w:p>
        </w:tc>
        <w:tc>
          <w:tcPr>
            <w:tcW w:w="0" w:type="dxa"/>
            <w:vAlign w:val="bottom"/>
          </w:tcPr>
          <w:p>
            <w:pPr>
              <w:spacing w:after="0"/>
              <w:rPr>
                <w:sz w:val="1"/>
                <w:szCs w:val="1"/>
                <w:color w:val="auto"/>
              </w:rPr>
            </w:pPr>
          </w:p>
        </w:tc>
      </w:tr>
      <w:tr>
        <w:trPr>
          <w:trHeight w:val="250"/>
        </w:trPr>
        <w:tc>
          <w:tcPr>
            <w:tcW w:w="1160" w:type="dxa"/>
            <w:vAlign w:val="bottom"/>
            <w:tcBorders>
              <w:bottom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7.01.</w:t>
              </w:r>
            </w:hyperlink>
          </w:p>
        </w:tc>
        <w:tc>
          <w:tcPr>
            <w:tcW w:w="220" w:type="dxa"/>
            <w:vAlign w:val="bottom"/>
            <w:tcBorders>
              <w:bottom w:val="single" w:sz="8" w:color="0000FF"/>
            </w:tcBorders>
          </w:tcPr>
          <w:p>
            <w:pPr>
              <w:spacing w:after="0"/>
              <w:rPr>
                <w:sz w:val="21"/>
                <w:szCs w:val="21"/>
                <w:color w:val="auto"/>
              </w:rPr>
            </w:pPr>
          </w:p>
        </w:tc>
        <w:tc>
          <w:tcPr>
            <w:tcW w:w="1200" w:type="dxa"/>
            <w:vAlign w:val="bottom"/>
            <w:tcBorders>
              <w:bottom w:val="single" w:sz="8" w:color="0563C1"/>
            </w:tcBorders>
            <w:gridSpan w:val="8"/>
          </w:tcPr>
          <w:p>
            <w:pPr>
              <w:spacing w:after="0" w:line="250" w:lineRule="exact"/>
              <w:rPr>
                <w:rFonts w:ascii="Arial" w:cs="Arial" w:eastAsia="Arial" w:hAnsi="Arial"/>
                <w:sz w:val="22"/>
                <w:szCs w:val="22"/>
                <w:b w:val="1"/>
                <w:bCs w:val="1"/>
                <w:color w:val="0563C1"/>
                <w:w w:val="89"/>
              </w:rPr>
            </w:pPr>
            <w:hyperlink w:anchor="page85">
              <w:r>
                <w:rPr>
                  <w:rFonts w:ascii="Arial" w:cs="Arial" w:eastAsia="Arial" w:hAnsi="Arial"/>
                  <w:sz w:val="22"/>
                  <w:szCs w:val="22"/>
                  <w:b w:val="1"/>
                  <w:bCs w:val="1"/>
                  <w:color w:val="0563C1"/>
                  <w:w w:val="89"/>
                </w:rPr>
                <w:t>Termination.</w:t>
              </w:r>
            </w:hyperlink>
          </w:p>
        </w:tc>
        <w:tc>
          <w:tcPr>
            <w:tcW w:w="8020" w:type="dxa"/>
            <w:vAlign w:val="bottom"/>
            <w:gridSpan w:val="24"/>
          </w:tcPr>
          <w:p>
            <w:pPr>
              <w:spacing w:after="0"/>
              <w:rPr>
                <w:sz w:val="21"/>
                <w:szCs w:val="21"/>
                <w:color w:val="auto"/>
              </w:rPr>
            </w:pPr>
          </w:p>
        </w:tc>
        <w:tc>
          <w:tcPr>
            <w:tcW w:w="200" w:type="dxa"/>
            <w:vAlign w:val="bottom"/>
            <w:tcBorders>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45</w:t>
              </w:r>
            </w:hyperlink>
          </w:p>
        </w:tc>
        <w:tc>
          <w:tcPr>
            <w:tcW w:w="0" w:type="dxa"/>
            <w:vAlign w:val="bottom"/>
          </w:tcPr>
          <w:p>
            <w:pPr>
              <w:spacing w:after="0"/>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7.02.  Effects of Termination</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45</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tcBorders>
              <w:right w:val="single" w:sz="8" w:color="0563C1"/>
            </w:tcBorders>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0563C1"/>
            </w:tcBorders>
            <w:gridSpan w:val="17"/>
          </w:tcPr>
          <w:p>
            <w:pPr>
              <w:spacing w:after="0" w:line="250" w:lineRule="exact"/>
              <w:rPr>
                <w:rFonts w:ascii="Arial" w:cs="Arial" w:eastAsia="Arial" w:hAnsi="Arial"/>
                <w:sz w:val="22"/>
                <w:szCs w:val="22"/>
                <w:color w:val="0563C1"/>
                <w:w w:val="97"/>
              </w:rPr>
            </w:pPr>
            <w:hyperlink w:anchor="page85">
              <w:r>
                <w:rPr>
                  <w:rFonts w:ascii="Arial" w:cs="Arial" w:eastAsia="Arial" w:hAnsi="Arial"/>
                  <w:sz w:val="22"/>
                  <w:szCs w:val="22"/>
                  <w:color w:val="0563C1"/>
                  <w:w w:val="97"/>
                </w:rPr>
                <w:t>ARTICLE VIII MISCELLANEOUS</w:t>
              </w:r>
            </w:hyperlink>
          </w:p>
        </w:tc>
        <w:tc>
          <w:tcPr>
            <w:tcW w:w="7420" w:type="dxa"/>
            <w:vAlign w:val="bottom"/>
            <w:gridSpan w:val="18"/>
          </w:tcPr>
          <w:p>
            <w:pPr>
              <w:spacing w:after="0"/>
              <w:rPr>
                <w:sz w:val="21"/>
                <w:szCs w:val="21"/>
                <w:color w:val="auto"/>
              </w:rPr>
            </w:pPr>
          </w:p>
        </w:tc>
        <w:tc>
          <w:tcPr>
            <w:tcW w:w="200" w:type="dxa"/>
            <w:vAlign w:val="bottom"/>
            <w:tcBorders>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46</w:t>
              </w:r>
            </w:hyperlink>
          </w:p>
        </w:tc>
        <w:tc>
          <w:tcPr>
            <w:tcW w:w="0" w:type="dxa"/>
            <w:vAlign w:val="bottom"/>
          </w:tcPr>
          <w:p>
            <w:pPr>
              <w:spacing w:after="0"/>
              <w:rPr>
                <w:sz w:val="1"/>
                <w:szCs w:val="1"/>
                <w:color w:val="auto"/>
              </w:rPr>
            </w:pPr>
          </w:p>
        </w:tc>
      </w:tr>
      <w:tr>
        <w:trPr>
          <w:trHeight w:val="250"/>
        </w:trPr>
        <w:tc>
          <w:tcPr>
            <w:tcW w:w="1160" w:type="dxa"/>
            <w:vAlign w:val="bottom"/>
            <w:tcBorders>
              <w:bottom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8.01.</w:t>
              </w:r>
            </w:hyperlink>
          </w:p>
        </w:tc>
        <w:tc>
          <w:tcPr>
            <w:tcW w:w="220" w:type="dxa"/>
            <w:vAlign w:val="bottom"/>
            <w:tcBorders>
              <w:bottom w:val="single" w:sz="8" w:color="0000FF"/>
            </w:tcBorders>
          </w:tcPr>
          <w:p>
            <w:pPr>
              <w:spacing w:after="0"/>
              <w:rPr>
                <w:sz w:val="21"/>
                <w:szCs w:val="21"/>
                <w:color w:val="auto"/>
              </w:rPr>
            </w:pPr>
          </w:p>
        </w:tc>
        <w:tc>
          <w:tcPr>
            <w:tcW w:w="780" w:type="dxa"/>
            <w:vAlign w:val="bottom"/>
            <w:tcBorders>
              <w:bottom w:val="single" w:sz="8" w:color="0563C1"/>
            </w:tcBorders>
            <w:gridSpan w:val="5"/>
          </w:tcPr>
          <w:p>
            <w:pPr>
              <w:spacing w:after="0" w:line="250" w:lineRule="exact"/>
              <w:rPr>
                <w:rFonts w:ascii="Arial" w:cs="Arial" w:eastAsia="Arial" w:hAnsi="Arial"/>
                <w:sz w:val="22"/>
                <w:szCs w:val="22"/>
                <w:b w:val="1"/>
                <w:bCs w:val="1"/>
                <w:color w:val="0563C1"/>
                <w:w w:val="88"/>
              </w:rPr>
            </w:pPr>
            <w:hyperlink w:anchor="page85">
              <w:r>
                <w:rPr>
                  <w:rFonts w:ascii="Arial" w:cs="Arial" w:eastAsia="Arial" w:hAnsi="Arial"/>
                  <w:sz w:val="22"/>
                  <w:szCs w:val="22"/>
                  <w:b w:val="1"/>
                  <w:bCs w:val="1"/>
                  <w:color w:val="0563C1"/>
                  <w:w w:val="88"/>
                </w:rPr>
                <w:t>Survival</w:t>
              </w:r>
            </w:hyperlink>
          </w:p>
        </w:tc>
        <w:tc>
          <w:tcPr>
            <w:tcW w:w="8440" w:type="dxa"/>
            <w:vAlign w:val="bottom"/>
            <w:gridSpan w:val="27"/>
          </w:tcPr>
          <w:p>
            <w:pPr>
              <w:spacing w:after="0"/>
              <w:rPr>
                <w:sz w:val="21"/>
                <w:szCs w:val="21"/>
                <w:color w:val="auto"/>
              </w:rPr>
            </w:pPr>
          </w:p>
        </w:tc>
        <w:tc>
          <w:tcPr>
            <w:tcW w:w="200" w:type="dxa"/>
            <w:vAlign w:val="bottom"/>
            <w:tcBorders>
              <w:bottom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46</w:t>
              </w:r>
            </w:hyperlink>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8.02.</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Notices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8.03.  Successors and Assigns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47</w:t>
              </w:r>
            </w:hyperlink>
          </w:p>
        </w:tc>
        <w:tc>
          <w:tcPr>
            <w:tcW w:w="0" w:type="dxa"/>
            <w:vAlign w:val="bottom"/>
          </w:tcPr>
          <w:p>
            <w:pPr>
              <w:spacing w:after="0"/>
              <w:rPr>
                <w:sz w:val="1"/>
                <w:szCs w:val="1"/>
                <w:color w:val="auto"/>
              </w:rPr>
            </w:pPr>
          </w:p>
        </w:tc>
      </w:tr>
      <w:tr>
        <w:trPr>
          <w:trHeight w:val="250"/>
        </w:trPr>
        <w:tc>
          <w:tcPr>
            <w:tcW w:w="1160" w:type="dxa"/>
            <w:vAlign w:val="bottom"/>
            <w:tcBorders>
              <w:top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8.04.</w:t>
              </w:r>
            </w:hyperlink>
          </w:p>
        </w:tc>
        <w:tc>
          <w:tcPr>
            <w:tcW w:w="220" w:type="dxa"/>
            <w:vAlign w:val="bottom"/>
            <w:tcBorders>
              <w:top w:val="single" w:sz="8" w:color="0000FF"/>
            </w:tcBorders>
          </w:tcPr>
          <w:p>
            <w:pPr>
              <w:spacing w:after="0"/>
              <w:rPr>
                <w:sz w:val="21"/>
                <w:szCs w:val="21"/>
                <w:color w:val="auto"/>
              </w:rPr>
            </w:pPr>
          </w:p>
        </w:tc>
        <w:tc>
          <w:tcPr>
            <w:tcW w:w="2120" w:type="dxa"/>
            <w:vAlign w:val="bottom"/>
            <w:tcBorders>
              <w:top w:val="single" w:sz="8" w:color="0563C1"/>
            </w:tcBorders>
            <w:gridSpan w:val="19"/>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Indemnification</w:t>
              </w:r>
            </w:hyperlink>
          </w:p>
        </w:tc>
        <w:tc>
          <w:tcPr>
            <w:tcW w:w="7100" w:type="dxa"/>
            <w:vAlign w:val="bottom"/>
            <w:gridSpan w:val="13"/>
          </w:tcPr>
          <w:p>
            <w:pPr>
              <w:spacing w:after="0"/>
              <w:rPr>
                <w:sz w:val="21"/>
                <w:szCs w:val="21"/>
                <w:color w:val="auto"/>
              </w:rPr>
            </w:pPr>
          </w:p>
        </w:tc>
        <w:tc>
          <w:tcPr>
            <w:tcW w:w="200" w:type="dxa"/>
            <w:vAlign w:val="bottom"/>
            <w:tcBorders>
              <w:top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48</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8.05.  Independent Nature of Relationship; Taxes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51</w:t>
              </w:r>
            </w:hyperlink>
          </w:p>
        </w:tc>
        <w:tc>
          <w:tcPr>
            <w:tcW w:w="0" w:type="dxa"/>
            <w:vAlign w:val="bottom"/>
          </w:tcPr>
          <w:p>
            <w:pPr>
              <w:spacing w:after="0"/>
              <w:rPr>
                <w:sz w:val="1"/>
                <w:szCs w:val="1"/>
                <w:color w:val="auto"/>
              </w:rPr>
            </w:pPr>
          </w:p>
        </w:tc>
      </w:tr>
      <w:tr>
        <w:trPr>
          <w:trHeight w:val="250"/>
        </w:trPr>
        <w:tc>
          <w:tcPr>
            <w:tcW w:w="1160" w:type="dxa"/>
            <w:vAlign w:val="bottom"/>
            <w:tcBorders>
              <w:top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8.06.</w:t>
              </w:r>
            </w:hyperlink>
          </w:p>
        </w:tc>
        <w:tc>
          <w:tcPr>
            <w:tcW w:w="220" w:type="dxa"/>
            <w:vAlign w:val="bottom"/>
            <w:tcBorders>
              <w:top w:val="single" w:sz="8" w:color="0000FF"/>
            </w:tcBorders>
          </w:tcPr>
          <w:p>
            <w:pPr>
              <w:spacing w:after="0"/>
              <w:rPr>
                <w:sz w:val="21"/>
                <w:szCs w:val="21"/>
                <w:color w:val="auto"/>
              </w:rPr>
            </w:pPr>
          </w:p>
        </w:tc>
        <w:tc>
          <w:tcPr>
            <w:tcW w:w="3960" w:type="dxa"/>
            <w:vAlign w:val="bottom"/>
            <w:tcBorders>
              <w:top w:val="single" w:sz="8" w:color="0563C1"/>
            </w:tcBorders>
            <w:gridSpan w:val="26"/>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Entire Agreement</w:t>
              </w:r>
            </w:hyperlink>
          </w:p>
        </w:tc>
        <w:tc>
          <w:tcPr>
            <w:tcW w:w="5260" w:type="dxa"/>
            <w:vAlign w:val="bottom"/>
            <w:gridSpan w:val="6"/>
          </w:tcPr>
          <w:p>
            <w:pPr>
              <w:spacing w:after="0"/>
              <w:rPr>
                <w:sz w:val="21"/>
                <w:szCs w:val="21"/>
                <w:color w:val="auto"/>
              </w:rPr>
            </w:pPr>
          </w:p>
        </w:tc>
        <w:tc>
          <w:tcPr>
            <w:tcW w:w="200" w:type="dxa"/>
            <w:vAlign w:val="bottom"/>
            <w:tcBorders>
              <w:top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52</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8.07.  Amendments; No Waivers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52</w:t>
              </w:r>
            </w:hyperlink>
          </w:p>
        </w:tc>
        <w:tc>
          <w:tcPr>
            <w:tcW w:w="0" w:type="dxa"/>
            <w:vAlign w:val="bottom"/>
          </w:tcPr>
          <w:p>
            <w:pPr>
              <w:spacing w:after="0"/>
              <w:rPr>
                <w:sz w:val="1"/>
                <w:szCs w:val="1"/>
                <w:color w:val="auto"/>
              </w:rPr>
            </w:pPr>
          </w:p>
        </w:tc>
      </w:tr>
      <w:tr>
        <w:trPr>
          <w:trHeight w:val="250"/>
        </w:trPr>
        <w:tc>
          <w:tcPr>
            <w:tcW w:w="1160" w:type="dxa"/>
            <w:vAlign w:val="bottom"/>
            <w:tcBorders>
              <w:top w:val="single" w:sz="8" w:color="0563C1"/>
            </w:tcBorders>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8.08.</w:t>
              </w:r>
            </w:hyperlink>
          </w:p>
        </w:tc>
        <w:tc>
          <w:tcPr>
            <w:tcW w:w="220" w:type="dxa"/>
            <w:vAlign w:val="bottom"/>
            <w:tcBorders>
              <w:top w:val="single" w:sz="8" w:color="0000FF"/>
            </w:tcBorders>
          </w:tcPr>
          <w:p>
            <w:pPr>
              <w:spacing w:after="0"/>
              <w:rPr>
                <w:sz w:val="21"/>
                <w:szCs w:val="21"/>
                <w:color w:val="auto"/>
              </w:rPr>
            </w:pPr>
          </w:p>
        </w:tc>
        <w:tc>
          <w:tcPr>
            <w:tcW w:w="2420" w:type="dxa"/>
            <w:vAlign w:val="bottom"/>
            <w:tcBorders>
              <w:top w:val="single" w:sz="8" w:color="0563C1"/>
            </w:tcBorders>
            <w:gridSpan w:val="2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Interpretation</w:t>
              </w:r>
            </w:hyperlink>
          </w:p>
        </w:tc>
        <w:tc>
          <w:tcPr>
            <w:tcW w:w="6800" w:type="dxa"/>
            <w:vAlign w:val="bottom"/>
            <w:gridSpan w:val="10"/>
          </w:tcPr>
          <w:p>
            <w:pPr>
              <w:spacing w:after="0"/>
              <w:rPr>
                <w:sz w:val="21"/>
                <w:szCs w:val="21"/>
                <w:color w:val="auto"/>
              </w:rPr>
            </w:pPr>
          </w:p>
        </w:tc>
        <w:tc>
          <w:tcPr>
            <w:tcW w:w="200" w:type="dxa"/>
            <w:vAlign w:val="bottom"/>
            <w:tcBorders>
              <w:top w:val="single" w:sz="8" w:color="0000FF"/>
            </w:tcBorders>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52</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8.09.  Headings and Captions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53</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20" w:type="dxa"/>
            <w:vAlign w:val="bottom"/>
            <w:tcBorders>
              <w:right w:val="single" w:sz="8" w:color="0563C1"/>
            </w:tcBorders>
            <w:gridSpan w:val="9"/>
            <w:shd w:val="clear" w:color="auto" w:fill="0563C1"/>
          </w:tcPr>
          <w:p>
            <w:pPr>
              <w:spacing w:after="0" w:line="20" w:lineRule="exact"/>
              <w:rPr>
                <w:sz w:val="1"/>
                <w:szCs w:val="1"/>
                <w:color w:val="auto"/>
              </w:rPr>
            </w:pPr>
          </w:p>
        </w:tc>
        <w:tc>
          <w:tcPr>
            <w:tcW w:w="240" w:type="dxa"/>
            <w:vAlign w:val="bottom"/>
            <w:gridSpan w:val="4"/>
            <w:shd w:val="clear" w:color="auto" w:fill="0563C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8.10.  Counterparts; Effectiveness; Electronic Signatures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53</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20" w:type="dxa"/>
            <w:vAlign w:val="bottom"/>
            <w:tcBorders>
              <w:right w:val="single" w:sz="8" w:color="0563C1"/>
            </w:tcBorders>
            <w:gridSpan w:val="9"/>
            <w:shd w:val="clear" w:color="auto" w:fill="0563C1"/>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8.11.</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Severability</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53</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000FF"/>
            </w:tcBorders>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line="250" w:lineRule="exact"/>
              <w:rPr>
                <w:rFonts w:ascii="Arial" w:cs="Arial" w:eastAsia="Arial" w:hAnsi="Arial"/>
                <w:sz w:val="22"/>
                <w:szCs w:val="22"/>
                <w:b w:val="1"/>
                <w:bCs w:val="1"/>
                <w:color w:val="0563C1"/>
                <w:w w:val="83"/>
              </w:rPr>
            </w:pPr>
            <w:hyperlink w:anchor="page85">
              <w:r>
                <w:rPr>
                  <w:rFonts w:ascii="Arial" w:cs="Arial" w:eastAsia="Arial" w:hAnsi="Arial"/>
                  <w:sz w:val="22"/>
                  <w:szCs w:val="22"/>
                  <w:b w:val="1"/>
                  <w:bCs w:val="1"/>
                  <w:color w:val="0563C1"/>
                  <w:w w:val="83"/>
                </w:rPr>
                <w:t>Section 8.12.</w:t>
              </w:r>
            </w:hyperlink>
          </w:p>
        </w:tc>
        <w:tc>
          <w:tcPr>
            <w:tcW w:w="220" w:type="dxa"/>
            <w:vAlign w:val="bottom"/>
          </w:tcPr>
          <w:p>
            <w:pPr>
              <w:spacing w:after="0"/>
              <w:rPr>
                <w:sz w:val="21"/>
                <w:szCs w:val="21"/>
                <w:color w:val="auto"/>
              </w:rPr>
            </w:pPr>
          </w:p>
        </w:tc>
        <w:tc>
          <w:tcPr>
            <w:tcW w:w="9220" w:type="dxa"/>
            <w:vAlign w:val="bottom"/>
            <w:gridSpan w:val="32"/>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Expenses</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53</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gridSpan w:val="5"/>
            <w:shd w:val="clear" w:color="auto" w:fill="0563C1"/>
          </w:tcPr>
          <w:p>
            <w:pPr>
              <w:spacing w:after="0" w:line="20" w:lineRule="exact"/>
              <w:rPr>
                <w:sz w:val="1"/>
                <w:szCs w:val="1"/>
                <w:color w:val="auto"/>
              </w:rPr>
            </w:pPr>
          </w:p>
        </w:tc>
        <w:tc>
          <w:tcPr>
            <w:tcW w:w="1060" w:type="dxa"/>
            <w:vAlign w:val="bottom"/>
            <w:gridSpan w:val="10"/>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8.13.  Governing Law; Jurisdiction</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60" w:type="dxa"/>
            <w:vAlign w:val="bottom"/>
            <w:tcBorders>
              <w:right w:val="single" w:sz="8" w:color="0563C1"/>
            </w:tcBorders>
            <w:gridSpan w:val="15"/>
            <w:shd w:val="clear" w:color="auto" w:fill="0563C1"/>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0" w:type="dxa"/>
            <w:vAlign w:val="bottom"/>
            <w:gridSpan w:val="35"/>
          </w:tcPr>
          <w:p>
            <w:pPr>
              <w:spacing w:after="0" w:line="250" w:lineRule="exact"/>
              <w:rPr>
                <w:rFonts w:ascii="Arial" w:cs="Arial" w:eastAsia="Arial" w:hAnsi="Arial"/>
                <w:sz w:val="22"/>
                <w:szCs w:val="22"/>
                <w:b w:val="1"/>
                <w:bCs w:val="1"/>
                <w:color w:val="0563C1"/>
              </w:rPr>
            </w:pPr>
            <w:hyperlink w:anchor="page85">
              <w:r>
                <w:rPr>
                  <w:rFonts w:ascii="Arial" w:cs="Arial" w:eastAsia="Arial" w:hAnsi="Arial"/>
                  <w:sz w:val="22"/>
                  <w:szCs w:val="22"/>
                  <w:b w:val="1"/>
                  <w:bCs w:val="1"/>
                  <w:color w:val="0563C1"/>
                </w:rPr>
                <w:t>Section 8.14.  Waiver of Jury Trial</w:t>
              </w:r>
            </w:hyperlink>
          </w:p>
        </w:tc>
        <w:tc>
          <w:tcPr>
            <w:tcW w:w="200" w:type="dxa"/>
            <w:vAlign w:val="bottom"/>
          </w:tcPr>
          <w:p>
            <w:pPr>
              <w:jc w:val="right"/>
              <w:spacing w:after="0" w:line="250" w:lineRule="exact"/>
              <w:rPr>
                <w:rFonts w:ascii="Arial" w:cs="Arial" w:eastAsia="Arial" w:hAnsi="Arial"/>
                <w:sz w:val="22"/>
                <w:szCs w:val="22"/>
                <w:color w:val="0000FF"/>
                <w:w w:val="73"/>
              </w:rPr>
            </w:pPr>
            <w:hyperlink w:anchor="page85">
              <w:r>
                <w:rPr>
                  <w:rFonts w:ascii="Arial" w:cs="Arial" w:eastAsia="Arial" w:hAnsi="Arial"/>
                  <w:sz w:val="22"/>
                  <w:szCs w:val="22"/>
                  <w:color w:val="0000FF"/>
                  <w:w w:val="73"/>
                </w:rPr>
                <w:t>54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0" w:type="dxa"/>
            <w:vAlign w:val="bottom"/>
          </w:tcPr>
          <w:p>
            <w:pPr>
              <w:spacing w:after="0"/>
              <w:rPr>
                <w:sz w:val="24"/>
                <w:szCs w:val="24"/>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rPr>
              <w:t>EXHIBITS</w:t>
            </w:r>
          </w:p>
        </w:tc>
        <w:tc>
          <w:tcPr>
            <w:tcW w:w="220" w:type="dxa"/>
            <w:vAlign w:val="bottom"/>
            <w:vMerge w:val="restart"/>
          </w:tcPr>
          <w:p>
            <w:pPr>
              <w:spacing w:after="0"/>
              <w:rPr>
                <w:sz w:val="20"/>
                <w:szCs w:val="20"/>
                <w:color w:val="auto"/>
              </w:rPr>
            </w:pPr>
            <w:r>
              <w:rPr>
                <w:rFonts w:ascii="Arial" w:cs="Arial" w:eastAsia="Arial" w:hAnsi="Arial"/>
                <w:sz w:val="22"/>
                <w:szCs w:val="22"/>
                <w:color w:val="auto"/>
              </w:rPr>
              <w:t>–</w:t>
            </w:r>
          </w:p>
        </w:tc>
        <w:tc>
          <w:tcPr>
            <w:tcW w:w="8760" w:type="dxa"/>
            <w:vAlign w:val="bottom"/>
            <w:gridSpan w:val="30"/>
            <w:vMerge w:val="restart"/>
          </w:tcPr>
          <w:p>
            <w:pPr>
              <w:ind w:left="120"/>
              <w:spacing w:after="0"/>
              <w:rPr>
                <w:sz w:val="20"/>
                <w:szCs w:val="20"/>
                <w:color w:val="auto"/>
              </w:rPr>
            </w:pPr>
            <w:r>
              <w:rPr>
                <w:rFonts w:ascii="Arial" w:cs="Arial" w:eastAsia="Arial" w:hAnsi="Arial"/>
                <w:sz w:val="22"/>
                <w:szCs w:val="22"/>
                <w:color w:val="auto"/>
              </w:rPr>
              <w:t>License Agreement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1040" w:type="dxa"/>
            <w:vAlign w:val="bottom"/>
            <w:gridSpan w:val="3"/>
          </w:tcPr>
          <w:p>
            <w:pPr>
              <w:spacing w:after="0" w:line="188" w:lineRule="exact"/>
              <w:rPr>
                <w:sz w:val="20"/>
                <w:szCs w:val="20"/>
                <w:color w:val="auto"/>
              </w:rPr>
            </w:pPr>
            <w:r>
              <w:rPr>
                <w:rFonts w:ascii="Arial" w:cs="Arial" w:eastAsia="Arial" w:hAnsi="Arial"/>
                <w:sz w:val="21"/>
                <w:szCs w:val="21"/>
                <w:color w:val="auto"/>
              </w:rPr>
              <w:t>Exhibit A</w:t>
            </w:r>
          </w:p>
        </w:tc>
        <w:tc>
          <w:tcPr>
            <w:tcW w:w="220" w:type="dxa"/>
            <w:vAlign w:val="bottom"/>
            <w:vMerge w:val="continue"/>
          </w:tcPr>
          <w:p>
            <w:pPr>
              <w:spacing w:after="0"/>
              <w:rPr>
                <w:sz w:val="16"/>
                <w:szCs w:val="16"/>
                <w:color w:val="auto"/>
              </w:rPr>
            </w:pPr>
          </w:p>
        </w:tc>
        <w:tc>
          <w:tcPr>
            <w:tcW w:w="8760" w:type="dxa"/>
            <w:vAlign w:val="bottom"/>
            <w:gridSpan w:val="30"/>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1040" w:type="dxa"/>
            <w:vAlign w:val="bottom"/>
            <w:gridSpan w:val="3"/>
          </w:tcPr>
          <w:p>
            <w:pPr>
              <w:spacing w:after="0"/>
              <w:rPr>
                <w:sz w:val="20"/>
                <w:szCs w:val="20"/>
                <w:color w:val="auto"/>
              </w:rPr>
            </w:pPr>
            <w:r>
              <w:rPr>
                <w:rFonts w:ascii="Arial" w:cs="Arial" w:eastAsia="Arial" w:hAnsi="Arial"/>
                <w:sz w:val="22"/>
                <w:szCs w:val="22"/>
                <w:color w:val="auto"/>
              </w:rPr>
              <w:t>Exhibit B</w:t>
            </w:r>
          </w:p>
        </w:tc>
        <w:tc>
          <w:tcPr>
            <w:tcW w:w="220" w:type="dxa"/>
            <w:vAlign w:val="bottom"/>
          </w:tcPr>
          <w:p>
            <w:pPr>
              <w:spacing w:after="0"/>
              <w:rPr>
                <w:sz w:val="20"/>
                <w:szCs w:val="20"/>
                <w:color w:val="auto"/>
              </w:rPr>
            </w:pPr>
            <w:r>
              <w:rPr>
                <w:rFonts w:ascii="Arial" w:cs="Arial" w:eastAsia="Arial" w:hAnsi="Arial"/>
                <w:sz w:val="22"/>
                <w:szCs w:val="22"/>
                <w:color w:val="auto"/>
              </w:rPr>
              <w:t>–</w:t>
            </w:r>
          </w:p>
        </w:tc>
        <w:tc>
          <w:tcPr>
            <w:tcW w:w="8760" w:type="dxa"/>
            <w:vAlign w:val="bottom"/>
            <w:gridSpan w:val="30"/>
          </w:tcPr>
          <w:p>
            <w:pPr>
              <w:ind w:left="120"/>
              <w:spacing w:after="0"/>
              <w:rPr>
                <w:sz w:val="20"/>
                <w:szCs w:val="20"/>
                <w:color w:val="auto"/>
              </w:rPr>
            </w:pPr>
            <w:r>
              <w:rPr>
                <w:rFonts w:ascii="Arial" w:cs="Arial" w:eastAsia="Arial" w:hAnsi="Arial"/>
                <w:sz w:val="22"/>
                <w:szCs w:val="22"/>
                <w:color w:val="auto"/>
              </w:rPr>
              <w:t>Form of Assignment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20" w:top="1426" w:right="359" w:bottom="1440" w:gutter="0" w:footer="0" w:header="0"/>
        </w:sectPr>
      </w:pP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20"/>
          </w:cols>
          <w:pgMar w:left="320" w:top="1426" w:right="359" w:bottom="1440" w:gutter="0" w:footer="0" w:header="0"/>
          <w:type w:val="continuous"/>
        </w:sectPr>
      </w:pPr>
    </w:p>
    <w:bookmarkStart w:id="84" w:name="page85"/>
    <w:bookmarkEnd w:id="84"/>
    <w:p>
      <w:pPr>
        <w:ind w:left="660"/>
        <w:spacing w:after="0"/>
        <w:tabs>
          <w:tab w:leader="none" w:pos="1680" w:val="left"/>
          <w:tab w:leader="none" w:pos="2020" w:val="left"/>
        </w:tabs>
        <w:rPr>
          <w:sz w:val="20"/>
          <w:szCs w:val="20"/>
          <w:color w:val="auto"/>
        </w:rPr>
      </w:pPr>
      <w:r>
        <w:rPr>
          <w:rFonts w:ascii="Arial" w:cs="Arial" w:eastAsia="Arial" w:hAnsi="Arial"/>
          <w:sz w:val="22"/>
          <w:szCs w:val="22"/>
          <w:color w:val="auto"/>
        </w:rPr>
        <w:t>Exhibit C</w:t>
        <w:tab/>
        <w:t>–</w:t>
      </w:r>
      <w:r>
        <w:rPr>
          <w:sz w:val="20"/>
          <w:szCs w:val="20"/>
          <w:color w:val="auto"/>
        </w:rPr>
        <w:tab/>
      </w:r>
      <w:r>
        <w:rPr>
          <w:rFonts w:ascii="Arial" w:cs="Arial" w:eastAsia="Arial" w:hAnsi="Arial"/>
          <w:sz w:val="19"/>
          <w:szCs w:val="19"/>
          <w:color w:val="auto"/>
        </w:rPr>
        <w:t>Form of Licensee Instruction</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400" w:type="dxa"/>
            <w:vAlign w:val="bottom"/>
            <w:gridSpan w:val="2"/>
          </w:tcPr>
          <w:p>
            <w:pPr>
              <w:spacing w:after="0"/>
              <w:rPr>
                <w:sz w:val="20"/>
                <w:szCs w:val="20"/>
                <w:color w:val="auto"/>
              </w:rPr>
            </w:pPr>
            <w:r>
              <w:rPr>
                <w:rFonts w:ascii="Arial" w:cs="Arial" w:eastAsia="Arial" w:hAnsi="Arial"/>
                <w:sz w:val="22"/>
                <w:szCs w:val="22"/>
                <w:b w:val="1"/>
                <w:bCs w:val="1"/>
                <w:color w:val="auto"/>
              </w:rPr>
              <w:t>SCHEDULES</w:t>
            </w:r>
          </w:p>
        </w:tc>
        <w:tc>
          <w:tcPr>
            <w:tcW w:w="300" w:type="dxa"/>
            <w:vAlign w:val="bottom"/>
          </w:tcPr>
          <w:p>
            <w:pPr>
              <w:spacing w:after="0"/>
              <w:rPr>
                <w:sz w:val="21"/>
                <w:szCs w:val="21"/>
                <w:color w:val="auto"/>
              </w:rPr>
            </w:pPr>
          </w:p>
        </w:tc>
        <w:tc>
          <w:tcPr>
            <w:tcW w:w="2240" w:type="dxa"/>
            <w:vAlign w:val="bottom"/>
            <w:vMerge w:val="restart"/>
          </w:tcPr>
          <w:p>
            <w:pPr>
              <w:ind w:left="80"/>
              <w:spacing w:after="0"/>
              <w:rPr>
                <w:sz w:val="20"/>
                <w:szCs w:val="20"/>
                <w:color w:val="auto"/>
              </w:rPr>
            </w:pPr>
            <w:r>
              <w:rPr>
                <w:rFonts w:ascii="Arial" w:cs="Arial" w:eastAsia="Arial" w:hAnsi="Arial"/>
                <w:sz w:val="22"/>
                <w:szCs w:val="22"/>
                <w:color w:val="auto"/>
              </w:rPr>
              <w:t>Permitted Liens</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gridSpan w:val="3"/>
          </w:tcPr>
          <w:p>
            <w:pPr>
              <w:spacing w:after="0" w:line="188" w:lineRule="exact"/>
              <w:rPr>
                <w:sz w:val="20"/>
                <w:szCs w:val="20"/>
                <w:color w:val="auto"/>
              </w:rPr>
            </w:pPr>
            <w:r>
              <w:rPr>
                <w:rFonts w:ascii="Arial" w:cs="Arial" w:eastAsia="Arial" w:hAnsi="Arial"/>
                <w:sz w:val="21"/>
                <w:szCs w:val="21"/>
                <w:color w:val="auto"/>
                <w:w w:val="97"/>
              </w:rPr>
              <w:t>Schedule 1.01(a)–</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line="216" w:lineRule="exact"/>
              <w:rPr>
                <w:sz w:val="20"/>
                <w:szCs w:val="20"/>
                <w:color w:val="auto"/>
              </w:rPr>
            </w:pPr>
            <w:r>
              <w:rPr>
                <w:rFonts w:ascii="Arial" w:cs="Arial" w:eastAsia="Arial" w:hAnsi="Arial"/>
                <w:sz w:val="22"/>
                <w:szCs w:val="22"/>
                <w:color w:val="auto"/>
                <w:w w:val="86"/>
              </w:rPr>
              <w:t>Schedule 3.01 –</w:t>
            </w:r>
          </w:p>
        </w:tc>
        <w:tc>
          <w:tcPr>
            <w:tcW w:w="2540" w:type="dxa"/>
            <w:vAlign w:val="bottom"/>
            <w:gridSpan w:val="2"/>
          </w:tcPr>
          <w:p>
            <w:pPr>
              <w:ind w:left="200"/>
              <w:spacing w:after="0" w:line="216" w:lineRule="exact"/>
              <w:rPr>
                <w:sz w:val="20"/>
                <w:szCs w:val="20"/>
                <w:color w:val="auto"/>
              </w:rPr>
            </w:pPr>
            <w:r>
              <w:rPr>
                <w:rFonts w:ascii="Arial" w:cs="Arial" w:eastAsia="Arial" w:hAnsi="Arial"/>
                <w:sz w:val="22"/>
                <w:szCs w:val="22"/>
                <w:color w:val="auto"/>
              </w:rPr>
              <w:t>Subsidiaries</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line="216" w:lineRule="exact"/>
              <w:rPr>
                <w:sz w:val="20"/>
                <w:szCs w:val="20"/>
                <w:color w:val="auto"/>
              </w:rPr>
            </w:pPr>
            <w:r>
              <w:rPr>
                <w:rFonts w:ascii="Arial" w:cs="Arial" w:eastAsia="Arial" w:hAnsi="Arial"/>
                <w:sz w:val="22"/>
                <w:szCs w:val="22"/>
                <w:color w:val="auto"/>
                <w:w w:val="98"/>
              </w:rPr>
              <w:t>Schedule 3.03</w:t>
            </w:r>
          </w:p>
        </w:tc>
        <w:tc>
          <w:tcPr>
            <w:tcW w:w="300" w:type="dxa"/>
            <w:vAlign w:val="bottom"/>
          </w:tcPr>
          <w:p>
            <w:pPr>
              <w:ind w:left="40"/>
              <w:spacing w:after="0" w:line="216" w:lineRule="exact"/>
              <w:rPr>
                <w:sz w:val="20"/>
                <w:szCs w:val="20"/>
                <w:color w:val="auto"/>
              </w:rPr>
            </w:pPr>
            <w:r>
              <w:rPr>
                <w:rFonts w:ascii="Arial" w:cs="Arial" w:eastAsia="Arial" w:hAnsi="Arial"/>
                <w:sz w:val="22"/>
                <w:szCs w:val="22"/>
                <w:color w:val="auto"/>
              </w:rPr>
              <w:t>–</w:t>
            </w:r>
          </w:p>
        </w:tc>
        <w:tc>
          <w:tcPr>
            <w:tcW w:w="2240" w:type="dxa"/>
            <w:vAlign w:val="bottom"/>
          </w:tcPr>
          <w:p>
            <w:pPr>
              <w:ind w:left="60"/>
              <w:spacing w:after="0" w:line="216" w:lineRule="exact"/>
              <w:rPr>
                <w:sz w:val="20"/>
                <w:szCs w:val="20"/>
                <w:color w:val="auto"/>
              </w:rPr>
            </w:pPr>
            <w:r>
              <w:rPr>
                <w:rFonts w:ascii="Arial" w:cs="Arial" w:eastAsia="Arial" w:hAnsi="Arial"/>
                <w:sz w:val="22"/>
                <w:szCs w:val="22"/>
                <w:color w:val="auto"/>
              </w:rPr>
              <w:t>Litigation</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line="216" w:lineRule="exact"/>
              <w:rPr>
                <w:sz w:val="20"/>
                <w:szCs w:val="20"/>
                <w:color w:val="auto"/>
              </w:rPr>
            </w:pPr>
            <w:r>
              <w:rPr>
                <w:rFonts w:ascii="Arial" w:cs="Arial" w:eastAsia="Arial" w:hAnsi="Arial"/>
                <w:sz w:val="22"/>
                <w:szCs w:val="22"/>
                <w:color w:val="auto"/>
                <w:w w:val="90"/>
              </w:rPr>
              <w:t>Schedule 3.08(g) –</w:t>
            </w:r>
          </w:p>
        </w:tc>
        <w:tc>
          <w:tcPr>
            <w:tcW w:w="2240" w:type="dxa"/>
            <w:vAlign w:val="bottom"/>
          </w:tcPr>
          <w:p>
            <w:pPr>
              <w:ind w:left="140"/>
              <w:spacing w:after="0" w:line="216" w:lineRule="exact"/>
              <w:rPr>
                <w:sz w:val="20"/>
                <w:szCs w:val="20"/>
                <w:color w:val="auto"/>
              </w:rPr>
            </w:pPr>
            <w:r>
              <w:rPr>
                <w:rFonts w:ascii="Arial" w:cs="Arial" w:eastAsia="Arial" w:hAnsi="Arial"/>
                <w:sz w:val="22"/>
                <w:szCs w:val="22"/>
                <w:color w:val="auto"/>
              </w:rPr>
              <w:t>Sublicenses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line="216" w:lineRule="exact"/>
              <w:rPr>
                <w:sz w:val="20"/>
                <w:szCs w:val="20"/>
                <w:color w:val="auto"/>
              </w:rPr>
            </w:pPr>
            <w:r>
              <w:rPr>
                <w:rFonts w:ascii="Arial" w:cs="Arial" w:eastAsia="Arial" w:hAnsi="Arial"/>
                <w:sz w:val="22"/>
                <w:szCs w:val="22"/>
                <w:color w:val="auto"/>
                <w:w w:val="90"/>
              </w:rPr>
              <w:t>Schedule 3.08(n) –</w:t>
            </w:r>
          </w:p>
        </w:tc>
        <w:tc>
          <w:tcPr>
            <w:tcW w:w="2240" w:type="dxa"/>
            <w:vAlign w:val="bottom"/>
          </w:tcPr>
          <w:p>
            <w:pPr>
              <w:ind w:left="140"/>
              <w:spacing w:after="0" w:line="216" w:lineRule="exact"/>
              <w:rPr>
                <w:sz w:val="20"/>
                <w:szCs w:val="20"/>
                <w:color w:val="auto"/>
              </w:rPr>
            </w:pPr>
            <w:r>
              <w:rPr>
                <w:rFonts w:ascii="Arial" w:cs="Arial" w:eastAsia="Arial" w:hAnsi="Arial"/>
                <w:sz w:val="22"/>
                <w:szCs w:val="22"/>
                <w:color w:val="auto"/>
              </w:rPr>
              <w:t>Agreements</w:t>
            </w:r>
          </w:p>
        </w:tc>
        <w:tc>
          <w:tcPr>
            <w:tcW w:w="0" w:type="dxa"/>
            <w:vAlign w:val="bottom"/>
          </w:tcPr>
          <w:p>
            <w:pPr>
              <w:spacing w:after="0"/>
              <w:rPr>
                <w:sz w:val="1"/>
                <w:szCs w:val="1"/>
                <w:color w:val="auto"/>
              </w:rPr>
            </w:pPr>
          </w:p>
        </w:tc>
      </w:tr>
      <w:tr>
        <w:trPr>
          <w:trHeight w:val="216"/>
        </w:trPr>
        <w:tc>
          <w:tcPr>
            <w:tcW w:w="3940" w:type="dxa"/>
            <w:vAlign w:val="bottom"/>
            <w:gridSpan w:val="4"/>
          </w:tcPr>
          <w:p>
            <w:pPr>
              <w:spacing w:after="0" w:line="216" w:lineRule="exact"/>
              <w:rPr>
                <w:sz w:val="20"/>
                <w:szCs w:val="20"/>
                <w:color w:val="auto"/>
              </w:rPr>
            </w:pPr>
            <w:r>
              <w:rPr>
                <w:rFonts w:ascii="Arial" w:cs="Arial" w:eastAsia="Arial" w:hAnsi="Arial"/>
                <w:sz w:val="22"/>
                <w:szCs w:val="22"/>
                <w:color w:val="auto"/>
                <w:w w:val="90"/>
              </w:rPr>
              <w:t>Schedule 3.09(a) –   Production Agreements</w:t>
            </w:r>
          </w:p>
        </w:tc>
        <w:tc>
          <w:tcPr>
            <w:tcW w:w="0" w:type="dxa"/>
            <w:vAlign w:val="bottom"/>
          </w:tcPr>
          <w:p>
            <w:pPr>
              <w:spacing w:after="0"/>
              <w:rPr>
                <w:sz w:val="1"/>
                <w:szCs w:val="1"/>
                <w:color w:val="auto"/>
              </w:rPr>
            </w:pPr>
          </w:p>
        </w:tc>
      </w:tr>
      <w:tr>
        <w:trPr>
          <w:trHeight w:val="234"/>
        </w:trPr>
        <w:tc>
          <w:tcPr>
            <w:tcW w:w="1700" w:type="dxa"/>
            <w:vAlign w:val="bottom"/>
            <w:gridSpan w:val="3"/>
          </w:tcPr>
          <w:p>
            <w:pPr>
              <w:spacing w:after="0" w:line="234" w:lineRule="exact"/>
              <w:rPr>
                <w:sz w:val="20"/>
                <w:szCs w:val="20"/>
                <w:color w:val="auto"/>
              </w:rPr>
            </w:pPr>
            <w:r>
              <w:rPr>
                <w:rFonts w:ascii="Arial" w:cs="Arial" w:eastAsia="Arial" w:hAnsi="Arial"/>
                <w:sz w:val="22"/>
                <w:szCs w:val="22"/>
                <w:color w:val="auto"/>
                <w:w w:val="94"/>
              </w:rPr>
              <w:t>Schedule 3.09(i) –</w:t>
            </w:r>
          </w:p>
        </w:tc>
        <w:tc>
          <w:tcPr>
            <w:tcW w:w="2240" w:type="dxa"/>
            <w:vAlign w:val="bottom"/>
          </w:tcPr>
          <w:p>
            <w:pPr>
              <w:ind w:left="100"/>
              <w:spacing w:after="0" w:line="23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ind w:left="660"/>
        <w:spacing w:after="0" w:line="237" w:lineRule="auto"/>
        <w:tabs>
          <w:tab w:leader="none" w:pos="2480" w:val="left"/>
        </w:tabs>
        <w:rPr>
          <w:sz w:val="20"/>
          <w:szCs w:val="20"/>
          <w:color w:val="auto"/>
        </w:rPr>
      </w:pPr>
      <w:r>
        <w:rPr>
          <w:rFonts w:ascii="Arial" w:cs="Arial" w:eastAsia="Arial" w:hAnsi="Arial"/>
          <w:sz w:val="22"/>
          <w:szCs w:val="22"/>
          <w:color w:val="auto"/>
        </w:rPr>
        <w:t>Schedule 3.10(a) –</w:t>
      </w:r>
      <w:r>
        <w:rPr>
          <w:sz w:val="20"/>
          <w:szCs w:val="20"/>
          <w:color w:val="auto"/>
        </w:rPr>
        <w:tab/>
      </w:r>
      <w:r>
        <w:rPr>
          <w:rFonts w:ascii="Arial" w:cs="Arial" w:eastAsia="Arial" w:hAnsi="Arial"/>
          <w:sz w:val="19"/>
          <w:szCs w:val="19"/>
          <w:color w:val="auto"/>
        </w:rPr>
        <w:t>Net Sales through end of period immediately preceding Closing Date</w:t>
      </w:r>
    </w:p>
    <w:p>
      <w:pPr>
        <w:ind w:left="660"/>
        <w:spacing w:after="0" w:line="237" w:lineRule="auto"/>
        <w:tabs>
          <w:tab w:leader="none" w:pos="2480" w:val="left"/>
        </w:tabs>
        <w:rPr>
          <w:sz w:val="20"/>
          <w:szCs w:val="20"/>
          <w:color w:val="auto"/>
        </w:rPr>
      </w:pPr>
      <w:r>
        <w:rPr>
          <w:rFonts w:ascii="Arial" w:cs="Arial" w:eastAsia="Arial" w:hAnsi="Arial"/>
          <w:sz w:val="22"/>
          <w:szCs w:val="22"/>
          <w:color w:val="auto"/>
        </w:rPr>
        <w:t>Schedule 3.10(b) –</w:t>
      </w:r>
      <w:r>
        <w:rPr>
          <w:sz w:val="20"/>
          <w:szCs w:val="20"/>
          <w:color w:val="auto"/>
        </w:rPr>
        <w:tab/>
      </w:r>
      <w:r>
        <w:rPr>
          <w:rFonts w:ascii="Arial" w:cs="Arial" w:eastAsia="Arial" w:hAnsi="Arial"/>
          <w:sz w:val="19"/>
          <w:szCs w:val="19"/>
          <w:color w:val="auto"/>
        </w:rPr>
        <w:t>Milestone payments through end of period immediately preceding Closing Date</w:t>
      </w:r>
    </w:p>
    <w:p>
      <w:pPr>
        <w:ind w:left="660"/>
        <w:spacing w:after="0"/>
        <w:tabs>
          <w:tab w:leader="none" w:pos="2480" w:val="left"/>
        </w:tabs>
        <w:rPr>
          <w:sz w:val="20"/>
          <w:szCs w:val="20"/>
          <w:color w:val="auto"/>
        </w:rPr>
      </w:pPr>
      <w:r>
        <w:rPr>
          <w:rFonts w:ascii="Arial" w:cs="Arial" w:eastAsia="Arial" w:hAnsi="Arial"/>
          <w:sz w:val="22"/>
          <w:szCs w:val="22"/>
          <w:color w:val="auto"/>
        </w:rPr>
        <w:t>Schedule 3.14(a) –</w:t>
      </w:r>
      <w:r>
        <w:rPr>
          <w:sz w:val="20"/>
          <w:szCs w:val="20"/>
          <w:color w:val="auto"/>
        </w:rPr>
        <w:tab/>
      </w:r>
      <w:r>
        <w:rPr>
          <w:rFonts w:ascii="Arial" w:cs="Arial" w:eastAsia="Arial" w:hAnsi="Arial"/>
          <w:sz w:val="18"/>
          <w:szCs w:val="18"/>
          <w:color w:val="auto"/>
        </w:rPr>
        <w:t>Indebtedness</w:t>
      </w:r>
    </w:p>
    <w:p>
      <w:pPr>
        <w:ind w:left="660"/>
        <w:spacing w:after="0" w:line="237" w:lineRule="auto"/>
        <w:tabs>
          <w:tab w:leader="none" w:pos="2480" w:val="left"/>
        </w:tabs>
        <w:rPr>
          <w:sz w:val="20"/>
          <w:szCs w:val="20"/>
          <w:color w:val="auto"/>
        </w:rPr>
      </w:pPr>
      <w:r>
        <w:rPr>
          <w:rFonts w:ascii="Arial" w:cs="Arial" w:eastAsia="Arial" w:hAnsi="Arial"/>
          <w:sz w:val="22"/>
          <w:szCs w:val="22"/>
          <w:color w:val="auto"/>
        </w:rPr>
        <w:t>Schedule 3.14(b) –</w:t>
      </w:r>
      <w:r>
        <w:rPr>
          <w:sz w:val="20"/>
          <w:szCs w:val="20"/>
          <w:color w:val="auto"/>
        </w:rPr>
        <w:tab/>
      </w:r>
      <w:r>
        <w:rPr>
          <w:rFonts w:ascii="Arial" w:cs="Arial" w:eastAsia="Arial" w:hAnsi="Arial"/>
          <w:sz w:val="19"/>
          <w:szCs w:val="19"/>
          <w:color w:val="auto"/>
        </w:rPr>
        <w:t>Liens</w:t>
      </w:r>
    </w:p>
    <w:p>
      <w:pPr>
        <w:ind w:left="660"/>
        <w:spacing w:after="0" w:line="237" w:lineRule="auto"/>
        <w:tabs>
          <w:tab w:leader="none" w:pos="2460" w:val="left"/>
        </w:tabs>
        <w:rPr>
          <w:sz w:val="20"/>
          <w:szCs w:val="20"/>
          <w:color w:val="auto"/>
        </w:rPr>
      </w:pPr>
      <w:r>
        <w:rPr>
          <w:rFonts w:ascii="Arial" w:cs="Arial" w:eastAsia="Arial" w:hAnsi="Arial"/>
          <w:sz w:val="22"/>
          <w:szCs w:val="22"/>
          <w:color w:val="auto"/>
        </w:rPr>
        <w:t>Schedule 3.15(a) –</w:t>
      </w:r>
      <w:r>
        <w:rPr>
          <w:sz w:val="20"/>
          <w:szCs w:val="20"/>
          <w:color w:val="auto"/>
        </w:rPr>
        <w:tab/>
      </w:r>
      <w:r>
        <w:rPr>
          <w:rFonts w:ascii="Arial" w:cs="Arial" w:eastAsia="Arial" w:hAnsi="Arial"/>
          <w:sz w:val="19"/>
          <w:szCs w:val="19"/>
          <w:color w:val="auto"/>
        </w:rPr>
        <w:t>Ardelyx Controlled Patents</w:t>
      </w:r>
    </w:p>
    <w:p>
      <w:pPr>
        <w:ind w:left="660"/>
        <w:spacing w:after="0"/>
        <w:tabs>
          <w:tab w:leader="none" w:pos="2540" w:val="left"/>
        </w:tabs>
        <w:rPr>
          <w:sz w:val="20"/>
          <w:szCs w:val="20"/>
          <w:color w:val="auto"/>
        </w:rPr>
      </w:pPr>
      <w:r>
        <w:rPr>
          <w:rFonts w:ascii="Arial" w:cs="Arial" w:eastAsia="Arial" w:hAnsi="Arial"/>
          <w:sz w:val="22"/>
          <w:szCs w:val="22"/>
          <w:color w:val="auto"/>
        </w:rPr>
        <w:t>Schedule 3.15(c) –</w:t>
      </w:r>
      <w:r>
        <w:rPr>
          <w:sz w:val="20"/>
          <w:szCs w:val="20"/>
          <w:color w:val="auto"/>
        </w:rPr>
        <w:tab/>
      </w:r>
      <w:r>
        <w:rPr>
          <w:rFonts w:ascii="Arial" w:cs="Arial" w:eastAsia="Arial" w:hAnsi="Arial"/>
          <w:sz w:val="19"/>
          <w:szCs w:val="19"/>
          <w:color w:val="auto"/>
        </w:rPr>
        <w:t>Disputes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700" w:type="dxa"/>
            <w:vAlign w:val="bottom"/>
            <w:gridSpan w:val="2"/>
          </w:tcPr>
          <w:p>
            <w:pPr>
              <w:spacing w:after="0"/>
              <w:rPr>
                <w:sz w:val="20"/>
                <w:szCs w:val="20"/>
                <w:color w:val="auto"/>
              </w:rPr>
            </w:pPr>
            <w:r>
              <w:rPr>
                <w:rFonts w:ascii="Arial" w:cs="Arial" w:eastAsia="Arial" w:hAnsi="Arial"/>
                <w:sz w:val="22"/>
                <w:szCs w:val="22"/>
                <w:color w:val="auto"/>
                <w:w w:val="90"/>
              </w:rPr>
              <w:t>Schedule 3.15(q) –</w:t>
            </w:r>
          </w:p>
        </w:tc>
        <w:tc>
          <w:tcPr>
            <w:tcW w:w="8880" w:type="dxa"/>
            <w:vAlign w:val="bottom"/>
          </w:tcPr>
          <w:p>
            <w:pPr>
              <w:jc w:val="right"/>
              <w:ind w:right="6872"/>
              <w:spacing w:after="0"/>
              <w:rPr>
                <w:sz w:val="20"/>
                <w:szCs w:val="20"/>
                <w:color w:val="auto"/>
              </w:rPr>
            </w:pPr>
            <w:r>
              <w:rPr>
                <w:rFonts w:ascii="Arial" w:cs="Arial" w:eastAsia="Arial" w:hAnsi="Arial"/>
                <w:sz w:val="22"/>
                <w:szCs w:val="22"/>
                <w:color w:val="auto"/>
                <w:w w:val="99"/>
              </w:rPr>
              <w:t>Patent Applications</w:t>
            </w:r>
          </w:p>
        </w:tc>
        <w:tc>
          <w:tcPr>
            <w:tcW w:w="0" w:type="dxa"/>
            <w:vAlign w:val="bottom"/>
          </w:tcPr>
          <w:p>
            <w:pPr>
              <w:spacing w:after="0"/>
              <w:rPr>
                <w:sz w:val="1"/>
                <w:szCs w:val="1"/>
                <w:color w:val="auto"/>
              </w:rPr>
            </w:pPr>
          </w:p>
        </w:tc>
      </w:tr>
      <w:tr>
        <w:trPr>
          <w:trHeight w:val="216"/>
        </w:trPr>
        <w:tc>
          <w:tcPr>
            <w:tcW w:w="10580" w:type="dxa"/>
            <w:vAlign w:val="bottom"/>
            <w:gridSpan w:val="3"/>
          </w:tcPr>
          <w:p>
            <w:pPr>
              <w:spacing w:after="0" w:line="216" w:lineRule="exact"/>
              <w:rPr>
                <w:sz w:val="20"/>
                <w:szCs w:val="20"/>
                <w:color w:val="auto"/>
              </w:rPr>
            </w:pPr>
            <w:r>
              <w:rPr>
                <w:rFonts w:ascii="Arial" w:cs="Arial" w:eastAsia="Arial" w:hAnsi="Arial"/>
                <w:sz w:val="22"/>
                <w:szCs w:val="22"/>
                <w:color w:val="auto"/>
              </w:rPr>
              <w:t>Schedule 3.15(r) –   Third Party Infringement</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line="216" w:lineRule="exact"/>
              <w:rPr>
                <w:sz w:val="20"/>
                <w:szCs w:val="20"/>
                <w:color w:val="auto"/>
              </w:rPr>
            </w:pPr>
            <w:r>
              <w:rPr>
                <w:rFonts w:ascii="Arial" w:cs="Arial" w:eastAsia="Arial" w:hAnsi="Arial"/>
                <w:sz w:val="22"/>
                <w:szCs w:val="22"/>
                <w:color w:val="auto"/>
                <w:w w:val="90"/>
              </w:rPr>
              <w:t>Schedule 3.15(s) –</w:t>
            </w:r>
          </w:p>
        </w:tc>
        <w:tc>
          <w:tcPr>
            <w:tcW w:w="8880" w:type="dxa"/>
            <w:vAlign w:val="bottom"/>
          </w:tcPr>
          <w:p>
            <w:pPr>
              <w:jc w:val="right"/>
              <w:ind w:right="7692"/>
              <w:spacing w:after="0" w:line="216" w:lineRule="exact"/>
              <w:rPr>
                <w:sz w:val="20"/>
                <w:szCs w:val="20"/>
                <w:color w:val="auto"/>
              </w:rPr>
            </w:pPr>
            <w:r>
              <w:rPr>
                <w:rFonts w:ascii="Arial" w:cs="Arial" w:eastAsia="Arial" w:hAnsi="Arial"/>
                <w:sz w:val="22"/>
                <w:szCs w:val="22"/>
                <w:color w:val="auto"/>
                <w:w w:val="99"/>
              </w:rPr>
              <w:t>[Reserved]</w:t>
            </w:r>
          </w:p>
        </w:tc>
        <w:tc>
          <w:tcPr>
            <w:tcW w:w="0" w:type="dxa"/>
            <w:vAlign w:val="bottom"/>
          </w:tcPr>
          <w:p>
            <w:pPr>
              <w:spacing w:after="0"/>
              <w:rPr>
                <w:sz w:val="1"/>
                <w:szCs w:val="1"/>
                <w:color w:val="auto"/>
              </w:rPr>
            </w:pPr>
          </w:p>
        </w:tc>
      </w:tr>
      <w:tr>
        <w:trPr>
          <w:trHeight w:val="216"/>
        </w:trPr>
        <w:tc>
          <w:tcPr>
            <w:tcW w:w="10580" w:type="dxa"/>
            <w:vAlign w:val="bottom"/>
            <w:gridSpan w:val="3"/>
          </w:tcPr>
          <w:p>
            <w:pPr>
              <w:spacing w:after="0" w:line="216" w:lineRule="exact"/>
              <w:rPr>
                <w:sz w:val="20"/>
                <w:szCs w:val="20"/>
                <w:color w:val="auto"/>
              </w:rPr>
            </w:pPr>
            <w:r>
              <w:rPr>
                <w:rFonts w:ascii="Arial" w:cs="Arial" w:eastAsia="Arial" w:hAnsi="Arial"/>
                <w:sz w:val="22"/>
                <w:szCs w:val="22"/>
                <w:color w:val="auto"/>
              </w:rPr>
              <w:t>Schedule 3.15(t) –  Third Party Exploitation Disputes</w:t>
            </w:r>
          </w:p>
        </w:tc>
        <w:tc>
          <w:tcPr>
            <w:tcW w:w="0" w:type="dxa"/>
            <w:vAlign w:val="bottom"/>
          </w:tcPr>
          <w:p>
            <w:pPr>
              <w:spacing w:after="0"/>
              <w:rPr>
                <w:sz w:val="1"/>
                <w:szCs w:val="1"/>
                <w:color w:val="auto"/>
              </w:rPr>
            </w:pPr>
          </w:p>
        </w:tc>
      </w:tr>
      <w:tr>
        <w:trPr>
          <w:trHeight w:val="216"/>
        </w:trPr>
        <w:tc>
          <w:tcPr>
            <w:tcW w:w="10580" w:type="dxa"/>
            <w:vAlign w:val="bottom"/>
            <w:gridSpan w:val="3"/>
          </w:tcPr>
          <w:p>
            <w:pPr>
              <w:spacing w:after="0" w:line="216" w:lineRule="exact"/>
              <w:rPr>
                <w:sz w:val="20"/>
                <w:szCs w:val="20"/>
                <w:color w:val="auto"/>
              </w:rPr>
            </w:pPr>
            <w:r>
              <w:rPr>
                <w:rFonts w:ascii="Arial" w:cs="Arial" w:eastAsia="Arial" w:hAnsi="Arial"/>
                <w:sz w:val="22"/>
                <w:szCs w:val="22"/>
                <w:color w:val="auto"/>
              </w:rPr>
              <w:t>Schedule 3.15(v)  Validity and Prior Art</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line="216" w:lineRule="exact"/>
              <w:rPr>
                <w:sz w:val="20"/>
                <w:szCs w:val="20"/>
                <w:color w:val="auto"/>
              </w:rPr>
            </w:pPr>
            <w:r>
              <w:rPr>
                <w:rFonts w:ascii="Arial" w:cs="Arial" w:eastAsia="Arial" w:hAnsi="Arial"/>
                <w:sz w:val="22"/>
                <w:szCs w:val="22"/>
                <w:color w:val="auto"/>
                <w:w w:val="93"/>
              </w:rPr>
              <w:t>Schedule 5.03(f) –</w:t>
            </w:r>
          </w:p>
        </w:tc>
        <w:tc>
          <w:tcPr>
            <w:tcW w:w="8880" w:type="dxa"/>
            <w:vAlign w:val="bottom"/>
          </w:tcPr>
          <w:p>
            <w:pPr>
              <w:jc w:val="right"/>
              <w:ind w:right="6952"/>
              <w:spacing w:after="0" w:line="216" w:lineRule="exact"/>
              <w:rPr>
                <w:sz w:val="20"/>
                <w:szCs w:val="20"/>
                <w:color w:val="auto"/>
              </w:rPr>
            </w:pPr>
            <w:r>
              <w:rPr>
                <w:rFonts w:ascii="Arial" w:cs="Arial" w:eastAsia="Arial" w:hAnsi="Arial"/>
                <w:sz w:val="22"/>
                <w:szCs w:val="22"/>
                <w:color w:val="auto"/>
                <w:w w:val="98"/>
              </w:rPr>
              <w:t>Publication Format</w:t>
            </w:r>
          </w:p>
        </w:tc>
        <w:tc>
          <w:tcPr>
            <w:tcW w:w="0" w:type="dxa"/>
            <w:vAlign w:val="bottom"/>
          </w:tcPr>
          <w:p>
            <w:pPr>
              <w:spacing w:after="0"/>
              <w:rPr>
                <w:sz w:val="1"/>
                <w:szCs w:val="1"/>
                <w:color w:val="auto"/>
              </w:rPr>
            </w:pPr>
          </w:p>
        </w:tc>
      </w:tr>
      <w:tr>
        <w:trPr>
          <w:trHeight w:val="216"/>
        </w:trPr>
        <w:tc>
          <w:tcPr>
            <w:tcW w:w="10580" w:type="dxa"/>
            <w:vAlign w:val="bottom"/>
            <w:gridSpan w:val="3"/>
          </w:tcPr>
          <w:p>
            <w:pPr>
              <w:spacing w:after="0" w:line="216" w:lineRule="exact"/>
              <w:rPr>
                <w:sz w:val="20"/>
                <w:szCs w:val="20"/>
                <w:color w:val="auto"/>
              </w:rPr>
            </w:pPr>
            <w:r>
              <w:rPr>
                <w:rFonts w:ascii="Arial" w:cs="Arial" w:eastAsia="Arial" w:hAnsi="Arial"/>
                <w:sz w:val="22"/>
                <w:szCs w:val="22"/>
                <w:color w:val="auto"/>
                <w:w w:val="90"/>
              </w:rPr>
              <w:t>Schedule 5.16 –  Enforcement of License Agreement and Production Agreements (excluding the Back-up Manufacturing</w:t>
            </w:r>
          </w:p>
        </w:tc>
        <w:tc>
          <w:tcPr>
            <w:tcW w:w="0" w:type="dxa"/>
            <w:vAlign w:val="bottom"/>
          </w:tcPr>
          <w:p>
            <w:pPr>
              <w:spacing w:after="0"/>
              <w:rPr>
                <w:sz w:val="1"/>
                <w:szCs w:val="1"/>
                <w:color w:val="auto"/>
              </w:rPr>
            </w:pPr>
          </w:p>
        </w:tc>
      </w:tr>
      <w:tr>
        <w:trPr>
          <w:trHeight w:val="216"/>
        </w:trPr>
        <w:tc>
          <w:tcPr>
            <w:tcW w:w="1400" w:type="dxa"/>
            <w:vAlign w:val="bottom"/>
            <w:vMerge w:val="restart"/>
          </w:tcPr>
          <w:p>
            <w:pPr>
              <w:spacing w:after="0"/>
              <w:rPr>
                <w:sz w:val="20"/>
                <w:szCs w:val="20"/>
                <w:color w:val="auto"/>
              </w:rPr>
            </w:pPr>
            <w:r>
              <w:rPr>
                <w:rFonts w:ascii="Arial" w:cs="Arial" w:eastAsia="Arial" w:hAnsi="Arial"/>
                <w:sz w:val="22"/>
                <w:szCs w:val="22"/>
                <w:color w:val="auto"/>
                <w:w w:val="86"/>
              </w:rPr>
              <w:t>Schedule 8.03 –</w:t>
            </w:r>
          </w:p>
        </w:tc>
        <w:tc>
          <w:tcPr>
            <w:tcW w:w="300" w:type="dxa"/>
            <w:vAlign w:val="bottom"/>
          </w:tcPr>
          <w:p>
            <w:pPr>
              <w:spacing w:after="0"/>
              <w:rPr>
                <w:sz w:val="18"/>
                <w:szCs w:val="18"/>
                <w:color w:val="auto"/>
              </w:rPr>
            </w:pPr>
          </w:p>
        </w:tc>
        <w:tc>
          <w:tcPr>
            <w:tcW w:w="8880" w:type="dxa"/>
            <w:vAlign w:val="bottom"/>
          </w:tcPr>
          <w:p>
            <w:pPr>
              <w:jc w:val="right"/>
              <w:ind w:right="7492"/>
              <w:spacing w:after="0" w:line="216" w:lineRule="exact"/>
              <w:rPr>
                <w:sz w:val="20"/>
                <w:szCs w:val="20"/>
                <w:color w:val="auto"/>
              </w:rPr>
            </w:pPr>
            <w:r>
              <w:rPr>
                <w:rFonts w:ascii="Arial" w:cs="Arial" w:eastAsia="Arial" w:hAnsi="Arial"/>
                <w:sz w:val="22"/>
                <w:szCs w:val="22"/>
                <w:color w:val="auto"/>
              </w:rPr>
              <w:t>Agreements</w:t>
            </w: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9180" w:type="dxa"/>
            <w:vAlign w:val="bottom"/>
            <w:gridSpan w:val="2"/>
          </w:tcPr>
          <w:p>
            <w:pPr>
              <w:jc w:val="right"/>
              <w:ind w:right="7892"/>
              <w:spacing w:after="0" w:line="216" w:lineRule="exact"/>
              <w:rPr>
                <w:sz w:val="20"/>
                <w:szCs w:val="20"/>
                <w:color w:val="auto"/>
              </w:rPr>
            </w:pPr>
            <w:r>
              <w:rPr>
                <w:rFonts w:ascii="Arial" w:cs="Arial" w:eastAsia="Arial" w:hAnsi="Arial"/>
                <w:sz w:val="22"/>
                <w:szCs w:val="22"/>
                <w:color w:val="auto"/>
              </w:rPr>
              <w:t>Competitor</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w w:val="98"/>
              </w:rPr>
              <w:t>Schedule 8.12</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8880" w:type="dxa"/>
            <w:vAlign w:val="bottom"/>
          </w:tcPr>
          <w:p>
            <w:pPr>
              <w:jc w:val="right"/>
              <w:ind w:right="7892"/>
              <w:spacing w:after="0"/>
              <w:rPr>
                <w:sz w:val="20"/>
                <w:szCs w:val="20"/>
                <w:color w:val="auto"/>
              </w:rPr>
            </w:pPr>
            <w:r>
              <w:rPr>
                <w:rFonts w:ascii="Arial" w:cs="Arial" w:eastAsia="Arial" w:hAnsi="Arial"/>
                <w:sz w:val="22"/>
                <w:szCs w:val="22"/>
                <w:color w:val="auto"/>
                <w:w w:val="88"/>
              </w:rPr>
              <w:t>Expenses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w:t>
      </w:r>
    </w:p>
    <w:p>
      <w:pPr>
        <w:spacing w:after="0" w:line="199"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85" w:name="page86"/>
    <w:bookmarkEnd w:id="85"/>
    <w:p>
      <w:pPr>
        <w:jc w:val="both"/>
        <w:ind w:firstLine="648"/>
        <w:spacing w:after="0" w:line="271"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ROYALTY AND SALES MILESTONE INTEREST ACQUISITION AGREEMENT</w:t>
      </w:r>
      <w:r>
        <w:rPr>
          <w:rFonts w:ascii="Arial" w:cs="Arial" w:eastAsia="Arial" w:hAnsi="Arial"/>
          <w:sz w:val="19"/>
          <w:szCs w:val="19"/>
          <w:color w:val="auto"/>
        </w:rPr>
        <w:t xml:space="preserve"> is made and entered into as of June 29, 2022 by and between Ardelyx, Inc., a corporation organized under the laws of the State of Delaware, and HealthCare Royalty Partners IV, L.P., a limited partnership organized under the laws of the State of Delaware (this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7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(this and other capitalized terms used in these Recitals shall have the meanings provided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below) and Kyowa Kirin Co., Ltd. (formerly known as Kyowa Hakko Kirin Co., Ltd.), a company organized under the laws of Japan, have entered into that certain License Agreement, dated as of November 27, 2017, with respect to the Product, a true, correct and complete copy of which, together with all amendments, supplements, restatements or other modifications thereto,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License Agreement, subject to the terms and conditions set forth therein, Seller has been and</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entitled to receive the Royalty Interest; and</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wishes to sell, assign, convey and transfer to Buyer, and Buyer wishes to accept the sale,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conveyance, and transfer from Seller of, the right to receive all payments in respect of the Royalty Interest, upon and subject to the terms and conditions hereinafter set forth;</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agreements representations and warranties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the Parties agree as follows:</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spacing w:after="0" w:line="17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79"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Definitions.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as used herein, shall have the following meanings:</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means, with respect to Seller, the acquisition by any Person, in a single transaction or in a series of related transactions, of (a) assets of Seller which constitute all or substantially all of the assets of Seller, (b) at least a majority of the Voting Stock of Seller or (c) all of Seller’s assets, rights and obligations regarding the Product or the Lead Licensed Compound, in each case whether or not involving a merger or consolidation with such other Person.</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Patents</w:t>
      </w:r>
      <w:r>
        <w:rPr>
          <w:rFonts w:ascii="Arial" w:cs="Arial" w:eastAsia="Arial" w:hAnsi="Arial"/>
          <w:sz w:val="21"/>
          <w:szCs w:val="21"/>
          <w:color w:val="auto"/>
        </w:rPr>
        <w:t>” means the Patents listed in Exhibit C to the License Agreement, and any Patents issuing after the Effective Date in the Territory claiming priority to any such Patents listed on Exhibit C to the License Agreement.</w:t>
      </w:r>
    </w:p>
    <w:p>
      <w:pPr>
        <w:spacing w:after="0" w:line="1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any Person that controls, is controlled by, or is under common control with another Person. For purposes of this definition, “control” shall mean (a) in the case of corporate entities, direct or indirect ownership of at least [***] of the stock or shares having the right to vote for the election of directors, and (b) in the case of non-corporate entities, direct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32" w:lineRule="auto"/>
        <w:rPr>
          <w:sz w:val="20"/>
          <w:szCs w:val="20"/>
          <w:color w:val="auto"/>
        </w:rPr>
      </w:pPr>
      <w:r>
        <w:rPr>
          <w:rFonts w:ascii="Arial" w:cs="Arial" w:eastAsia="Arial" w:hAnsi="Arial"/>
          <w:sz w:val="22"/>
          <w:szCs w:val="22"/>
          <w:color w:val="auto"/>
        </w:rPr>
        <w:t>or indirect ownership of at least [***] of the equity interest with the power to direct the management and policies of such non-corporate entities.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given in the preamble hereto.</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Number 2 of the License Agreement</w:t>
      </w:r>
      <w:r>
        <w:rPr>
          <w:rFonts w:ascii="Arial" w:cs="Arial" w:eastAsia="Arial" w:hAnsi="Arial"/>
          <w:sz w:val="22"/>
          <w:szCs w:val="22"/>
          <w:color w:val="auto"/>
        </w:rPr>
        <w:t>” means Amendment Number 2 of the License Agreement, dated as of April 11, 2022, by and between Seller and the Licensee.</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API</w:t>
      </w:r>
      <w:r>
        <w:rPr>
          <w:rFonts w:ascii="Arial" w:cs="Arial" w:eastAsia="Arial" w:hAnsi="Arial"/>
          <w:sz w:val="22"/>
          <w:szCs w:val="22"/>
          <w:color w:val="auto"/>
        </w:rPr>
        <w:t>” means active pharmaceutical ingredient, which is also commonly referred to as drug substance. For the avoidance of doubt, API shall include any prodrug form.</w:t>
      </w:r>
    </w:p>
    <w:p>
      <w:pPr>
        <w:spacing w:after="0" w:line="15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Ardelyx [***] Patents</w:t>
      </w:r>
      <w:r>
        <w:rPr>
          <w:rFonts w:ascii="Arial" w:cs="Arial" w:eastAsia="Arial" w:hAnsi="Arial"/>
          <w:sz w:val="22"/>
          <w:szCs w:val="22"/>
          <w:color w:val="auto"/>
        </w:rPr>
        <w:t>” means all Patents that [***] (i) inventions that [***] of a Licensed Compound or a Licensed Product, (ii) [***] for a Licensed Product or Licensed Compound, or (iii) [***] a Licensed Product in the Field. Ardelyx [***] Patents specifically excludes Excluded Patents.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Ardelyx Controlled Patents</w:t>
      </w:r>
      <w:r>
        <w:rPr>
          <w:rFonts w:ascii="Arial" w:cs="Arial" w:eastAsia="Arial" w:hAnsi="Arial"/>
          <w:sz w:val="22"/>
          <w:szCs w:val="22"/>
          <w:color w:val="auto"/>
        </w:rPr>
        <w:t>” means, collectively, Licensed Patents, Ardelyx [***] Patents and Joint Patents, in each case, to the extent such Patents are subject to the License Agreement.</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Ardelyx Sole Invention Patent</w:t>
      </w:r>
      <w:r>
        <w:rPr>
          <w:rFonts w:ascii="Arial" w:cs="Arial" w:eastAsia="Arial" w:hAnsi="Arial"/>
          <w:sz w:val="22"/>
          <w:szCs w:val="22"/>
          <w:color w:val="auto"/>
        </w:rPr>
        <w:t>” means any Patent claiming Sole Program Know-How owned solely by Seller or its Affiliates, in each case, to the extent such Patents are subject to the License Agreement.</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shall mean the Bill of Sale pursuant to which Seller shall assign, convey and transfer to Buyer, Seller’s rights and interests in and to the Purchased Assets, which Bill of Sale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Back-up Manufacturing Agreement</w:t>
      </w:r>
      <w:r>
        <w:rPr>
          <w:rFonts w:ascii="Arial" w:cs="Arial" w:eastAsia="Arial" w:hAnsi="Arial"/>
          <w:sz w:val="19"/>
          <w:szCs w:val="19"/>
          <w:color w:val="auto"/>
        </w:rPr>
        <w:t>” means any separate manufacturing and supply agreement, between Seller and a contract manufacturing organization under which Seller acquires or intends to acquire API for delivery to Licensee under the Manufacturing and Supply Agreement for Development; Interim Commercial Supply Letter or Supply Agreement for Commercial, as may be amended, supplemented, restated or otherwise modified or replaced from time to time.</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Backup Licensed Compounds</w:t>
      </w:r>
      <w:r>
        <w:rPr>
          <w:rFonts w:ascii="Arial" w:cs="Arial" w:eastAsia="Arial" w:hAnsi="Arial"/>
          <w:sz w:val="22"/>
          <w:szCs w:val="22"/>
          <w:color w:val="auto"/>
        </w:rPr>
        <w:t xml:space="preserve">” means (i) any compound, other than the Lead Licensed Compound, that is claimed by the Compound Patent(s) and (ii) any [***] of any such compound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that Seller or its Affiliates may Develop during the term of the License Agreement.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means Title 11 of the United States Code entitled “Bankruptcy”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affecting the rights of creditors generally.</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a Sunday, any day which is a legal holiday under the laws of the State of New York or in Japan, or any day on which banking institutions located in the State of New York or in Japan are required by law or other governmental action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87" w:name="page88"/>
    <w:bookmarkEnd w:id="87"/>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shall mean HealthCare Royalty Partners IV, L.P., a limited partnership organized under the laws of the State of Delaware.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Party</w:t>
      </w:r>
      <w:r>
        <w:rPr>
          <w:rFonts w:ascii="Arial" w:cs="Arial" w:eastAsia="Arial" w:hAnsi="Arial"/>
          <w:sz w:val="22"/>
          <w:szCs w:val="22"/>
          <w:color w:val="auto"/>
        </w:rPr>
        <w:t>” shall mean each of Buyer and its Affiliates and any of their respective partners, directors, managers, members, officers, employees and agents.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shall mean any and all shares, interests, ownership interest units, rights to purchase, warrants, options, participations or other equivalents of or interests in (however designated) equity of such Person, including any preferred stock, but excluding any debt securities convertible into such equity.</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w:t>
      </w:r>
      <w:r>
        <w:rPr>
          <w:rFonts w:ascii="Arial" w:cs="Arial" w:eastAsia="Arial" w:hAnsi="Arial"/>
          <w:sz w:val="22"/>
          <w:szCs w:val="22"/>
          <w:color w:val="auto"/>
        </w:rPr>
        <w:t>” shall mean any claim, demand, action or proceeding (including any investigation by any Governmental Authority).</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Clinical Trials</w:t>
      </w:r>
      <w:r>
        <w:rPr>
          <w:rFonts w:ascii="Arial" w:cs="Arial" w:eastAsia="Arial" w:hAnsi="Arial"/>
          <w:sz w:val="21"/>
          <w:szCs w:val="21"/>
          <w:color w:val="auto"/>
        </w:rPr>
        <w:t>” means any clinical study of a pharmaceutical product on human subjects to assess the dosing, safety and/or efficacy of such pharmaceutical product, including but not limited to phase 1 clinical trials, phase 2 clinical trials and phase 3 clinical trials and, if imposed by the Regulatory Authorities as a condition to Regulatory Approval, phase 4 clinical trials. For the avoidance of doubt, post-marketing surveillance clinical studies are not Clinical Trials.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Amount</w:t>
      </w:r>
      <w:r>
        <w:rPr>
          <w:rFonts w:ascii="Arial" w:cs="Arial" w:eastAsia="Arial" w:hAnsi="Arial"/>
          <w:sz w:val="22"/>
          <w:szCs w:val="22"/>
          <w:color w:val="auto"/>
        </w:rPr>
        <w:t>” shall mean $10,000,000.</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shall mean the date of this Agreement, which is the date all of the conditions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are fulfilled or waived in writing by the applicable Party, as set forth in such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means any prescription pharmaceutical product which comprises two (2) or more APIs, at least one (1) of which is the Lead Licensed Compound, that is sold either as a fixed dose or as separate doses in a single package.</w:t>
      </w:r>
    </w:p>
    <w:p>
      <w:pPr>
        <w:spacing w:after="0" w:line="1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Commercialize</w:t>
      </w:r>
      <w:r>
        <w:rPr>
          <w:rFonts w:ascii="Arial" w:cs="Arial" w:eastAsia="Arial" w:hAnsi="Arial"/>
          <w:sz w:val="22"/>
          <w:szCs w:val="22"/>
          <w:color w:val="auto"/>
        </w:rPr>
        <w:t>” means, with respect to a Product or a Combination Product, any and all activities directed to the marketing, promotion, distribution, offering for sale, and sale of such Product or Combination Product in the Territory, and interacting with Regulatory Authorities regarding the foregoing.</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with respect to the efforts to be expended, or considerations to be undertaken, by [***].</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Product</w:t>
      </w:r>
      <w:r>
        <w:rPr>
          <w:rFonts w:ascii="Arial" w:cs="Arial" w:eastAsia="Arial" w:hAnsi="Arial"/>
          <w:sz w:val="22"/>
          <w:szCs w:val="22"/>
          <w:color w:val="auto"/>
        </w:rPr>
        <w:t>” shall mean any [***].</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xml:space="preserve">” shall have the meaning provide in </w:t>
      </w:r>
      <w:r>
        <w:rPr>
          <w:rFonts w:ascii="Arial" w:cs="Arial" w:eastAsia="Arial" w:hAnsi="Arial"/>
          <w:sz w:val="22"/>
          <w:szCs w:val="22"/>
          <w:u w:val="single" w:color="auto"/>
          <w:color w:val="auto"/>
        </w:rPr>
        <w:t>Schedule 8.03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Compound Patents</w:t>
      </w:r>
      <w:r>
        <w:rPr>
          <w:rFonts w:ascii="Arial" w:cs="Arial" w:eastAsia="Arial" w:hAnsi="Arial"/>
          <w:sz w:val="21"/>
          <w:szCs w:val="21"/>
          <w:color w:val="auto"/>
        </w:rPr>
        <w:t>” means the Patents listed in Exhibit B to the License Agreement, and any Patents issuing after the Effective Date in the Territory claiming priority to any such Patents listed on Exhibit B to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88" w:name="page89"/>
    <w:bookmarkEnd w:id="88"/>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and all information, whether communicated orally or in any physical form, including without limitation, financial and all other information which Disclosing Party or its authorized Representatives provide to the Receiving Party, together with such portions of analyses, compilations, studies, or other documents, prepared by or for the Receiving Party and its Representatives, which contain or are derived from information provided by Disclosing Party, and shall include the terms of the Transaction Documents. Without limiting the foregoing, information shall be deemed to be provided by Disclosing Party to the extent it is learned or derived by Receiving Party or Receiving Party’s Representatives (a) from any inspection, examination or other review of books, records, contracts, other documentation or operations of Disclosing Party, (b) from communications with authorized Representatives of Disclosing Party or (c) created, developed, gathered, prepared or otherwise derived by Receiving Party while in discussions with Disclosing Party. However, Confidential Information does not include any information which Receiving Party can demonstrate (i) is or becomes part of the public domain through no fault of Receiving Party or its Representatives, (ii) was known by Receiving Party on a non-confidential basis prior to disclosure, or (iii) was independently developed by Persons who were not given access to the Confidential Information disclosed to Receiving Party by Disclosing Party. For the avoidance of doubt, Confidential Information shall include all Evaluation Material (as defined in the Confidentiality Agreement) previously disclosed by Seller to Buyer under the Confidentiality Agreement.</w:t>
      </w:r>
    </w:p>
    <w:p>
      <w:pPr>
        <w:spacing w:after="0" w:line="16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by and between HealthCare Royalty Management, LLC and Seller, dated as of December 7, 2020.</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shall mean any agreement, contract, obligation, or undertaking.</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with respect to an item of Know-How, Patent or other Intellectual Property Rights, the ability and authority of a Party or its Affiliates, whether arising by ownership, possession, or pursuant to a license or sublicense, to grant licenses, sublicenses, or other rights to the other Party under or to such item of Know-How, Patent or Intellectual Property Rights as provided for in the License Agreement without breaching the terms of any agreement between such Party and any Third Party.</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Agreement</w:t>
      </w:r>
      <w:r>
        <w:rPr>
          <w:rFonts w:ascii="Arial" w:cs="Arial" w:eastAsia="Arial" w:hAnsi="Arial"/>
          <w:sz w:val="22"/>
          <w:szCs w:val="22"/>
          <w:color w:val="auto"/>
        </w:rPr>
        <w:t>” means the deposit account control agreement entered into by the Depositary Bank, Buyer and the Seller, which shall be in form and substance reasonably acceptable to Buyer and Seller, as amended, supplemented or otherwise modified from time to time and any replacements thereof.</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 Bank</w:t>
      </w:r>
      <w:r>
        <w:rPr>
          <w:rFonts w:ascii="Arial" w:cs="Arial" w:eastAsia="Arial" w:hAnsi="Arial"/>
          <w:sz w:val="22"/>
          <w:szCs w:val="22"/>
          <w:color w:val="auto"/>
        </w:rPr>
        <w:t xml:space="preserve">” means such bank or other financial institution approved by Buyer and Seller, including any successor Depositary Bank appointed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Development</w:t>
      </w:r>
      <w:r>
        <w:rPr>
          <w:rFonts w:ascii="Arial" w:cs="Arial" w:eastAsia="Arial" w:hAnsi="Arial"/>
          <w:sz w:val="21"/>
          <w:szCs w:val="21"/>
          <w:color w:val="auto"/>
        </w:rPr>
        <w:t>” means all internal and external research, development and regulatory activities regarding a Lead Licensed Compound and Product, as the case may be. This includes (a) research, preclinical testing, toxicology, route of synthesis, non-clinical activities, formulation and clinical studies of a Lead Licensed Compound and a Product; and (b) preparation, submission, review, and development of data or information for the purpose of submission to a governmental authority to obtain authorization to conduct Clinical Trials and Regulatory Approval of a Product. “</w:t>
      </w:r>
      <w:r>
        <w:rPr>
          <w:rFonts w:ascii="Arial" w:cs="Arial" w:eastAsia="Arial" w:hAnsi="Arial"/>
          <w:sz w:val="21"/>
          <w:szCs w:val="21"/>
          <w:u w:val="single" w:color="auto"/>
          <w:color w:val="auto"/>
        </w:rPr>
        <w:t>Development</w:t>
      </w:r>
      <w:r>
        <w:rPr>
          <w:rFonts w:ascii="Arial" w:cs="Arial" w:eastAsia="Arial" w:hAnsi="Arial"/>
          <w:sz w:val="21"/>
          <w:szCs w:val="21"/>
          <w:color w:val="auto"/>
        </w:rPr>
        <w:t>” shall include development and regulatory activities for additional forms, formulations, or indications for a Product after Regulatory Approval of such Product, including clinical trials initiated following receipt of Regulatory Approval or any Clinical Trial to be conducted after a Regulatory Approval which was mandated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89" w:name="page90"/>
    <w:bookmarkEnd w:id="89"/>
    <w:p>
      <w:pPr>
        <w:jc w:val="both"/>
        <w:spacing w:after="0" w:line="232" w:lineRule="auto"/>
        <w:rPr>
          <w:sz w:val="20"/>
          <w:szCs w:val="20"/>
          <w:color w:val="auto"/>
        </w:rPr>
      </w:pPr>
      <w:r>
        <w:rPr>
          <w:rFonts w:ascii="Arial" w:cs="Arial" w:eastAsia="Arial" w:hAnsi="Arial"/>
          <w:sz w:val="22"/>
          <w:szCs w:val="22"/>
          <w:color w:val="auto"/>
        </w:rPr>
        <w:t>applicable Regulatory Authority as a condition of such Regulatory Approval with respect to an approved indication. “</w:t>
      </w:r>
      <w:r>
        <w:rPr>
          <w:rFonts w:ascii="Arial" w:cs="Arial" w:eastAsia="Arial" w:hAnsi="Arial"/>
          <w:sz w:val="22"/>
          <w:szCs w:val="22"/>
          <w:u w:val="single" w:color="auto"/>
          <w:color w:val="auto"/>
        </w:rPr>
        <w:t>Develop</w:t>
      </w:r>
      <w:r>
        <w:rPr>
          <w:rFonts w:ascii="Arial" w:cs="Arial" w:eastAsia="Arial" w:hAnsi="Arial"/>
          <w:sz w:val="22"/>
          <w:szCs w:val="22"/>
          <w:color w:val="auto"/>
        </w:rPr>
        <w:t>”, “</w:t>
      </w:r>
      <w:r>
        <w:rPr>
          <w:rFonts w:ascii="Arial" w:cs="Arial" w:eastAsia="Arial" w:hAnsi="Arial"/>
          <w:sz w:val="22"/>
          <w:szCs w:val="22"/>
          <w:u w:val="single" w:color="auto"/>
          <w:color w:val="auto"/>
        </w:rPr>
        <w:t>Developing</w:t>
      </w:r>
      <w:r>
        <w:rPr>
          <w:rFonts w:ascii="Arial" w:cs="Arial" w:eastAsia="Arial" w:hAnsi="Arial"/>
          <w:sz w:val="22"/>
          <w:szCs w:val="22"/>
          <w:color w:val="auto"/>
        </w:rPr>
        <w:t>” and “</w:t>
      </w:r>
      <w:r>
        <w:rPr>
          <w:rFonts w:ascii="Arial" w:cs="Arial" w:eastAsia="Arial" w:hAnsi="Arial"/>
          <w:sz w:val="22"/>
          <w:szCs w:val="22"/>
          <w:u w:val="single" w:color="auto"/>
          <w:color w:val="auto"/>
        </w:rPr>
        <w:t>Developed</w:t>
      </w:r>
      <w:r>
        <w:rPr>
          <w:rFonts w:ascii="Arial" w:cs="Arial" w:eastAsia="Arial" w:hAnsi="Arial"/>
          <w:sz w:val="22"/>
          <w:szCs w:val="22"/>
          <w:color w:val="auto"/>
        </w:rPr>
        <w:t>” shall be construed accordingly.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Quality Assurance Agreement</w:t>
      </w:r>
      <w:r>
        <w:rPr>
          <w:rFonts w:ascii="Arial" w:cs="Arial" w:eastAsia="Arial" w:hAnsi="Arial"/>
          <w:sz w:val="22"/>
          <w:szCs w:val="22"/>
          <w:color w:val="auto"/>
        </w:rPr>
        <w:t>” means that certain Quality Agreement, dated as of June 10, 2020, by and between the Seller and Licensee, as may be amended, supplemented, restated or otherwise modified or replaced from time to time.</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means, with respect to any Confidential Information, the Party disclosing the Confidential Information to the other Party.</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w:t>
      </w:r>
      <w:r>
        <w:rPr>
          <w:rFonts w:ascii="Arial" w:cs="Arial" w:eastAsia="Arial" w:hAnsi="Arial"/>
          <w:sz w:val="21"/>
          <w:szCs w:val="21"/>
          <w:color w:val="auto"/>
        </w:rPr>
        <w:t xml:space="preserve">” shall mean any opposition, interference proceeding, reexamination proceeding, cancellation proceeding, re-issue proceeding, invalidation proceeding, inter parties review proceeding, injunction, claim, lawsuit, proceeding, hearing, investigation, complaint, arbitration, mediation, demand, decree, dispute or disagreement;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Dispute shall not include any exchanges between Seller and/or Licensee and the Japan Patent Office relating to the examination of patent applications included in the Ardelyx Controlled Patents or the Licensee Controlled Patents.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November 27, 2017.</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the occurrence of one or more of the following:</w:t>
      </w:r>
    </w:p>
    <w:p>
      <w:pPr>
        <w:spacing w:after="0" w:line="17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Seller fails to [***];</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Seller fails to[***];</w:t>
      </w:r>
    </w:p>
    <w:p>
      <w:pPr>
        <w:spacing w:after="0" w:line="179" w:lineRule="exact"/>
        <w:rPr>
          <w:rFonts w:ascii="Arial" w:cs="Arial" w:eastAsia="Arial" w:hAnsi="Arial"/>
          <w:sz w:val="22"/>
          <w:szCs w:val="22"/>
          <w:color w:val="auto"/>
        </w:rPr>
      </w:pPr>
    </w:p>
    <w:p>
      <w:pPr>
        <w:ind w:left="1300" w:right="20" w:hanging="644"/>
        <w:spacing w:after="0" w:line="232" w:lineRule="auto"/>
        <w:tabs>
          <w:tab w:leader="none" w:pos="1295"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Seller shall be in breach of or in default under [***], and such breach or default would reasonably be likely to cause a Material Adverse Effect;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occurrence of a [***]; or</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occurrence of [***].</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and the regulations promulgated thereunder.</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 and Obligations</w:t>
      </w:r>
      <w:r>
        <w:rPr>
          <w:rFonts w:ascii="Arial" w:cs="Arial" w:eastAsia="Arial" w:hAnsi="Arial"/>
          <w:sz w:val="22"/>
          <w:szCs w:val="22"/>
          <w:color w:val="auto"/>
        </w:rPr>
        <w:t>” means each liability or obligation of Seller or any of its Affiliates of whatever nature, whether presently in existence or arising or asserted hereafter, whether known or unknown, and whether under the License Agreement, any Production Agreement, any Transaction Document or otherwise.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Patents</w:t>
      </w:r>
      <w:r>
        <w:rPr>
          <w:rFonts w:ascii="Arial" w:cs="Arial" w:eastAsia="Arial" w:hAnsi="Arial"/>
          <w:sz w:val="22"/>
          <w:szCs w:val="22"/>
          <w:color w:val="auto"/>
        </w:rPr>
        <w:t>” means any Patents claiming aspects of Seller’s proprietary platform technology known as Ardelyx Primary Enterocyte and Colonocyte Culture System.</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8.05(e)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0" w:name="page91"/>
    <w:bookmarkEnd w:id="90"/>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Exploit</w:t>
      </w:r>
      <w:r>
        <w:rPr>
          <w:rFonts w:ascii="Arial" w:cs="Arial" w:eastAsia="Arial" w:hAnsi="Arial"/>
          <w:sz w:val="22"/>
          <w:szCs w:val="22"/>
          <w:color w:val="auto"/>
        </w:rPr>
        <w:t>” shall mean, with respect to a product such as the Product, the manufacture, use, sale, offer for sale (including marketing and promotion), importation, distribution or other commercialization; and “</w:t>
      </w:r>
      <w:r>
        <w:rPr>
          <w:rFonts w:ascii="Arial" w:cs="Arial" w:eastAsia="Arial" w:hAnsi="Arial"/>
          <w:sz w:val="22"/>
          <w:szCs w:val="22"/>
          <w:u w:val="single" w:color="auto"/>
          <w:color w:val="auto"/>
        </w:rPr>
        <w:t>Exploitation</w:t>
      </w:r>
      <w:r>
        <w:rPr>
          <w:rFonts w:ascii="Arial" w:cs="Arial" w:eastAsia="Arial" w:hAnsi="Arial"/>
          <w:sz w:val="22"/>
          <w:szCs w:val="22"/>
          <w:color w:val="auto"/>
        </w:rPr>
        <w:t>” shall have the correlative meaning.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w:t>
      </w:r>
      <w:r>
        <w:rPr>
          <w:rFonts w:ascii="Arial" w:cs="Arial" w:eastAsia="Arial" w:hAnsi="Arial"/>
          <w:sz w:val="22"/>
          <w:szCs w:val="22"/>
          <w:color w:val="auto"/>
        </w:rPr>
        <w:t>” means the treatment of any cardiorenal diseases and conditions, but excluding cancer.</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mean any government, court, regulatory or administrative agency or commission, or other governmental authority, agency or instrumentality, whether foreign, federal, state or local, including any applicable Patent Office or any other government authority in any country. For the avoidance of doubt, Governmental Authorities include Regulatory Authorities.</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of any Person means any indebtedness for borrowed money, obligation evidenced by a note, bond, debenture or similar instrument, or guarantee of any 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8.05(e)</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Threshold Amount</w:t>
      </w:r>
      <w:r>
        <w:rPr>
          <w:rFonts w:ascii="Arial" w:cs="Arial" w:eastAsia="Arial" w:hAnsi="Arial"/>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Event</w:t>
      </w:r>
      <w:r>
        <w:rPr>
          <w:rFonts w:ascii="Arial" w:cs="Arial" w:eastAsia="Arial" w:hAnsi="Arial"/>
          <w:sz w:val="22"/>
          <w:szCs w:val="22"/>
          <w:color w:val="auto"/>
        </w:rPr>
        <w:t>” shall mean the occurrence of any of the following with respect to Seller:</w:t>
      </w:r>
    </w:p>
    <w:p>
      <w:pPr>
        <w:spacing w:after="0" w:line="179" w:lineRule="exact"/>
        <w:rPr>
          <w:sz w:val="20"/>
          <w:szCs w:val="20"/>
          <w:color w:val="auto"/>
        </w:rPr>
      </w:pPr>
    </w:p>
    <w:p>
      <w:pPr>
        <w:jc w:val="both"/>
        <w:ind w:firstLine="656"/>
        <w:spacing w:after="0" w:line="212" w:lineRule="auto"/>
        <w:tabs>
          <w:tab w:leader="none" w:pos="1288" w:val="left"/>
        </w:tabs>
        <w:numPr>
          <w:ilvl w:val="0"/>
          <w:numId w:val="40"/>
        </w:numPr>
        <w:rPr>
          <w:rFonts w:ascii="Arial" w:cs="Arial" w:eastAsia="Arial" w:hAnsi="Arial"/>
          <w:sz w:val="22"/>
          <w:szCs w:val="22"/>
          <w:color w:val="auto"/>
        </w:rPr>
      </w:pPr>
      <w:r>
        <w:rPr>
          <w:rFonts w:ascii="Arial" w:cs="Arial" w:eastAsia="Arial" w:hAnsi="Arial"/>
          <w:sz w:val="22"/>
          <w:szCs w:val="22"/>
          <w:color w:val="auto"/>
        </w:rPr>
        <w:t>(i) an involuntary proceeding shall be commenced or an involuntary petition shall be filed in a court of competent jurisdiction seeking (x) relief in respect of Seller or any material Subsidiary, or of a material part of the property of Seller or any material Subsidiary, under any Bankruptcy Law now or hereafter in effect, (y) the appointment of a receiver, trustee, custodian, sequestrator, conservator or similar official for Seller or any material Subsidiary or for a material part of the property of Seller or any material Subsidiary or (z) the winding-up or liquidation of Seller or any Subsidiary, which proceeding or petition shall continue undismissed for 60 calendar days or (ii) an order of a court of competent jurisdiction approving or ordering any of the foregoing shall be entered;</w:t>
      </w:r>
    </w:p>
    <w:p>
      <w:pPr>
        <w:spacing w:after="0" w:line="190" w:lineRule="exact"/>
        <w:rPr>
          <w:rFonts w:ascii="Arial" w:cs="Arial" w:eastAsia="Arial" w:hAnsi="Arial"/>
          <w:sz w:val="22"/>
          <w:szCs w:val="22"/>
          <w:color w:val="auto"/>
        </w:rPr>
      </w:pPr>
    </w:p>
    <w:p>
      <w:pPr>
        <w:jc w:val="both"/>
        <w:ind w:firstLine="656"/>
        <w:spacing w:after="0" w:line="222" w:lineRule="auto"/>
        <w:tabs>
          <w:tab w:leader="none" w:pos="1287"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Seller or any material Subsidiary shall (i) voluntarily commence any proceeding or file any petition seeking relief under any Bankruptcy Law now or hereafter in effect, (ii) apply for the appointment of a receiver, trustee, custodian, sequestrator, conservator or similar official for Seller or any material Subsidiary or for a material part of the property of Seller or any material Subsidiary, (iii) fail to contest in a timely and appropriate manner any proceeding or the filing of any petition described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this definition, (iv) file an answer admitting the material allegations of a petition filed against it in any proceeding described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this definition, (v) make a general assignment for the benefit of creditors or (vi) wind up or liquidate (except as permitted under this Agreement);</w:t>
      </w:r>
    </w:p>
    <w:p>
      <w:pPr>
        <w:spacing w:after="0" w:line="191" w:lineRule="exact"/>
        <w:rPr>
          <w:rFonts w:ascii="Arial" w:cs="Arial" w:eastAsia="Arial" w:hAnsi="Arial"/>
          <w:sz w:val="21"/>
          <w:szCs w:val="21"/>
          <w:color w:val="auto"/>
        </w:rPr>
      </w:pPr>
    </w:p>
    <w:p>
      <w:pPr>
        <w:jc w:val="both"/>
        <w:ind w:right="800" w:firstLine="656"/>
        <w:spacing w:after="0" w:line="298" w:lineRule="auto"/>
        <w:tabs>
          <w:tab w:leader="none" w:pos="1288"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Seller or any material Subsidiary shall take any action in furtherance of or for the purpose of effecting, or indicating its consent to, approval of, or acquiescence in, any of the acts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or</w:t>
      </w:r>
    </w:p>
    <w:p>
      <w:pPr>
        <w:spacing w:after="0" w:line="132" w:lineRule="exact"/>
        <w:rPr>
          <w:rFonts w:ascii="Arial" w:cs="Arial" w:eastAsia="Arial" w:hAnsi="Arial"/>
          <w:sz w:val="19"/>
          <w:szCs w:val="19"/>
          <w:color w:val="auto"/>
        </w:rPr>
      </w:pPr>
    </w:p>
    <w:p>
      <w:pPr>
        <w:ind w:right="400" w:firstLine="656"/>
        <w:spacing w:after="0" w:line="232" w:lineRule="auto"/>
        <w:tabs>
          <w:tab w:leader="none" w:pos="1287" w:val="left"/>
        </w:tabs>
        <w:numPr>
          <w:ilvl w:val="0"/>
          <w:numId w:val="40"/>
        </w:numPr>
        <w:rPr>
          <w:rFonts w:ascii="Arial" w:cs="Arial" w:eastAsia="Arial" w:hAnsi="Arial"/>
          <w:sz w:val="22"/>
          <w:szCs w:val="22"/>
          <w:color w:val="auto"/>
        </w:rPr>
      </w:pPr>
      <w:r>
        <w:rPr>
          <w:rFonts w:ascii="Arial" w:cs="Arial" w:eastAsia="Arial" w:hAnsi="Arial"/>
          <w:sz w:val="22"/>
          <w:szCs w:val="22"/>
          <w:color w:val="auto"/>
        </w:rPr>
        <w:t>Seller or any material Subsidiary shall become unable, admit in writing its inability, or fail generally, to pay its debts as they become due.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Instruction to Payor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 means Patents, Trademarks, service marks, Know-How,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Commercial Supply Letter</w:t>
      </w:r>
      <w:r>
        <w:rPr>
          <w:rFonts w:ascii="Arial" w:cs="Arial" w:eastAsia="Arial" w:hAnsi="Arial"/>
          <w:sz w:val="19"/>
          <w:szCs w:val="19"/>
          <w:color w:val="auto"/>
        </w:rPr>
        <w:t>” means that separate letter agreement entered into between Seller and Licensee as of March 4, 2021, as may be amended, supplemented, restated or otherwise modified or replaced from time to time.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2.03(b)(i)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Payment Conditions</w:t>
      </w:r>
      <w:r>
        <w:rPr>
          <w:rFonts w:ascii="Arial" w:cs="Arial" w:eastAsia="Arial" w:hAnsi="Arial"/>
          <w:sz w:val="19"/>
          <w:szCs w:val="19"/>
          <w:color w:val="auto"/>
        </w:rPr>
        <w:t xml:space="preserve">” shall mean (a) Buyer has received notice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evidencing the achievement specified in </w:t>
      </w:r>
      <w:r>
        <w:rPr>
          <w:rFonts w:ascii="Arial" w:cs="Arial" w:eastAsia="Arial" w:hAnsi="Arial"/>
          <w:sz w:val="19"/>
          <w:szCs w:val="19"/>
          <w:u w:val="single" w:color="auto"/>
          <w:color w:val="auto"/>
        </w:rPr>
        <w:t>Section 2.03(b)(i)</w:t>
      </w:r>
      <w:r>
        <w:rPr>
          <w:rFonts w:ascii="Arial" w:cs="Arial" w:eastAsia="Arial" w:hAnsi="Arial"/>
          <w:sz w:val="19"/>
          <w:szCs w:val="19"/>
          <w:color w:val="auto"/>
        </w:rPr>
        <w:t xml:space="preserve"> with respect to the related Investment Payment, (b) Seller shall have complied in all material respects with its material covenants and obligations hereunder and under the Transaction Documents, (c) no Material Adverse Effect has occurred, (d) with respect to the Investment Payment described in Section 2.03(b)(i)(A) only, the representations and warranties made by Seller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will be true as of the date of such Investment Payment, unless any of </w:t>
      </w:r>
      <w:r>
        <w:rPr>
          <w:rFonts w:ascii="Arial" w:cs="Arial" w:eastAsia="Arial" w:hAnsi="Arial"/>
          <w:sz w:val="19"/>
          <w:szCs w:val="19"/>
          <w:u w:val="single" w:color="auto"/>
          <w:color w:val="auto"/>
        </w:rPr>
        <w:t>Schedules 3.03</w:t>
      </w:r>
      <w:r>
        <w:rPr>
          <w:rFonts w:ascii="Arial" w:cs="Arial" w:eastAsia="Arial" w:hAnsi="Arial"/>
          <w:sz w:val="19"/>
          <w:szCs w:val="19"/>
          <w:color w:val="auto"/>
        </w:rPr>
        <w:t xml:space="preserve">, </w:t>
      </w:r>
      <w:r>
        <w:rPr>
          <w:rFonts w:ascii="Arial" w:cs="Arial" w:eastAsia="Arial" w:hAnsi="Arial"/>
          <w:sz w:val="19"/>
          <w:szCs w:val="19"/>
          <w:u w:val="single" w:color="auto"/>
          <w:color w:val="auto"/>
        </w:rPr>
        <w:t>3.08(g)</w:t>
      </w:r>
      <w:r>
        <w:rPr>
          <w:rFonts w:ascii="Arial" w:cs="Arial" w:eastAsia="Arial" w:hAnsi="Arial"/>
          <w:sz w:val="19"/>
          <w:szCs w:val="19"/>
          <w:color w:val="auto"/>
        </w:rPr>
        <w:t xml:space="preserve">, </w:t>
      </w:r>
      <w:r>
        <w:rPr>
          <w:rFonts w:ascii="Arial" w:cs="Arial" w:eastAsia="Arial" w:hAnsi="Arial"/>
          <w:sz w:val="19"/>
          <w:szCs w:val="19"/>
          <w:u w:val="single" w:color="auto"/>
          <w:color w:val="auto"/>
        </w:rPr>
        <w:t>3.08(n)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3.14(a)</w:t>
      </w:r>
      <w:r>
        <w:rPr>
          <w:rFonts w:ascii="Arial" w:cs="Arial" w:eastAsia="Arial" w:hAnsi="Arial"/>
          <w:sz w:val="19"/>
          <w:szCs w:val="19"/>
          <w:color w:val="auto"/>
        </w:rPr>
        <w:t xml:space="preserve">, </w:t>
      </w:r>
      <w:r>
        <w:rPr>
          <w:rFonts w:ascii="Arial" w:cs="Arial" w:eastAsia="Arial" w:hAnsi="Arial"/>
          <w:sz w:val="19"/>
          <w:szCs w:val="19"/>
          <w:u w:val="single" w:color="auto"/>
          <w:color w:val="auto"/>
        </w:rPr>
        <w:t>3.14(b)</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3.15(c)</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3.15(f)</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3.15(p)</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3.15(q)</w:t>
      </w:r>
      <w:r>
        <w:rPr>
          <w:rFonts w:ascii="Arial" w:cs="Arial" w:eastAsia="Arial" w:hAnsi="Arial"/>
          <w:sz w:val="19"/>
          <w:szCs w:val="19"/>
          <w:color w:val="auto"/>
        </w:rPr>
        <w:t xml:space="preserve"> , </w:t>
      </w:r>
      <w:r>
        <w:rPr>
          <w:rFonts w:ascii="Arial" w:cs="Arial" w:eastAsia="Arial" w:hAnsi="Arial"/>
          <w:sz w:val="19"/>
          <w:szCs w:val="19"/>
          <w:u w:val="single" w:color="auto"/>
          <w:color w:val="auto"/>
        </w:rPr>
        <w:t>3.15(r)</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3.15(t)</w:t>
      </w:r>
      <w:r>
        <w:rPr>
          <w:rFonts w:ascii="Arial" w:cs="Arial" w:eastAsia="Arial" w:hAnsi="Arial"/>
          <w:sz w:val="19"/>
          <w:szCs w:val="19"/>
          <w:color w:val="auto"/>
        </w:rPr>
        <w:t xml:space="preserve"> have been amended or supplemented since the Closing Date, and such amendment or supplement to such Schedule could reasonably be expected to have a Material Adverse Effect, and (e) there is no event or circumstance that, upon notice or the passage of time, or both, would constitute or give rise to any breach or default in the performance of the Seller under this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Return Amount</w:t>
      </w:r>
      <w:r>
        <w:rPr>
          <w:rFonts w:ascii="Arial" w:cs="Arial" w:eastAsia="Arial" w:hAnsi="Arial"/>
          <w:sz w:val="22"/>
          <w:szCs w:val="22"/>
          <w:color w:val="auto"/>
        </w:rPr>
        <w:t>” means [***].</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Know-How</w:t>
      </w:r>
      <w:r>
        <w:rPr>
          <w:rFonts w:ascii="Arial" w:cs="Arial" w:eastAsia="Arial" w:hAnsi="Arial"/>
          <w:sz w:val="22"/>
          <w:szCs w:val="22"/>
          <w:color w:val="auto"/>
        </w:rPr>
        <w:t>” means any inventions and Know-How that are invented jointly by employees or independent contractors of Seller or Licensee.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Patent</w:t>
      </w:r>
      <w:r>
        <w:rPr>
          <w:rFonts w:ascii="Arial" w:cs="Arial" w:eastAsia="Arial" w:hAnsi="Arial"/>
          <w:sz w:val="22"/>
          <w:szCs w:val="22"/>
          <w:color w:val="auto"/>
        </w:rPr>
        <w:t>” means any Patent claiming any invention within the Joint Know-How.</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Know-How</w:t>
      </w:r>
      <w:r>
        <w:rPr>
          <w:rFonts w:ascii="Arial" w:cs="Arial" w:eastAsia="Arial" w:hAnsi="Arial"/>
          <w:sz w:val="19"/>
          <w:szCs w:val="19"/>
          <w:color w:val="auto"/>
        </w:rPr>
        <w:t>” means all inventions, discoveries, data, information (including scientific, technical or regulatory information), trade secrets, processes, means, methods, practices, formulae, instructions, procedures, techniques, materials, technology, results, analyses, designs, drawings, computer programs, apparatuses, specifications, technical assistance, laboratory, nonclinical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Seller</w:t>
      </w:r>
      <w:r>
        <w:rPr>
          <w:rFonts w:ascii="Arial" w:cs="Arial" w:eastAsia="Arial" w:hAnsi="Arial"/>
          <w:sz w:val="22"/>
          <w:szCs w:val="22"/>
          <w:color w:val="auto"/>
        </w:rPr>
        <w:t>” shall mean, with respect to Seller, as applicable, the knowledge of [***] and any successors to such persons with similar responsibilities, regardless of title, relating to a particular matter without any obligation to inquire or otherwise investigate relating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2" w:name="page93"/>
    <w:bookmarkEnd w:id="92"/>
    <w:p>
      <w:pPr>
        <w:jc w:val="both"/>
        <w:ind w:right="20"/>
        <w:spacing w:after="0" w:line="298" w:lineRule="auto"/>
        <w:rPr>
          <w:sz w:val="20"/>
          <w:szCs w:val="20"/>
          <w:color w:val="auto"/>
        </w:rPr>
      </w:pPr>
      <w:r>
        <w:rPr>
          <w:rFonts w:ascii="Arial" w:cs="Arial" w:eastAsia="Arial" w:hAnsi="Arial"/>
          <w:sz w:val="19"/>
          <w:szCs w:val="19"/>
          <w:color w:val="auto"/>
        </w:rPr>
        <w:t xml:space="preserve">particular matter;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persons shall be deemed to have knowledge, if, in the prudent exercise of his or her duties and responsibilities in the ordinary course of business, such person should have known of such matter.</w:t>
      </w:r>
    </w:p>
    <w:p>
      <w:pPr>
        <w:spacing w:after="0" w:line="10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shall mean, collectively, all U.S. or non-U.S. federal, state, provincial, territorial, municipal or local statute, treaty, rule, regulation, ordinance, code or administrative or judicial precedent or authority, and all applicable administrative orders, directed duties, requests, licenses, authorizations and permits of, and agreements with, any Governmental Authority (including any Regulatory Authority), or any similar provision having the force or effect of law.</w:t>
      </w:r>
    </w:p>
    <w:p>
      <w:pPr>
        <w:spacing w:after="0" w:line="15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Licensed Compound</w:t>
      </w:r>
      <w:r>
        <w:rPr>
          <w:rFonts w:ascii="Arial" w:cs="Arial" w:eastAsia="Arial" w:hAnsi="Arial"/>
          <w:sz w:val="22"/>
          <w:szCs w:val="22"/>
          <w:color w:val="auto"/>
        </w:rPr>
        <w:t>” means the compound tenapanor, as further described on Exhibit A to the License Agreement, and any [***] of such compound.</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 Agreement</w:t>
      </w:r>
      <w:r>
        <w:rPr>
          <w:rFonts w:ascii="Arial" w:cs="Arial" w:eastAsia="Arial" w:hAnsi="Arial"/>
          <w:sz w:val="19"/>
          <w:szCs w:val="19"/>
          <w:color w:val="auto"/>
        </w:rPr>
        <w:t xml:space="preserve">” shall mean that certain License Agreement, dated as of November 27, 2017, by and between Seller, as licensor, and Licensee, as licensee, with respect to the Product, as amended by Amendment Number 1 of the License Agreement dated June 23, 2020, and Amendment Number 2 of the License Agreement, and as may be amended, supplemented, restated or otherwise modified from time to time, subject to Buyer’s rights under </w:t>
      </w:r>
      <w:r>
        <w:rPr>
          <w:rFonts w:ascii="Arial" w:cs="Arial" w:eastAsia="Arial" w:hAnsi="Arial"/>
          <w:sz w:val="19"/>
          <w:szCs w:val="19"/>
          <w:u w:val="single" w:color="auto"/>
          <w:color w:val="auto"/>
        </w:rPr>
        <w:t>Section 5.07(e)</w:t>
      </w:r>
      <w:r>
        <w:rPr>
          <w:rFonts w:ascii="Arial" w:cs="Arial" w:eastAsia="Arial" w:hAnsi="Arial"/>
          <w:sz w:val="19"/>
          <w:szCs w:val="19"/>
          <w:color w:val="auto"/>
        </w:rPr>
        <w:t>.</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Termination</w:t>
      </w:r>
      <w:r>
        <w:rPr>
          <w:rFonts w:ascii="Arial" w:cs="Arial" w:eastAsia="Arial" w:hAnsi="Arial"/>
          <w:sz w:val="22"/>
          <w:szCs w:val="22"/>
          <w:color w:val="auto"/>
        </w:rPr>
        <w:t xml:space="preserve">” means the termination </w:t>
      </w:r>
      <w:r>
        <w:rPr>
          <w:rFonts w:ascii="Arial" w:cs="Arial" w:eastAsia="Arial" w:hAnsi="Arial"/>
          <w:sz w:val="22"/>
          <w:szCs w:val="22"/>
          <w:color w:val="010202"/>
        </w:rPr>
        <w:t>of the License Agreement under Section 11.02, Section 11.03 or Section</w:t>
      </w:r>
      <w:r>
        <w:rPr>
          <w:rFonts w:ascii="Arial" w:cs="Arial" w:eastAsia="Arial" w:hAnsi="Arial"/>
          <w:sz w:val="22"/>
          <w:szCs w:val="22"/>
          <w:color w:val="auto"/>
        </w:rPr>
        <w:t xml:space="preserve"> </w:t>
      </w:r>
      <w:r>
        <w:rPr>
          <w:rFonts w:ascii="Arial" w:cs="Arial" w:eastAsia="Arial" w:hAnsi="Arial"/>
          <w:sz w:val="22"/>
          <w:szCs w:val="22"/>
          <w:color w:val="010202"/>
        </w:rPr>
        <w:t>11.04 of the License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Licensed Compounds</w:t>
      </w:r>
      <w:r>
        <w:rPr>
          <w:rFonts w:ascii="Arial" w:cs="Arial" w:eastAsia="Arial" w:hAnsi="Arial"/>
          <w:sz w:val="21"/>
          <w:szCs w:val="21"/>
          <w:color w:val="auto"/>
        </w:rPr>
        <w:t>” means the Lead Licensed Compound and any and all Backup Licensed Compounds</w:t>
      </w:r>
      <w:r>
        <w:rPr>
          <w:rFonts w:ascii="Arial" w:cs="Arial" w:eastAsia="Arial" w:hAnsi="Arial"/>
          <w:sz w:val="21"/>
          <w:szCs w:val="21"/>
          <w:color w:val="010202"/>
        </w:rPr>
        <w:t>.</w:t>
      </w:r>
    </w:p>
    <w:p>
      <w:pPr>
        <w:spacing w:after="0" w:line="19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010202"/>
        </w:rPr>
        <w:t>“</w:t>
      </w:r>
      <w:r>
        <w:rPr>
          <w:rFonts w:ascii="Arial" w:cs="Arial" w:eastAsia="Arial" w:hAnsi="Arial"/>
          <w:sz w:val="22"/>
          <w:szCs w:val="22"/>
          <w:u w:val="single" w:color="auto"/>
          <w:color w:val="010202"/>
        </w:rPr>
        <w:t>Licensed Patents</w:t>
      </w:r>
      <w:r>
        <w:rPr>
          <w:rFonts w:ascii="Arial" w:cs="Arial" w:eastAsia="Arial" w:hAnsi="Arial"/>
          <w:sz w:val="22"/>
          <w:szCs w:val="22"/>
          <w:color w:val="010202"/>
        </w:rPr>
        <w:t xml:space="preserve">” means (a) the Compound Patents, (b) the Additional Patents, and (c) all Ardelyx Sole Invention Patents; </w:t>
      </w:r>
      <w:r>
        <w:rPr>
          <w:rFonts w:ascii="Arial" w:cs="Arial" w:eastAsia="Arial" w:hAnsi="Arial"/>
          <w:sz w:val="22"/>
          <w:szCs w:val="22"/>
          <w:u w:val="single" w:color="auto"/>
          <w:color w:val="010202"/>
        </w:rPr>
        <w:t>provided that</w:t>
      </w:r>
      <w:r>
        <w:rPr>
          <w:rFonts w:ascii="Arial" w:cs="Arial" w:eastAsia="Arial" w:hAnsi="Arial"/>
          <w:sz w:val="22"/>
          <w:szCs w:val="22"/>
          <w:color w:val="010202"/>
        </w:rPr>
        <w:t xml:space="preserve"> in the case of (b) and (c) above, such Patents claim any inventions necessary or useful for the Exploitation of the Licensed Compounds and/or Licensed Products pursuant to the terms and conditions of the License Agreement. Licensed Patents exclude Ardelyx [***] Patents and the Excluded Patents.</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Product</w:t>
      </w:r>
      <w:r>
        <w:rPr>
          <w:rFonts w:ascii="Arial" w:cs="Arial" w:eastAsia="Arial" w:hAnsi="Arial"/>
          <w:sz w:val="22"/>
          <w:szCs w:val="22"/>
          <w:color w:val="auto"/>
        </w:rPr>
        <w:t>” means any and all pharmaceutical preparations, compositions and formulations in forms suitable for human applications containing a Licensed Compound as an active ingredient.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w:t>
      </w:r>
      <w:r>
        <w:rPr>
          <w:rFonts w:ascii="Arial" w:cs="Arial" w:eastAsia="Arial" w:hAnsi="Arial"/>
          <w:sz w:val="22"/>
          <w:szCs w:val="22"/>
          <w:color w:val="auto"/>
        </w:rPr>
        <w:t>” shall mean Kyowa Kirin Co., Ltd. (formerly known as Kyowa Hakko Kirin Co., Ltd.), a company organized under the laws of Japan.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 Patents</w:t>
      </w:r>
      <w:r>
        <w:rPr>
          <w:rFonts w:ascii="Arial" w:cs="Arial" w:eastAsia="Arial" w:hAnsi="Arial"/>
          <w:sz w:val="22"/>
          <w:szCs w:val="22"/>
          <w:color w:val="auto"/>
        </w:rPr>
        <w:t xml:space="preserve">” means all Patents (a) that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such Patents claim (i) inventions that [***] a Licensed Compound or a Licensed Product, (ii) [***] for a Licensed Product or Licensed Compound, or (iii) is [***] a Licensed Product.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Licensee Controlled Patents</w:t>
      </w:r>
      <w:r>
        <w:rPr>
          <w:rFonts w:ascii="Arial" w:cs="Arial" w:eastAsia="Arial" w:hAnsi="Arial"/>
          <w:sz w:val="21"/>
          <w:szCs w:val="21"/>
          <w:color w:val="auto"/>
        </w:rPr>
        <w:t>” means, collectively, Licensee Sole Invention Patents and Licensee [***] Patents.</w:t>
      </w:r>
    </w:p>
    <w:p>
      <w:pPr>
        <w:spacing w:after="0" w:line="19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Instruction</w:t>
      </w:r>
      <w:r>
        <w:rPr>
          <w:rFonts w:ascii="Arial" w:cs="Arial" w:eastAsia="Arial" w:hAnsi="Arial"/>
          <w:sz w:val="22"/>
          <w:szCs w:val="22"/>
          <w:color w:val="auto"/>
        </w:rPr>
        <w:t xml:space="preserve">” shall mean the written instruction from Seller to Licensee, substantially in the form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Sole Invention Patent</w:t>
      </w:r>
      <w:r>
        <w:rPr>
          <w:rFonts w:ascii="Arial" w:cs="Arial" w:eastAsia="Arial" w:hAnsi="Arial"/>
          <w:sz w:val="22"/>
          <w:szCs w:val="22"/>
          <w:color w:val="auto"/>
        </w:rPr>
        <w:t>” means any Patent claiming Sole Program Know-How owned solely by Licensee to the extent such Patents are subject to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3" w:name="page94"/>
    <w:bookmarkEnd w:id="93"/>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Liens</w:t>
      </w:r>
      <w:r>
        <w:rPr>
          <w:rFonts w:ascii="Arial" w:cs="Arial" w:eastAsia="Arial" w:hAnsi="Arial"/>
          <w:sz w:val="19"/>
          <w:szCs w:val="19"/>
          <w:color w:val="auto"/>
        </w:rPr>
        <w:t>” shall mean any lien, hypothecation, charge, security agreement, security interest, mortgage, pledge or any other encumbrance, right or claim of any Person of any kind whatsoever whether choate or inchoate, filed or unfiled, noticed or unnoticed, recorded or unrecorded, contingent or non-contingent, material or non-material, known or unknown.</w:t>
      </w:r>
    </w:p>
    <w:p>
      <w:pPr>
        <w:spacing w:after="0" w:line="13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Lockbox Account</w:t>
      </w:r>
      <w:r>
        <w:rPr>
          <w:rFonts w:ascii="Arial" w:cs="Arial" w:eastAsia="Arial" w:hAnsi="Arial"/>
          <w:sz w:val="21"/>
          <w:szCs w:val="21"/>
          <w:color w:val="auto"/>
        </w:rPr>
        <w:t xml:space="preserve">” means the “deposit account” (as defined in Article 9 of the UCC), investment account or other account in which funds are held or invested to or for the credit or account of any Party, established and maintained at any Depositary Bank solely for the purpose of receiving remittance of Royalty Interest Payments and disbursement thereof as provided herein, and any successor Lockbox Account entered into in accordance with </w:t>
      </w:r>
      <w:r>
        <w:rPr>
          <w:rFonts w:ascii="Arial" w:cs="Arial" w:eastAsia="Arial" w:hAnsi="Arial"/>
          <w:sz w:val="21"/>
          <w:szCs w:val="21"/>
          <w:u w:val="single" w:color="auto"/>
          <w:color w:val="auto"/>
        </w:rPr>
        <w:t>Section 2.05</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direct or indirect liabilities, claims, actions, damages, losses or expenses, including interest, penalties, and reasonable lawyers’ fees and disbursements. In calculating Losses, the legal duty to mitigate on the part of the Party suffering the Loss shall be taken into account.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Manufacture</w:t>
      </w:r>
      <w:r>
        <w:rPr>
          <w:rFonts w:ascii="Arial" w:cs="Arial" w:eastAsia="Arial" w:hAnsi="Arial"/>
          <w:sz w:val="21"/>
          <w:szCs w:val="21"/>
          <w:color w:val="auto"/>
        </w:rPr>
        <w:t>” or “</w:t>
      </w:r>
      <w:r>
        <w:rPr>
          <w:rFonts w:ascii="Arial" w:cs="Arial" w:eastAsia="Arial" w:hAnsi="Arial"/>
          <w:sz w:val="21"/>
          <w:szCs w:val="21"/>
          <w:u w:val="single" w:color="auto"/>
          <w:color w:val="auto"/>
        </w:rPr>
        <w:t>Manufacturing</w:t>
      </w:r>
      <w:r>
        <w:rPr>
          <w:rFonts w:ascii="Arial" w:cs="Arial" w:eastAsia="Arial" w:hAnsi="Arial"/>
          <w:sz w:val="21"/>
          <w:szCs w:val="21"/>
          <w:color w:val="auto"/>
        </w:rPr>
        <w:t>” means activities in connection with the synthesis, manufacture, processing, formulating, testing (including, without limitation quality control, quality assurance, lot release testing, and development of any relevant analytical methods), bulk packaging or storage and delivery of Licensed Compound or Licensed Product.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 and Supply Agreement for Development</w:t>
      </w:r>
      <w:r>
        <w:rPr>
          <w:rFonts w:ascii="Arial" w:cs="Arial" w:eastAsia="Arial" w:hAnsi="Arial"/>
          <w:sz w:val="22"/>
          <w:szCs w:val="22"/>
          <w:color w:val="auto"/>
        </w:rPr>
        <w:t>” means that separate manufacturing and supply agreement effective as of April 9, 2018 between Seller and Licensee, as amended, supplemented, restated or otherwise modified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shall mean [***].</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 Payments</w:t>
      </w:r>
      <w:r>
        <w:rPr>
          <w:rFonts w:ascii="Arial" w:cs="Arial" w:eastAsia="Arial" w:hAnsi="Arial"/>
          <w:sz w:val="22"/>
          <w:szCs w:val="22"/>
          <w:color w:val="auto"/>
        </w:rPr>
        <w:t>” means any amounts due, paid or payable for achievement of the Milestones, including any interest payable pursuant to Section 6.03 of the License Agreement, without any deduction or set-off of any kind, including any deduction or set-off under the License Agreement.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Milestones</w:t>
      </w:r>
      <w:r>
        <w:rPr>
          <w:rFonts w:ascii="Arial" w:cs="Arial" w:eastAsia="Arial" w:hAnsi="Arial"/>
          <w:sz w:val="22"/>
          <w:szCs w:val="22"/>
          <w:color w:val="auto"/>
        </w:rPr>
        <w:t>” means the sales related milestones captioned as “Milestone Payment[s]” pursuant to Section 6.03(a) of the License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has the meaning set forth in the License Agreement (whether or not the License Agreement remains in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Arrangement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shall mean Seller or Buyer as the context indicates and “</w:t>
      </w:r>
      <w:r>
        <w:rPr>
          <w:rFonts w:ascii="Arial" w:cs="Arial" w:eastAsia="Arial" w:hAnsi="Arial"/>
          <w:sz w:val="22"/>
          <w:szCs w:val="22"/>
          <w:u w:val="single" w:color="auto"/>
          <w:color w:val="auto"/>
        </w:rPr>
        <w:t>Parties</w:t>
      </w:r>
      <w:r>
        <w:rPr>
          <w:rFonts w:ascii="Arial" w:cs="Arial" w:eastAsia="Arial" w:hAnsi="Arial"/>
          <w:sz w:val="22"/>
          <w:szCs w:val="22"/>
          <w:color w:val="auto"/>
        </w:rPr>
        <w:t>” shall mean Seller and Buyer.</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Office</w:t>
      </w:r>
      <w:r>
        <w:rPr>
          <w:rFonts w:ascii="Arial" w:cs="Arial" w:eastAsia="Arial" w:hAnsi="Arial"/>
          <w:sz w:val="22"/>
          <w:szCs w:val="22"/>
          <w:color w:val="auto"/>
        </w:rPr>
        <w:t>” shall mean the respective patent office in any jurisdiction, including the United States Patent and Trademark Office, the European Patent Organisation, the Japan Patent Office and any comparable foreign patent office, for any Ardelyx Controlled Patents or Licensee Controlled Patents.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shall mean (a) all national, regional and international patents and patent applications, including provisional patent applications, (b) all patent applications filed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19"/>
          <w:szCs w:val="19"/>
          <w:color w:val="auto"/>
        </w:rPr>
        <w:t>from such patents, patent applications or provisional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such foregoing patent applications and patents.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shall mean the Liens described on </w:t>
      </w:r>
      <w:r>
        <w:rPr>
          <w:rFonts w:ascii="Arial" w:cs="Arial" w:eastAsia="Arial" w:hAnsi="Arial"/>
          <w:sz w:val="22"/>
          <w:szCs w:val="22"/>
          <w:u w:val="single" w:color="auto"/>
          <w:color w:val="auto"/>
        </w:rPr>
        <w:t>Schedule 1.01</w:t>
      </w:r>
      <w:r>
        <w:rPr>
          <w:rFonts w:ascii="Arial" w:cs="Arial" w:eastAsia="Arial" w:hAnsi="Arial"/>
          <w:sz w:val="22"/>
          <w:szCs w:val="22"/>
          <w:color w:val="auto"/>
        </w:rPr>
        <w:t xml:space="preserve"> hereto.</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sole proprietorship, corporation, partnership, association, joint-stock company, trust, unincorporated organization, joint venture or other similar entity or organization, including a government or political subdivision, department or agency of a government.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PMDA</w:t>
      </w:r>
      <w:r>
        <w:rPr>
          <w:rFonts w:ascii="Arial" w:cs="Arial" w:eastAsia="Arial" w:hAnsi="Arial"/>
          <w:sz w:val="22"/>
          <w:szCs w:val="22"/>
          <w:color w:val="auto"/>
        </w:rPr>
        <w:t>” means the Pharmaceuticals and Medical Devices Agency in Japan or any successor thereto.</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shall mean any pharmaceutical product, drug product, preparation, formulation or dosage form that has the Lead Licensed Compound as at least one API.</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Production Agreements</w:t>
      </w:r>
      <w:r>
        <w:rPr>
          <w:rFonts w:ascii="Arial" w:cs="Arial" w:eastAsia="Arial" w:hAnsi="Arial"/>
          <w:sz w:val="22"/>
          <w:szCs w:val="22"/>
          <w:color w:val="auto"/>
        </w:rPr>
        <w:t>” means each of the Back-Up Manufacturing Agreement, the Manufacturing and Supply Development Agreement, the Interim Commercial Supply Letter and the Development Quality Assurance Agreement as may be amended, supplemented, restated or otherwise modified or replaced from time to time.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Assets</w:t>
      </w:r>
      <w:r>
        <w:rPr>
          <w:rFonts w:ascii="Arial" w:cs="Arial" w:eastAsia="Arial" w:hAnsi="Arial"/>
          <w:sz w:val="22"/>
          <w:szCs w:val="22"/>
          <w:color w:val="auto"/>
        </w:rPr>
        <w:t>” shall mean (a) the Royalty Interest and (b) all proceeds (as defined under the UCC) of any of the foregoing.</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means, with respect to any Confidential Information disclosed by a Party hereto, the other Party which is receiving such Confidential Information.</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Approval</w:t>
      </w:r>
      <w:r>
        <w:rPr>
          <w:rFonts w:ascii="Arial" w:cs="Arial" w:eastAsia="Arial" w:hAnsi="Arial"/>
          <w:sz w:val="19"/>
          <w:szCs w:val="19"/>
          <w:color w:val="auto"/>
        </w:rPr>
        <w:t>” means any and all approvals (including without limitation pricing and reimbursement approvals), product or establishment licenses, registrations, or authorizations of any regional, federal, state, or local Regulatory Health Authority, department, bureau, or other governmental entity, necessary to commercially distribute, sell or market a Licensed Product in a regulatory jurisdiction, including, where applicable, (a) pricing or reimbursement approval in such jurisdiction, (b) pre- and post-approval marketing authorizations (including any prerequisite Manufacturing approval or authorization related thereto), (c) labeling approval and (d) technical, medical and scientific licenses.</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5" w:name="page96"/>
    <w:bookmarkEnd w:id="95"/>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Health Authority</w:t>
      </w:r>
      <w:r>
        <w:rPr>
          <w:rFonts w:ascii="Arial" w:cs="Arial" w:eastAsia="Arial" w:hAnsi="Arial"/>
          <w:sz w:val="22"/>
          <w:szCs w:val="22"/>
          <w:color w:val="auto"/>
        </w:rPr>
        <w:t>” means any applicable national (for example the PMDA), supra-national, regional, state, provincial or local regulatory health authority, department, bureau, commission, council, or other government entity regulating or otherwise exercising authority with respect to the Exploitation of Licensed Compounds or Licensed Products in the Territory pursuant to the terms and conditions of the License Agreement, including any such entity involved in the granting of Regulatory Approval for pharmaceutical products.</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means, with respect to any Person, directors, officers, employees, agents, co-investors, advisors, potential investors, underwriters, rating agencies, permitted assignees, transferees or successors-in-interest, sources of financing and trustees of such Person (other than competitors of Buyer and its Affiliates).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Royalties</w:t>
      </w:r>
      <w:r>
        <w:rPr>
          <w:rFonts w:ascii="Arial" w:cs="Arial" w:eastAsia="Arial" w:hAnsi="Arial"/>
          <w:sz w:val="19"/>
          <w:szCs w:val="19"/>
          <w:color w:val="auto"/>
        </w:rPr>
        <w:t xml:space="preserve">” means (a) any amounts due, paid or payable to Seller pursuant to Section 6.04 of the License Agreement on and after the Closing Date and (b) any amounts payable to Seller as a result of Net Sales of the Licensed Product in the Field and in the Territory pursuant to any New Arrangement;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due to Buyer under any New Arrangement shall not exceed the amount that would have been due Buyer under Section 6.04 and 6.03(a) of the License Agreement, in each case of clauses (a) and (b), without any deduction or set-off of any kind, other than as set forth in clause (b). Without limiting the foregoing, if the License Agreement is terminated and Seller or its Affiliates Commercialize the Product in the Territory pursuant to </w:t>
      </w:r>
      <w:r>
        <w:rPr>
          <w:rFonts w:ascii="Arial" w:cs="Arial" w:eastAsia="Arial" w:hAnsi="Arial"/>
          <w:sz w:val="19"/>
          <w:szCs w:val="19"/>
          <w:u w:val="single" w:color="auto"/>
          <w:color w:val="auto"/>
        </w:rPr>
        <w:t>Section 5.02(b)</w:t>
      </w:r>
      <w:r>
        <w:rPr>
          <w:rFonts w:ascii="Arial" w:cs="Arial" w:eastAsia="Arial" w:hAnsi="Arial"/>
          <w:sz w:val="19"/>
          <w:szCs w:val="19"/>
          <w:color w:val="auto"/>
        </w:rPr>
        <w:t>, any amounts received by or on behalf of Seller or its Affiliates (or its or their licensees) for such Commercialization less any such amounts that are allocated to the cost of manufacturing and supplying the Product, or which are intended to reimburse Seller, its Affiliates or licensees for expenses incurred outside of the scope of the calculation of Net Sales, which are itemized by Seller in each royalty report to the extent such expenses are being taken as a deduction from net sales for which royalties are payable, shall be treated as “Net Sales” subject to the same royalty rate set forth in Section 6.04 of the License Agreement, and the product of such net sales times such royalty rate shall be Royalties hereunder.</w:t>
      </w:r>
    </w:p>
    <w:p>
      <w:pPr>
        <w:spacing w:after="0" w:line="16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Royalty Interest</w:t>
      </w:r>
      <w:r>
        <w:rPr>
          <w:rFonts w:ascii="Arial" w:cs="Arial" w:eastAsia="Arial" w:hAnsi="Arial"/>
          <w:sz w:val="19"/>
          <w:szCs w:val="19"/>
          <w:color w:val="auto"/>
        </w:rPr>
        <w:t>” shall mean (a) the Royalties</w:t>
      </w:r>
      <w:r>
        <w:rPr>
          <w:rFonts w:ascii="Arial" w:cs="Arial" w:eastAsia="Arial" w:hAnsi="Arial"/>
          <w:sz w:val="19"/>
          <w:szCs w:val="19"/>
          <w:color w:val="0000FF"/>
        </w:rPr>
        <w:t>,</w:t>
      </w:r>
      <w:r>
        <w:rPr>
          <w:rFonts w:ascii="Arial" w:cs="Arial" w:eastAsia="Arial" w:hAnsi="Arial"/>
          <w:sz w:val="19"/>
          <w:szCs w:val="19"/>
          <w:color w:val="auto"/>
        </w:rPr>
        <w:t xml:space="preserve"> (b) the Milestone Payments arising after the Closing Date, (c) any payments made in lieu of the Royalties or the Milestone Payments or in satisfaction of the obligation to pay the Royalties or the Milestone Payments, including any amounts payable to Buyer pursuant to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in satisfaction of the obligation to pay Royalties or the Milestone Payments; provided, that (i) such amounts payable under this subsection (c) as a result of enforcement of the License Agreement pursuant to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shall include any damages, penalties, fees or expenses payable in connection with the enforcement of the License Agreement pursuant to </w:t>
      </w:r>
      <w:r>
        <w:rPr>
          <w:rFonts w:ascii="Arial" w:cs="Arial" w:eastAsia="Arial" w:hAnsi="Arial"/>
          <w:sz w:val="19"/>
          <w:szCs w:val="19"/>
          <w:u w:val="single" w:color="auto"/>
          <w:color w:val="auto"/>
        </w:rPr>
        <w:t>Section 5.16</w:t>
      </w:r>
      <w:r>
        <w:rPr>
          <w:rFonts w:ascii="Arial" w:cs="Arial" w:eastAsia="Arial" w:hAnsi="Arial"/>
          <w:sz w:val="19"/>
          <w:szCs w:val="19"/>
          <w:color w:val="auto"/>
        </w:rPr>
        <w:t>, to the extent such damages, penalties, fees or expenses relate to amounts otherwise due under Sections 6.03 or 6.04 of the License Agreement, and (ii) the amounts due under this subsection (c) shall not include duplication of any corresponding Royalty Interest Payments or Milestone Payments, and (d) all amounts payable by Licensee (or other licensee pursuant to a New Arrangement) pursuant to Section 365(n) of the Bankruptcy Law in the event of rejection of the License Agreement (or other licensee agreement pursuant to a New Arrangement). For the avoidance of doubt, the Royalty Interest shall not include the Excluded Liabilities and Obligations.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Interest Payment</w:t>
      </w:r>
      <w:r>
        <w:rPr>
          <w:rFonts w:ascii="Arial" w:cs="Arial" w:eastAsia="Arial" w:hAnsi="Arial"/>
          <w:sz w:val="22"/>
          <w:szCs w:val="22"/>
          <w:color w:val="auto"/>
        </w:rPr>
        <w:t>” shall mean the payment of the Royalty Interest.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Reports</w:t>
      </w:r>
      <w:r>
        <w:rPr>
          <w:rFonts w:ascii="Arial" w:cs="Arial" w:eastAsia="Arial" w:hAnsi="Arial"/>
          <w:sz w:val="22"/>
          <w:szCs w:val="22"/>
          <w:color w:val="auto"/>
        </w:rPr>
        <w:t>” means, with respect to each calendar quarter, the report (including any certifications in respect thereof) required to be prepared and delivered pursuant to Section 6.07 of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shall mean Ardelyx, Inc., a corporation organized under the laws of the State of Delaware.</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Party</w:t>
      </w:r>
      <w:r>
        <w:rPr>
          <w:rFonts w:ascii="Arial" w:cs="Arial" w:eastAsia="Arial" w:hAnsi="Arial"/>
          <w:sz w:val="22"/>
          <w:szCs w:val="22"/>
          <w:color w:val="auto"/>
        </w:rPr>
        <w:t>” shall mean each of Seller, its Affiliates and any of their respective partners, directors, managers, officers, employees and agents.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Set-Off</w:t>
      </w:r>
      <w:r>
        <w:rPr>
          <w:rFonts w:ascii="Arial" w:cs="Arial" w:eastAsia="Arial" w:hAnsi="Arial"/>
          <w:sz w:val="22"/>
          <w:szCs w:val="22"/>
          <w:color w:val="auto"/>
        </w:rPr>
        <w:t>” means any right of set-off, counterclaim, credit, reduction or deduction by contract or otherwise.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Sole Program Know-How</w:t>
      </w:r>
      <w:r>
        <w:rPr>
          <w:rFonts w:ascii="Arial" w:cs="Arial" w:eastAsia="Arial" w:hAnsi="Arial"/>
          <w:sz w:val="22"/>
          <w:szCs w:val="22"/>
          <w:color w:val="auto"/>
        </w:rPr>
        <w:t>” means all inventions and other Know-How invented by employees or independent contractors of Seller or Licensee in such Party’s performance of the License Agreement.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Sublicensee</w:t>
      </w:r>
      <w:r>
        <w:rPr>
          <w:rFonts w:ascii="Arial" w:cs="Arial" w:eastAsia="Arial" w:hAnsi="Arial"/>
          <w:sz w:val="22"/>
          <w:szCs w:val="22"/>
          <w:color w:val="auto"/>
        </w:rPr>
        <w:t>” means any Person that is not a distributor or an Affiliate of the Licensee who is granted a sublicense under the License Agreement by the Licensee or its Affiliate.</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at any time, any entity of which more than fifty percent (50%) of the outstanding Voting Stock or other equity interest entitled ordinarily to vote in the election of the directors or other governing body (however designated) is at the time beneficially owned or controlled directly or indirectly by such Person, by one or more such entities or by such Person and one or more such entities. Unless otherwise indicated herein, “Subsidiary” shall refer a “Subsidiary” of Seller.</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Supply Agreement for Commercial</w:t>
      </w:r>
      <w:r>
        <w:rPr>
          <w:rFonts w:ascii="Arial" w:cs="Arial" w:eastAsia="Arial" w:hAnsi="Arial"/>
          <w:sz w:val="22"/>
          <w:szCs w:val="22"/>
          <w:color w:val="auto"/>
        </w:rPr>
        <w:t>” means that separate manufacturing and supply agreement, between Seller and the Licensee to be entered into pursuant to Section 5.01(c) of the License Agreement, providing for the manufacture of the Lead Licensed Compound and Product, as may be amended, supplemented, restated or otherwise modified or replaced from time to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shall mean Japan.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Seller or Buyer or their respective Affiliates.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Patent Rights</w:t>
      </w:r>
      <w:r>
        <w:rPr>
          <w:rFonts w:ascii="Arial" w:cs="Arial" w:eastAsia="Arial" w:hAnsi="Arial"/>
          <w:sz w:val="19"/>
          <w:szCs w:val="19"/>
          <w:color w:val="auto"/>
        </w:rPr>
        <w:t>” shall mean, with respect to any Third Party, any and all issued patents and pending patent applications as of the date of this Agreement, including all provisional applications, substitutions, continuations, continuations-in-part, divisions, and renewals, all letters patent granted thereon, and all patents-of-addition, reissues, reexaminations and extensions or restorations by existing or future extension or restoration mechanisms (including regulatory extensions), and all supplementary protection certificates, together with any foreign counterparts thereof anywhere in the world, of such Third Party.</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w:t>
      </w:r>
      <w:r>
        <w:rPr>
          <w:rFonts w:ascii="Arial" w:cs="Arial" w:eastAsia="Arial" w:hAnsi="Arial"/>
          <w:sz w:val="22"/>
          <w:szCs w:val="22"/>
          <w:color w:val="auto"/>
        </w:rPr>
        <w:t>” means any registered trademark, application for registration thereof, trade name, service mark, service name, brand, domain name, trade dress, logo, slogan or other indicia of origin or ownership, including the goodwill and activities associated with each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7" w:name="page98"/>
    <w:bookmarkEnd w:id="97"/>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shall mean, collectively, this Agreement, the Assignment, the Deposit Agreement and the Instruction to Payor.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shall mean the Uniform Commercial Code (or any similar or equivalent legislation) as in effect in any applicable jurisdiction.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Use</w:t>
      </w:r>
      <w:r>
        <w:rPr>
          <w:rFonts w:ascii="Arial" w:cs="Arial" w:eastAsia="Arial" w:hAnsi="Arial"/>
          <w:sz w:val="19"/>
          <w:szCs w:val="19"/>
          <w:color w:val="auto"/>
        </w:rPr>
        <w:t>” shall include the use, manufacture, marketing, sale, offer for sale, importation, distribution or commercialization.</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shall mean Capital Stock issued by a company,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contingency.</w:t>
      </w:r>
    </w:p>
    <w:p>
      <w:pPr>
        <w:spacing w:after="0" w:line="12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ASSIGNMENT OF THE PURCHASED ASSETS</w:t>
      </w:r>
    </w:p>
    <w:p>
      <w:pPr>
        <w:spacing w:after="0" w:line="179"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8"/>
          <w:szCs w:val="18"/>
          <w:b w:val="1"/>
          <w:bCs w:val="1"/>
          <w:color w:val="auto"/>
        </w:rPr>
        <w:t>Assignment.</w:t>
      </w:r>
    </w:p>
    <w:p>
      <w:pPr>
        <w:spacing w:after="0" w:line="185" w:lineRule="exact"/>
        <w:rPr>
          <w:sz w:val="20"/>
          <w:szCs w:val="20"/>
          <w:color w:val="auto"/>
        </w:rPr>
      </w:pPr>
    </w:p>
    <w:p>
      <w:pPr>
        <w:jc w:val="both"/>
        <w:ind w:left="1300" w:hanging="644"/>
        <w:spacing w:after="0" w:line="214" w:lineRule="auto"/>
        <w:tabs>
          <w:tab w:leader="none" w:pos="129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Upon the terms and subject to the conditions set forth in this Agreement, at the Closing, Seller shall assign, transfer and convey to Buyer, free and clear of all Liens (other than any Permitted Liens or Liens in favor of Buyer) and subject to the conditions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and the other provisions of this Agreement, the Purchased Assets, and Buyer shall accept such assignment, transfer and conveyance from Seller. Such assignment, transfer and conveyance shall be evidenced by the execution and delivery of the Assignment by Seller in accordance with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300" w:hanging="644"/>
        <w:spacing w:after="0" w:line="241" w:lineRule="auto"/>
        <w:tabs>
          <w:tab w:leader="none" w:pos="1295"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It is the intention of the Parties hereto that the assignment, transfer and conveyance contemplated by this Agreement be, and is, a true, complete, absolute and irrevocable assignment, transfer and conveyance by Seller to Buyer of all of Seller’s right, title and interest in and to the Purchased Assets, free and clear of all Liens (other than any Liens in favor of Buyer). Neither Seller nor Buyer intends the transactions contemplated by this Agreement to be, for any purpose (other than financial accounting purposes), characterized as a loan from Buyer to Seller or a pledge, a security interest, a financing transaction or a borrowing. Each of Seller and Buyer hereby waives, to the maximum extent permitted by applicable Law, subject to </w:t>
      </w:r>
      <w:r>
        <w:rPr>
          <w:rFonts w:ascii="Arial" w:cs="Arial" w:eastAsia="Arial" w:hAnsi="Arial"/>
          <w:sz w:val="19"/>
          <w:szCs w:val="19"/>
          <w:u w:val="single" w:color="auto"/>
          <w:color w:val="auto"/>
        </w:rPr>
        <w:t>Section 2.02</w:t>
      </w:r>
      <w:r>
        <w:rPr>
          <w:rFonts w:ascii="Arial" w:cs="Arial" w:eastAsia="Arial" w:hAnsi="Arial"/>
          <w:sz w:val="19"/>
          <w:szCs w:val="19"/>
          <w:color w:val="auto"/>
        </w:rPr>
        <w:t>, any right to contest or otherwise assert that this Agreement does not constitute a true, complete, absolute and irrevocable assignment, transfer and conveyance by Seller to Buyer of all of Seller’s right, title and interest in and to the Purchased Assets under applicable Law, which waiver shall, to the maximum extent permitted by applicable Law, be enforceable against Seller in any bankruptcy or insolvency proceeding relating to Seller. Not in derogation of the foregoing statement of the intent of the Parties hereto in this regard and for the purposes of providing additional assurance to Buyer (i) Seller does hereby grant to Buyer as security for the payment of amounts to Buyer equal to the Royalty Interests as they become due and payable, a security interest in and to (x) all right, title and interest of Seller, in, to and under the Royalty Interests; and (y) any “proceeds” (as such term is defined in the UCC) of the items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8" w:name="page99"/>
    <w:bookmarkEnd w:id="98"/>
    <w:p>
      <w:pPr>
        <w:jc w:val="both"/>
        <w:ind w:left="1300"/>
        <w:spacing w:after="0" w:line="243" w:lineRule="auto"/>
        <w:rPr>
          <w:sz w:val="20"/>
          <w:szCs w:val="20"/>
          <w:color w:val="auto"/>
        </w:rPr>
      </w:pPr>
      <w:r>
        <w:rPr>
          <w:rFonts w:ascii="Arial" w:cs="Arial" w:eastAsia="Arial" w:hAnsi="Arial"/>
          <w:sz w:val="19"/>
          <w:szCs w:val="19"/>
          <w:color w:val="auto"/>
        </w:rPr>
        <w:t xml:space="preserve">in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hereof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 and Seller does hereby authorize Buyer, from and after the Closing, to file such financing statements (and continuation statements with respect to such financing statements when applicable) in such manner and such jurisdictions as are necessary or appropriate to perfect such security interest and (ii) upon the occurrence of the Termination Date, Buyer shall, at the sole cost and expense of Seller, release its Liens in the Collateral (and execute and deliver any termination or release documents reasonably requested by Seller in connection therewith) and all rights, title and interests, in, to and under the Collateral shall revert to Seller. Notwithstanding the foregoing, the Collateral does not include rights held under a license or other agreement that are not assignable by their terms without the consent of the licensor or counterparty thereof (but only to the extent such restriction on assignment is effective under Section 9-406, 9-407, 9-408 or 9-409 of the UCC (or any successor provision or provisions) of any relevant jurisdiction or any other applicable law (including the Bankruptcy Code) or principles of equity).</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Royalty Interest Payments.</w:t>
      </w:r>
    </w:p>
    <w:p>
      <w:pPr>
        <w:spacing w:after="0" w:line="185" w:lineRule="exact"/>
        <w:rPr>
          <w:sz w:val="20"/>
          <w:szCs w:val="20"/>
          <w:color w:val="auto"/>
        </w:rPr>
      </w:pPr>
    </w:p>
    <w:p>
      <w:pPr>
        <w:jc w:val="both"/>
        <w:ind w:left="1300" w:hanging="644"/>
        <w:spacing w:after="0" w:line="268" w:lineRule="auto"/>
        <w:tabs>
          <w:tab w:leader="none" w:pos="1297"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Effective as of the execution and delivery of the Assignment at the Closing and subject to the terms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Seller and Buyer agree that Buyer shall have all right, title, interest in and to the Purchased Assets, and is entitled to receive all Royalty Interest Payments payable to Seller under the License Agreement.</w:t>
      </w:r>
    </w:p>
    <w:p>
      <w:pPr>
        <w:spacing w:after="0" w:line="132" w:lineRule="exact"/>
        <w:rPr>
          <w:rFonts w:ascii="Arial" w:cs="Arial" w:eastAsia="Arial" w:hAnsi="Arial"/>
          <w:sz w:val="19"/>
          <w:szCs w:val="19"/>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300" w:hanging="644"/>
        <w:spacing w:after="0" w:line="232" w:lineRule="auto"/>
        <w:tabs>
          <w:tab w:leader="none" w:pos="1297" w:val="left"/>
        </w:tabs>
        <w:numPr>
          <w:ilvl w:val="0"/>
          <w:numId w:val="42"/>
        </w:numPr>
        <w:rPr>
          <w:rFonts w:ascii="Arial" w:cs="Arial" w:eastAsia="Arial" w:hAnsi="Arial"/>
          <w:sz w:val="22"/>
          <w:szCs w:val="22"/>
          <w:color w:val="auto"/>
        </w:rPr>
      </w:pPr>
      <w:r>
        <w:rPr>
          <w:rFonts w:ascii="Arial" w:cs="Arial" w:eastAsia="Arial" w:hAnsi="Arial"/>
          <w:sz w:val="22"/>
          <w:szCs w:val="22"/>
          <w:color w:val="auto"/>
        </w:rPr>
        <w:t>Buyer shall be entitled to receive 100% of the Royalty Interest Payments from the Closing Date through the Termination Date.</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8"/>
          <w:szCs w:val="18"/>
          <w:b w:val="1"/>
          <w:bCs w:val="1"/>
          <w:color w:val="auto"/>
        </w:rPr>
        <w:t>Payments to Seller.</w:t>
      </w:r>
    </w:p>
    <w:p>
      <w:pPr>
        <w:spacing w:after="0" w:line="185" w:lineRule="exact"/>
        <w:rPr>
          <w:sz w:val="20"/>
          <w:szCs w:val="20"/>
          <w:color w:val="auto"/>
        </w:rPr>
      </w:pPr>
    </w:p>
    <w:p>
      <w:pPr>
        <w:jc w:val="both"/>
        <w:ind w:left="1300" w:hanging="644"/>
        <w:spacing w:after="0" w:line="223"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Buyer shall pay Seller the Closing Amount by wire transfer of immediately available funds as directed by Seller promptly at the Closing, but in any event, within one (1) Business Day of the Closing Date.</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Investment 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60" w:hanging="656"/>
        <w:spacing w:after="0" w:line="247" w:lineRule="auto"/>
        <w:tabs>
          <w:tab w:leader="none" w:pos="1948" w:val="left"/>
        </w:tabs>
        <w:numPr>
          <w:ilvl w:val="1"/>
          <w:numId w:val="43"/>
        </w:numPr>
        <w:rPr>
          <w:rFonts w:ascii="Arial" w:cs="Arial" w:eastAsia="Arial" w:hAnsi="Arial"/>
          <w:sz w:val="21"/>
          <w:szCs w:val="21"/>
          <w:color w:val="auto"/>
        </w:rPr>
      </w:pPr>
      <w:r>
        <w:rPr>
          <w:rFonts w:ascii="Arial" w:cs="Arial" w:eastAsia="Arial" w:hAnsi="Arial"/>
          <w:sz w:val="21"/>
          <w:szCs w:val="21"/>
          <w:color w:val="auto"/>
        </w:rPr>
        <w:t xml:space="preserve">Following the Closing, Buyer shall, subject to the conditions set forth below and subject to </w:t>
      </w:r>
      <w:r>
        <w:rPr>
          <w:rFonts w:ascii="Arial" w:cs="Arial" w:eastAsia="Arial" w:hAnsi="Arial"/>
          <w:sz w:val="21"/>
          <w:szCs w:val="21"/>
          <w:u w:val="single" w:color="auto"/>
          <w:color w:val="auto"/>
        </w:rPr>
        <w:t>Section 2.03(b)</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make the following one-time payments (each, an “</w:t>
      </w:r>
      <w:r>
        <w:rPr>
          <w:rFonts w:ascii="Arial" w:cs="Arial" w:eastAsia="Arial" w:hAnsi="Arial"/>
          <w:sz w:val="21"/>
          <w:szCs w:val="21"/>
          <w:u w:val="single" w:color="auto"/>
          <w:color w:val="auto"/>
        </w:rPr>
        <w:t>Investment Payment</w:t>
      </w:r>
      <w:r>
        <w:rPr>
          <w:rFonts w:ascii="Arial" w:cs="Arial" w:eastAsia="Arial" w:hAnsi="Arial"/>
          <w:sz w:val="21"/>
          <w:szCs w:val="21"/>
          <w:color w:val="auto"/>
        </w:rPr>
        <w:t>”) to Seller:</w:t>
      </w:r>
    </w:p>
    <w:p>
      <w:pPr>
        <w:spacing w:after="0" w:line="150" w:lineRule="exact"/>
        <w:rPr>
          <w:rFonts w:ascii="Arial" w:cs="Arial" w:eastAsia="Arial" w:hAnsi="Arial"/>
          <w:sz w:val="21"/>
          <w:szCs w:val="21"/>
          <w:color w:val="auto"/>
        </w:rPr>
      </w:pPr>
    </w:p>
    <w:p>
      <w:pPr>
        <w:ind w:left="2600" w:right="340" w:hanging="648"/>
        <w:spacing w:after="0" w:line="247" w:lineRule="auto"/>
        <w:tabs>
          <w:tab w:leader="none" w:pos="2589" w:val="left"/>
        </w:tabs>
        <w:numPr>
          <w:ilvl w:val="2"/>
          <w:numId w:val="43"/>
        </w:numPr>
        <w:rPr>
          <w:rFonts w:ascii="Arial" w:cs="Arial" w:eastAsia="Arial" w:hAnsi="Arial"/>
          <w:sz w:val="21"/>
          <w:szCs w:val="21"/>
          <w:color w:val="auto"/>
        </w:rPr>
      </w:pPr>
      <w:r>
        <w:rPr>
          <w:rFonts w:ascii="Arial" w:cs="Arial" w:eastAsia="Arial" w:hAnsi="Arial"/>
          <w:sz w:val="21"/>
          <w:szCs w:val="21"/>
          <w:color w:val="auto"/>
        </w:rPr>
        <w:t>upon approval of a new drug application for the Lead Licensed Compound for application in the Field by the PMDA, Buyer shall make a payment to Seller of $5,000,000; and</w:t>
      </w:r>
    </w:p>
    <w:p>
      <w:pPr>
        <w:spacing w:after="0" w:line="150" w:lineRule="exact"/>
        <w:rPr>
          <w:rFonts w:ascii="Arial" w:cs="Arial" w:eastAsia="Arial" w:hAnsi="Arial"/>
          <w:sz w:val="21"/>
          <w:szCs w:val="21"/>
          <w:color w:val="auto"/>
        </w:rPr>
      </w:pPr>
    </w:p>
    <w:p>
      <w:pPr>
        <w:ind w:left="2600" w:hanging="648"/>
        <w:spacing w:after="0"/>
        <w:tabs>
          <w:tab w:leader="none" w:pos="2600" w:val="left"/>
        </w:tabs>
        <w:numPr>
          <w:ilvl w:val="2"/>
          <w:numId w:val="43"/>
        </w:numPr>
        <w:rPr>
          <w:rFonts w:ascii="Arial" w:cs="Arial" w:eastAsia="Arial" w:hAnsi="Arial"/>
          <w:sz w:val="19"/>
          <w:szCs w:val="19"/>
          <w:color w:val="auto"/>
        </w:rPr>
      </w:pPr>
      <w:r>
        <w:rPr>
          <w:rFonts w:ascii="Arial" w:cs="Arial" w:eastAsia="Arial" w:hAnsi="Arial"/>
          <w:sz w:val="19"/>
          <w:szCs w:val="19"/>
          <w:color w:val="auto"/>
        </w:rPr>
        <w:t>a payment to Seller of $5,000,000 if Licensee’s Net Sales exceed [***] for the calendar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99" w:name="page100"/>
    <w:bookmarkEnd w:id="99"/>
    <w:p>
      <w:pPr>
        <w:jc w:val="both"/>
        <w:ind w:left="1960" w:hanging="656"/>
        <w:spacing w:after="0" w:line="242" w:lineRule="auto"/>
        <w:tabs>
          <w:tab w:leader="none" w:pos="194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Investment Payment provided in </w:t>
      </w:r>
      <w:r>
        <w:rPr>
          <w:rFonts w:ascii="Arial" w:cs="Arial" w:eastAsia="Arial" w:hAnsi="Arial"/>
          <w:sz w:val="19"/>
          <w:szCs w:val="19"/>
          <w:u w:val="single" w:color="auto"/>
          <w:color w:val="auto"/>
        </w:rPr>
        <w:t>Section 2.03(b)(i)(A)</w:t>
      </w:r>
      <w:r>
        <w:rPr>
          <w:rFonts w:ascii="Arial" w:cs="Arial" w:eastAsia="Arial" w:hAnsi="Arial"/>
          <w:sz w:val="19"/>
          <w:szCs w:val="19"/>
          <w:color w:val="auto"/>
        </w:rPr>
        <w:t xml:space="preserve"> shall be due and payable promptly, but in any event within ten (10) Business Days after the date that the Investment Payment Conditions for such Investment Payment have been met, by wire transfer of immediately available funds as directed by Seller. Buyer agrees to retain in the Lockbox Account any Royalty Interest Payments paid to Seller from Licensee in the first quarter of 2026 relating to Licensee achieving the Net Sales milestone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2.03(b)(i)(B)</w:t>
      </w:r>
      <w:r>
        <w:rPr>
          <w:rFonts w:ascii="Arial" w:cs="Arial" w:eastAsia="Arial" w:hAnsi="Arial"/>
          <w:sz w:val="19"/>
          <w:szCs w:val="19"/>
          <w:color w:val="auto"/>
        </w:rPr>
        <w:t xml:space="preserve">. Upon deposit of such amounts, Buyer shall direct the Depository Bank to pay to Seller the Investment Payment then due Seller pursuant to </w:t>
      </w:r>
      <w:r>
        <w:rPr>
          <w:rFonts w:ascii="Arial" w:cs="Arial" w:eastAsia="Arial" w:hAnsi="Arial"/>
          <w:sz w:val="19"/>
          <w:szCs w:val="19"/>
          <w:u w:val="single" w:color="auto"/>
          <w:color w:val="auto"/>
        </w:rPr>
        <w:t>Section 2.03(b)(i)(B)</w:t>
      </w:r>
      <w:r>
        <w:rPr>
          <w:rFonts w:ascii="Arial" w:cs="Arial" w:eastAsia="Arial" w:hAnsi="Arial"/>
          <w:sz w:val="19"/>
          <w:szCs w:val="19"/>
          <w:color w:val="auto"/>
        </w:rPr>
        <w:t xml:space="preserve"> within five (5) Business Days of the date on which the related Investment Payment Condition has been met. In the event amounts deposited into the Lockbox Account are insufficient to pay the full amount of such Investment Payment, Buyer shall direct the Depository Bank to pay any subsequent deposits into the Lockbox Account to Seller, to be applied towards such Investment Payment Amount, until the aggregate amounts so paid to Seller equal $5,000,000. If such Investment Payment is not earned by Seller for the calendar year 2025, Buyer may direct the Depository Bank to pay Royalty Interests Payments on deposit in the Lockbox Account to Buyer.</w:t>
      </w:r>
    </w:p>
    <w:p>
      <w:pPr>
        <w:spacing w:after="0" w:line="160" w:lineRule="exact"/>
        <w:rPr>
          <w:rFonts w:ascii="Arial" w:cs="Arial" w:eastAsia="Arial" w:hAnsi="Arial"/>
          <w:sz w:val="19"/>
          <w:szCs w:val="19"/>
          <w:color w:val="auto"/>
        </w:rPr>
      </w:pPr>
    </w:p>
    <w:p>
      <w:pPr>
        <w:jc w:val="both"/>
        <w:ind w:left="1960" w:hanging="656"/>
        <w:spacing w:after="0"/>
        <w:tabs>
          <w:tab w:leader="none" w:pos="195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Buyer shall have the right to deduct from any Investment Payment the amount of any Losses resulting from Seller’s breach of any representation or warranty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of the date on which such representation or warranty is made or any covenant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In the event that Buyer makes a good faith determination that it is entitled to Set-Off (and of the amount thereof) from any Investment Payment, Buyer shall notify Seller, in reasonable detail, of the basis of Buyer’s claim to a right of Set-Off (and the amount thereof) within thirty (30) days after the date that the Investment Payment Conditions for such Investment Payment have been met. In the event that Seller disagrees, either with respect to the basis of the claim or the amount in controversy, then such dispute shall be escalated to the senior leadership of the Parties for resolution in good faith (which senior leadership shall be the Chief Executive Officer of Seller and the Chief Executive Officer of Buyer), within thirty (30) days of the date on which such dispute is referred to them If the senior leadership, notwithstanding their good faith efforts, is unable to resolve such dispute within such thirty (30) day period, then Buyer may make such Set-Off. For the avoidance of doubt, (a) Buyer’s exercise of the foregoing right of Set-Off will not limit Buyer’s right to pursue any other available remedies in law or equity, including as set forth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(b) Seller retains its right to challenge such Set-Off and does not waive its right, nor shall its right be limited by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to pursue any remedy in law or equity. The prevailing party in the final resolution of any dispute regarding such Set-Off will be entitled to recover from the other party all of its reasonable and documented out-of-pocket costs and expenses arising from such proceedings (including attorneys’ fees incurred both before and through the completion of such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0" w:name="page101"/>
    <w:bookmarkEnd w:id="100"/>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No Assumption.</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Notwithstanding any provision in this Agreement or any other Transaction Document or writing to the contrary, subject to </w:t>
      </w:r>
      <w:r>
        <w:rPr>
          <w:rFonts w:ascii="Arial" w:cs="Arial" w:eastAsia="Arial" w:hAnsi="Arial"/>
          <w:sz w:val="22"/>
          <w:szCs w:val="22"/>
          <w:u w:val="single" w:color="auto"/>
          <w:color w:val="auto"/>
        </w:rPr>
        <w:t>Section 2.02</w:t>
      </w:r>
      <w:r>
        <w:rPr>
          <w:rFonts w:ascii="Arial" w:cs="Arial" w:eastAsia="Arial" w:hAnsi="Arial"/>
          <w:sz w:val="22"/>
          <w:szCs w:val="22"/>
          <w:color w:val="auto"/>
        </w:rPr>
        <w:t>, Buyer is accepting the purchase and assignment of only the Purchased Assets and is not assuming any Excluded Liabilities and Obligations. All Excluded Liabilities and Obligations shall be retained by and remain obligations and liabilities solely of Seller or its Affiliates</w:t>
      </w:r>
      <w:r>
        <w:rPr>
          <w:rFonts w:ascii="Arial" w:cs="Arial" w:eastAsia="Arial" w:hAnsi="Arial"/>
          <w:sz w:val="22"/>
          <w:szCs w:val="22"/>
          <w:color w:val="010202"/>
        </w:rPr>
        <w:t>.</w:t>
      </w:r>
    </w:p>
    <w:p>
      <w:pPr>
        <w:spacing w:after="0" w:line="155"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Lockbox Account</w:t>
      </w:r>
    </w:p>
    <w:p>
      <w:pPr>
        <w:spacing w:after="0" w:line="185" w:lineRule="exact"/>
        <w:rPr>
          <w:sz w:val="20"/>
          <w:szCs w:val="20"/>
          <w:color w:val="auto"/>
        </w:rPr>
      </w:pPr>
    </w:p>
    <w:p>
      <w:pPr>
        <w:jc w:val="both"/>
        <w:ind w:left="1300" w:hanging="644"/>
        <w:spacing w:after="0" w:line="249" w:lineRule="auto"/>
        <w:tabs>
          <w:tab w:leader="none" w:pos="1297" w:val="left"/>
        </w:tabs>
        <w:numPr>
          <w:ilvl w:val="0"/>
          <w:numId w:val="45"/>
        </w:numPr>
        <w:rPr>
          <w:rFonts w:ascii="Arial" w:cs="Arial" w:eastAsia="Arial" w:hAnsi="Arial"/>
          <w:sz w:val="19"/>
          <w:szCs w:val="19"/>
          <w:color w:val="auto"/>
        </w:rPr>
      </w:pPr>
      <w:r>
        <w:rPr>
          <w:rFonts w:ascii="Arial" w:cs="Arial" w:eastAsia="Arial" w:hAnsi="Arial"/>
          <w:sz w:val="19"/>
          <w:szCs w:val="19"/>
          <w:color w:val="auto"/>
        </w:rPr>
        <w:t>Seller shall, on or prior to the date that is sixty (60) days following the Closing, enter into a Deposit Agreement with the Depositary Bank with respect to the Lockbox Account. Seller shall deliver instructions to Licensee (the “</w:t>
      </w:r>
      <w:r>
        <w:rPr>
          <w:rFonts w:ascii="Arial" w:cs="Arial" w:eastAsia="Arial" w:hAnsi="Arial"/>
          <w:sz w:val="19"/>
          <w:szCs w:val="19"/>
          <w:u w:val="single" w:color="auto"/>
          <w:color w:val="auto"/>
        </w:rPr>
        <w:t>Instruction to Payor</w:t>
      </w:r>
      <w:r>
        <w:rPr>
          <w:rFonts w:ascii="Arial" w:cs="Arial" w:eastAsia="Arial" w:hAnsi="Arial"/>
          <w:sz w:val="19"/>
          <w:szCs w:val="19"/>
          <w:color w:val="auto"/>
        </w:rPr>
        <w:t>”) with respect to any Royalty Interest Payments (which instruction shall be in form and substance reasonably satisfactory to Buyer) to remit such Royalty Interest Payments to the Lockbox Account. To the extent any such Royalty Interest Payments are paid directly to Seller, Seller shall remit to Buyer all such amounts within fifteen (15) Business Days of Knowledge of Seller of such receipt of any such funds.</w:t>
      </w:r>
    </w:p>
    <w:p>
      <w:pPr>
        <w:spacing w:after="0" w:line="151" w:lineRule="exact"/>
        <w:rPr>
          <w:rFonts w:ascii="Arial" w:cs="Arial" w:eastAsia="Arial" w:hAnsi="Arial"/>
          <w:sz w:val="19"/>
          <w:szCs w:val="19"/>
          <w:color w:val="auto"/>
        </w:rPr>
      </w:pPr>
    </w:p>
    <w:p>
      <w:pPr>
        <w:ind w:left="1300" w:hanging="644"/>
        <w:spacing w:after="0" w:line="247" w:lineRule="auto"/>
        <w:tabs>
          <w:tab w:leader="none" w:pos="1295" w:val="left"/>
        </w:tabs>
        <w:numPr>
          <w:ilvl w:val="0"/>
          <w:numId w:val="45"/>
        </w:numPr>
        <w:rPr>
          <w:rFonts w:ascii="Arial" w:cs="Arial" w:eastAsia="Arial" w:hAnsi="Arial"/>
          <w:sz w:val="21"/>
          <w:szCs w:val="21"/>
          <w:color w:val="auto"/>
        </w:rPr>
      </w:pPr>
      <w:r>
        <w:rPr>
          <w:rFonts w:ascii="Arial" w:cs="Arial" w:eastAsia="Arial" w:hAnsi="Arial"/>
          <w:sz w:val="21"/>
          <w:szCs w:val="21"/>
          <w:color w:val="auto"/>
        </w:rPr>
        <w:t>Buyer shall have the right to exercise all of its rights and remedies under this Agreement including, without limitation, directing the Depositary Bank to transfer all of the funds in the Lockbox Account to Buyer.</w:t>
      </w:r>
    </w:p>
    <w:p>
      <w:pPr>
        <w:spacing w:after="0" w:line="150" w:lineRule="exact"/>
        <w:rPr>
          <w:rFonts w:ascii="Arial" w:cs="Arial" w:eastAsia="Arial" w:hAnsi="Arial"/>
          <w:sz w:val="21"/>
          <w:szCs w:val="21"/>
          <w:color w:val="auto"/>
        </w:rPr>
      </w:pPr>
    </w:p>
    <w:p>
      <w:pPr>
        <w:jc w:val="both"/>
        <w:ind w:left="1300" w:hanging="644"/>
        <w:spacing w:after="0" w:line="247" w:lineRule="auto"/>
        <w:tabs>
          <w:tab w:leader="none" w:pos="1297"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Seller shall have no right to terminate the Lockbox Account without Buyer’s prior written consent;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without Buyer’s consent to the change of location of such accounts (provided such location is in the United States), Seller shall have the right from time to time to establish a replacement Lockbox Account with a replacement Depositary Bank,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replacement Depositary Bank entered into a Deposit Agreement with respect to such replacement accounts effective no later than the date of replacement. For purposes of this Agreement, any reference to the “Lockbox Account”, “Depositary Bank” and “Deposit Agreement” shall refer to such replacement Lockbox Account, Depositary Bank, or Deposit Agreement, as the context requires.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18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Seller hereby represents and warrants to Buyer that the following representations are true and complete as of the Closing Date and with respect to those representations and warranties that reference a Schedule, subject to such Schedule as amended and updated by Seller (with a copy of such amendment or update to Buyer) as of the date such representation and warranty is being made as of:</w:t>
      </w:r>
    </w:p>
    <w:p>
      <w:pPr>
        <w:spacing w:after="0" w:line="155"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Organization.</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Each of Seller and its Subsidiaries are duly organized and validly existing and in good standing under the laws of its and their respective jurisdictions of formation. Each of Seller and its Subsidiaries have all corporate powers and all licenses, authorizations, consents and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24" w:lineRule="auto"/>
        <w:rPr>
          <w:sz w:val="20"/>
          <w:szCs w:val="20"/>
          <w:color w:val="auto"/>
        </w:rPr>
      </w:pPr>
      <w:r>
        <w:rPr>
          <w:rFonts w:ascii="Arial" w:cs="Arial" w:eastAsia="Arial" w:hAnsi="Arial"/>
          <w:sz w:val="21"/>
          <w:szCs w:val="21"/>
          <w:color w:val="auto"/>
        </w:rPr>
        <w:t xml:space="preserve">required to carry on its and their business as now conducted and as proposed to be conducted in connection with the transactions contemplated by the Transaction Documents and the License Agreement, except where the failure to be so licensed, authorized or qualified has not and would not reasonably be expected to have a Material Adverse Effect. Each of Seller and its Subsidiaries is duly qualified to do business and is in good standing in every jurisdiction in which the failure to so qualify or be in good standing would result in a Material Adverse Effect. Seller has no Subsidiaries, other than those listed in </w:t>
      </w:r>
      <w:r>
        <w:rPr>
          <w:rFonts w:ascii="Arial" w:cs="Arial" w:eastAsia="Arial" w:hAnsi="Arial"/>
          <w:sz w:val="21"/>
          <w:szCs w:val="21"/>
          <w:u w:val="single" w:color="auto"/>
          <w:color w:val="auto"/>
        </w:rPr>
        <w:t>Schedule 3.01</w:t>
      </w:r>
      <w:r>
        <w:rPr>
          <w:rFonts w:ascii="Arial" w:cs="Arial" w:eastAsia="Arial" w:hAnsi="Arial"/>
          <w:sz w:val="21"/>
          <w:szCs w:val="21"/>
          <w:color w:val="auto"/>
        </w:rPr>
        <w:t>, with the jurisdiction of formation listed after the name of each such Subsidiary.</w:t>
      </w:r>
    </w:p>
    <w:p>
      <w:pPr>
        <w:spacing w:after="0" w:line="154"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color w:val="auto"/>
        </w:rPr>
        <w:t>Authorizations; Enforceability.</w:t>
      </w:r>
    </w:p>
    <w:p>
      <w:pPr>
        <w:spacing w:after="0" w:line="185" w:lineRule="exact"/>
        <w:rPr>
          <w:sz w:val="20"/>
          <w:szCs w:val="20"/>
          <w:color w:val="auto"/>
        </w:rPr>
      </w:pPr>
    </w:p>
    <w:p>
      <w:pPr>
        <w:jc w:val="both"/>
        <w:ind w:left="1300" w:hanging="644"/>
        <w:spacing w:after="0" w:line="246" w:lineRule="auto"/>
        <w:tabs>
          <w:tab w:leader="none" w:pos="1297"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Seller has all necessary corporate power and authority to enter into, execute and deliver this Agreement and the other Transaction Documents and to perform all of the obligations to be performed by it hereunder and thereunder and to consummate the transactions contemplated hereunder and thereunder. </w:t>
      </w:r>
      <w:r>
        <w:rPr>
          <w:rFonts w:ascii="Arial" w:cs="Arial" w:eastAsia="Arial" w:hAnsi="Arial"/>
          <w:sz w:val="19"/>
          <w:szCs w:val="19"/>
          <w:color w:val="010202"/>
        </w:rPr>
        <w:t>None of the execution and delivery</w:t>
      </w:r>
      <w:r>
        <w:rPr>
          <w:rFonts w:ascii="Arial" w:cs="Arial" w:eastAsia="Arial" w:hAnsi="Arial"/>
          <w:sz w:val="19"/>
          <w:szCs w:val="19"/>
          <w:color w:val="auto"/>
        </w:rPr>
        <w:t xml:space="preserve"> </w:t>
      </w:r>
      <w:r>
        <w:rPr>
          <w:rFonts w:ascii="Arial" w:cs="Arial" w:eastAsia="Arial" w:hAnsi="Arial"/>
          <w:sz w:val="19"/>
          <w:szCs w:val="19"/>
          <w:color w:val="010202"/>
        </w:rPr>
        <w:t>by Seller of the Transaction Documents, the performance by Seller of any of the obligations to be performed by it hereunder or thereunder, or the consummation by Seller of any of the transactions contemplated hereby or thereby, will require any notice to, action, approval or consent by, or in respect of, or filing or registration with, any Governmental Authority or other Person, except those that have already been obtained and copies of which have been provided to Buyer, and filings necessary to perfect Liens created by the Transaction Documents.</w:t>
      </w:r>
    </w:p>
    <w:p>
      <w:pPr>
        <w:spacing w:after="0" w:line="152" w:lineRule="exact"/>
        <w:rPr>
          <w:rFonts w:ascii="Arial" w:cs="Arial" w:eastAsia="Arial" w:hAnsi="Arial"/>
          <w:sz w:val="19"/>
          <w:szCs w:val="19"/>
          <w:color w:val="auto"/>
        </w:rPr>
      </w:pPr>
    </w:p>
    <w:p>
      <w:pPr>
        <w:jc w:val="both"/>
        <w:ind w:left="1300" w:hanging="644"/>
        <w:spacing w:after="0" w:line="257" w:lineRule="auto"/>
        <w:tabs>
          <w:tab w:leader="none" w:pos="1295" w:val="left"/>
        </w:tabs>
        <w:numPr>
          <w:ilvl w:val="0"/>
          <w:numId w:val="46"/>
        </w:numPr>
        <w:rPr>
          <w:rFonts w:ascii="Arial" w:cs="Arial" w:eastAsia="Arial" w:hAnsi="Arial"/>
          <w:sz w:val="19"/>
          <w:szCs w:val="19"/>
          <w:color w:val="auto"/>
        </w:rPr>
      </w:pPr>
      <w:r>
        <w:rPr>
          <w:rFonts w:ascii="Arial" w:cs="Arial" w:eastAsia="Arial" w:hAnsi="Arial"/>
          <w:sz w:val="19"/>
          <w:szCs w:val="19"/>
          <w:color w:val="auto"/>
        </w:rPr>
        <w:t>Once signed, the Transaction Documents will have been duly authorized, executed and delivered by Seller and each Transaction Document will then constitute the valid and binding obligation of Seller, enforceable against Seller in accordance with their respective terms, subject, as to enforcement of remedies, to bankruptcy, insolvency, reorganization, moratorium or similar laws affecting creditors’ rights generally or general equitable principles.</w:t>
      </w:r>
    </w:p>
    <w:p>
      <w:pPr>
        <w:spacing w:after="0" w:line="138"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color w:val="auto"/>
        </w:rPr>
        <w:t>Litigation.</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u w:val="single" w:color="auto"/>
          <w:color w:val="auto"/>
        </w:rPr>
        <w:t>Schedule 3.03</w:t>
      </w:r>
      <w:r>
        <w:rPr>
          <w:rFonts w:ascii="Arial" w:cs="Arial" w:eastAsia="Arial" w:hAnsi="Arial"/>
          <w:sz w:val="22"/>
          <w:szCs w:val="22"/>
          <w:color w:val="auto"/>
        </w:rPr>
        <w:t xml:space="preserve"> sets forth each (i) Dispute pending or, to the Knowledge of Seller, threatened against Seller or its Subsidiaries, (ii) inquiry of any Governmental Authority pending or, to the Knowledge of Seller, threatened against Seller or its Subsidiaries, or (iii) to the Knowledge of Seller with respect to the following clauses (x) and (y), (x) Dispute pending or threatened against Licensee, or (y) inquiry of any Governmental Authority pending or threatened against Licensee which, in each instance of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if adversely determined, whether individually or in the aggregate, could reasonably be expected to have a Material Adverse Effect.</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color w:val="auto"/>
        </w:rPr>
        <w:t>Compliance with Laws.</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Seller and its Subsidiaries are not in material violation of, and have not materially violated any, applicable Law, judgment, order, writ, decree, permit or license entered by any Governmental Authority and, to the Knowledge of Seller, are not under investigation with respect to any applicable Law, and have not been threatened in writing to be charged with, or been given written notice of any, material violation of any applicable Law relating to the Product or the License Agreement. Except as would not, whether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29" w:lineRule="auto"/>
        <w:rPr>
          <w:sz w:val="20"/>
          <w:szCs w:val="20"/>
          <w:color w:val="auto"/>
        </w:rPr>
      </w:pPr>
      <w:r>
        <w:rPr>
          <w:rFonts w:ascii="Arial" w:cs="Arial" w:eastAsia="Arial" w:hAnsi="Arial"/>
          <w:sz w:val="21"/>
          <w:szCs w:val="21"/>
          <w:color w:val="auto"/>
        </w:rPr>
        <w:t>reasonably be expected to have a Material Adverse Effect, Seller and its Subsidiaries are not in violation of, and have not violated any, applicable Law, judgment, order, writ, decree, permit or license entered by any Governmental Authority and</w:t>
      </w:r>
      <w:r>
        <w:rPr>
          <w:rFonts w:ascii="Arial" w:cs="Arial" w:eastAsia="Arial" w:hAnsi="Arial"/>
          <w:sz w:val="21"/>
          <w:szCs w:val="21"/>
          <w:u w:val="single" w:color="auto"/>
          <w:color w:val="0000FF"/>
        </w:rPr>
        <w:t>,</w:t>
      </w:r>
      <w:r>
        <w:rPr>
          <w:rFonts w:ascii="Arial" w:cs="Arial" w:eastAsia="Arial" w:hAnsi="Arial"/>
          <w:sz w:val="21"/>
          <w:szCs w:val="21"/>
          <w:color w:val="auto"/>
        </w:rPr>
        <w:t xml:space="preserve"> to the Knowledge of Seller, are not under investigation with respect to any applicable Law, and have not been threatened in writing to be charged with, or been given written notice of any, violation of any applicable Law.</w:t>
      </w:r>
    </w:p>
    <w:p>
      <w:pPr>
        <w:spacing w:after="0" w:line="152"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color w:val="auto"/>
        </w:rPr>
        <w:t>Conflicts.</w:t>
      </w:r>
    </w:p>
    <w:p>
      <w:pPr>
        <w:spacing w:after="0" w:line="185" w:lineRule="exact"/>
        <w:rPr>
          <w:sz w:val="20"/>
          <w:szCs w:val="20"/>
          <w:color w:val="auto"/>
        </w:rPr>
      </w:pPr>
    </w:p>
    <w:p>
      <w:pPr>
        <w:jc w:val="both"/>
        <w:ind w:left="1300" w:hanging="644"/>
        <w:spacing w:after="0" w:line="219" w:lineRule="auto"/>
        <w:tabs>
          <w:tab w:leader="none" w:pos="1297"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Neither the execution and delivery by Seller of any of the Transaction Documents nor the performance or consummation of the transactions contemplated thereby (including, without limitation, the assignment to Buyer of the Royalty Interest) to be performed or consummated by Seller will: (i) contravene, conflict with, result in a breach or violation of, constitute a default under, or accelerate the performance provided by, in any material respects any provisions of: (A) any Law, or any judgment, order, writ, decree, permit or license of any Governmental Authority, in any case, applicable to the Royalty Interest; or (B) any material contract, agreement, commitment or instrument to which Seller is a party; (ii) except for the filing of the UCC-1 financing statements required hereunder (or pursuant to </w:t>
      </w:r>
      <w:r>
        <w:rPr>
          <w:rFonts w:ascii="Arial" w:cs="Arial" w:eastAsia="Arial" w:hAnsi="Arial"/>
          <w:sz w:val="21"/>
          <w:szCs w:val="21"/>
          <w:u w:val="single" w:color="auto"/>
          <w:color w:val="auto"/>
        </w:rPr>
        <w:t>Section 2.01(b)</w:t>
      </w:r>
      <w:r>
        <w:rPr>
          <w:rFonts w:ascii="Arial" w:cs="Arial" w:eastAsia="Arial" w:hAnsi="Arial"/>
          <w:sz w:val="21"/>
          <w:szCs w:val="21"/>
          <w:color w:val="auto"/>
        </w:rPr>
        <w:t>), require any notification to, filing with, or consent of, any Person or Governmental Authority that has not already been obtained, a copy of which has been provided to Buyer; (iii) give rise to any right of termination, cancellation or acceleration of any right or obligation of Seller or any other Person as such right or obligation relates to the Royalty Interest or the Royalty Interest Payments; or (iv) result in the creation or imposition of any Lien on the Royalty Interest or the Royalty Interest Payments (other than Liens in favor of Buyer).</w:t>
      </w:r>
    </w:p>
    <w:p>
      <w:pPr>
        <w:spacing w:after="0" w:line="159" w:lineRule="exact"/>
        <w:rPr>
          <w:rFonts w:ascii="Arial" w:cs="Arial" w:eastAsia="Arial" w:hAnsi="Arial"/>
          <w:sz w:val="21"/>
          <w:szCs w:val="21"/>
          <w:color w:val="auto"/>
        </w:rPr>
      </w:pPr>
    </w:p>
    <w:p>
      <w:pPr>
        <w:jc w:val="both"/>
        <w:ind w:left="1300" w:right="20" w:hanging="644"/>
        <w:spacing w:after="0" w:line="268" w:lineRule="auto"/>
        <w:tabs>
          <w:tab w:leader="none" w:pos="1295" w:val="left"/>
        </w:tabs>
        <w:numPr>
          <w:ilvl w:val="0"/>
          <w:numId w:val="47"/>
        </w:numPr>
        <w:rPr>
          <w:rFonts w:ascii="Arial" w:cs="Arial" w:eastAsia="Arial" w:hAnsi="Arial"/>
          <w:sz w:val="19"/>
          <w:szCs w:val="19"/>
          <w:color w:val="auto"/>
        </w:rPr>
      </w:pPr>
      <w:r>
        <w:rPr>
          <w:rFonts w:ascii="Arial" w:cs="Arial" w:eastAsia="Arial" w:hAnsi="Arial"/>
          <w:sz w:val="19"/>
          <w:szCs w:val="19"/>
          <w:color w:val="auto"/>
        </w:rPr>
        <w:t>Seller has not granted, nor agreed to grant to any Person other than Buyer, nor does there exist, any Lien granted by Seller on the Royalty Interest. No Subsidiary has granted, nor agreed to grant to any Person other than Buyer, nor does there exist, any Lien on any such Subsidiary’s rights to receive Royalty Interest Payments.</w:t>
      </w:r>
    </w:p>
    <w:p>
      <w:pPr>
        <w:spacing w:after="0" w:line="132" w:lineRule="exact"/>
        <w:rPr>
          <w:rFonts w:ascii="Arial" w:cs="Arial" w:eastAsia="Arial" w:hAnsi="Arial"/>
          <w:sz w:val="19"/>
          <w:szCs w:val="19"/>
          <w:color w:val="auto"/>
        </w:rPr>
      </w:pPr>
    </w:p>
    <w:p>
      <w:pPr>
        <w:ind w:left="1300" w:hanging="644"/>
        <w:spacing w:after="0" w:line="298" w:lineRule="auto"/>
        <w:tabs>
          <w:tab w:leader="none" w:pos="1297"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None of Seller, any Subsidiary nor any of their respective property is subject to any judgment, order, writ or decree of any Governmental Authority which could reasonably be expected to result in a Material Adverse Effect.</w:t>
      </w:r>
    </w:p>
    <w:p>
      <w:pPr>
        <w:spacing w:after="0" w:line="105" w:lineRule="exact"/>
        <w:rPr>
          <w:rFonts w:ascii="Arial" w:cs="Arial" w:eastAsia="Arial" w:hAnsi="Arial"/>
          <w:sz w:val="19"/>
          <w:szCs w:val="19"/>
          <w:color w:val="auto"/>
        </w:rPr>
      </w:pPr>
    </w:p>
    <w:p>
      <w:pPr>
        <w:ind w:left="1300" w:hanging="644"/>
        <w:spacing w:after="0" w:line="298" w:lineRule="auto"/>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Neither Seller nor its Subsidiaries are party to any contract, agreement, commitment or instrument for which Seller or any of its Subsidiaries are in breach which could reasonably be expected to result in a Material Adverse Effect.</w:t>
      </w:r>
    </w:p>
    <w:p>
      <w:pPr>
        <w:spacing w:after="0" w:line="99"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Ownership.</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Other than the rights of Buyer upon the consummation of the transactions contemplated in the Transaction Documents including delivery of the Assignment, Seller is the sole holder of, the License Agreement and of all of the Purchased Assets, free and clear of any and all Liens (other than any Liens in favor of Buyer). Seller has full right and power to assign and convey the Purchased Assets as contemplated by this Agreement. Seller has not transferred, sold, conveyed, assigned, or otherwise disposed of, or agreed to transfer, sell, convey, assign, or otherwise dispose of any portion of the License Agreement or the Purchased Assets other than as contemplated by this Agreement. Upon delivery to Buyer of the executed Assignment,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3" w:name="page104"/>
    <w:bookmarkEnd w:id="103"/>
    <w:p>
      <w:pPr>
        <w:jc w:val="both"/>
        <w:spacing w:after="0" w:line="244" w:lineRule="auto"/>
        <w:rPr>
          <w:sz w:val="20"/>
          <w:szCs w:val="20"/>
          <w:color w:val="auto"/>
        </w:rPr>
      </w:pPr>
      <w:r>
        <w:rPr>
          <w:rFonts w:ascii="Arial" w:cs="Arial" w:eastAsia="Arial" w:hAnsi="Arial"/>
          <w:sz w:val="19"/>
          <w:szCs w:val="19"/>
          <w:color w:val="auto"/>
        </w:rPr>
        <w:t>Person other than Buyer shall have any right to receive the Royalty Interest payable under the License Agreement. Upon delivery to Buyer of the executed Assignment, Seller shall have sold, transferred, conveyed and assigned to Buyer, and Seller shall have done everything which is required to be done by Seller to cause Buyer to acquire all of Seller’s rights, interests and obligations arising on or after the Closing Date under the License Agreement and the Purchased Assets, free and clear of any Liens (other than any Liens in favor of Buyer), but subject to the further provisions of this Agreement. Seller is legally competent to execute this Agreement and the other Transaction Documents and upon such execution by Seller, the obligations of Seller hereunder and thereunder shall constitute the legally binding and enforceable obligations of Seller, subject to bankruptcy, insolvency, reorganization, moratorium, ad hoc representative appointment, conciliation, safeguard proceedings, judicial receivership, or other laws affecting creditors’ rights generally or general equitable principles.</w:t>
      </w:r>
    </w:p>
    <w:p>
      <w:pPr>
        <w:spacing w:after="0" w:line="155"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Subordination.</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Seller has not caused, by any means, Seller’s Royalty Interest to be subordinated to the rights of any creditor of Licensee or any other Person. In addition, Seller has not caused, and to the Knowledge of Seller no other Person has caused, the claims and rights of Buyer created by any Transaction Document in and to the Purchased Assets to be subordinated to any creditor of Licensee or any 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Seller makes no representation as to whether Buyer (or any Person acting on behalf of Buyer) has caused any such subordination.</w:t>
      </w:r>
    </w:p>
    <w:p>
      <w:pPr>
        <w:spacing w:after="0" w:line="152"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color w:val="auto"/>
        </w:rPr>
        <w:t>License Agreement.</w:t>
      </w:r>
    </w:p>
    <w:p>
      <w:pPr>
        <w:spacing w:after="0" w:line="185" w:lineRule="exact"/>
        <w:rPr>
          <w:sz w:val="20"/>
          <w:szCs w:val="20"/>
          <w:color w:val="auto"/>
        </w:rPr>
      </w:pPr>
    </w:p>
    <w:p>
      <w:pPr>
        <w:jc w:val="both"/>
        <w:ind w:left="1300" w:hanging="644"/>
        <w:spacing w:after="0" w:line="214" w:lineRule="auto"/>
        <w:tabs>
          <w:tab w:leader="none" w:pos="129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contains a true and complete copy of the License Agreement (including, without limitation, all amendments, supplements and other modifications or restatements thereto) as of the Closing Date. To the Knowledge of Seller, other than the Royalty Interest for the calendar quarter (or portion thereof) ended immediately preceding the Closing Date, if any, there are no unpaid Royalty Interests that have become due or are overdue, and none are expected to become overdue as of the Closing Date, in each case subject to the terms of the License Agreement.</w:t>
      </w:r>
    </w:p>
    <w:p>
      <w:pPr>
        <w:spacing w:after="0" w:line="158" w:lineRule="exact"/>
        <w:rPr>
          <w:rFonts w:ascii="Arial" w:cs="Arial" w:eastAsia="Arial" w:hAnsi="Arial"/>
          <w:sz w:val="22"/>
          <w:szCs w:val="22"/>
          <w:color w:val="auto"/>
        </w:rPr>
      </w:pPr>
    </w:p>
    <w:p>
      <w:pPr>
        <w:jc w:val="both"/>
        <w:ind w:left="1300" w:hanging="644"/>
        <w:spacing w:after="0" w:line="249" w:lineRule="auto"/>
        <w:tabs>
          <w:tab w:leader="none" w:pos="1295"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Seller is not in breach of the License Agreement which could have a Material Adverse Effect. To the Knowledge of Seller, no circumstances or grounds exist that would give rise (i) to a claim by Licensee of a breach of the License Agreement or any other agreement, in each case, which could have a Material Adverse Effect, or (ii) to a right of rescission, termination, revision, setoff, or any other rights, in, to or under the Purchased Assets. Seller has no unfulfilled obligations in respect of the License Agreement or the Purchased Assets that were required to be fulfilled on or prior to the Closing Date, the lack of completion of which would have a Material Adverse Effect.</w:t>
      </w:r>
    </w:p>
    <w:p>
      <w:pPr>
        <w:spacing w:after="0" w:line="151" w:lineRule="exact"/>
        <w:rPr>
          <w:rFonts w:ascii="Arial" w:cs="Arial" w:eastAsia="Arial" w:hAnsi="Arial"/>
          <w:sz w:val="19"/>
          <w:szCs w:val="19"/>
          <w:color w:val="auto"/>
        </w:rPr>
      </w:pPr>
    </w:p>
    <w:p>
      <w:pPr>
        <w:jc w:val="both"/>
        <w:ind w:left="1300" w:hanging="644"/>
        <w:spacing w:after="0" w:line="218" w:lineRule="auto"/>
        <w:tabs>
          <w:tab w:leader="none" w:pos="128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Knowledge of Seller, Licensee is not in breach of or in default under the License Agreement which could have a Material Adverse Effect. To the Knowledge of Seller, Licensee has no obligations unfulfilled in respect of the License Agreement that were required to be fulfilled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4" w:name="page105"/>
    <w:bookmarkEnd w:id="104"/>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Seller has the full right, power and authority to grant all rights and interests granted to Buyer in this Agreement.</w:t>
      </w:r>
    </w:p>
    <w:p>
      <w:pPr>
        <w:spacing w:after="0" w:line="213" w:lineRule="exact"/>
        <w:rPr>
          <w:rFonts w:ascii="Arial" w:cs="Arial" w:eastAsia="Arial" w:hAnsi="Arial"/>
          <w:sz w:val="19"/>
          <w:szCs w:val="19"/>
          <w:color w:val="auto"/>
        </w:rPr>
      </w:pPr>
    </w:p>
    <w:p>
      <w:pPr>
        <w:jc w:val="both"/>
        <w:ind w:left="1300" w:hanging="644"/>
        <w:spacing w:after="0" w:line="223" w:lineRule="auto"/>
        <w:tabs>
          <w:tab w:leader="none" w:pos="129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the Knowledge of Seller, no circumstance or grounds exist, that would invalidate, reduce or eliminate, in whole or in part, the enforceability or scope of the Purchased Assets, including, without limitation, Seller’s right to payments made in respect of Royalty Interests.</w:t>
      </w:r>
    </w:p>
    <w:p>
      <w:pPr>
        <w:spacing w:after="0" w:line="158" w:lineRule="exact"/>
        <w:rPr>
          <w:rFonts w:ascii="Arial" w:cs="Arial" w:eastAsia="Arial" w:hAnsi="Arial"/>
          <w:sz w:val="22"/>
          <w:szCs w:val="22"/>
          <w:color w:val="auto"/>
        </w:rPr>
      </w:pPr>
    </w:p>
    <w:p>
      <w:pPr>
        <w:jc w:val="both"/>
        <w:ind w:left="1300" w:hanging="644"/>
        <w:spacing w:after="0" w:line="247" w:lineRule="auto"/>
        <w:tabs>
          <w:tab w:leader="none" w:pos="128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the Knowledge of Seller (i) no Person is in breach of the License Agreement, (ii) nothing has occurred and no condition exists that would permit either party thereto to terminate the License Agreement for cause and (iii) Seller has not received any notice of termination for convenience from the Licensee under Section 11.02(b) of the License Agreement. To the Knowledge of Seller, the License Agreement is valid and binding on each other party thereto in accordance with its terms, subject to bankruptcy, insolvency, reorganization, moratorium, ad hoc representative appointment, conciliation, safeguard proceedings, judicial receivership, or other laws affecting creditors’ rights generally or general equitable principles, and is in full force and effect.</w:t>
      </w:r>
    </w:p>
    <w:p>
      <w:pPr>
        <w:spacing w:after="0" w:line="153" w:lineRule="exact"/>
        <w:rPr>
          <w:rFonts w:ascii="Arial" w:cs="Arial" w:eastAsia="Arial" w:hAnsi="Arial"/>
          <w:sz w:val="19"/>
          <w:szCs w:val="19"/>
          <w:color w:val="auto"/>
        </w:rPr>
      </w:pPr>
    </w:p>
    <w:p>
      <w:pPr>
        <w:jc w:val="both"/>
        <w:ind w:left="1300" w:hanging="644"/>
        <w:spacing w:after="0" w:line="223" w:lineRule="auto"/>
        <w:tabs>
          <w:tab w:leader="none" w:pos="1288"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3.08(g)</w:t>
      </w:r>
      <w:r>
        <w:rPr>
          <w:rFonts w:ascii="Arial" w:cs="Arial" w:eastAsia="Arial" w:hAnsi="Arial"/>
          <w:sz w:val="22"/>
          <w:szCs w:val="22"/>
          <w:color w:val="auto"/>
        </w:rPr>
        <w:t>, (i) to the Knowledge of Seller, Licensee has not entered into any sublicense under the License Agreement, and (ii) Seller has not consented to Licensee entering into any sublicense under the License Agreement.</w:t>
      </w:r>
    </w:p>
    <w:p>
      <w:pPr>
        <w:spacing w:after="0" w:line="158" w:lineRule="exact"/>
        <w:rPr>
          <w:rFonts w:ascii="Arial" w:cs="Arial" w:eastAsia="Arial" w:hAnsi="Arial"/>
          <w:sz w:val="22"/>
          <w:szCs w:val="22"/>
          <w:color w:val="auto"/>
        </w:rPr>
      </w:pPr>
    </w:p>
    <w:p>
      <w:pPr>
        <w:jc w:val="both"/>
        <w:ind w:left="1300" w:hanging="644"/>
        <w:spacing w:after="0" w:line="257" w:lineRule="auto"/>
        <w:tabs>
          <w:tab w:leader="none" w:pos="12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the Knowledge of the Seller, Licensee has not exercised any right of rescission, offset, counterclaim or defense, with respect to the License Agreement or provided notice to Seller that it planned to do any of the foregoing. To the Knowledge of Seller, nothing has occurred and no condition exists that would permit Licensee to exercise any right of rescission, offset, counterclaim or defense, with respect to the License Agreement.</w:t>
      </w:r>
    </w:p>
    <w:p>
      <w:pPr>
        <w:spacing w:after="0" w:line="144" w:lineRule="exact"/>
        <w:rPr>
          <w:rFonts w:ascii="Arial" w:cs="Arial" w:eastAsia="Arial" w:hAnsi="Arial"/>
          <w:sz w:val="19"/>
          <w:szCs w:val="19"/>
          <w:color w:val="auto"/>
        </w:rPr>
      </w:pPr>
    </w:p>
    <w:p>
      <w:pPr>
        <w:ind w:left="1300" w:hanging="644"/>
        <w:spacing w:after="0" w:line="232" w:lineRule="auto"/>
        <w:tabs>
          <w:tab w:leader="none" w:pos="1295" w:val="left"/>
        </w:tabs>
        <w:numPr>
          <w:ilvl w:val="0"/>
          <w:numId w:val="49"/>
        </w:numPr>
        <w:rPr>
          <w:rFonts w:ascii="Arial" w:cs="Arial" w:eastAsia="Arial" w:hAnsi="Arial"/>
          <w:sz w:val="22"/>
          <w:szCs w:val="22"/>
          <w:color w:val="auto"/>
        </w:rPr>
      </w:pPr>
      <w:r>
        <w:rPr>
          <w:rFonts w:ascii="Arial" w:cs="Arial" w:eastAsia="Arial" w:hAnsi="Arial"/>
          <w:sz w:val="22"/>
          <w:szCs w:val="22"/>
          <w:color w:val="auto"/>
        </w:rPr>
        <w:t>Licensee has not provided Seller with notice of termination of the License Agreement nor any notice that it plans to terminate the License Agreement.</w:t>
      </w:r>
    </w:p>
    <w:p>
      <w:pPr>
        <w:spacing w:after="0" w:line="158" w:lineRule="exact"/>
        <w:rPr>
          <w:rFonts w:ascii="Arial" w:cs="Arial" w:eastAsia="Arial" w:hAnsi="Arial"/>
          <w:sz w:val="22"/>
          <w:szCs w:val="22"/>
          <w:color w:val="auto"/>
        </w:rPr>
      </w:pPr>
    </w:p>
    <w:p>
      <w:pPr>
        <w:ind w:left="1300" w:hanging="644"/>
        <w:spacing w:after="0" w:line="232" w:lineRule="auto"/>
        <w:tabs>
          <w:tab w:leader="none" w:pos="1295"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All payments due and payable by Seller or, to the Knowledge of Seller, the Licensee, under the License Agreement have been timely paid.</w:t>
      </w:r>
    </w:p>
    <w:p>
      <w:pPr>
        <w:spacing w:after="0" w:line="158" w:lineRule="exact"/>
        <w:rPr>
          <w:rFonts w:ascii="Arial" w:cs="Arial" w:eastAsia="Arial" w:hAnsi="Arial"/>
          <w:sz w:val="22"/>
          <w:szCs w:val="22"/>
          <w:color w:val="auto"/>
        </w:rPr>
      </w:pPr>
    </w:p>
    <w:p>
      <w:pPr>
        <w:ind w:left="1300" w:hanging="644"/>
        <w:spacing w:after="0" w:line="232" w:lineRule="auto"/>
        <w:tabs>
          <w:tab w:leader="none" w:pos="129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There have been no claims for indemnification made under Article XII of the License Agreement by any Indemnified Party (as defined in the License Agreement).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Seller has not: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49"/>
        </w:numPr>
        <w:rPr>
          <w:rFonts w:ascii="Arial" w:cs="Arial" w:eastAsia="Arial" w:hAnsi="Arial"/>
          <w:sz w:val="19"/>
          <w:szCs w:val="19"/>
          <w:color w:val="auto"/>
        </w:rPr>
      </w:pPr>
      <w:r>
        <w:rPr>
          <w:rFonts w:ascii="Arial" w:cs="Arial" w:eastAsia="Arial" w:hAnsi="Arial"/>
          <w:sz w:val="19"/>
          <w:szCs w:val="19"/>
          <w:color w:val="auto"/>
        </w:rPr>
        <w:t>forgiven, released, delayed, postponed or compromised any payment in respect of the Royalty Interest;</w:t>
      </w:r>
    </w:p>
    <w:p>
      <w:pPr>
        <w:spacing w:after="0" w:line="213" w:lineRule="exact"/>
        <w:rPr>
          <w:rFonts w:ascii="Arial" w:cs="Arial" w:eastAsia="Arial" w:hAnsi="Arial"/>
          <w:sz w:val="19"/>
          <w:szCs w:val="19"/>
          <w:color w:val="auto"/>
        </w:rPr>
      </w:pPr>
    </w:p>
    <w:p>
      <w:pPr>
        <w:ind w:left="1960" w:right="20" w:hanging="656"/>
        <w:spacing w:after="0" w:line="232" w:lineRule="auto"/>
        <w:tabs>
          <w:tab w:leader="none" w:pos="1954" w:val="left"/>
        </w:tabs>
        <w:numPr>
          <w:ilvl w:val="1"/>
          <w:numId w:val="49"/>
        </w:numPr>
        <w:rPr>
          <w:rFonts w:ascii="Arial" w:cs="Arial" w:eastAsia="Arial" w:hAnsi="Arial"/>
          <w:sz w:val="22"/>
          <w:szCs w:val="22"/>
          <w:color w:val="auto"/>
        </w:rPr>
      </w:pPr>
      <w:r>
        <w:rPr>
          <w:rFonts w:ascii="Arial" w:cs="Arial" w:eastAsia="Arial" w:hAnsi="Arial"/>
          <w:sz w:val="22"/>
          <w:szCs w:val="22"/>
          <w:color w:val="auto"/>
        </w:rPr>
        <w:t>waived, amended, cancelled or terminated, exercised or to the Knowledge of Seller failed to exercise, any material rights constituting or relating to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5" w:name="page106"/>
    <w:bookmarkEnd w:id="105"/>
    <w:p>
      <w:pPr>
        <w:jc w:val="both"/>
        <w:ind w:left="1960" w:hanging="656"/>
        <w:spacing w:after="0" w:line="223" w:lineRule="auto"/>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amended, modified, restated, cancelled, supplemented, terminated or waived any provision of the License Agreement, or granted any consent thereunder, or agreed to do any of the foregoing;</w:t>
      </w:r>
    </w:p>
    <w:p>
      <w:pPr>
        <w:spacing w:after="0" w:line="158" w:lineRule="exact"/>
        <w:rPr>
          <w:rFonts w:ascii="Arial" w:cs="Arial" w:eastAsia="Arial" w:hAnsi="Arial"/>
          <w:sz w:val="22"/>
          <w:szCs w:val="22"/>
          <w:color w:val="auto"/>
        </w:rPr>
      </w:pPr>
    </w:p>
    <w:p>
      <w:pPr>
        <w:ind w:left="1960" w:hanging="656"/>
        <w:spacing w:after="0" w:line="232" w:lineRule="auto"/>
        <w:tabs>
          <w:tab w:leader="none" w:pos="1948"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exercised any right of rescission, offset, counterclaim or defense, upon or with respect to the Purchased Assets, or agreed to do or suffer to exist any of the foregoing;</w:t>
      </w:r>
    </w:p>
    <w:p>
      <w:pPr>
        <w:spacing w:after="0" w:line="158" w:lineRule="exact"/>
        <w:rPr>
          <w:rFonts w:ascii="Arial" w:cs="Arial" w:eastAsia="Arial" w:hAnsi="Arial"/>
          <w:sz w:val="22"/>
          <w:szCs w:val="22"/>
          <w:color w:val="auto"/>
        </w:rPr>
      </w:pPr>
    </w:p>
    <w:p>
      <w:pPr>
        <w:ind w:left="1960" w:right="20" w:hanging="656"/>
        <w:spacing w:after="0" w:line="298" w:lineRule="auto"/>
        <w:tabs>
          <w:tab w:leader="none" w:pos="1955" w:val="left"/>
        </w:tabs>
        <w:numPr>
          <w:ilvl w:val="1"/>
          <w:numId w:val="50"/>
        </w:numPr>
        <w:rPr>
          <w:rFonts w:ascii="Arial" w:cs="Arial" w:eastAsia="Arial" w:hAnsi="Arial"/>
          <w:sz w:val="19"/>
          <w:szCs w:val="19"/>
          <w:color w:val="auto"/>
        </w:rPr>
      </w:pPr>
      <w:r>
        <w:rPr>
          <w:rFonts w:ascii="Arial" w:cs="Arial" w:eastAsia="Arial" w:hAnsi="Arial"/>
          <w:sz w:val="19"/>
          <w:szCs w:val="19"/>
          <w:color w:val="auto"/>
        </w:rPr>
        <w:t>sold, leased, pledged, licensed, transferred or assigned (or attempted to do any of the foregoing) all or any portion of the Purchased Assets, except in favor of Buyer pursuant to the Transaction Documents;</w:t>
      </w:r>
    </w:p>
    <w:p>
      <w:pPr>
        <w:spacing w:after="0" w:line="105" w:lineRule="exact"/>
        <w:rPr>
          <w:rFonts w:ascii="Arial" w:cs="Arial" w:eastAsia="Arial" w:hAnsi="Arial"/>
          <w:sz w:val="19"/>
          <w:szCs w:val="19"/>
          <w:color w:val="auto"/>
        </w:rPr>
      </w:pPr>
    </w:p>
    <w:p>
      <w:pPr>
        <w:jc w:val="both"/>
        <w:ind w:left="1960" w:hanging="656"/>
        <w:spacing w:after="0" w:line="223" w:lineRule="auto"/>
        <w:tabs>
          <w:tab w:leader="none" w:pos="1948" w:val="left"/>
        </w:tabs>
        <w:numPr>
          <w:ilvl w:val="1"/>
          <w:numId w:val="50"/>
        </w:numPr>
        <w:rPr>
          <w:rFonts w:ascii="Arial" w:cs="Arial" w:eastAsia="Arial" w:hAnsi="Arial"/>
          <w:sz w:val="22"/>
          <w:szCs w:val="22"/>
          <w:color w:val="auto"/>
        </w:rPr>
      </w:pPr>
      <w:r>
        <w:rPr>
          <w:rFonts w:ascii="Arial" w:cs="Arial" w:eastAsia="Arial" w:hAnsi="Arial"/>
          <w:sz w:val="22"/>
          <w:szCs w:val="22"/>
          <w:color w:val="auto"/>
        </w:rPr>
        <w:t>received any advance payments on the Royalty Interest; it being understood that the transaction contemplated by Amendment Number 2 to the License Agreement does not constitute advance payments on the Royalty Interests.</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credit is owed to or claimed by Licensee with respect to Royalty Interest Payments.</w:t>
      </w:r>
    </w:p>
    <w:p>
      <w:pPr>
        <w:spacing w:after="0" w:line="179" w:lineRule="exact"/>
        <w:rPr>
          <w:rFonts w:ascii="Arial" w:cs="Arial" w:eastAsia="Arial" w:hAnsi="Arial"/>
          <w:sz w:val="22"/>
          <w:szCs w:val="22"/>
          <w:color w:val="auto"/>
        </w:rPr>
      </w:pPr>
    </w:p>
    <w:p>
      <w:pPr>
        <w:jc w:val="both"/>
        <w:ind w:left="1300" w:hanging="644"/>
        <w:spacing w:after="0" w:line="268" w:lineRule="auto"/>
        <w:tabs>
          <w:tab w:leader="none" w:pos="128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3.08(n)</w:t>
      </w:r>
      <w:r>
        <w:rPr>
          <w:rFonts w:ascii="Arial" w:cs="Arial" w:eastAsia="Arial" w:hAnsi="Arial"/>
          <w:sz w:val="19"/>
          <w:szCs w:val="19"/>
          <w:color w:val="auto"/>
        </w:rPr>
        <w:t>, the License Agreement constitutes the only agreement (i) to which Seller is a party relating to the Royalty Interests, (ii) which relate to Seller’s entitlement to the Purchased Assets or (iii) which relate to the Development or Commercialization of the Product in the Territory.</w:t>
      </w:r>
    </w:p>
    <w:p>
      <w:pPr>
        <w:spacing w:after="0" w:line="126"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b w:val="1"/>
          <w:bCs w:val="1"/>
          <w:color w:val="auto"/>
        </w:rPr>
        <w:t>Production Agreements.</w:t>
      </w:r>
    </w:p>
    <w:p>
      <w:pPr>
        <w:spacing w:after="0" w:line="185" w:lineRule="exact"/>
        <w:rPr>
          <w:sz w:val="20"/>
          <w:szCs w:val="20"/>
          <w:color w:val="auto"/>
        </w:rPr>
      </w:pPr>
    </w:p>
    <w:p>
      <w:pPr>
        <w:jc w:val="both"/>
        <w:ind w:left="1300" w:hanging="644"/>
        <w:spacing w:after="0" w:line="218" w:lineRule="auto"/>
        <w:tabs>
          <w:tab w:leader="none" w:pos="1295"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3.09(a)</w:t>
      </w:r>
      <w:r>
        <w:rPr>
          <w:rFonts w:ascii="Arial" w:cs="Arial" w:eastAsia="Arial" w:hAnsi="Arial"/>
          <w:sz w:val="22"/>
          <w:szCs w:val="22"/>
          <w:color w:val="auto"/>
        </w:rPr>
        <w:t>, the License Agreement and the Production Agreements constitute the only agreements to which the Seller is a party (i) relating to the Royalty Interests, (ii) which relate to Seller’s entitlement to the Purchased Assets, or (iii) which relate to the right to Develop and Commercialize the Product in the Field in the Territory.</w:t>
      </w:r>
    </w:p>
    <w:p>
      <w:pPr>
        <w:spacing w:after="0" w:line="160" w:lineRule="exact"/>
        <w:rPr>
          <w:rFonts w:ascii="Arial" w:cs="Arial" w:eastAsia="Arial" w:hAnsi="Arial"/>
          <w:sz w:val="22"/>
          <w:szCs w:val="22"/>
          <w:color w:val="auto"/>
        </w:rPr>
      </w:pPr>
    </w:p>
    <w:p>
      <w:pPr>
        <w:jc w:val="both"/>
        <w:ind w:left="1300" w:hanging="644"/>
        <w:spacing w:after="0" w:line="214" w:lineRule="auto"/>
        <w:tabs>
          <w:tab w:leader="none" w:pos="1295" w:val="left"/>
        </w:tabs>
        <w:numPr>
          <w:ilvl w:val="0"/>
          <w:numId w:val="52"/>
        </w:numPr>
        <w:rPr>
          <w:rFonts w:ascii="Arial" w:cs="Arial" w:eastAsia="Arial" w:hAnsi="Arial"/>
          <w:sz w:val="22"/>
          <w:szCs w:val="22"/>
          <w:color w:val="auto"/>
        </w:rPr>
      </w:pPr>
      <w:r>
        <w:rPr>
          <w:rFonts w:ascii="Arial" w:cs="Arial" w:eastAsia="Arial" w:hAnsi="Arial"/>
          <w:sz w:val="22"/>
          <w:szCs w:val="22"/>
          <w:color w:val="auto"/>
        </w:rPr>
        <w:t>Seller is not in breach of any Production Agreement which could have a Material Adverse Effect. No circumstances or grounds exist that would give rise to a claim by Licensee of a breach of the Manufacturing and Supply Agreement for Development, the Interim Commercial Supply Letter or the Development Quality Assurance Agreement. Seller has no unfulfilled obligations in respect of any Production Agreement, the lack of which would be reasonably likely to have a Material Adverse Effect or could give rise to a right of set-off against the Royalty Interest Payments.</w:t>
      </w:r>
    </w:p>
    <w:p>
      <w:pPr>
        <w:spacing w:after="0" w:line="158" w:lineRule="exact"/>
        <w:rPr>
          <w:rFonts w:ascii="Arial" w:cs="Arial" w:eastAsia="Arial" w:hAnsi="Arial"/>
          <w:sz w:val="22"/>
          <w:szCs w:val="22"/>
          <w:color w:val="auto"/>
        </w:rPr>
      </w:pPr>
    </w:p>
    <w:p>
      <w:pPr>
        <w:jc w:val="both"/>
        <w:ind w:left="1300" w:hanging="644"/>
        <w:spacing w:after="0" w:line="252" w:lineRule="auto"/>
        <w:tabs>
          <w:tab w:leader="none" w:pos="1289" w:val="left"/>
        </w:tabs>
        <w:numPr>
          <w:ilvl w:val="0"/>
          <w:numId w:val="52"/>
        </w:numPr>
        <w:rPr>
          <w:rFonts w:ascii="Arial" w:cs="Arial" w:eastAsia="Arial" w:hAnsi="Arial"/>
          <w:sz w:val="19"/>
          <w:szCs w:val="19"/>
          <w:color w:val="auto"/>
        </w:rPr>
      </w:pPr>
      <w:r>
        <w:rPr>
          <w:rFonts w:ascii="Arial" w:cs="Arial" w:eastAsia="Arial" w:hAnsi="Arial"/>
          <w:sz w:val="19"/>
          <w:szCs w:val="19"/>
          <w:color w:val="auto"/>
        </w:rPr>
        <w:t>To the Knowledge of Seller, Licensee is not in breach of or in default under the Manufacturing and Supply Agreement for Development, the Interim Commercial Supply Letter or the Development Quality Assurance Agreement, in any case, which could have a Material Adverse Effect. To the Knowledge of Seller, Licensee has no unfulfilled obligations in respect of the Manufacturing and Supply Agreement for Development, the Interim Commercial Supply Letter or the Development Quality Assurance Agreement that were required to be fulfilled.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6" w:name="page107"/>
    <w:bookmarkEnd w:id="106"/>
    <w:p>
      <w:pPr>
        <w:jc w:val="both"/>
        <w:ind w:left="1300" w:hanging="644"/>
        <w:spacing w:after="0" w:line="249" w:lineRule="auto"/>
        <w:tabs>
          <w:tab w:leader="none" w:pos="129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the Knowledge of Seller, no Person is in breach of any Production Agreement which could have a Material Adverse Effect and nothing has occurred and no condition exists that would permit any other party thereto to terminate any Production Agreement. To the Knowledge of Seller, each of the Production Agreements is valid and binding on each other party thereto in accordance with its terms, subject to bankruptcy, insolvency, reorganization, moratorium, ad hoc representative appointment, conciliation, safeguard proceedings, judicial receivership, or other laws affecting creditors’ rights generally or general equitable principles, and is in full force and effect.</w:t>
      </w:r>
    </w:p>
    <w:p>
      <w:pPr>
        <w:spacing w:after="0" w:line="151" w:lineRule="exact"/>
        <w:rPr>
          <w:rFonts w:ascii="Arial" w:cs="Arial" w:eastAsia="Arial" w:hAnsi="Arial"/>
          <w:sz w:val="19"/>
          <w:szCs w:val="19"/>
          <w:color w:val="auto"/>
        </w:rPr>
      </w:pPr>
    </w:p>
    <w:p>
      <w:pPr>
        <w:jc w:val="both"/>
        <w:ind w:left="1300" w:hanging="644"/>
        <w:spacing w:after="0" w:line="249" w:lineRule="auto"/>
        <w:tabs>
          <w:tab w:leader="none" w:pos="1295"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Licensee has not exercised any right of rescission, offset, counterclaim or defense, with respect to the Manufacturing and Supply Agreement for Development, the Interim Commercial Supply Letter or the Development Quality Assurance Agreement or provided notice to Seller that it planned to do any of the foregoing. To the Knowledge of Seller, nothing has occurred and no condition exists that would permit Licensee to exercise any right of rescission, offset, counterclaim or defense, with respect to the Manufacturing and Supply Agreement for Development, the Interim Commercial Supply Letter or the Development Quality Assurance Agreement.</w:t>
      </w:r>
    </w:p>
    <w:p>
      <w:pPr>
        <w:spacing w:after="0" w:line="151" w:lineRule="exact"/>
        <w:rPr>
          <w:rFonts w:ascii="Arial" w:cs="Arial" w:eastAsia="Arial" w:hAnsi="Arial"/>
          <w:sz w:val="19"/>
          <w:szCs w:val="19"/>
          <w:color w:val="auto"/>
        </w:rPr>
      </w:pPr>
    </w:p>
    <w:p>
      <w:pPr>
        <w:jc w:val="both"/>
        <w:ind w:left="1300" w:hanging="644"/>
        <w:spacing w:after="0" w:line="229" w:lineRule="auto"/>
        <w:tabs>
          <w:tab w:leader="none" w:pos="1297" w:val="left"/>
        </w:tabs>
        <w:numPr>
          <w:ilvl w:val="0"/>
          <w:numId w:val="53"/>
        </w:numPr>
        <w:rPr>
          <w:rFonts w:ascii="Arial" w:cs="Arial" w:eastAsia="Arial" w:hAnsi="Arial"/>
          <w:sz w:val="21"/>
          <w:szCs w:val="21"/>
          <w:color w:val="auto"/>
        </w:rPr>
      </w:pPr>
      <w:r>
        <w:rPr>
          <w:rFonts w:ascii="Arial" w:cs="Arial" w:eastAsia="Arial" w:hAnsi="Arial"/>
          <w:sz w:val="21"/>
          <w:szCs w:val="21"/>
          <w:color w:val="auto"/>
        </w:rPr>
        <w:t>Licensee has not provided Seller with notice of termination of the Manufacturing and Supply Agreement for Development, the Interim Commercial Supply Letter or the Development Quality Assurance Agreement nor any notice that it plans to terminate the Manufacturing and Supply Agreement for Development, the Interim Commercial Supply Letter or the Development Quality Assurance Agreement.</w:t>
      </w:r>
    </w:p>
    <w:p>
      <w:pPr>
        <w:spacing w:after="0" w:line="158" w:lineRule="exact"/>
        <w:rPr>
          <w:sz w:val="20"/>
          <w:szCs w:val="20"/>
          <w:color w:val="auto"/>
        </w:rPr>
      </w:pPr>
    </w:p>
    <w:p>
      <w:pPr>
        <w:ind w:left="1300" w:hanging="644"/>
        <w:spacing w:after="0" w:line="232" w:lineRule="auto"/>
        <w:tabs>
          <w:tab w:leader="none" w:pos="1298"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payments due and payable by the Seller or the Licensee under any Production Agreement to which they are a party have been timely paid.</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(ab)</w:t>
            </w:r>
          </w:p>
        </w:tc>
        <w:tc>
          <w:tcPr>
            <w:tcW w:w="10080" w:type="dxa"/>
            <w:vAlign w:val="bottom"/>
            <w:gridSpan w:val="7"/>
          </w:tcPr>
          <w:p>
            <w:pPr>
              <w:ind w:left="140"/>
              <w:spacing w:after="0"/>
              <w:rPr>
                <w:sz w:val="20"/>
                <w:szCs w:val="20"/>
                <w:color w:val="auto"/>
              </w:rPr>
            </w:pPr>
            <w:r>
              <w:rPr>
                <w:rFonts w:ascii="Arial" w:cs="Arial" w:eastAsia="Arial" w:hAnsi="Arial"/>
                <w:sz w:val="22"/>
                <w:szCs w:val="22"/>
                <w:color w:val="auto"/>
                <w:w w:val="94"/>
              </w:rPr>
              <w:t>There have been no claims for indemnification made under Article XII of the License Agreement by Seller or</w:t>
            </w:r>
          </w:p>
        </w:tc>
      </w:tr>
      <w:tr>
        <w:trPr>
          <w:trHeight w:val="216"/>
        </w:trPr>
        <w:tc>
          <w:tcPr>
            <w:tcW w:w="500" w:type="dxa"/>
            <w:vAlign w:val="bottom"/>
          </w:tcPr>
          <w:p>
            <w:pPr>
              <w:spacing w:after="0"/>
              <w:rPr>
                <w:sz w:val="18"/>
                <w:szCs w:val="18"/>
                <w:color w:val="auto"/>
              </w:rPr>
            </w:pPr>
          </w:p>
        </w:tc>
        <w:tc>
          <w:tcPr>
            <w:tcW w:w="1008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5"/>
              </w:rPr>
              <w:t>Licensee under the Manufacturing and Supply Agreement for Development, the Interim Commercial Supply</w:t>
            </w:r>
          </w:p>
        </w:tc>
      </w:tr>
      <w:tr>
        <w:trPr>
          <w:trHeight w:val="274"/>
        </w:trPr>
        <w:tc>
          <w:tcPr>
            <w:tcW w:w="500" w:type="dxa"/>
            <w:vAlign w:val="bottom"/>
          </w:tcPr>
          <w:p>
            <w:pPr>
              <w:spacing w:after="0"/>
              <w:rPr>
                <w:sz w:val="23"/>
                <w:szCs w:val="23"/>
                <w:color w:val="auto"/>
              </w:rPr>
            </w:pPr>
          </w:p>
        </w:tc>
        <w:tc>
          <w:tcPr>
            <w:tcW w:w="10080" w:type="dxa"/>
            <w:vAlign w:val="bottom"/>
            <w:gridSpan w:val="7"/>
          </w:tcPr>
          <w:p>
            <w:pPr>
              <w:ind w:left="140"/>
              <w:spacing w:after="0"/>
              <w:rPr>
                <w:sz w:val="20"/>
                <w:szCs w:val="20"/>
                <w:color w:val="auto"/>
              </w:rPr>
            </w:pPr>
            <w:r>
              <w:rPr>
                <w:rFonts w:ascii="Arial" w:cs="Arial" w:eastAsia="Arial" w:hAnsi="Arial"/>
                <w:sz w:val="22"/>
                <w:szCs w:val="22"/>
                <w:color w:val="auto"/>
              </w:rPr>
              <w:t>Letter or the Development Quality Assurance Agreement.</w:t>
            </w:r>
          </w:p>
        </w:tc>
      </w:tr>
      <w:tr>
        <w:trPr>
          <w:trHeight w:val="381"/>
        </w:trPr>
        <w:tc>
          <w:tcPr>
            <w:tcW w:w="500" w:type="dxa"/>
            <w:vAlign w:val="bottom"/>
          </w:tcPr>
          <w:p>
            <w:pPr>
              <w:spacing w:after="0"/>
              <w:rPr>
                <w:sz w:val="20"/>
                <w:szCs w:val="20"/>
                <w:color w:val="auto"/>
              </w:rPr>
            </w:pPr>
            <w:r>
              <w:rPr>
                <w:rFonts w:ascii="Arial" w:cs="Arial" w:eastAsia="Arial" w:hAnsi="Arial"/>
                <w:sz w:val="22"/>
                <w:szCs w:val="22"/>
                <w:color w:val="auto"/>
              </w:rPr>
              <w:t>(ac)</w:t>
            </w:r>
          </w:p>
        </w:tc>
        <w:tc>
          <w:tcPr>
            <w:tcW w:w="10080" w:type="dxa"/>
            <w:vAlign w:val="bottom"/>
            <w:gridSpan w:val="7"/>
          </w:tcPr>
          <w:p>
            <w:pPr>
              <w:ind w:left="140"/>
              <w:spacing w:after="0"/>
              <w:rPr>
                <w:sz w:val="20"/>
                <w:szCs w:val="20"/>
                <w:color w:val="auto"/>
              </w:rPr>
            </w:pPr>
            <w:r>
              <w:rPr>
                <w:rFonts w:ascii="Arial" w:cs="Arial" w:eastAsia="Arial" w:hAnsi="Arial"/>
                <w:sz w:val="22"/>
                <w:szCs w:val="22"/>
                <w:color w:val="auto"/>
                <w:w w:val="97"/>
              </w:rPr>
              <w:t>The [***] set forth in Schedule 3.09(j) (the “[***]), is [***], as applicable, and to the Knowledge of Seller, is</w:t>
            </w:r>
          </w:p>
        </w:tc>
      </w:tr>
      <w:tr>
        <w:trPr>
          <w:trHeight w:val="196"/>
        </w:trPr>
        <w:tc>
          <w:tcPr>
            <w:tcW w:w="500" w:type="dxa"/>
            <w:vAlign w:val="bottom"/>
          </w:tcPr>
          <w:p>
            <w:pPr>
              <w:spacing w:after="0"/>
              <w:rPr>
                <w:sz w:val="17"/>
                <w:szCs w:val="17"/>
                <w:color w:val="auto"/>
              </w:rPr>
            </w:pPr>
          </w:p>
        </w:tc>
        <w:tc>
          <w:tcPr>
            <w:tcW w:w="2160" w:type="dxa"/>
            <w:vAlign w:val="bottom"/>
          </w:tcPr>
          <w:p>
            <w:pPr>
              <w:ind w:left="140"/>
              <w:spacing w:after="0" w:line="195" w:lineRule="exact"/>
              <w:rPr>
                <w:sz w:val="20"/>
                <w:szCs w:val="20"/>
                <w:color w:val="auto"/>
              </w:rPr>
            </w:pPr>
            <w:r>
              <w:rPr>
                <w:rFonts w:ascii="Arial" w:cs="Arial" w:eastAsia="Arial" w:hAnsi="Arial"/>
                <w:sz w:val="22"/>
                <w:szCs w:val="22"/>
                <w:color w:val="auto"/>
                <w:w w:val="89"/>
              </w:rPr>
              <w:t>accurate and complete</w:t>
            </w: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22"/>
                <w:szCs w:val="22"/>
                <w:color w:val="auto"/>
              </w:rPr>
              <w:t>in all material</w:t>
            </w:r>
          </w:p>
        </w:tc>
        <w:tc>
          <w:tcPr>
            <w:tcW w:w="6480" w:type="dxa"/>
            <w:vAlign w:val="bottom"/>
            <w:gridSpan w:val="5"/>
          </w:tcPr>
          <w:p>
            <w:pPr>
              <w:spacing w:after="0" w:line="195" w:lineRule="exact"/>
              <w:rPr>
                <w:sz w:val="20"/>
                <w:szCs w:val="20"/>
                <w:color w:val="auto"/>
              </w:rPr>
            </w:pPr>
            <w:r>
              <w:rPr>
                <w:rFonts w:ascii="Arial" w:cs="Arial" w:eastAsia="Arial" w:hAnsi="Arial"/>
                <w:sz w:val="22"/>
                <w:szCs w:val="22"/>
                <w:color w:val="auto"/>
                <w:w w:val="88"/>
              </w:rPr>
              <w:t>respects; provided that Seller does not represent or warrant that any [***] is</w:t>
            </w:r>
          </w:p>
        </w:tc>
      </w:tr>
      <w:tr>
        <w:trPr>
          <w:trHeight w:val="20"/>
        </w:trPr>
        <w:tc>
          <w:tcPr>
            <w:tcW w:w="5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68"/>
        </w:trPr>
        <w:tc>
          <w:tcPr>
            <w:tcW w:w="500" w:type="dxa"/>
            <w:vAlign w:val="bottom"/>
          </w:tcPr>
          <w:p>
            <w:pPr>
              <w:spacing w:after="0"/>
              <w:rPr>
                <w:sz w:val="23"/>
                <w:szCs w:val="23"/>
                <w:color w:val="auto"/>
              </w:rPr>
            </w:pPr>
          </w:p>
        </w:tc>
        <w:tc>
          <w:tcPr>
            <w:tcW w:w="5020" w:type="dxa"/>
            <w:vAlign w:val="bottom"/>
            <w:gridSpan w:val="4"/>
          </w:tcPr>
          <w:p>
            <w:pPr>
              <w:ind w:left="140"/>
              <w:spacing w:after="0"/>
              <w:rPr>
                <w:sz w:val="20"/>
                <w:szCs w:val="20"/>
                <w:color w:val="auto"/>
              </w:rPr>
            </w:pPr>
            <w:r>
              <w:rPr>
                <w:rFonts w:ascii="Arial" w:cs="Arial" w:eastAsia="Arial" w:hAnsi="Arial"/>
                <w:sz w:val="22"/>
                <w:szCs w:val="22"/>
                <w:color w:val="auto"/>
                <w:w w:val="89"/>
              </w:rPr>
              <w:t>accurate. To the Knowledge of Seller, Seller will be able</w:t>
            </w:r>
          </w:p>
        </w:tc>
        <w:tc>
          <w:tcPr>
            <w:tcW w:w="4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22"/>
                <w:szCs w:val="22"/>
                <w:color w:val="auto"/>
              </w:rPr>
              <w:t>to [***] as set forth therein.</w:t>
            </w:r>
          </w:p>
        </w:tc>
      </w:tr>
      <w:tr>
        <w:trPr>
          <w:trHeight w:val="411"/>
        </w:trPr>
        <w:tc>
          <w:tcPr>
            <w:tcW w:w="500" w:type="dxa"/>
            <w:vAlign w:val="bottom"/>
          </w:tcPr>
          <w:p>
            <w:pPr>
              <w:spacing w:after="0"/>
              <w:rPr>
                <w:sz w:val="20"/>
                <w:szCs w:val="20"/>
                <w:color w:val="auto"/>
              </w:rPr>
            </w:pPr>
            <w:r>
              <w:rPr>
                <w:rFonts w:ascii="Arial" w:cs="Arial" w:eastAsia="Arial" w:hAnsi="Arial"/>
                <w:sz w:val="22"/>
                <w:szCs w:val="22"/>
                <w:color w:val="auto"/>
              </w:rPr>
              <w:t>(ad)</w:t>
            </w:r>
          </w:p>
        </w:tc>
        <w:tc>
          <w:tcPr>
            <w:tcW w:w="10080" w:type="dxa"/>
            <w:vAlign w:val="bottom"/>
            <w:gridSpan w:val="7"/>
          </w:tcPr>
          <w:p>
            <w:pPr>
              <w:ind w:left="140"/>
              <w:spacing w:after="0"/>
              <w:rPr>
                <w:sz w:val="20"/>
                <w:szCs w:val="20"/>
                <w:color w:val="auto"/>
              </w:rPr>
            </w:pPr>
            <w:r>
              <w:rPr>
                <w:rFonts w:ascii="Arial" w:cs="Arial" w:eastAsia="Arial" w:hAnsi="Arial"/>
                <w:sz w:val="22"/>
                <w:szCs w:val="22"/>
                <w:color w:val="auto"/>
              </w:rPr>
              <w:t>Seller has not:</w:t>
            </w:r>
          </w:p>
        </w:tc>
      </w:tr>
      <w:tr>
        <w:trPr>
          <w:trHeight w:val="374"/>
        </w:trPr>
        <w:tc>
          <w:tcPr>
            <w:tcW w:w="500" w:type="dxa"/>
            <w:vAlign w:val="bottom"/>
          </w:tcPr>
          <w:p>
            <w:pPr>
              <w:spacing w:after="0"/>
              <w:rPr>
                <w:sz w:val="24"/>
                <w:szCs w:val="24"/>
                <w:color w:val="auto"/>
              </w:rPr>
            </w:pPr>
          </w:p>
        </w:tc>
        <w:tc>
          <w:tcPr>
            <w:tcW w:w="10080" w:type="dxa"/>
            <w:vAlign w:val="bottom"/>
            <w:gridSpan w:val="7"/>
          </w:tcPr>
          <w:p>
            <w:pPr>
              <w:ind w:left="140"/>
              <w:spacing w:after="0"/>
              <w:rPr>
                <w:sz w:val="20"/>
                <w:szCs w:val="20"/>
                <w:color w:val="auto"/>
              </w:rPr>
            </w:pPr>
            <w:r>
              <w:rPr>
                <w:rFonts w:ascii="Arial" w:cs="Arial" w:eastAsia="Arial" w:hAnsi="Arial"/>
                <w:sz w:val="22"/>
                <w:szCs w:val="22"/>
                <w:color w:val="auto"/>
                <w:w w:val="98"/>
              </w:rPr>
              <w:t>(vii)   forgiven, released, delayed, postponed or compromised any payment in respect of any Production</w:t>
            </w:r>
          </w:p>
        </w:tc>
      </w:tr>
      <w:tr>
        <w:trPr>
          <w:trHeight w:val="274"/>
        </w:trPr>
        <w:tc>
          <w:tcPr>
            <w:tcW w:w="500" w:type="dxa"/>
            <w:vAlign w:val="bottom"/>
          </w:tcPr>
          <w:p>
            <w:pPr>
              <w:spacing w:after="0"/>
              <w:rPr>
                <w:sz w:val="23"/>
                <w:szCs w:val="23"/>
                <w:color w:val="auto"/>
              </w:rPr>
            </w:pPr>
          </w:p>
        </w:tc>
        <w:tc>
          <w:tcPr>
            <w:tcW w:w="10080" w:type="dxa"/>
            <w:vAlign w:val="bottom"/>
            <w:gridSpan w:val="7"/>
          </w:tcPr>
          <w:p>
            <w:pPr>
              <w:ind w:left="800"/>
              <w:spacing w:after="0"/>
              <w:rPr>
                <w:sz w:val="20"/>
                <w:szCs w:val="20"/>
                <w:color w:val="auto"/>
              </w:rPr>
            </w:pPr>
            <w:r>
              <w:rPr>
                <w:rFonts w:ascii="Arial" w:cs="Arial" w:eastAsia="Arial" w:hAnsi="Arial"/>
                <w:sz w:val="22"/>
                <w:szCs w:val="22"/>
                <w:color w:val="auto"/>
              </w:rPr>
              <w:t>Agreement which could have a Material Adverse Effect;</w:t>
            </w:r>
          </w:p>
        </w:tc>
      </w:tr>
      <w:tr>
        <w:trPr>
          <w:trHeight w:val="374"/>
        </w:trPr>
        <w:tc>
          <w:tcPr>
            <w:tcW w:w="500" w:type="dxa"/>
            <w:vAlign w:val="bottom"/>
          </w:tcPr>
          <w:p>
            <w:pPr>
              <w:spacing w:after="0"/>
              <w:rPr>
                <w:sz w:val="24"/>
                <w:szCs w:val="24"/>
                <w:color w:val="auto"/>
              </w:rPr>
            </w:pPr>
          </w:p>
        </w:tc>
        <w:tc>
          <w:tcPr>
            <w:tcW w:w="10080" w:type="dxa"/>
            <w:vAlign w:val="bottom"/>
            <w:gridSpan w:val="7"/>
          </w:tcPr>
          <w:p>
            <w:pPr>
              <w:ind w:left="140"/>
              <w:spacing w:after="0"/>
              <w:rPr>
                <w:sz w:val="20"/>
                <w:szCs w:val="20"/>
                <w:color w:val="auto"/>
              </w:rPr>
            </w:pPr>
            <w:r>
              <w:rPr>
                <w:rFonts w:ascii="Arial" w:cs="Arial" w:eastAsia="Arial" w:hAnsi="Arial"/>
                <w:sz w:val="22"/>
                <w:szCs w:val="22"/>
                <w:color w:val="auto"/>
                <w:w w:val="91"/>
              </w:rPr>
              <w:t>(viii)  waived, amended, cancelled or terminated, exercised or to the Knowledge of Seller failed to exercise, any</w:t>
            </w:r>
          </w:p>
        </w:tc>
      </w:tr>
      <w:tr>
        <w:trPr>
          <w:trHeight w:val="216"/>
        </w:trPr>
        <w:tc>
          <w:tcPr>
            <w:tcW w:w="500" w:type="dxa"/>
            <w:vAlign w:val="bottom"/>
          </w:tcPr>
          <w:p>
            <w:pPr>
              <w:spacing w:after="0"/>
              <w:rPr>
                <w:sz w:val="18"/>
                <w:szCs w:val="18"/>
                <w:color w:val="auto"/>
              </w:rPr>
            </w:pPr>
          </w:p>
        </w:tc>
        <w:tc>
          <w:tcPr>
            <w:tcW w:w="10080" w:type="dxa"/>
            <w:vAlign w:val="bottom"/>
            <w:gridSpan w:val="7"/>
          </w:tcPr>
          <w:p>
            <w:pPr>
              <w:ind w:left="800"/>
              <w:spacing w:after="0" w:line="216" w:lineRule="exact"/>
              <w:rPr>
                <w:sz w:val="20"/>
                <w:szCs w:val="20"/>
                <w:color w:val="auto"/>
              </w:rPr>
            </w:pPr>
            <w:r>
              <w:rPr>
                <w:rFonts w:ascii="Arial" w:cs="Arial" w:eastAsia="Arial" w:hAnsi="Arial"/>
                <w:sz w:val="22"/>
                <w:szCs w:val="22"/>
                <w:color w:val="auto"/>
                <w:w w:val="91"/>
              </w:rPr>
              <w:t>material rights constituting or relating to any Production Agreement which could have a Material Adverse</w:t>
            </w:r>
          </w:p>
        </w:tc>
      </w:tr>
      <w:tr>
        <w:trPr>
          <w:trHeight w:val="274"/>
        </w:trPr>
        <w:tc>
          <w:tcPr>
            <w:tcW w:w="500" w:type="dxa"/>
            <w:vAlign w:val="bottom"/>
          </w:tcPr>
          <w:p>
            <w:pPr>
              <w:spacing w:after="0"/>
              <w:rPr>
                <w:sz w:val="23"/>
                <w:szCs w:val="23"/>
                <w:color w:val="auto"/>
              </w:rPr>
            </w:pPr>
          </w:p>
        </w:tc>
        <w:tc>
          <w:tcPr>
            <w:tcW w:w="10080" w:type="dxa"/>
            <w:vAlign w:val="bottom"/>
            <w:gridSpan w:val="7"/>
          </w:tcPr>
          <w:p>
            <w:pPr>
              <w:ind w:left="800"/>
              <w:spacing w:after="0"/>
              <w:rPr>
                <w:sz w:val="20"/>
                <w:szCs w:val="20"/>
                <w:color w:val="auto"/>
              </w:rPr>
            </w:pPr>
            <w:r>
              <w:rPr>
                <w:rFonts w:ascii="Arial" w:cs="Arial" w:eastAsia="Arial" w:hAnsi="Arial"/>
                <w:sz w:val="22"/>
                <w:szCs w:val="22"/>
                <w:color w:val="auto"/>
              </w:rPr>
              <w:t>Effect;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07" w:name="page108"/>
    <w:bookmarkEnd w:id="107"/>
    <w:tbl>
      <w:tblPr>
        <w:tblLayout w:type="fixed"/>
        <w:tblInd w:w="66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22"/>
                <w:szCs w:val="22"/>
                <w:color w:val="auto"/>
              </w:rPr>
              <w:t>(ix)</w:t>
            </w:r>
          </w:p>
        </w:tc>
        <w:tc>
          <w:tcPr>
            <w:tcW w:w="9460" w:type="dxa"/>
            <w:vAlign w:val="bottom"/>
            <w:gridSpan w:val="4"/>
          </w:tcPr>
          <w:p>
            <w:pPr>
              <w:ind w:left="160"/>
              <w:spacing w:after="0"/>
              <w:rPr>
                <w:sz w:val="20"/>
                <w:szCs w:val="20"/>
                <w:color w:val="auto"/>
              </w:rPr>
            </w:pPr>
            <w:r>
              <w:rPr>
                <w:rFonts w:ascii="Arial" w:cs="Arial" w:eastAsia="Arial" w:hAnsi="Arial"/>
                <w:sz w:val="22"/>
                <w:szCs w:val="22"/>
                <w:color w:val="auto"/>
                <w:w w:val="97"/>
              </w:rPr>
              <w:t>amended, modified, restated, cancelled, supplemented, terminated or waived any provision of any</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60" w:type="dxa"/>
            <w:vAlign w:val="bottom"/>
            <w:gridSpan w:val="4"/>
          </w:tcPr>
          <w:p>
            <w:pPr>
              <w:ind w:left="180"/>
              <w:spacing w:after="0" w:line="216" w:lineRule="exact"/>
              <w:rPr>
                <w:sz w:val="20"/>
                <w:szCs w:val="20"/>
                <w:color w:val="auto"/>
              </w:rPr>
            </w:pPr>
            <w:r>
              <w:rPr>
                <w:rFonts w:ascii="Arial" w:cs="Arial" w:eastAsia="Arial" w:hAnsi="Arial"/>
                <w:sz w:val="22"/>
                <w:szCs w:val="22"/>
                <w:color w:val="auto"/>
                <w:w w:val="93"/>
              </w:rPr>
              <w:t>Production Agreement, or granted any consent thereunder, or agreed to do any of the foregoing which</w:t>
            </w:r>
          </w:p>
        </w:tc>
      </w:tr>
      <w:tr>
        <w:trPr>
          <w:trHeight w:val="274"/>
        </w:trPr>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60" w:type="dxa"/>
            <w:vAlign w:val="bottom"/>
            <w:gridSpan w:val="4"/>
          </w:tcPr>
          <w:p>
            <w:pPr>
              <w:ind w:left="180"/>
              <w:spacing w:after="0"/>
              <w:rPr>
                <w:sz w:val="20"/>
                <w:szCs w:val="20"/>
                <w:color w:val="auto"/>
              </w:rPr>
            </w:pPr>
            <w:r>
              <w:rPr>
                <w:rFonts w:ascii="Arial" w:cs="Arial" w:eastAsia="Arial" w:hAnsi="Arial"/>
                <w:sz w:val="22"/>
                <w:szCs w:val="22"/>
                <w:color w:val="auto"/>
              </w:rPr>
              <w:t>could have a Material Adverse Effect;</w:t>
            </w:r>
          </w:p>
        </w:tc>
      </w:tr>
      <w:tr>
        <w:trPr>
          <w:trHeight w:val="374"/>
        </w:trPr>
        <w:tc>
          <w:tcPr>
            <w:tcW w:w="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22"/>
                <w:szCs w:val="22"/>
                <w:color w:val="auto"/>
              </w:rPr>
              <w:t>(x)</w:t>
            </w:r>
          </w:p>
        </w:tc>
        <w:tc>
          <w:tcPr>
            <w:tcW w:w="9460" w:type="dxa"/>
            <w:vAlign w:val="bottom"/>
            <w:gridSpan w:val="4"/>
          </w:tcPr>
          <w:p>
            <w:pPr>
              <w:ind w:left="160"/>
              <w:spacing w:after="0"/>
              <w:rPr>
                <w:sz w:val="20"/>
                <w:szCs w:val="20"/>
                <w:color w:val="auto"/>
              </w:rPr>
            </w:pPr>
            <w:r>
              <w:rPr>
                <w:rFonts w:ascii="Arial" w:cs="Arial" w:eastAsia="Arial" w:hAnsi="Arial"/>
                <w:sz w:val="22"/>
                <w:szCs w:val="22"/>
                <w:color w:val="auto"/>
                <w:w w:val="91"/>
              </w:rPr>
              <w:t>exercised any right of rescission, offset, counterclaim or defense, upon or with respect to any Production</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60" w:type="dxa"/>
            <w:vAlign w:val="bottom"/>
            <w:gridSpan w:val="4"/>
          </w:tcPr>
          <w:p>
            <w:pPr>
              <w:ind w:left="180"/>
              <w:spacing w:after="0" w:line="216" w:lineRule="exact"/>
              <w:rPr>
                <w:sz w:val="20"/>
                <w:szCs w:val="20"/>
                <w:color w:val="auto"/>
              </w:rPr>
            </w:pPr>
            <w:r>
              <w:rPr>
                <w:rFonts w:ascii="Arial" w:cs="Arial" w:eastAsia="Arial" w:hAnsi="Arial"/>
                <w:sz w:val="22"/>
                <w:szCs w:val="22"/>
                <w:color w:val="auto"/>
                <w:w w:val="92"/>
              </w:rPr>
              <w:t>Agreement, or agreed to do or suffer to exist any of the foregoing which could have a Material Adverse</w:t>
            </w:r>
          </w:p>
        </w:tc>
      </w:tr>
      <w:tr>
        <w:trPr>
          <w:trHeight w:val="274"/>
        </w:trPr>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gridSpan w:val="3"/>
          </w:tcPr>
          <w:p>
            <w:pPr>
              <w:ind w:left="180"/>
              <w:spacing w:after="0"/>
              <w:rPr>
                <w:sz w:val="20"/>
                <w:szCs w:val="20"/>
                <w:color w:val="auto"/>
              </w:rPr>
            </w:pPr>
            <w:r>
              <w:rPr>
                <w:rFonts w:ascii="Arial" w:cs="Arial" w:eastAsia="Arial" w:hAnsi="Arial"/>
                <w:sz w:val="22"/>
                <w:szCs w:val="22"/>
                <w:color w:val="auto"/>
              </w:rPr>
              <w:t>Effect; or</w:t>
            </w:r>
          </w:p>
        </w:tc>
        <w:tc>
          <w:tcPr>
            <w:tcW w:w="7740" w:type="dxa"/>
            <w:vAlign w:val="bottom"/>
          </w:tcPr>
          <w:p>
            <w:pPr>
              <w:spacing w:after="0"/>
              <w:rPr>
                <w:sz w:val="23"/>
                <w:szCs w:val="23"/>
                <w:color w:val="auto"/>
              </w:rPr>
            </w:pPr>
          </w:p>
        </w:tc>
      </w:tr>
      <w:tr>
        <w:trPr>
          <w:trHeight w:val="374"/>
        </w:trPr>
        <w:tc>
          <w:tcPr>
            <w:tcW w:w="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22"/>
                <w:szCs w:val="22"/>
                <w:color w:val="auto"/>
              </w:rPr>
              <w:t>(xi)</w:t>
            </w:r>
          </w:p>
        </w:tc>
        <w:tc>
          <w:tcPr>
            <w:tcW w:w="9460" w:type="dxa"/>
            <w:vAlign w:val="bottom"/>
            <w:gridSpan w:val="4"/>
          </w:tcPr>
          <w:p>
            <w:pPr>
              <w:ind w:left="160"/>
              <w:spacing w:after="0"/>
              <w:rPr>
                <w:sz w:val="20"/>
                <w:szCs w:val="20"/>
                <w:color w:val="auto"/>
              </w:rPr>
            </w:pPr>
            <w:r>
              <w:rPr>
                <w:rFonts w:ascii="Arial" w:cs="Arial" w:eastAsia="Arial" w:hAnsi="Arial"/>
                <w:sz w:val="22"/>
                <w:szCs w:val="22"/>
                <w:color w:val="auto"/>
                <w:w w:val="89"/>
              </w:rPr>
              <w:t>sold, leased, pledged, licensed, transferred or assigned (or attempted to do any of the foregoing) all or any</w:t>
            </w:r>
          </w:p>
        </w:tc>
      </w:tr>
      <w:tr>
        <w:trPr>
          <w:trHeight w:val="274"/>
        </w:trPr>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60" w:type="dxa"/>
            <w:vAlign w:val="bottom"/>
            <w:gridSpan w:val="4"/>
          </w:tcPr>
          <w:p>
            <w:pPr>
              <w:ind w:left="180"/>
              <w:spacing w:after="0"/>
              <w:rPr>
                <w:sz w:val="20"/>
                <w:szCs w:val="20"/>
                <w:color w:val="auto"/>
              </w:rPr>
            </w:pPr>
            <w:r>
              <w:rPr>
                <w:rFonts w:ascii="Arial" w:cs="Arial" w:eastAsia="Arial" w:hAnsi="Arial"/>
                <w:sz w:val="22"/>
                <w:szCs w:val="22"/>
                <w:color w:val="auto"/>
              </w:rPr>
              <w:t>portion of any Production Agreement.</w:t>
            </w:r>
          </w:p>
        </w:tc>
      </w:tr>
      <w:tr>
        <w:trPr>
          <w:trHeight w:val="432"/>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3"/>
          </w:tcPr>
          <w:p>
            <w:pPr>
              <w:ind w:left="500"/>
              <w:spacing w:after="0"/>
              <w:rPr>
                <w:sz w:val="20"/>
                <w:szCs w:val="20"/>
                <w:color w:val="auto"/>
              </w:rPr>
            </w:pPr>
            <w:r>
              <w:rPr>
                <w:rFonts w:ascii="Arial" w:cs="Arial" w:eastAsia="Arial" w:hAnsi="Arial"/>
                <w:sz w:val="22"/>
                <w:szCs w:val="22"/>
                <w:b w:val="1"/>
                <w:bCs w:val="1"/>
                <w:color w:val="auto"/>
                <w:w w:val="89"/>
              </w:rPr>
              <w:t>Section 1.10.</w:t>
            </w:r>
          </w:p>
        </w:tc>
        <w:tc>
          <w:tcPr>
            <w:tcW w:w="7740" w:type="dxa"/>
            <w:vAlign w:val="bottom"/>
          </w:tcPr>
          <w:p>
            <w:pPr>
              <w:ind w:left="400"/>
              <w:spacing w:after="0"/>
              <w:rPr>
                <w:sz w:val="20"/>
                <w:szCs w:val="20"/>
                <w:color w:val="auto"/>
              </w:rPr>
            </w:pPr>
            <w:r>
              <w:rPr>
                <w:rFonts w:ascii="Arial" w:cs="Arial" w:eastAsia="Arial" w:hAnsi="Arial"/>
                <w:sz w:val="22"/>
                <w:szCs w:val="22"/>
                <w:b w:val="1"/>
                <w:bCs w:val="1"/>
                <w:color w:val="auto"/>
              </w:rPr>
              <w:t>Net Sales; Milestones.</w:t>
            </w:r>
          </w:p>
        </w:tc>
      </w:tr>
      <w:tr>
        <w:trPr>
          <w:trHeight w:val="382"/>
        </w:trPr>
        <w:tc>
          <w:tcPr>
            <w:tcW w:w="640" w:type="dxa"/>
            <w:vAlign w:val="bottom"/>
          </w:tcPr>
          <w:p>
            <w:pPr>
              <w:spacing w:after="0"/>
              <w:rPr>
                <w:sz w:val="20"/>
                <w:szCs w:val="20"/>
                <w:color w:val="auto"/>
              </w:rPr>
            </w:pPr>
            <w:r>
              <w:rPr>
                <w:rFonts w:ascii="Arial" w:cs="Arial" w:eastAsia="Arial" w:hAnsi="Arial"/>
                <w:sz w:val="22"/>
                <w:szCs w:val="22"/>
                <w:color w:val="auto"/>
              </w:rPr>
              <w:t>(ae)</w:t>
            </w:r>
          </w:p>
        </w:tc>
        <w:tc>
          <w:tcPr>
            <w:tcW w:w="9940" w:type="dxa"/>
            <w:vAlign w:val="bottom"/>
            <w:gridSpan w:val="5"/>
          </w:tcPr>
          <w:p>
            <w:pPr>
              <w:spacing w:after="0"/>
              <w:rPr>
                <w:sz w:val="20"/>
                <w:szCs w:val="20"/>
                <w:color w:val="auto"/>
              </w:rPr>
            </w:pPr>
            <w:r>
              <w:rPr>
                <w:rFonts w:ascii="Arial" w:cs="Arial" w:eastAsia="Arial" w:hAnsi="Arial"/>
                <w:sz w:val="22"/>
                <w:szCs w:val="22"/>
                <w:color w:val="auto"/>
                <w:w w:val="92"/>
              </w:rPr>
              <w:t>Schedule 3.10(a) hereto sets forth a true and complete list of all Net Sales of the Product provided by Licensee</w:t>
            </w:r>
          </w:p>
        </w:tc>
      </w:tr>
      <w:tr>
        <w:trPr>
          <w:trHeight w:val="20"/>
        </w:trPr>
        <w:tc>
          <w:tcPr>
            <w:tcW w:w="6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r>
      <w:tr>
        <w:trPr>
          <w:trHeight w:val="188"/>
        </w:trPr>
        <w:tc>
          <w:tcPr>
            <w:tcW w:w="640" w:type="dxa"/>
            <w:vAlign w:val="bottom"/>
          </w:tcPr>
          <w:p>
            <w:pPr>
              <w:spacing w:after="0"/>
              <w:rPr>
                <w:sz w:val="16"/>
                <w:szCs w:val="16"/>
                <w:color w:val="auto"/>
              </w:rPr>
            </w:pPr>
          </w:p>
        </w:tc>
        <w:tc>
          <w:tcPr>
            <w:tcW w:w="9940" w:type="dxa"/>
            <w:vAlign w:val="bottom"/>
            <w:gridSpan w:val="5"/>
          </w:tcPr>
          <w:p>
            <w:pPr>
              <w:spacing w:after="0" w:line="188" w:lineRule="exact"/>
              <w:rPr>
                <w:sz w:val="20"/>
                <w:szCs w:val="20"/>
                <w:color w:val="auto"/>
              </w:rPr>
            </w:pPr>
            <w:r>
              <w:rPr>
                <w:rFonts w:ascii="Arial" w:cs="Arial" w:eastAsia="Arial" w:hAnsi="Arial"/>
                <w:sz w:val="21"/>
                <w:szCs w:val="21"/>
                <w:color w:val="auto"/>
                <w:w w:val="93"/>
              </w:rPr>
              <w:t>pursuant to Section 6.07 of the License Agreement and, to the Knowledge of Seller, payable by Licensee to Seller,</w:t>
            </w:r>
          </w:p>
        </w:tc>
      </w:tr>
      <w:tr>
        <w:trPr>
          <w:trHeight w:val="216"/>
        </w:trPr>
        <w:tc>
          <w:tcPr>
            <w:tcW w:w="640" w:type="dxa"/>
            <w:vAlign w:val="bottom"/>
          </w:tcPr>
          <w:p>
            <w:pPr>
              <w:spacing w:after="0"/>
              <w:rPr>
                <w:sz w:val="18"/>
                <w:szCs w:val="18"/>
                <w:color w:val="auto"/>
              </w:rPr>
            </w:pPr>
          </w:p>
        </w:tc>
        <w:tc>
          <w:tcPr>
            <w:tcW w:w="9940" w:type="dxa"/>
            <w:vAlign w:val="bottom"/>
            <w:gridSpan w:val="5"/>
          </w:tcPr>
          <w:p>
            <w:pPr>
              <w:spacing w:after="0" w:line="216" w:lineRule="exact"/>
              <w:rPr>
                <w:sz w:val="20"/>
                <w:szCs w:val="20"/>
                <w:color w:val="auto"/>
              </w:rPr>
            </w:pPr>
            <w:r>
              <w:rPr>
                <w:rFonts w:ascii="Arial" w:cs="Arial" w:eastAsia="Arial" w:hAnsi="Arial"/>
                <w:sz w:val="22"/>
                <w:szCs w:val="22"/>
                <w:color w:val="auto"/>
                <w:w w:val="91"/>
              </w:rPr>
              <w:t>through but excluding the Closing Date. Seller has provided to Buyer a copy of the Royalty Reports delivered to</w:t>
            </w:r>
          </w:p>
        </w:tc>
      </w:tr>
      <w:tr>
        <w:trPr>
          <w:trHeight w:val="216"/>
        </w:trPr>
        <w:tc>
          <w:tcPr>
            <w:tcW w:w="640" w:type="dxa"/>
            <w:vAlign w:val="bottom"/>
          </w:tcPr>
          <w:p>
            <w:pPr>
              <w:spacing w:after="0"/>
              <w:rPr>
                <w:sz w:val="18"/>
                <w:szCs w:val="18"/>
                <w:color w:val="auto"/>
              </w:rPr>
            </w:pPr>
          </w:p>
        </w:tc>
        <w:tc>
          <w:tcPr>
            <w:tcW w:w="9940" w:type="dxa"/>
            <w:vAlign w:val="bottom"/>
            <w:gridSpan w:val="5"/>
          </w:tcPr>
          <w:p>
            <w:pPr>
              <w:spacing w:after="0" w:line="216" w:lineRule="exact"/>
              <w:rPr>
                <w:sz w:val="20"/>
                <w:szCs w:val="20"/>
                <w:color w:val="auto"/>
              </w:rPr>
            </w:pPr>
            <w:r>
              <w:rPr>
                <w:rFonts w:ascii="Arial" w:cs="Arial" w:eastAsia="Arial" w:hAnsi="Arial"/>
                <w:sz w:val="22"/>
                <w:szCs w:val="22"/>
                <w:color w:val="auto"/>
                <w:w w:val="88"/>
              </w:rPr>
              <w:t>Seller as of the Closing. Buyer is aware that payments may differ in the future and that past payments made are no</w:t>
            </w:r>
          </w:p>
        </w:tc>
      </w:tr>
      <w:tr>
        <w:trPr>
          <w:trHeight w:val="274"/>
        </w:trPr>
        <w:tc>
          <w:tcPr>
            <w:tcW w:w="640" w:type="dxa"/>
            <w:vAlign w:val="bottom"/>
          </w:tcPr>
          <w:p>
            <w:pPr>
              <w:spacing w:after="0"/>
              <w:rPr>
                <w:sz w:val="23"/>
                <w:szCs w:val="23"/>
                <w:color w:val="auto"/>
              </w:rPr>
            </w:pPr>
          </w:p>
        </w:tc>
        <w:tc>
          <w:tcPr>
            <w:tcW w:w="9940" w:type="dxa"/>
            <w:vAlign w:val="bottom"/>
            <w:gridSpan w:val="5"/>
          </w:tcPr>
          <w:p>
            <w:pPr>
              <w:spacing w:after="0"/>
              <w:rPr>
                <w:sz w:val="20"/>
                <w:szCs w:val="20"/>
                <w:color w:val="auto"/>
              </w:rPr>
            </w:pPr>
            <w:r>
              <w:rPr>
                <w:rFonts w:ascii="Arial" w:cs="Arial" w:eastAsia="Arial" w:hAnsi="Arial"/>
                <w:sz w:val="22"/>
                <w:szCs w:val="22"/>
                <w:color w:val="auto"/>
              </w:rPr>
              <w:t>guarantee for future payments to be made.</w:t>
            </w:r>
          </w:p>
        </w:tc>
      </w:tr>
      <w:tr>
        <w:trPr>
          <w:trHeight w:val="382"/>
        </w:trPr>
        <w:tc>
          <w:tcPr>
            <w:tcW w:w="640" w:type="dxa"/>
            <w:vAlign w:val="bottom"/>
          </w:tcPr>
          <w:p>
            <w:pPr>
              <w:spacing w:after="0"/>
              <w:rPr>
                <w:sz w:val="20"/>
                <w:szCs w:val="20"/>
                <w:color w:val="auto"/>
              </w:rPr>
            </w:pPr>
            <w:r>
              <w:rPr>
                <w:rFonts w:ascii="Arial" w:cs="Arial" w:eastAsia="Arial" w:hAnsi="Arial"/>
                <w:sz w:val="22"/>
                <w:szCs w:val="22"/>
                <w:color w:val="auto"/>
              </w:rPr>
              <w:t>(af)</w:t>
            </w:r>
          </w:p>
        </w:tc>
        <w:tc>
          <w:tcPr>
            <w:tcW w:w="2200" w:type="dxa"/>
            <w:vAlign w:val="bottom"/>
            <w:gridSpan w:val="4"/>
          </w:tcPr>
          <w:p>
            <w:pPr>
              <w:spacing w:after="0"/>
              <w:rPr>
                <w:sz w:val="20"/>
                <w:szCs w:val="20"/>
                <w:color w:val="auto"/>
              </w:rPr>
            </w:pPr>
            <w:r>
              <w:rPr>
                <w:rFonts w:ascii="Arial" w:cs="Arial" w:eastAsia="Arial" w:hAnsi="Arial"/>
                <w:sz w:val="22"/>
                <w:szCs w:val="22"/>
                <w:color w:val="auto"/>
                <w:w w:val="92"/>
              </w:rPr>
              <w:t>Schedule 3.10(b) hereto</w:t>
            </w:r>
          </w:p>
        </w:tc>
        <w:tc>
          <w:tcPr>
            <w:tcW w:w="7740" w:type="dxa"/>
            <w:vAlign w:val="bottom"/>
          </w:tcPr>
          <w:p>
            <w:pPr>
              <w:ind w:left="60"/>
              <w:spacing w:after="0"/>
              <w:rPr>
                <w:sz w:val="20"/>
                <w:szCs w:val="20"/>
                <w:color w:val="auto"/>
              </w:rPr>
            </w:pPr>
            <w:r>
              <w:rPr>
                <w:rFonts w:ascii="Arial" w:cs="Arial" w:eastAsia="Arial" w:hAnsi="Arial"/>
                <w:sz w:val="22"/>
                <w:szCs w:val="22"/>
                <w:color w:val="auto"/>
                <w:w w:val="96"/>
              </w:rPr>
              <w:t>sets forth a true and complete list of all milestone payments provided by Licensee</w:t>
            </w:r>
          </w:p>
        </w:tc>
      </w:tr>
      <w:tr>
        <w:trPr>
          <w:trHeight w:val="20"/>
        </w:trPr>
        <w:tc>
          <w:tcPr>
            <w:tcW w:w="64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r>
      <w:tr>
        <w:trPr>
          <w:trHeight w:val="188"/>
        </w:trPr>
        <w:tc>
          <w:tcPr>
            <w:tcW w:w="640" w:type="dxa"/>
            <w:vAlign w:val="bottom"/>
          </w:tcPr>
          <w:p>
            <w:pPr>
              <w:spacing w:after="0"/>
              <w:rPr>
                <w:sz w:val="16"/>
                <w:szCs w:val="16"/>
                <w:color w:val="auto"/>
              </w:rPr>
            </w:pPr>
          </w:p>
        </w:tc>
        <w:tc>
          <w:tcPr>
            <w:tcW w:w="9940" w:type="dxa"/>
            <w:vAlign w:val="bottom"/>
            <w:gridSpan w:val="5"/>
          </w:tcPr>
          <w:p>
            <w:pPr>
              <w:spacing w:after="0" w:line="188" w:lineRule="exact"/>
              <w:rPr>
                <w:sz w:val="20"/>
                <w:szCs w:val="20"/>
                <w:color w:val="auto"/>
              </w:rPr>
            </w:pPr>
            <w:r>
              <w:rPr>
                <w:rFonts w:ascii="Arial" w:cs="Arial" w:eastAsia="Arial" w:hAnsi="Arial"/>
                <w:sz w:val="21"/>
                <w:szCs w:val="21"/>
                <w:color w:val="auto"/>
                <w:w w:val="93"/>
              </w:rPr>
              <w:t>pursuant to Section 6.03 of the License Agreement and, to the Knowledge of Seller, payable by Licensee to Seller,</w:t>
            </w:r>
          </w:p>
        </w:tc>
      </w:tr>
      <w:tr>
        <w:trPr>
          <w:trHeight w:val="274"/>
        </w:trPr>
        <w:tc>
          <w:tcPr>
            <w:tcW w:w="640" w:type="dxa"/>
            <w:vAlign w:val="bottom"/>
          </w:tcPr>
          <w:p>
            <w:pPr>
              <w:spacing w:after="0"/>
              <w:rPr>
                <w:sz w:val="23"/>
                <w:szCs w:val="23"/>
                <w:color w:val="auto"/>
              </w:rPr>
            </w:pPr>
          </w:p>
        </w:tc>
        <w:tc>
          <w:tcPr>
            <w:tcW w:w="9940" w:type="dxa"/>
            <w:vAlign w:val="bottom"/>
            <w:gridSpan w:val="5"/>
          </w:tcPr>
          <w:p>
            <w:pPr>
              <w:spacing w:after="0"/>
              <w:rPr>
                <w:sz w:val="20"/>
                <w:szCs w:val="20"/>
                <w:color w:val="auto"/>
              </w:rPr>
            </w:pPr>
            <w:r>
              <w:rPr>
                <w:rFonts w:ascii="Arial" w:cs="Arial" w:eastAsia="Arial" w:hAnsi="Arial"/>
                <w:sz w:val="22"/>
                <w:szCs w:val="22"/>
                <w:color w:val="auto"/>
              </w:rPr>
              <w:t>through but excluding the Closing Date.</w:t>
            </w:r>
          </w:p>
        </w:tc>
      </w:tr>
      <w:tr>
        <w:trPr>
          <w:trHeight w:val="432"/>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3"/>
          </w:tcPr>
          <w:p>
            <w:pPr>
              <w:ind w:left="500"/>
              <w:spacing w:after="0"/>
              <w:rPr>
                <w:sz w:val="20"/>
                <w:szCs w:val="20"/>
                <w:color w:val="auto"/>
              </w:rPr>
            </w:pPr>
            <w:r>
              <w:rPr>
                <w:rFonts w:ascii="Arial" w:cs="Arial" w:eastAsia="Arial" w:hAnsi="Arial"/>
                <w:sz w:val="22"/>
                <w:szCs w:val="22"/>
                <w:b w:val="1"/>
                <w:bCs w:val="1"/>
                <w:color w:val="auto"/>
                <w:w w:val="89"/>
              </w:rPr>
              <w:t>Section 1.11.</w:t>
            </w:r>
          </w:p>
        </w:tc>
        <w:tc>
          <w:tcPr>
            <w:tcW w:w="7740" w:type="dxa"/>
            <w:vAlign w:val="bottom"/>
          </w:tcPr>
          <w:p>
            <w:pPr>
              <w:ind w:left="380"/>
              <w:spacing w:after="0"/>
              <w:rPr>
                <w:sz w:val="20"/>
                <w:szCs w:val="20"/>
                <w:color w:val="auto"/>
              </w:rPr>
            </w:pPr>
            <w:r>
              <w:rPr>
                <w:rFonts w:ascii="Arial" w:cs="Arial" w:eastAsia="Arial" w:hAnsi="Arial"/>
                <w:sz w:val="22"/>
                <w:szCs w:val="22"/>
                <w:b w:val="1"/>
                <w:bCs w:val="1"/>
                <w:color w:val="auto"/>
              </w:rPr>
              <w:t>Broker’s Fees.</w:t>
            </w:r>
          </w:p>
        </w:tc>
      </w:tr>
    </w:tbl>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Neither Seller nor its Affiliates have taken any action that would entitle any Person to any commission or broker’s fee in connection with the transactions contemplated by the Transaction Documents.</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color w:val="auto"/>
        </w:rPr>
        <w:t>Information.</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All Seller’s written information heretofore or herein supplied by or on behalf of Seller to Buyer is accurate and complete in all material respects, and none of such information, when taken together with all other information furnished and information available through Seller’s SEC filings, contains any untrue statement of a material fact or omits to state any material fact necessary to make such information not materially misleading in light of the circumstances under which made. To the Knowledge of Seller, there is no fact or circumstance that could reasonably be expected to have a Material Adverse Effect that has not been expressly disclosed in this Agreement, in the other Transaction Documents, in any of Seller’s SEC filings, or in any other documents, certificates and statements furnished to Buyer for use in connection with the transactions contemplated hereby. Notwithstanding the above, Seller makes no representation or warranty with respect to the [***] or any other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64" w:right="339" w:bottom="1440" w:gutter="0" w:footer="0" w:header="0"/>
        </w:sectPr>
      </w:pPr>
    </w:p>
    <w:bookmarkStart w:id="108" w:name="page109"/>
    <w:bookmarkEnd w:id="108"/>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color w:val="auto"/>
        </w:rPr>
        <w:t>Insolvency Event; Material Adverse Effect.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No Insolvency Event has occurred regarding Seller. To the Knowledge of Seller, no event has occurred and no condition exists that could reasonably be expected to result in a Material Adverse Effect.</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8"/>
          </w:tcPr>
          <w:p>
            <w:pPr>
              <w:ind w:left="980"/>
              <w:spacing w:after="0"/>
              <w:rPr>
                <w:sz w:val="20"/>
                <w:szCs w:val="20"/>
                <w:color w:val="auto"/>
              </w:rPr>
            </w:pPr>
            <w:r>
              <w:rPr>
                <w:rFonts w:ascii="Arial" w:cs="Arial" w:eastAsia="Arial" w:hAnsi="Arial"/>
                <w:sz w:val="22"/>
                <w:szCs w:val="22"/>
                <w:b w:val="1"/>
                <w:bCs w:val="1"/>
                <w:color w:val="auto"/>
              </w:rPr>
              <w:t>Section 1.14.</w:t>
            </w:r>
          </w:p>
        </w:tc>
        <w:tc>
          <w:tcPr>
            <w:tcW w:w="7560" w:type="dxa"/>
            <w:vAlign w:val="bottom"/>
            <w:gridSpan w:val="8"/>
          </w:tcPr>
          <w:p>
            <w:pPr>
              <w:ind w:left="220"/>
              <w:spacing w:after="0"/>
              <w:rPr>
                <w:sz w:val="20"/>
                <w:szCs w:val="20"/>
                <w:color w:val="auto"/>
              </w:rPr>
            </w:pPr>
            <w:r>
              <w:rPr>
                <w:rFonts w:ascii="Arial" w:cs="Arial" w:eastAsia="Arial" w:hAnsi="Arial"/>
                <w:sz w:val="22"/>
                <w:szCs w:val="22"/>
                <w:b w:val="1"/>
                <w:bCs w:val="1"/>
                <w:color w:val="auto"/>
              </w:rPr>
              <w:t>Indebtedness and Liens.</w:t>
            </w:r>
          </w:p>
        </w:tc>
        <w:tc>
          <w:tcPr>
            <w:tcW w:w="0" w:type="dxa"/>
            <w:vAlign w:val="bottom"/>
          </w:tcPr>
          <w:p>
            <w:pPr>
              <w:spacing w:after="0"/>
              <w:rPr>
                <w:sz w:val="1"/>
                <w:szCs w:val="1"/>
                <w:color w:val="auto"/>
              </w:rPr>
            </w:pPr>
          </w:p>
        </w:tc>
      </w:tr>
      <w:tr>
        <w:trPr>
          <w:trHeight w:val="382"/>
        </w:trPr>
        <w:tc>
          <w:tcPr>
            <w:tcW w:w="520" w:type="dxa"/>
            <w:vAlign w:val="bottom"/>
          </w:tcPr>
          <w:p>
            <w:pPr>
              <w:spacing w:after="0"/>
              <w:rPr>
                <w:sz w:val="20"/>
                <w:szCs w:val="20"/>
                <w:color w:val="auto"/>
              </w:rPr>
            </w:pPr>
            <w:r>
              <w:rPr>
                <w:rFonts w:ascii="Arial" w:cs="Arial" w:eastAsia="Arial" w:hAnsi="Arial"/>
                <w:sz w:val="22"/>
                <w:szCs w:val="22"/>
                <w:color w:val="auto"/>
              </w:rPr>
              <w:t>(ag)</w:t>
            </w:r>
          </w:p>
        </w:tc>
        <w:tc>
          <w:tcPr>
            <w:tcW w:w="1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w w:val="99"/>
              </w:rPr>
              <w:t>Set forth on Schedule 3.14(a) is a complete and correct list of all Indebtedness of Seller and each of its</w:t>
            </w:r>
          </w:p>
        </w:tc>
        <w:tc>
          <w:tcPr>
            <w:tcW w:w="0" w:type="dxa"/>
            <w:vAlign w:val="bottom"/>
          </w:tcPr>
          <w:p>
            <w:pPr>
              <w:spacing w:after="0"/>
              <w:rPr>
                <w:sz w:val="1"/>
                <w:szCs w:val="1"/>
                <w:color w:val="auto"/>
              </w:rPr>
            </w:pPr>
          </w:p>
        </w:tc>
      </w:tr>
      <w:tr>
        <w:trPr>
          <w:trHeight w:val="268"/>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22"/>
                <w:szCs w:val="22"/>
                <w:color w:val="auto"/>
              </w:rPr>
              <w:t>Subsidiaries</w:t>
            </w:r>
          </w:p>
        </w:tc>
        <w:tc>
          <w:tcPr>
            <w:tcW w:w="114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w w:val="93"/>
              </w:rPr>
              <w:t>outstanding.</w:t>
            </w:r>
          </w:p>
        </w:tc>
        <w:tc>
          <w:tcPr>
            <w:tcW w:w="3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0"/>
                <w:szCs w:val="20"/>
                <w:color w:val="auto"/>
              </w:rPr>
            </w:pPr>
            <w:r>
              <w:rPr>
                <w:rFonts w:ascii="Arial" w:cs="Arial" w:eastAsia="Arial" w:hAnsi="Arial"/>
                <w:sz w:val="22"/>
                <w:szCs w:val="22"/>
                <w:color w:val="auto"/>
              </w:rPr>
              <w:t>(ah)</w:t>
            </w:r>
          </w:p>
        </w:tc>
        <w:tc>
          <w:tcPr>
            <w:tcW w:w="1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w w:val="98"/>
              </w:rPr>
              <w:t>Set forth on Schedule 3.14(b) is a complete and correct list of all Liens granted by Seller and each of its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22"/>
                <w:szCs w:val="22"/>
                <w:color w:val="auto"/>
                <w:w w:val="98"/>
              </w:rPr>
              <w:t>Subsidiaries</w:t>
            </w: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2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8740" w:type="dxa"/>
            <w:vAlign w:val="bottom"/>
            <w:gridSpan w:val="15"/>
          </w:tcPr>
          <w:p>
            <w:pPr>
              <w:jc w:val="center"/>
              <w:ind w:right="5237"/>
              <w:spacing w:after="0"/>
              <w:rPr>
                <w:sz w:val="20"/>
                <w:szCs w:val="20"/>
                <w:color w:val="auto"/>
              </w:rPr>
            </w:pPr>
            <w:r>
              <w:rPr>
                <w:rFonts w:ascii="Arial" w:cs="Arial" w:eastAsia="Arial" w:hAnsi="Arial"/>
                <w:sz w:val="22"/>
                <w:szCs w:val="22"/>
                <w:color w:val="auto"/>
                <w:w w:val="87"/>
              </w:rPr>
              <w:t>with respect to their respective property.</w:t>
            </w:r>
          </w:p>
        </w:tc>
        <w:tc>
          <w:tcPr>
            <w:tcW w:w="0" w:type="dxa"/>
            <w:vAlign w:val="bottom"/>
          </w:tcPr>
          <w:p>
            <w:pPr>
              <w:spacing w:after="0"/>
              <w:rPr>
                <w:sz w:val="1"/>
                <w:szCs w:val="1"/>
                <w:color w:val="auto"/>
              </w:rPr>
            </w:pPr>
          </w:p>
        </w:tc>
      </w:tr>
      <w:tr>
        <w:trPr>
          <w:trHeight w:val="41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8"/>
          </w:tcPr>
          <w:p>
            <w:pPr>
              <w:ind w:left="980"/>
              <w:spacing w:after="0"/>
              <w:rPr>
                <w:sz w:val="20"/>
                <w:szCs w:val="20"/>
                <w:color w:val="auto"/>
              </w:rPr>
            </w:pPr>
            <w:r>
              <w:rPr>
                <w:rFonts w:ascii="Arial" w:cs="Arial" w:eastAsia="Arial" w:hAnsi="Arial"/>
                <w:sz w:val="22"/>
                <w:szCs w:val="22"/>
                <w:b w:val="1"/>
                <w:bCs w:val="1"/>
                <w:color w:val="auto"/>
              </w:rPr>
              <w:t>Section 1.1.</w:t>
            </w:r>
          </w:p>
        </w:tc>
        <w:tc>
          <w:tcPr>
            <w:tcW w:w="7560" w:type="dxa"/>
            <w:vAlign w:val="bottom"/>
            <w:gridSpan w:val="8"/>
          </w:tcPr>
          <w:p>
            <w:pPr>
              <w:ind w:left="220"/>
              <w:spacing w:after="0"/>
              <w:rPr>
                <w:sz w:val="20"/>
                <w:szCs w:val="20"/>
                <w:color w:val="auto"/>
              </w:rPr>
            </w:pPr>
            <w:r>
              <w:rPr>
                <w:rFonts w:ascii="Arial" w:cs="Arial" w:eastAsia="Arial" w:hAnsi="Arial"/>
                <w:sz w:val="22"/>
                <w:szCs w:val="22"/>
                <w:b w:val="1"/>
                <w:bCs w:val="1"/>
                <w:color w:val="auto"/>
              </w:rPr>
              <w:t>Intellectual Property Rights.</w:t>
            </w:r>
          </w:p>
        </w:tc>
        <w:tc>
          <w:tcPr>
            <w:tcW w:w="0" w:type="dxa"/>
            <w:vAlign w:val="bottom"/>
          </w:tcPr>
          <w:p>
            <w:pPr>
              <w:spacing w:after="0"/>
              <w:rPr>
                <w:sz w:val="1"/>
                <w:szCs w:val="1"/>
                <w:color w:val="auto"/>
              </w:rPr>
            </w:pPr>
          </w:p>
        </w:tc>
      </w:tr>
      <w:tr>
        <w:trPr>
          <w:trHeight w:val="382"/>
        </w:trPr>
        <w:tc>
          <w:tcPr>
            <w:tcW w:w="520" w:type="dxa"/>
            <w:vAlign w:val="bottom"/>
          </w:tcPr>
          <w:p>
            <w:pPr>
              <w:spacing w:after="0"/>
              <w:rPr>
                <w:sz w:val="20"/>
                <w:szCs w:val="20"/>
                <w:color w:val="auto"/>
              </w:rPr>
            </w:pPr>
            <w:r>
              <w:rPr>
                <w:rFonts w:ascii="Arial" w:cs="Arial" w:eastAsia="Arial" w:hAnsi="Arial"/>
                <w:sz w:val="22"/>
                <w:szCs w:val="22"/>
                <w:color w:val="auto"/>
              </w:rPr>
              <w:t>(ai)</w:t>
            </w:r>
          </w:p>
        </w:tc>
        <w:tc>
          <w:tcPr>
            <w:tcW w:w="10060" w:type="dxa"/>
            <w:vAlign w:val="bottom"/>
            <w:gridSpan w:val="17"/>
          </w:tcPr>
          <w:p>
            <w:pPr>
              <w:ind w:left="120"/>
              <w:spacing w:after="0"/>
              <w:rPr>
                <w:sz w:val="20"/>
                <w:szCs w:val="20"/>
                <w:color w:val="auto"/>
              </w:rPr>
            </w:pPr>
            <w:r>
              <w:rPr>
                <w:rFonts w:ascii="Arial" w:cs="Arial" w:eastAsia="Arial" w:hAnsi="Arial"/>
                <w:sz w:val="22"/>
                <w:szCs w:val="22"/>
                <w:color w:val="auto"/>
                <w:w w:val="96"/>
              </w:rPr>
              <w:t>Schedule 3.15(a) sets forth under the caption, “Ardelyx Controlled Patents,” the following for each Ardelyx</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4"/>
          </w:tcPr>
          <w:p>
            <w:pPr>
              <w:spacing w:after="0" w:line="188" w:lineRule="exact"/>
              <w:rPr>
                <w:sz w:val="20"/>
                <w:szCs w:val="20"/>
                <w:color w:val="auto"/>
              </w:rPr>
            </w:pPr>
            <w:r>
              <w:rPr>
                <w:rFonts w:ascii="Arial" w:cs="Arial" w:eastAsia="Arial" w:hAnsi="Arial"/>
                <w:sz w:val="21"/>
                <w:szCs w:val="21"/>
                <w:color w:val="auto"/>
                <w:w w:val="88"/>
              </w:rPr>
              <w:t>Controlled Patent:</w:t>
            </w:r>
          </w:p>
        </w:tc>
        <w:tc>
          <w:tcPr>
            <w:tcW w:w="2880" w:type="dxa"/>
            <w:vAlign w:val="bottom"/>
            <w:gridSpan w:val="10"/>
          </w:tcPr>
          <w:p>
            <w:pPr>
              <w:ind w:left="180"/>
              <w:spacing w:after="0" w:line="188" w:lineRule="exact"/>
              <w:rPr>
                <w:sz w:val="20"/>
                <w:szCs w:val="20"/>
                <w:color w:val="auto"/>
              </w:rPr>
            </w:pPr>
            <w:r>
              <w:rPr>
                <w:rFonts w:ascii="Arial" w:cs="Arial" w:eastAsia="Arial" w:hAnsi="Arial"/>
                <w:sz w:val="21"/>
                <w:szCs w:val="21"/>
                <w:color w:val="auto"/>
                <w:w w:val="98"/>
              </w:rPr>
              <w:t>(i) the application number; (ii)</w:t>
            </w:r>
          </w:p>
        </w:tc>
        <w:tc>
          <w:tcPr>
            <w:tcW w:w="2500" w:type="dxa"/>
            <w:vAlign w:val="bottom"/>
            <w:tcBorders>
              <w:top w:val="single" w:sz="8" w:color="auto"/>
            </w:tcBorders>
          </w:tcPr>
          <w:p>
            <w:pPr>
              <w:ind w:left="100"/>
              <w:spacing w:after="0" w:line="188" w:lineRule="exact"/>
              <w:rPr>
                <w:sz w:val="20"/>
                <w:szCs w:val="20"/>
                <w:color w:val="auto"/>
              </w:rPr>
            </w:pPr>
            <w:r>
              <w:rPr>
                <w:rFonts w:ascii="Arial" w:cs="Arial" w:eastAsia="Arial" w:hAnsi="Arial"/>
                <w:sz w:val="21"/>
                <w:szCs w:val="21"/>
                <w:color w:val="auto"/>
              </w:rPr>
              <w:t>the title of the application</w:t>
            </w:r>
          </w:p>
        </w:tc>
        <w:tc>
          <w:tcPr>
            <w:tcW w:w="3060" w:type="dxa"/>
            <w:vAlign w:val="bottom"/>
          </w:tcPr>
          <w:p>
            <w:pPr>
              <w:spacing w:after="0" w:line="188" w:lineRule="exact"/>
              <w:rPr>
                <w:sz w:val="20"/>
                <w:szCs w:val="20"/>
                <w:color w:val="auto"/>
              </w:rPr>
            </w:pPr>
            <w:r>
              <w:rPr>
                <w:rFonts w:ascii="Arial" w:cs="Arial" w:eastAsia="Arial" w:hAnsi="Arial"/>
                <w:sz w:val="21"/>
                <w:szCs w:val="21"/>
                <w:color w:val="auto"/>
                <w:w w:val="98"/>
              </w:rPr>
              <w:t>or patent, if any, (iii) the patent 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6"/>
          </w:tcPr>
          <w:p>
            <w:pPr>
              <w:spacing w:after="0" w:line="216" w:lineRule="exact"/>
              <w:rPr>
                <w:sz w:val="20"/>
                <w:szCs w:val="20"/>
                <w:color w:val="auto"/>
              </w:rPr>
            </w:pPr>
            <w:r>
              <w:rPr>
                <w:rFonts w:ascii="Arial" w:cs="Arial" w:eastAsia="Arial" w:hAnsi="Arial"/>
                <w:sz w:val="22"/>
                <w:szCs w:val="22"/>
                <w:color w:val="auto"/>
                <w:w w:val="95"/>
              </w:rPr>
              <w:t>registration number, if any; and (iv) the scheduled initial expiration date of such Ardelyx Controlled Patents,</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rPr>
              <w:t>including a notation if such scheduled expiration date includes a term extension.</w:t>
            </w:r>
          </w:p>
        </w:tc>
        <w:tc>
          <w:tcPr>
            <w:tcW w:w="0" w:type="dxa"/>
            <w:vAlign w:val="bottom"/>
          </w:tcPr>
          <w:p>
            <w:pPr>
              <w:spacing w:after="0"/>
              <w:rPr>
                <w:sz w:val="1"/>
                <w:szCs w:val="1"/>
                <w:color w:val="auto"/>
              </w:rPr>
            </w:pPr>
          </w:p>
        </w:tc>
      </w:tr>
      <w:tr>
        <w:trPr>
          <w:trHeight w:val="382"/>
        </w:trPr>
        <w:tc>
          <w:tcPr>
            <w:tcW w:w="520" w:type="dxa"/>
            <w:vAlign w:val="bottom"/>
          </w:tcPr>
          <w:p>
            <w:pPr>
              <w:spacing w:after="0"/>
              <w:rPr>
                <w:sz w:val="20"/>
                <w:szCs w:val="20"/>
                <w:color w:val="auto"/>
              </w:rPr>
            </w:pPr>
            <w:r>
              <w:rPr>
                <w:rFonts w:ascii="Arial" w:cs="Arial" w:eastAsia="Arial" w:hAnsi="Arial"/>
                <w:sz w:val="22"/>
                <w:szCs w:val="22"/>
                <w:color w:val="auto"/>
              </w:rPr>
              <w:t>(aj)</w:t>
            </w:r>
          </w:p>
        </w:tc>
        <w:tc>
          <w:tcPr>
            <w:tcW w:w="10060" w:type="dxa"/>
            <w:vAlign w:val="bottom"/>
            <w:gridSpan w:val="17"/>
          </w:tcPr>
          <w:p>
            <w:pPr>
              <w:ind w:left="120"/>
              <w:spacing w:after="0"/>
              <w:rPr>
                <w:sz w:val="20"/>
                <w:szCs w:val="20"/>
                <w:color w:val="auto"/>
              </w:rPr>
            </w:pPr>
            <w:r>
              <w:rPr>
                <w:rFonts w:ascii="Arial" w:cs="Arial" w:eastAsia="Arial" w:hAnsi="Arial"/>
                <w:sz w:val="22"/>
                <w:szCs w:val="22"/>
                <w:color w:val="auto"/>
                <w:w w:val="90"/>
              </w:rPr>
              <w:t>Schedule 3.15(a) includes a complete and accurate list of all Patents Controlled by Seller in the Territory that are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w w:val="94"/>
              </w:rPr>
              <w:t>necessary or useful to Exploit the Licensed Product in accordance with the terms of the License Agreement.</w:t>
            </w:r>
          </w:p>
        </w:tc>
        <w:tc>
          <w:tcPr>
            <w:tcW w:w="0" w:type="dxa"/>
            <w:vAlign w:val="bottom"/>
          </w:tcPr>
          <w:p>
            <w:pPr>
              <w:spacing w:after="0"/>
              <w:rPr>
                <w:sz w:val="1"/>
                <w:szCs w:val="1"/>
                <w:color w:val="auto"/>
              </w:rPr>
            </w:pPr>
          </w:p>
        </w:tc>
      </w:tr>
      <w:tr>
        <w:trPr>
          <w:trHeight w:val="360"/>
        </w:trPr>
        <w:tc>
          <w:tcPr>
            <w:tcW w:w="520" w:type="dxa"/>
            <w:vAlign w:val="bottom"/>
          </w:tcPr>
          <w:p>
            <w:pPr>
              <w:spacing w:after="0"/>
              <w:rPr>
                <w:sz w:val="20"/>
                <w:szCs w:val="20"/>
                <w:color w:val="auto"/>
              </w:rPr>
            </w:pPr>
            <w:r>
              <w:rPr>
                <w:rFonts w:ascii="Arial" w:cs="Arial" w:eastAsia="Arial" w:hAnsi="Arial"/>
                <w:sz w:val="22"/>
                <w:szCs w:val="22"/>
                <w:color w:val="auto"/>
              </w:rPr>
              <w:t>(ak)</w:t>
            </w:r>
          </w:p>
        </w:tc>
        <w:tc>
          <w:tcPr>
            <w:tcW w:w="1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w w:val="94"/>
              </w:rPr>
              <w:t>Except as set forth on Schedule 3.15(c), to the Knowledge of Seller, there have not been, nor are there, any</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gridSpan w:val="16"/>
          </w:tcPr>
          <w:p>
            <w:pPr>
              <w:spacing w:after="0" w:line="188" w:lineRule="exact"/>
              <w:rPr>
                <w:sz w:val="20"/>
                <w:szCs w:val="20"/>
                <w:color w:val="auto"/>
              </w:rPr>
            </w:pPr>
            <w:r>
              <w:rPr>
                <w:rFonts w:ascii="Arial" w:cs="Arial" w:eastAsia="Arial" w:hAnsi="Arial"/>
                <w:sz w:val="21"/>
                <w:szCs w:val="21"/>
                <w:color w:val="auto"/>
                <w:w w:val="99"/>
              </w:rPr>
              <w:t>Disputes relating to Seller’s or its Subsidiaries’ rights in the Ardelyx Controlled Patents or related Intellectual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6"/>
          </w:tcPr>
          <w:p>
            <w:pPr>
              <w:spacing w:after="0" w:line="216" w:lineRule="exact"/>
              <w:rPr>
                <w:sz w:val="20"/>
                <w:szCs w:val="20"/>
                <w:color w:val="auto"/>
              </w:rPr>
            </w:pPr>
            <w:r>
              <w:rPr>
                <w:rFonts w:ascii="Arial" w:cs="Arial" w:eastAsia="Arial" w:hAnsi="Arial"/>
                <w:sz w:val="22"/>
                <w:szCs w:val="22"/>
                <w:color w:val="auto"/>
                <w:w w:val="97"/>
              </w:rPr>
              <w:t>Property Rights. To the Knowledge of Seller, there have not been, nor are there, any Disputes relating to</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rPr>
              <w:t>Licensee’s rights in the Ardelyx Controlled Patents or related Intellectual Property Rights.</w:t>
            </w:r>
          </w:p>
        </w:tc>
        <w:tc>
          <w:tcPr>
            <w:tcW w:w="0" w:type="dxa"/>
            <w:vAlign w:val="bottom"/>
          </w:tcPr>
          <w:p>
            <w:pPr>
              <w:spacing w:after="0"/>
              <w:rPr>
                <w:sz w:val="1"/>
                <w:szCs w:val="1"/>
                <w:color w:val="auto"/>
              </w:rPr>
            </w:pPr>
          </w:p>
        </w:tc>
      </w:tr>
      <w:tr>
        <w:trPr>
          <w:trHeight w:val="374"/>
        </w:trPr>
        <w:tc>
          <w:tcPr>
            <w:tcW w:w="520" w:type="dxa"/>
            <w:vAlign w:val="bottom"/>
          </w:tcPr>
          <w:p>
            <w:pPr>
              <w:ind w:left="80"/>
              <w:spacing w:after="0"/>
              <w:rPr>
                <w:sz w:val="20"/>
                <w:szCs w:val="20"/>
                <w:color w:val="auto"/>
              </w:rPr>
            </w:pPr>
            <w:r>
              <w:rPr>
                <w:rFonts w:ascii="Arial" w:cs="Arial" w:eastAsia="Arial" w:hAnsi="Arial"/>
                <w:sz w:val="22"/>
                <w:szCs w:val="22"/>
                <w:color w:val="auto"/>
              </w:rPr>
              <w:t>(al)</w:t>
            </w:r>
          </w:p>
        </w:tc>
        <w:tc>
          <w:tcPr>
            <w:tcW w:w="120" w:type="dxa"/>
            <w:vAlign w:val="bottom"/>
          </w:tcPr>
          <w:p>
            <w:pPr>
              <w:spacing w:after="0"/>
              <w:rPr>
                <w:sz w:val="24"/>
                <w:szCs w:val="24"/>
                <w:color w:val="auto"/>
              </w:rPr>
            </w:pPr>
          </w:p>
        </w:tc>
        <w:tc>
          <w:tcPr>
            <w:tcW w:w="9940" w:type="dxa"/>
            <w:vAlign w:val="bottom"/>
            <w:gridSpan w:val="16"/>
          </w:tcPr>
          <w:p>
            <w:pPr>
              <w:ind w:left="80"/>
              <w:spacing w:after="0"/>
              <w:rPr>
                <w:sz w:val="20"/>
                <w:szCs w:val="20"/>
                <w:color w:val="auto"/>
              </w:rPr>
            </w:pPr>
            <w:r>
              <w:rPr>
                <w:rFonts w:ascii="Arial" w:cs="Arial" w:eastAsia="Arial" w:hAnsi="Arial"/>
                <w:sz w:val="22"/>
                <w:szCs w:val="22"/>
                <w:color w:val="auto"/>
                <w:w w:val="94"/>
              </w:rPr>
              <w:t>To the Knowledge of Seller, neither Seller nor its Subsidiaries has received, and to the Knowledge of Seller,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6"/>
          </w:tcPr>
          <w:p>
            <w:pPr>
              <w:ind w:left="80"/>
              <w:spacing w:after="0" w:line="216" w:lineRule="exact"/>
              <w:rPr>
                <w:sz w:val="20"/>
                <w:szCs w:val="20"/>
                <w:color w:val="auto"/>
              </w:rPr>
            </w:pPr>
            <w:r>
              <w:rPr>
                <w:rFonts w:ascii="Arial" w:cs="Arial" w:eastAsia="Arial" w:hAnsi="Arial"/>
                <w:sz w:val="22"/>
                <w:szCs w:val="22"/>
                <w:color w:val="auto"/>
                <w:w w:val="95"/>
              </w:rPr>
              <w:t>Licensee has not received, any opinion of counsel that any of the Ardelyx Controlled Patents are invalid 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6"/>
          </w:tcPr>
          <w:p>
            <w:pPr>
              <w:ind w:left="80"/>
              <w:spacing w:after="0" w:line="216" w:lineRule="exact"/>
              <w:rPr>
                <w:sz w:val="20"/>
                <w:szCs w:val="20"/>
                <w:color w:val="auto"/>
              </w:rPr>
            </w:pPr>
            <w:r>
              <w:rPr>
                <w:rFonts w:ascii="Arial" w:cs="Arial" w:eastAsia="Arial" w:hAnsi="Arial"/>
                <w:sz w:val="22"/>
                <w:szCs w:val="22"/>
                <w:color w:val="auto"/>
                <w:w w:val="89"/>
              </w:rPr>
              <w:t>unenforceable. To the Knowledge of Seller, neither Seller nor its Subsidiaries has received, and to the Knowledge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6"/>
          </w:tcPr>
          <w:p>
            <w:pPr>
              <w:ind w:left="80"/>
              <w:spacing w:after="0" w:line="216" w:lineRule="exact"/>
              <w:rPr>
                <w:sz w:val="20"/>
                <w:szCs w:val="20"/>
                <w:color w:val="auto"/>
              </w:rPr>
            </w:pPr>
            <w:r>
              <w:rPr>
                <w:rFonts w:ascii="Arial" w:cs="Arial" w:eastAsia="Arial" w:hAnsi="Arial"/>
                <w:sz w:val="22"/>
                <w:szCs w:val="22"/>
                <w:color w:val="auto"/>
                <w:w w:val="98"/>
              </w:rPr>
              <w:t>of Seller, Licensee has not received, any notice of any claim by any Third Party challenging the validity,</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40" w:type="dxa"/>
            <w:vAlign w:val="bottom"/>
            <w:gridSpan w:val="16"/>
          </w:tcPr>
          <w:p>
            <w:pPr>
              <w:ind w:left="80"/>
              <w:spacing w:after="0"/>
              <w:rPr>
                <w:sz w:val="20"/>
                <w:szCs w:val="20"/>
                <w:color w:val="auto"/>
              </w:rPr>
            </w:pPr>
            <w:r>
              <w:rPr>
                <w:rFonts w:ascii="Arial" w:cs="Arial" w:eastAsia="Arial" w:hAnsi="Arial"/>
                <w:sz w:val="22"/>
                <w:szCs w:val="22"/>
                <w:color w:val="auto"/>
              </w:rPr>
              <w:t>inventorship, ownership or enforceability of any of the Ardelyx Controlled Patents.</w:t>
            </w:r>
          </w:p>
        </w:tc>
        <w:tc>
          <w:tcPr>
            <w:tcW w:w="0" w:type="dxa"/>
            <w:vAlign w:val="bottom"/>
          </w:tcPr>
          <w:p>
            <w:pPr>
              <w:spacing w:after="0"/>
              <w:rPr>
                <w:sz w:val="1"/>
                <w:szCs w:val="1"/>
                <w:color w:val="auto"/>
              </w:rPr>
            </w:pPr>
          </w:p>
        </w:tc>
      </w:tr>
      <w:tr>
        <w:trPr>
          <w:trHeight w:val="381"/>
        </w:trPr>
        <w:tc>
          <w:tcPr>
            <w:tcW w:w="520" w:type="dxa"/>
            <w:vAlign w:val="bottom"/>
          </w:tcPr>
          <w:p>
            <w:pPr>
              <w:spacing w:after="0"/>
              <w:rPr>
                <w:sz w:val="20"/>
                <w:szCs w:val="20"/>
                <w:color w:val="auto"/>
              </w:rPr>
            </w:pPr>
            <w:r>
              <w:rPr>
                <w:rFonts w:ascii="Arial" w:cs="Arial" w:eastAsia="Arial" w:hAnsi="Arial"/>
                <w:sz w:val="22"/>
                <w:szCs w:val="22"/>
                <w:color w:val="auto"/>
              </w:rPr>
              <w:t>(am)</w:t>
            </w:r>
          </w:p>
        </w:tc>
        <w:tc>
          <w:tcPr>
            <w:tcW w:w="10060" w:type="dxa"/>
            <w:vAlign w:val="bottom"/>
            <w:gridSpan w:val="17"/>
          </w:tcPr>
          <w:p>
            <w:pPr>
              <w:ind w:left="120"/>
              <w:spacing w:after="0"/>
              <w:rPr>
                <w:sz w:val="20"/>
                <w:szCs w:val="20"/>
                <w:color w:val="auto"/>
              </w:rPr>
            </w:pPr>
            <w:r>
              <w:rPr>
                <w:rFonts w:ascii="Arial" w:cs="Arial" w:eastAsia="Arial" w:hAnsi="Arial"/>
                <w:sz w:val="22"/>
                <w:szCs w:val="22"/>
                <w:color w:val="auto"/>
                <w:w w:val="89"/>
              </w:rPr>
              <w:t>Except as set forth on Schedule 3.15(e), to the Knowledge of Seller, there is at least one valid claim in each of the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gridSpan w:val="16"/>
          </w:tcPr>
          <w:p>
            <w:pPr>
              <w:spacing w:after="0" w:line="188" w:lineRule="exact"/>
              <w:rPr>
                <w:sz w:val="20"/>
                <w:szCs w:val="20"/>
                <w:color w:val="auto"/>
              </w:rPr>
            </w:pPr>
            <w:r>
              <w:rPr>
                <w:rFonts w:ascii="Arial" w:cs="Arial" w:eastAsia="Arial" w:hAnsi="Arial"/>
                <w:sz w:val="21"/>
                <w:szCs w:val="21"/>
                <w:color w:val="auto"/>
                <w:w w:val="96"/>
              </w:rPr>
              <w:t>Ardelyx Controlled Patents that would be infringed by Licensee’s Exploitation of the Product in the Territory but</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rPr>
              <w:t>for Licensee’s license under the License Agreement to such Ardelyx Controlled Patents.</w:t>
            </w:r>
          </w:p>
        </w:tc>
        <w:tc>
          <w:tcPr>
            <w:tcW w:w="0" w:type="dxa"/>
            <w:vAlign w:val="bottom"/>
          </w:tcPr>
          <w:p>
            <w:pPr>
              <w:spacing w:after="0"/>
              <w:rPr>
                <w:sz w:val="1"/>
                <w:szCs w:val="1"/>
                <w:color w:val="auto"/>
              </w:rPr>
            </w:pPr>
          </w:p>
        </w:tc>
      </w:tr>
      <w:tr>
        <w:trPr>
          <w:trHeight w:val="381"/>
        </w:trPr>
        <w:tc>
          <w:tcPr>
            <w:tcW w:w="520" w:type="dxa"/>
            <w:vAlign w:val="bottom"/>
          </w:tcPr>
          <w:p>
            <w:pPr>
              <w:spacing w:after="0"/>
              <w:rPr>
                <w:sz w:val="20"/>
                <w:szCs w:val="20"/>
                <w:color w:val="auto"/>
              </w:rPr>
            </w:pPr>
            <w:r>
              <w:rPr>
                <w:rFonts w:ascii="Arial" w:cs="Arial" w:eastAsia="Arial" w:hAnsi="Arial"/>
                <w:sz w:val="22"/>
                <w:szCs w:val="22"/>
                <w:color w:val="auto"/>
              </w:rPr>
              <w:t>(an)</w:t>
            </w:r>
          </w:p>
        </w:tc>
        <w:tc>
          <w:tcPr>
            <w:tcW w:w="1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22"/>
                <w:szCs w:val="22"/>
                <w:color w:val="auto"/>
                <w:w w:val="88"/>
              </w:rPr>
              <w:t>Except as set forth on Schedule 3.15(f), there are no pending, decided or settled Disputes, and to the Knowledge of</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5"/>
            <w:vMerge w:val="restart"/>
          </w:tcPr>
          <w:p>
            <w:pPr>
              <w:spacing w:after="0"/>
              <w:rPr>
                <w:sz w:val="20"/>
                <w:szCs w:val="20"/>
                <w:color w:val="auto"/>
              </w:rPr>
            </w:pPr>
            <w:r>
              <w:rPr>
                <w:rFonts w:ascii="Arial" w:cs="Arial" w:eastAsia="Arial" w:hAnsi="Arial"/>
                <w:sz w:val="22"/>
                <w:szCs w:val="22"/>
                <w:color w:val="auto"/>
                <w:w w:val="83"/>
              </w:rPr>
              <w:t>Seller, no such Dispute</w:t>
            </w:r>
          </w:p>
        </w:tc>
        <w:tc>
          <w:tcPr>
            <w:tcW w:w="1440" w:type="dxa"/>
            <w:vAlign w:val="bottom"/>
            <w:gridSpan w:val="6"/>
            <w:shd w:val="clear" w:color="auto" w:fill="000000"/>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5"/>
            <w:vMerge w:val="continue"/>
          </w:tcPr>
          <w:p>
            <w:pPr>
              <w:spacing w:after="0"/>
              <w:rPr>
                <w:sz w:val="23"/>
                <w:szCs w:val="23"/>
                <w:color w:val="auto"/>
              </w:rPr>
            </w:pPr>
          </w:p>
        </w:tc>
        <w:tc>
          <w:tcPr>
            <w:tcW w:w="8020" w:type="dxa"/>
            <w:vAlign w:val="bottom"/>
            <w:gridSpan w:val="11"/>
          </w:tcPr>
          <w:p>
            <w:pPr>
              <w:jc w:val="center"/>
              <w:ind w:right="5937"/>
              <w:spacing w:after="0"/>
              <w:rPr>
                <w:sz w:val="20"/>
                <w:szCs w:val="20"/>
                <w:color w:val="auto"/>
              </w:rPr>
            </w:pPr>
            <w:r>
              <w:rPr>
                <w:rFonts w:ascii="Arial" w:cs="Arial" w:eastAsia="Arial" w:hAnsi="Arial"/>
                <w:sz w:val="22"/>
                <w:szCs w:val="22"/>
                <w:color w:val="auto"/>
                <w:w w:val="84"/>
              </w:rPr>
              <w:t>has been threatened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09" w:name="page110"/>
    <w:bookmarkEnd w:id="109"/>
    <w:tbl>
      <w:tblPr>
        <w:tblLayout w:type="fixed"/>
        <w:tblInd w:w="66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95"/>
              </w:rPr>
              <w:t>that could (i) impact the validity, enforceability, scope, inventorship or ownership of any of the claims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2"/>
              </w:rPr>
              <w:t>Ardelyx Controlled Patents, or (ii) otherwise impact whether any claim within the Ardelyx Controlled Patents or</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rPr>
              <w:t>Licensee Controlled Patents is a valid claim.</w:t>
            </w: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(ao)</w:t>
            </w: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89"/>
              </w:rPr>
              <w:t>The term for which consideration is to be paid pursuant to the License Agreement as is set forth in Section 6.04(d)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89"/>
              </w:rPr>
              <w:t>on Exhibit A of Amendment Number 2 of the License Agreement has not been amended or revised since the date</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rPr>
              <w:t>thereof.</w:t>
            </w: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(ap)</w:t>
            </w: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90"/>
              </w:rPr>
              <w:t>To the Knowledge of Seller, each of the Ardelyx Controlled Patents correctly identifies each and every inventor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1"/>
              </w:rPr>
              <w:t>the claims thereof as determined in accordance with the laws of Japan. To the Knowledge of Seller, there is not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5"/>
              </w:rPr>
              <w:t>any Person who is or claims to be an inventor of any of the Ardelyx Controlled Patents who is not a named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0"/>
              </w:rPr>
              <w:t>inventor thereof. Seller and its Subsidiaries have not, and to the Knowledge of Seller, Licensee has not, received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0"/>
              </w:rPr>
              <w:t>any notice from any Person who is or claims to be an inventor of any of the Ardelyx Controlled Patents who is not</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rPr>
              <w:t>a named inventor thereof.</w:t>
            </w:r>
          </w:p>
        </w:tc>
        <w:tc>
          <w:tcPr>
            <w:tcW w:w="0" w:type="dxa"/>
            <w:vAlign w:val="bottom"/>
          </w:tcPr>
          <w:p>
            <w:pPr>
              <w:spacing w:after="0"/>
              <w:rPr>
                <w:sz w:val="1"/>
                <w:szCs w:val="1"/>
                <w:color w:val="auto"/>
              </w:rPr>
            </w:pPr>
          </w:p>
        </w:tc>
      </w:tr>
      <w:tr>
        <w:trPr>
          <w:trHeight w:val="374"/>
        </w:trPr>
        <w:tc>
          <w:tcPr>
            <w:tcW w:w="520" w:type="dxa"/>
            <w:vAlign w:val="bottom"/>
          </w:tcPr>
          <w:p>
            <w:pPr>
              <w:ind w:left="80"/>
              <w:spacing w:after="0"/>
              <w:rPr>
                <w:sz w:val="20"/>
                <w:szCs w:val="20"/>
                <w:color w:val="auto"/>
              </w:rPr>
            </w:pPr>
            <w:r>
              <w:rPr>
                <w:rFonts w:ascii="Arial" w:cs="Arial" w:eastAsia="Arial" w:hAnsi="Arial"/>
                <w:sz w:val="22"/>
                <w:szCs w:val="22"/>
                <w:color w:val="auto"/>
              </w:rPr>
              <w:t>(aq)</w:t>
            </w:r>
          </w:p>
        </w:tc>
        <w:tc>
          <w:tcPr>
            <w:tcW w:w="10060" w:type="dxa"/>
            <w:vAlign w:val="bottom"/>
            <w:gridSpan w:val="3"/>
          </w:tcPr>
          <w:p>
            <w:pPr>
              <w:ind w:left="200"/>
              <w:spacing w:after="0"/>
              <w:rPr>
                <w:sz w:val="20"/>
                <w:szCs w:val="20"/>
                <w:color w:val="auto"/>
              </w:rPr>
            </w:pPr>
            <w:r>
              <w:rPr>
                <w:rFonts w:ascii="Arial" w:cs="Arial" w:eastAsia="Arial" w:hAnsi="Arial"/>
                <w:sz w:val="22"/>
                <w:szCs w:val="22"/>
                <w:color w:val="auto"/>
                <w:w w:val="90"/>
              </w:rPr>
              <w:t>To the Knowledge of Seller, each Person who has or has had any rights in or to the Ardelyx Controlled Patents,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0"/>
              </w:rPr>
              <w:t>including each inventor named on the Ardelyx Controlled Patents, has executed a Contract assigning his, her 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8"/>
              </w:rPr>
              <w:t>its entire right, title and interest in and to such Ardelyx Controlled Patents and the inventions embodied,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88"/>
              </w:rPr>
              <w:t>described or claimed therein, to Seller and each such Contract has been, duly recorded at the Japan Patent Office</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200"/>
              <w:spacing w:after="0"/>
              <w:rPr>
                <w:sz w:val="20"/>
                <w:szCs w:val="20"/>
                <w:color w:val="auto"/>
              </w:rPr>
            </w:pPr>
            <w:r>
              <w:rPr>
                <w:rFonts w:ascii="Arial" w:cs="Arial" w:eastAsia="Arial" w:hAnsi="Arial"/>
                <w:sz w:val="22"/>
                <w:szCs w:val="22"/>
                <w:color w:val="auto"/>
              </w:rPr>
              <w:t>where such recordation has been required as of the Closing Date.</w:t>
            </w: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(ar)</w:t>
            </w: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95"/>
              </w:rPr>
              <w:t>To the Knowledge of Seller, maintenance fees, annuities or other like payments with respect to any Ardelyx</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rPr>
              <w:t>Controlled Patents required to be paid as of the Closing Date have been paid.</w:t>
            </w: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(as)</w:t>
            </w: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98"/>
              </w:rPr>
              <w:t>To the Knowledge of Seller, no issued Ardelyx Controlled Patent has lapsed, expired or otherwise been</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060" w:type="dxa"/>
            <w:vAlign w:val="bottom"/>
            <w:gridSpan w:val="3"/>
          </w:tcPr>
          <w:p>
            <w:pPr>
              <w:ind w:left="120"/>
              <w:spacing w:after="0" w:line="224" w:lineRule="exact"/>
              <w:rPr>
                <w:sz w:val="20"/>
                <w:szCs w:val="20"/>
                <w:color w:val="auto"/>
              </w:rPr>
            </w:pPr>
            <w:r>
              <w:rPr>
                <w:rFonts w:ascii="Arial" w:cs="Arial" w:eastAsia="Arial" w:hAnsi="Arial"/>
                <w:sz w:val="22"/>
                <w:szCs w:val="22"/>
                <w:color w:val="auto"/>
                <w:w w:val="93"/>
              </w:rPr>
              <w:t xml:space="preserve">terminated. Except as set forth on Schedule 3.15(k), </w:t>
            </w:r>
            <w:r>
              <w:rPr>
                <w:rFonts w:ascii="Arial" w:cs="Arial" w:eastAsia="Arial" w:hAnsi="Arial"/>
                <w:sz w:val="22"/>
                <w:szCs w:val="22"/>
                <w:u w:val="single" w:color="auto"/>
                <w:color w:val="auto"/>
                <w:w w:val="93"/>
              </w:rPr>
              <w:t>t</w:t>
            </w:r>
            <w:r>
              <w:rPr>
                <w:rFonts w:ascii="Arial" w:cs="Arial" w:eastAsia="Arial" w:hAnsi="Arial"/>
                <w:sz w:val="22"/>
                <w:szCs w:val="22"/>
                <w:color w:val="auto"/>
                <w:w w:val="93"/>
              </w:rPr>
              <w:t>o the Knowledge of Seller, no Ardelyx Controlled Patent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20" w:type="dxa"/>
            <w:vAlign w:val="bottom"/>
            <w:vMerge w:val="restart"/>
          </w:tcPr>
          <w:p>
            <w:pPr>
              <w:ind w:left="40"/>
              <w:spacing w:after="0"/>
              <w:rPr>
                <w:sz w:val="20"/>
                <w:szCs w:val="20"/>
                <w:color w:val="auto"/>
              </w:rPr>
            </w:pPr>
            <w:r>
              <w:rPr>
                <w:rFonts w:ascii="Arial" w:cs="Arial" w:eastAsia="Arial" w:hAnsi="Arial"/>
                <w:sz w:val="22"/>
                <w:szCs w:val="22"/>
                <w:color w:val="auto"/>
                <w:w w:val="92"/>
              </w:rPr>
              <w:t>otherwise been terminated, other than by operation of law.</w:t>
            </w:r>
          </w:p>
        </w:tc>
        <w:tc>
          <w:tcPr>
            <w:tcW w:w="0" w:type="dxa"/>
            <w:vAlign w:val="bottom"/>
          </w:tcPr>
          <w:p>
            <w:pPr>
              <w:spacing w:after="0" w:line="20" w:lineRule="exact"/>
              <w:rPr>
                <w:sz w:val="1"/>
                <w:szCs w:val="1"/>
                <w:color w:val="auto"/>
              </w:rPr>
            </w:pPr>
          </w:p>
        </w:tc>
      </w:tr>
      <w:tr>
        <w:trPr>
          <w:trHeight w:val="268"/>
        </w:trPr>
        <w:tc>
          <w:tcPr>
            <w:tcW w:w="520" w:type="dxa"/>
            <w:vAlign w:val="bottom"/>
          </w:tcPr>
          <w:p>
            <w:pPr>
              <w:spacing w:after="0"/>
              <w:rPr>
                <w:sz w:val="23"/>
                <w:szCs w:val="23"/>
                <w:color w:val="auto"/>
              </w:rPr>
            </w:pPr>
          </w:p>
        </w:tc>
        <w:tc>
          <w:tcPr>
            <w:tcW w:w="4740" w:type="dxa"/>
            <w:vAlign w:val="bottom"/>
            <w:gridSpan w:val="2"/>
          </w:tcPr>
          <w:p>
            <w:pPr>
              <w:ind w:left="120"/>
              <w:spacing w:after="0"/>
              <w:rPr>
                <w:sz w:val="20"/>
                <w:szCs w:val="20"/>
                <w:color w:val="auto"/>
              </w:rPr>
            </w:pPr>
            <w:r>
              <w:rPr>
                <w:rFonts w:ascii="Arial" w:cs="Arial" w:eastAsia="Arial" w:hAnsi="Arial"/>
                <w:sz w:val="22"/>
                <w:szCs w:val="22"/>
                <w:color w:val="auto"/>
                <w:w w:val="87"/>
              </w:rPr>
              <w:t>applications have lapsed, expired, been abandoned or</w:t>
            </w:r>
          </w:p>
        </w:tc>
        <w:tc>
          <w:tcPr>
            <w:tcW w:w="5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520" w:type="dxa"/>
            <w:vAlign w:val="bottom"/>
          </w:tcPr>
          <w:p>
            <w:pPr>
              <w:ind w:left="80"/>
              <w:spacing w:after="0"/>
              <w:rPr>
                <w:sz w:val="20"/>
                <w:szCs w:val="20"/>
                <w:color w:val="auto"/>
              </w:rPr>
            </w:pPr>
            <w:r>
              <w:rPr>
                <w:rFonts w:ascii="Arial" w:cs="Arial" w:eastAsia="Arial" w:hAnsi="Arial"/>
                <w:sz w:val="22"/>
                <w:szCs w:val="22"/>
                <w:color w:val="auto"/>
              </w:rPr>
              <w:t>(at)</w:t>
            </w:r>
          </w:p>
        </w:tc>
        <w:tc>
          <w:tcPr>
            <w:tcW w:w="10060" w:type="dxa"/>
            <w:vAlign w:val="bottom"/>
            <w:gridSpan w:val="3"/>
          </w:tcPr>
          <w:p>
            <w:pPr>
              <w:ind w:left="200"/>
              <w:spacing w:after="0"/>
              <w:rPr>
                <w:sz w:val="20"/>
                <w:szCs w:val="20"/>
                <w:color w:val="auto"/>
              </w:rPr>
            </w:pPr>
            <w:r>
              <w:rPr>
                <w:rFonts w:ascii="Arial" w:cs="Arial" w:eastAsia="Arial" w:hAnsi="Arial"/>
                <w:sz w:val="22"/>
                <w:szCs w:val="22"/>
                <w:color w:val="auto"/>
                <w:w w:val="93"/>
              </w:rPr>
              <w:t>To the Knowledge of Seller, none of the conception, development and reduction to practice of the inventions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3"/>
              </w:rPr>
              <w:t>claimed in the Ardelyx Controlled Patents has constituted or involved the misappropriation of trade secrets or</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200"/>
              <w:spacing w:after="0"/>
              <w:rPr>
                <w:sz w:val="20"/>
                <w:szCs w:val="20"/>
                <w:color w:val="auto"/>
              </w:rPr>
            </w:pPr>
            <w:r>
              <w:rPr>
                <w:rFonts w:ascii="Arial" w:cs="Arial" w:eastAsia="Arial" w:hAnsi="Arial"/>
                <w:sz w:val="22"/>
                <w:szCs w:val="22"/>
                <w:color w:val="auto"/>
              </w:rPr>
              <w:t>other rights or property of any Third Party.</w:t>
            </w: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(au)</w:t>
            </w: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88"/>
              </w:rPr>
              <w:t>To the Knowledge of Seller, Seller and its Subsidiaries have not, and to the Knowledge of Seller, Licensee has not,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2"/>
              </w:rPr>
              <w:t>filed any disclaimer, other than a terminal disclaimer, or made or permitted any other voluntary reduction in the</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rPr>
              <w:t>scope of any Ardelyx Controlled Patents.</w:t>
            </w: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(av)</w:t>
            </w: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w w:val="90"/>
              </w:rPr>
              <w:t>To the Knowledge of Seller, Seller and its Subsidiaries have not, and to the Knowledge of Seller, no other Person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1"/>
              </w:rPr>
              <w:t>has, undertaken or omitted to undertake any acts, and to the Knowledge of Seller no circumstances or grounds</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3"/>
          </w:tcPr>
          <w:p>
            <w:pPr>
              <w:ind w:left="120"/>
              <w:spacing w:after="0"/>
              <w:rPr>
                <w:sz w:val="20"/>
                <w:szCs w:val="20"/>
                <w:color w:val="auto"/>
              </w:rPr>
            </w:pPr>
            <w:r>
              <w:rPr>
                <w:rFonts w:ascii="Arial" w:cs="Arial" w:eastAsia="Arial" w:hAnsi="Arial"/>
                <w:sz w:val="22"/>
                <w:szCs w:val="22"/>
                <w:color w:val="auto"/>
              </w:rPr>
              <w:t>exist, that would void, invalidate, reduce or eliminate, in whole or in part, the enforceability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64" w:right="339" w:bottom="1440" w:gutter="0" w:footer="0" w:header="0"/>
        </w:sectPr>
      </w:pPr>
    </w:p>
    <w:bookmarkStart w:id="110" w:name="page111"/>
    <w:bookmarkEnd w:id="110"/>
    <w:tbl>
      <w:tblPr>
        <w:tblLayout w:type="fixed"/>
        <w:tblInd w:w="660" w:type="dxa"/>
        <w:tblCellMar>
          <w:top w:w="0" w:type="dxa"/>
          <w:left w:w="0" w:type="dxa"/>
          <w:bottom w:w="0" w:type="dxa"/>
          <w:right w:w="0" w:type="dxa"/>
        </w:tblCellMar>
      </w:tblPr>
      <w:tr>
        <w:trPr>
          <w:trHeight w:val="274"/>
        </w:trPr>
        <w:tc>
          <w:tcPr>
            <w:tcW w:w="520" w:type="dxa"/>
            <w:vAlign w:val="bottom"/>
          </w:tcPr>
          <w:p>
            <w:pPr>
              <w:spacing w:after="0"/>
              <w:rPr>
                <w:sz w:val="23"/>
                <w:szCs w:val="23"/>
                <w:color w:val="auto"/>
              </w:rPr>
            </w:pP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w w:val="96"/>
              </w:rPr>
              <w:t>of claims specifically covering the Lead Licensed Compound within any issued Ardelyx Controlled Patent.</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22"/>
                <w:szCs w:val="22"/>
                <w:color w:val="auto"/>
              </w:rPr>
              <w:t>(aw)</w:t>
            </w: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rPr>
              <w:t>[Reserved].</w:t>
            </w:r>
          </w:p>
        </w:tc>
        <w:tc>
          <w:tcPr>
            <w:tcW w:w="0" w:type="dxa"/>
            <w:vAlign w:val="bottom"/>
          </w:tcPr>
          <w:p>
            <w:pPr>
              <w:spacing w:after="0"/>
              <w:rPr>
                <w:sz w:val="1"/>
                <w:szCs w:val="1"/>
                <w:color w:val="auto"/>
              </w:rPr>
            </w:pPr>
          </w:p>
        </w:tc>
      </w:tr>
      <w:tr>
        <w:trPr>
          <w:trHeight w:val="381"/>
        </w:trPr>
        <w:tc>
          <w:tcPr>
            <w:tcW w:w="520" w:type="dxa"/>
            <w:vAlign w:val="bottom"/>
          </w:tcPr>
          <w:p>
            <w:pPr>
              <w:spacing w:after="0"/>
              <w:rPr>
                <w:sz w:val="20"/>
                <w:szCs w:val="20"/>
                <w:color w:val="auto"/>
              </w:rPr>
            </w:pPr>
            <w:r>
              <w:rPr>
                <w:rFonts w:ascii="Arial" w:cs="Arial" w:eastAsia="Arial" w:hAnsi="Arial"/>
                <w:sz w:val="22"/>
                <w:szCs w:val="22"/>
                <w:color w:val="auto"/>
              </w:rPr>
              <w:t>(ax)</w:t>
            </w: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w w:val="88"/>
              </w:rPr>
              <w:t>Except as set forth on Schedule 3.15(p), to the Knowledge of Seller, no Third Party Patent Right has been, or is, or</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40" w:type="dxa"/>
            <w:vAlign w:val="bottom"/>
            <w:vMerge w:val="restart"/>
          </w:tcPr>
          <w:p>
            <w:pPr>
              <w:ind w:left="120"/>
              <w:spacing w:after="0" w:line="208" w:lineRule="exact"/>
              <w:rPr>
                <w:sz w:val="20"/>
                <w:szCs w:val="20"/>
                <w:color w:val="auto"/>
              </w:rPr>
            </w:pPr>
            <w:r>
              <w:rPr>
                <w:rFonts w:ascii="Arial" w:cs="Arial" w:eastAsia="Arial" w:hAnsi="Arial"/>
                <w:sz w:val="22"/>
                <w:szCs w:val="22"/>
                <w:color w:val="auto"/>
              </w:rPr>
              <w:t>will be, infringed by</w:t>
            </w: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980" w:type="dxa"/>
            <w:vAlign w:val="bottom"/>
            <w:gridSpan w:val="5"/>
          </w:tcPr>
          <w:p>
            <w:pPr>
              <w:ind w:left="100"/>
              <w:spacing w:after="0" w:line="188" w:lineRule="exact"/>
              <w:rPr>
                <w:sz w:val="20"/>
                <w:szCs w:val="20"/>
                <w:color w:val="auto"/>
              </w:rPr>
            </w:pPr>
            <w:r>
              <w:rPr>
                <w:rFonts w:ascii="Arial" w:cs="Arial" w:eastAsia="Arial" w:hAnsi="Arial"/>
                <w:sz w:val="21"/>
                <w:szCs w:val="21"/>
                <w:color w:val="auto"/>
              </w:rPr>
              <w:t>Licensee’s Exploitation of the Product in accordance with the terms of the License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7"/>
          </w:tcPr>
          <w:p>
            <w:pPr>
              <w:ind w:left="120"/>
              <w:spacing w:after="0" w:line="216" w:lineRule="exact"/>
              <w:rPr>
                <w:sz w:val="20"/>
                <w:szCs w:val="20"/>
                <w:color w:val="auto"/>
              </w:rPr>
            </w:pPr>
            <w:r>
              <w:rPr>
                <w:rFonts w:ascii="Arial" w:cs="Arial" w:eastAsia="Arial" w:hAnsi="Arial"/>
                <w:sz w:val="22"/>
                <w:szCs w:val="22"/>
                <w:color w:val="auto"/>
                <w:w w:val="88"/>
              </w:rPr>
              <w:t>Agreement. To the Knowledge of Seller, there are no patent rights that Licensee does not have the right to use that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7"/>
          </w:tcPr>
          <w:p>
            <w:pPr>
              <w:ind w:left="120"/>
              <w:spacing w:after="0" w:line="216" w:lineRule="exact"/>
              <w:rPr>
                <w:sz w:val="20"/>
                <w:szCs w:val="20"/>
                <w:color w:val="auto"/>
              </w:rPr>
            </w:pPr>
            <w:r>
              <w:rPr>
                <w:rFonts w:ascii="Arial" w:cs="Arial" w:eastAsia="Arial" w:hAnsi="Arial"/>
                <w:sz w:val="22"/>
                <w:szCs w:val="22"/>
                <w:color w:val="auto"/>
                <w:w w:val="90"/>
              </w:rPr>
              <w:t>would limit or prohibit in any material respect Licensee’s Exploitation of the Product in accordance with the terms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7"/>
          </w:tcPr>
          <w:p>
            <w:pPr>
              <w:ind w:left="120"/>
              <w:spacing w:after="0" w:line="216" w:lineRule="exact"/>
              <w:rPr>
                <w:sz w:val="20"/>
                <w:szCs w:val="20"/>
                <w:color w:val="auto"/>
              </w:rPr>
            </w:pPr>
            <w:r>
              <w:rPr>
                <w:rFonts w:ascii="Arial" w:cs="Arial" w:eastAsia="Arial" w:hAnsi="Arial"/>
                <w:sz w:val="22"/>
                <w:szCs w:val="22"/>
                <w:color w:val="auto"/>
                <w:w w:val="89"/>
              </w:rPr>
              <w:t>of the License Agreement. To the Knowledge of Seller, neither Seller nor Licensee has received any notice of any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7"/>
          </w:tcPr>
          <w:p>
            <w:pPr>
              <w:ind w:left="120"/>
              <w:spacing w:after="0" w:line="216" w:lineRule="exact"/>
              <w:rPr>
                <w:sz w:val="20"/>
                <w:szCs w:val="20"/>
                <w:color w:val="auto"/>
              </w:rPr>
            </w:pPr>
            <w:r>
              <w:rPr>
                <w:rFonts w:ascii="Arial" w:cs="Arial" w:eastAsia="Arial" w:hAnsi="Arial"/>
                <w:sz w:val="22"/>
                <w:szCs w:val="22"/>
                <w:color w:val="auto"/>
                <w:w w:val="91"/>
              </w:rPr>
              <w:t>claim by any Third Party asserting that Licensee’s Exploitation of the Product infringes such Third Party’s Patent</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rPr>
              <w:t>Rights.</w:t>
            </w:r>
          </w:p>
        </w:tc>
        <w:tc>
          <w:tcPr>
            <w:tcW w:w="0" w:type="dxa"/>
            <w:vAlign w:val="bottom"/>
          </w:tcPr>
          <w:p>
            <w:pPr>
              <w:spacing w:after="0"/>
              <w:rPr>
                <w:sz w:val="1"/>
                <w:szCs w:val="1"/>
                <w:color w:val="auto"/>
              </w:rPr>
            </w:pPr>
          </w:p>
        </w:tc>
      </w:tr>
      <w:tr>
        <w:trPr>
          <w:trHeight w:val="382"/>
        </w:trPr>
        <w:tc>
          <w:tcPr>
            <w:tcW w:w="520" w:type="dxa"/>
            <w:vAlign w:val="bottom"/>
          </w:tcPr>
          <w:p>
            <w:pPr>
              <w:spacing w:after="0"/>
              <w:rPr>
                <w:sz w:val="20"/>
                <w:szCs w:val="20"/>
                <w:color w:val="auto"/>
              </w:rPr>
            </w:pPr>
            <w:r>
              <w:rPr>
                <w:rFonts w:ascii="Arial" w:cs="Arial" w:eastAsia="Arial" w:hAnsi="Arial"/>
                <w:sz w:val="22"/>
                <w:szCs w:val="22"/>
                <w:color w:val="auto"/>
              </w:rPr>
              <w:t>(ay)</w:t>
            </w: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w w:val="94"/>
              </w:rPr>
              <w:t>Except as set forth on Schedule 3.15(q), to the Knowledge of Seller, there are no pending, published patent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10060" w:type="dxa"/>
            <w:vAlign w:val="bottom"/>
            <w:gridSpan w:val="7"/>
          </w:tcPr>
          <w:p>
            <w:pPr>
              <w:ind w:left="120"/>
              <w:spacing w:after="0" w:line="188" w:lineRule="exact"/>
              <w:rPr>
                <w:sz w:val="20"/>
                <w:szCs w:val="20"/>
                <w:color w:val="auto"/>
              </w:rPr>
            </w:pPr>
            <w:r>
              <w:rPr>
                <w:rFonts w:ascii="Arial" w:cs="Arial" w:eastAsia="Arial" w:hAnsi="Arial"/>
                <w:sz w:val="21"/>
                <w:szCs w:val="21"/>
                <w:color w:val="auto"/>
                <w:w w:val="94"/>
              </w:rPr>
              <w:t>applications owned by any Third Party, which Licensee does not have the right to use, which if issued, would limit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7"/>
          </w:tcPr>
          <w:p>
            <w:pPr>
              <w:ind w:left="120"/>
              <w:spacing w:after="0" w:line="216" w:lineRule="exact"/>
              <w:rPr>
                <w:sz w:val="20"/>
                <w:szCs w:val="20"/>
                <w:color w:val="auto"/>
              </w:rPr>
            </w:pPr>
            <w:r>
              <w:rPr>
                <w:rFonts w:ascii="Arial" w:cs="Arial" w:eastAsia="Arial" w:hAnsi="Arial"/>
                <w:sz w:val="22"/>
                <w:szCs w:val="22"/>
                <w:color w:val="auto"/>
                <w:w w:val="98"/>
              </w:rPr>
              <w:t>or prohibit in any material respect Licensee’s Exploitation of the Product in accordance with the License</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rPr>
              <w:t>Agreement.</w:t>
            </w:r>
          </w:p>
        </w:tc>
        <w:tc>
          <w:tcPr>
            <w:tcW w:w="0" w:type="dxa"/>
            <w:vAlign w:val="bottom"/>
          </w:tcPr>
          <w:p>
            <w:pPr>
              <w:spacing w:after="0"/>
              <w:rPr>
                <w:sz w:val="1"/>
                <w:szCs w:val="1"/>
                <w:color w:val="auto"/>
              </w:rPr>
            </w:pPr>
          </w:p>
        </w:tc>
      </w:tr>
      <w:tr>
        <w:trPr>
          <w:trHeight w:val="381"/>
        </w:trPr>
        <w:tc>
          <w:tcPr>
            <w:tcW w:w="520" w:type="dxa"/>
            <w:vAlign w:val="bottom"/>
          </w:tcPr>
          <w:p>
            <w:pPr>
              <w:spacing w:after="0"/>
              <w:rPr>
                <w:sz w:val="20"/>
                <w:szCs w:val="20"/>
                <w:color w:val="auto"/>
              </w:rPr>
            </w:pPr>
            <w:r>
              <w:rPr>
                <w:rFonts w:ascii="Arial" w:cs="Arial" w:eastAsia="Arial" w:hAnsi="Arial"/>
                <w:sz w:val="22"/>
                <w:szCs w:val="22"/>
                <w:color w:val="auto"/>
              </w:rPr>
              <w:t>(az)</w:t>
            </w: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w w:val="90"/>
              </w:rPr>
              <w:t>Except as set forth on Schedule 3.15(r), to the Knowledge of Seller, no Third Party is infringing any of the issued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10060" w:type="dxa"/>
            <w:vAlign w:val="bottom"/>
            <w:gridSpan w:val="7"/>
          </w:tcPr>
          <w:p>
            <w:pPr>
              <w:ind w:left="120"/>
              <w:spacing w:after="0" w:line="188" w:lineRule="exact"/>
              <w:rPr>
                <w:sz w:val="20"/>
                <w:szCs w:val="20"/>
                <w:color w:val="auto"/>
              </w:rPr>
            </w:pPr>
            <w:r>
              <w:rPr>
                <w:rFonts w:ascii="Arial" w:cs="Arial" w:eastAsia="Arial" w:hAnsi="Arial"/>
                <w:sz w:val="21"/>
                <w:szCs w:val="21"/>
                <w:color w:val="auto"/>
                <w:w w:val="94"/>
              </w:rPr>
              <w:t>Ardelyx Controlled Patents. Seller has not, and to the Knowledge of Seller, Licensee has not, put any Third Party</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rPr>
              <w:t>on notice of any of the issued Ardelyx Controlled Patents.</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22"/>
                <w:szCs w:val="22"/>
                <w:color w:val="auto"/>
              </w:rPr>
              <w:t>(ba)</w:t>
            </w:r>
          </w:p>
        </w:tc>
        <w:tc>
          <w:tcPr>
            <w:tcW w:w="10060" w:type="dxa"/>
            <w:vAlign w:val="bottom"/>
            <w:gridSpan w:val="7"/>
          </w:tcPr>
          <w:p>
            <w:pPr>
              <w:ind w:left="120"/>
              <w:spacing w:after="0"/>
              <w:rPr>
                <w:sz w:val="20"/>
                <w:szCs w:val="20"/>
                <w:color w:val="auto"/>
              </w:rPr>
            </w:pPr>
            <w:r>
              <w:rPr>
                <w:rFonts w:ascii="Arial" w:cs="Arial" w:eastAsia="Arial" w:hAnsi="Arial"/>
                <w:sz w:val="22"/>
                <w:szCs w:val="22"/>
                <w:color w:val="auto"/>
              </w:rPr>
              <w:t>[Reserved].</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300" w:hanging="644"/>
        <w:spacing w:after="0" w:line="212" w:lineRule="auto"/>
        <w:tabs>
          <w:tab w:leader="none" w:pos="1295"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3.15(t),</w:t>
      </w:r>
      <w:r>
        <w:rPr>
          <w:rFonts w:ascii="Arial" w:cs="Arial" w:eastAsia="Arial" w:hAnsi="Arial"/>
          <w:sz w:val="22"/>
          <w:szCs w:val="22"/>
          <w:color w:val="auto"/>
        </w:rPr>
        <w:t xml:space="preserve"> to the Knowledge of Seller, there are no Disputes between Licensee and a Third Party relating to Licensee’s Exploitation of the Product in accordance with the terms of the License Agreement. Seller has not received notice of any such Dispute, and to the Knowledge of Seller, there exists no circumstances or grounds upon which any such claims could be reasonably asserted. To the Knowledge of Seller, the Ardelyx Controlled Patents are not subject to any outstanding injunction, judgment or other decree, ruling, charge settlement or other disposition of any Dispute which could reasonably be expected to have a Material Adverse Effect.</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(bc)</w:t>
            </w:r>
          </w:p>
        </w:tc>
        <w:tc>
          <w:tcPr>
            <w:tcW w:w="10080" w:type="dxa"/>
            <w:vAlign w:val="bottom"/>
            <w:gridSpan w:val="3"/>
          </w:tcPr>
          <w:p>
            <w:pPr>
              <w:ind w:left="140"/>
              <w:spacing w:after="0"/>
              <w:rPr>
                <w:sz w:val="20"/>
                <w:szCs w:val="20"/>
                <w:color w:val="auto"/>
              </w:rPr>
            </w:pPr>
            <w:r>
              <w:rPr>
                <w:rFonts w:ascii="Arial" w:cs="Arial" w:eastAsia="Arial" w:hAnsi="Arial"/>
                <w:sz w:val="22"/>
                <w:szCs w:val="22"/>
                <w:color w:val="auto"/>
                <w:w w:val="94"/>
              </w:rPr>
              <w:t>To the Knowledge of Seller, no individual associated with the filing and prosecution of the Ardelyx Controlled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8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0"/>
              </w:rPr>
              <w:t>Patents failed to comply in all material respects with all applicable duties of candor and good faith in dealing with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8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6"/>
              </w:rPr>
              <w:t>any Patent Office, including the duty to disclose to the Japanese Patent Office all information known to be</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80" w:type="dxa"/>
            <w:vAlign w:val="bottom"/>
            <w:gridSpan w:val="3"/>
          </w:tcPr>
          <w:p>
            <w:pPr>
              <w:ind w:left="140"/>
              <w:spacing w:after="0"/>
              <w:rPr>
                <w:sz w:val="20"/>
                <w:szCs w:val="20"/>
                <w:color w:val="auto"/>
              </w:rPr>
            </w:pPr>
            <w:r>
              <w:rPr>
                <w:rFonts w:ascii="Arial" w:cs="Arial" w:eastAsia="Arial" w:hAnsi="Arial"/>
                <w:sz w:val="22"/>
                <w:szCs w:val="22"/>
                <w:color w:val="auto"/>
              </w:rPr>
              <w:t>material to patentability where such duty to disclose is required.</w:t>
            </w:r>
          </w:p>
        </w:tc>
        <w:tc>
          <w:tcPr>
            <w:tcW w:w="0" w:type="dxa"/>
            <w:vAlign w:val="bottom"/>
          </w:tcPr>
          <w:p>
            <w:pPr>
              <w:spacing w:after="0"/>
              <w:rPr>
                <w:sz w:val="1"/>
                <w:szCs w:val="1"/>
                <w:color w:val="auto"/>
              </w:rPr>
            </w:pPr>
          </w:p>
        </w:tc>
      </w:tr>
      <w:tr>
        <w:trPr>
          <w:trHeight w:val="381"/>
        </w:trPr>
        <w:tc>
          <w:tcPr>
            <w:tcW w:w="500" w:type="dxa"/>
            <w:vAlign w:val="bottom"/>
          </w:tcPr>
          <w:p>
            <w:pPr>
              <w:spacing w:after="0"/>
              <w:rPr>
                <w:sz w:val="20"/>
                <w:szCs w:val="20"/>
                <w:color w:val="auto"/>
              </w:rPr>
            </w:pPr>
            <w:r>
              <w:rPr>
                <w:rFonts w:ascii="Arial" w:cs="Arial" w:eastAsia="Arial" w:hAnsi="Arial"/>
                <w:sz w:val="22"/>
                <w:szCs w:val="22"/>
                <w:color w:val="auto"/>
              </w:rPr>
              <w:t>(bd)</w:t>
            </w:r>
          </w:p>
        </w:tc>
        <w:tc>
          <w:tcPr>
            <w:tcW w:w="10080" w:type="dxa"/>
            <w:vAlign w:val="bottom"/>
            <w:gridSpan w:val="3"/>
          </w:tcPr>
          <w:p>
            <w:pPr>
              <w:ind w:left="140"/>
              <w:spacing w:after="0"/>
              <w:rPr>
                <w:sz w:val="20"/>
                <w:szCs w:val="20"/>
                <w:color w:val="auto"/>
              </w:rPr>
            </w:pPr>
            <w:r>
              <w:rPr>
                <w:rFonts w:ascii="Arial" w:cs="Arial" w:eastAsia="Arial" w:hAnsi="Arial"/>
                <w:sz w:val="22"/>
                <w:szCs w:val="22"/>
                <w:color w:val="auto"/>
                <w:w w:val="89"/>
              </w:rPr>
              <w:t>Except as set forth on Schedule Section 3.15(v), to the Knowledge of Seller, no validity concerns, or prior art have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840" w:type="dxa"/>
            <w:vAlign w:val="bottom"/>
            <w:vMerge w:val="restart"/>
          </w:tcPr>
          <w:p>
            <w:pPr>
              <w:spacing w:after="0" w:line="208" w:lineRule="exact"/>
              <w:rPr>
                <w:sz w:val="20"/>
                <w:szCs w:val="20"/>
                <w:color w:val="auto"/>
              </w:rPr>
            </w:pPr>
            <w:r>
              <w:rPr>
                <w:rFonts w:ascii="Arial" w:cs="Arial" w:eastAsia="Arial" w:hAnsi="Arial"/>
                <w:sz w:val="22"/>
                <w:szCs w:val="22"/>
                <w:color w:val="auto"/>
                <w:w w:val="97"/>
              </w:rPr>
              <w:t>outside of the Territory which specifically claim the compound</w:t>
            </w:r>
          </w:p>
        </w:tc>
        <w:tc>
          <w:tcPr>
            <w:tcW w:w="0" w:type="dxa"/>
            <w:vAlign w:val="bottom"/>
          </w:tcPr>
          <w:p>
            <w:pPr>
              <w:spacing w:after="0" w:line="20" w:lineRule="exact"/>
              <w:rPr>
                <w:sz w:val="1"/>
                <w:szCs w:val="1"/>
                <w:color w:val="auto"/>
              </w:rPr>
            </w:pPr>
          </w:p>
        </w:tc>
      </w:tr>
      <w:tr>
        <w:trPr>
          <w:trHeight w:val="188"/>
        </w:trPr>
        <w:tc>
          <w:tcPr>
            <w:tcW w:w="500" w:type="dxa"/>
            <w:vAlign w:val="bottom"/>
          </w:tcPr>
          <w:p>
            <w:pPr>
              <w:spacing w:after="0"/>
              <w:rPr>
                <w:sz w:val="16"/>
                <w:szCs w:val="16"/>
                <w:color w:val="auto"/>
              </w:rPr>
            </w:pPr>
          </w:p>
        </w:tc>
        <w:tc>
          <w:tcPr>
            <w:tcW w:w="4240" w:type="dxa"/>
            <w:vAlign w:val="bottom"/>
            <w:gridSpan w:val="2"/>
          </w:tcPr>
          <w:p>
            <w:pPr>
              <w:ind w:left="140"/>
              <w:spacing w:after="0" w:line="188" w:lineRule="exact"/>
              <w:rPr>
                <w:sz w:val="20"/>
                <w:szCs w:val="20"/>
                <w:color w:val="auto"/>
              </w:rPr>
            </w:pPr>
            <w:r>
              <w:rPr>
                <w:rFonts w:ascii="Arial" w:cs="Arial" w:eastAsia="Arial" w:hAnsi="Arial"/>
                <w:sz w:val="21"/>
                <w:szCs w:val="21"/>
                <w:color w:val="auto"/>
              </w:rPr>
              <w:t>been raised in connection with any Patents</w:t>
            </w: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80" w:type="dxa"/>
            <w:vAlign w:val="bottom"/>
            <w:gridSpan w:val="3"/>
          </w:tcPr>
          <w:p>
            <w:pPr>
              <w:ind w:left="140"/>
              <w:spacing w:after="0"/>
              <w:rPr>
                <w:sz w:val="20"/>
                <w:szCs w:val="20"/>
                <w:color w:val="auto"/>
              </w:rPr>
            </w:pPr>
            <w:r>
              <w:rPr>
                <w:rFonts w:ascii="Arial" w:cs="Arial" w:eastAsia="Arial" w:hAnsi="Arial"/>
                <w:sz w:val="22"/>
                <w:szCs w:val="22"/>
                <w:color w:val="auto"/>
              </w:rPr>
              <w:t>tenapanor which, if raised in connection with the Ardelyx Controlled Patents, could reasonably be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1" w:name="page112"/>
    <w:bookmarkEnd w:id="111"/>
    <w:p>
      <w:pPr>
        <w:ind w:left="1300"/>
        <w:spacing w:after="0" w:line="232" w:lineRule="auto"/>
        <w:rPr>
          <w:sz w:val="20"/>
          <w:szCs w:val="20"/>
          <w:color w:val="auto"/>
        </w:rPr>
      </w:pPr>
      <w:r>
        <w:rPr>
          <w:rFonts w:ascii="Arial" w:cs="Arial" w:eastAsia="Arial" w:hAnsi="Arial"/>
          <w:sz w:val="22"/>
          <w:szCs w:val="22"/>
          <w:color w:val="auto"/>
        </w:rPr>
        <w:t>expected to impact the validity of any claims in the issued Ardelyx Controlled Patents which specifically claim the compound tenapanor.</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b w:val="1"/>
          <w:bCs w:val="1"/>
          <w:color w:val="auto"/>
        </w:rPr>
        <w:t>Compliance.</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To the Knowledge of Seller, all applications, submissions, information and data related to the Product submitted or utilized as the basis for any request to any Regulatory Authority by or on behalf of Licensee relating to the Product were true and correct in all material respects as of the date of such submission or request, and any material updates, changes, corrections or modifications to such applications, submissions, information or data required under applicable Law were submitted to the necessary Regulatory Authorities, or were corrected by subsequent submission to the applicable Regulatory Authority. To the Knowledge of Seller, Licensee has not committed any act, made any statement or failed to make any statement that would reasonably be expected to provide a basis for any Governmental Authority to invoke its policy with respect to “Fraud, Untrue Statements of Material Facts, Bribery, and Illegal Gratuities,” or similar policies set forth in any applicable Laws.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500" w:type="dxa"/>
            <w:vAlign w:val="bottom"/>
          </w:tcPr>
          <w:p>
            <w:pPr>
              <w:spacing w:after="0"/>
              <w:rPr>
                <w:sz w:val="24"/>
                <w:szCs w:val="24"/>
                <w:color w:val="auto"/>
              </w:rPr>
            </w:pPr>
          </w:p>
        </w:tc>
        <w:tc>
          <w:tcPr>
            <w:tcW w:w="2500" w:type="dxa"/>
            <w:vAlign w:val="bottom"/>
          </w:tcPr>
          <w:p>
            <w:pPr>
              <w:ind w:left="1120"/>
              <w:spacing w:after="0"/>
              <w:rPr>
                <w:sz w:val="20"/>
                <w:szCs w:val="20"/>
                <w:color w:val="auto"/>
              </w:rPr>
            </w:pPr>
            <w:r>
              <w:rPr>
                <w:rFonts w:ascii="Arial" w:cs="Arial" w:eastAsia="Arial" w:hAnsi="Arial"/>
                <w:sz w:val="22"/>
                <w:szCs w:val="22"/>
                <w:b w:val="1"/>
                <w:bCs w:val="1"/>
                <w:color w:val="auto"/>
              </w:rPr>
              <w:t>Section 1.16.</w:t>
            </w:r>
          </w:p>
        </w:tc>
        <w:tc>
          <w:tcPr>
            <w:tcW w:w="7580" w:type="dxa"/>
            <w:vAlign w:val="bottom"/>
          </w:tcPr>
          <w:p>
            <w:pPr>
              <w:ind w:left="240"/>
              <w:spacing w:after="0"/>
              <w:rPr>
                <w:sz w:val="20"/>
                <w:szCs w:val="20"/>
                <w:color w:val="auto"/>
              </w:rPr>
            </w:pPr>
            <w:r>
              <w:rPr>
                <w:rFonts w:ascii="Arial" w:cs="Arial" w:eastAsia="Arial" w:hAnsi="Arial"/>
                <w:sz w:val="22"/>
                <w:szCs w:val="22"/>
                <w:b w:val="1"/>
                <w:bCs w:val="1"/>
                <w:color w:val="auto"/>
              </w:rPr>
              <w:t>Exploitation; Material Information.</w:t>
            </w:r>
          </w:p>
        </w:tc>
      </w:tr>
      <w:tr>
        <w:trPr>
          <w:trHeight w:val="374"/>
        </w:trPr>
        <w:tc>
          <w:tcPr>
            <w:tcW w:w="500" w:type="dxa"/>
            <w:vAlign w:val="bottom"/>
          </w:tcPr>
          <w:p>
            <w:pPr>
              <w:spacing w:after="0"/>
              <w:rPr>
                <w:sz w:val="20"/>
                <w:szCs w:val="20"/>
                <w:color w:val="auto"/>
              </w:rPr>
            </w:pPr>
            <w:r>
              <w:rPr>
                <w:rFonts w:ascii="Arial" w:cs="Arial" w:eastAsia="Arial" w:hAnsi="Arial"/>
                <w:sz w:val="22"/>
                <w:szCs w:val="22"/>
                <w:color w:val="auto"/>
              </w:rPr>
              <w:t>(be)</w:t>
            </w:r>
          </w:p>
        </w:tc>
        <w:tc>
          <w:tcPr>
            <w:tcW w:w="10080" w:type="dxa"/>
            <w:vAlign w:val="bottom"/>
            <w:gridSpan w:val="2"/>
          </w:tcPr>
          <w:p>
            <w:pPr>
              <w:ind w:left="140"/>
              <w:spacing w:after="0"/>
              <w:rPr>
                <w:sz w:val="20"/>
                <w:szCs w:val="20"/>
                <w:color w:val="auto"/>
              </w:rPr>
            </w:pPr>
            <w:r>
              <w:rPr>
                <w:rFonts w:ascii="Arial" w:cs="Arial" w:eastAsia="Arial" w:hAnsi="Arial"/>
                <w:sz w:val="22"/>
                <w:szCs w:val="22"/>
                <w:color w:val="auto"/>
                <w:w w:val="90"/>
              </w:rPr>
              <w:t>To the Knowledge of Seller, Licensee is neither (i) considering terminating the Exploitation of the Product, nor (ii)</w:t>
            </w:r>
          </w:p>
        </w:tc>
      </w:tr>
      <w:tr>
        <w:trPr>
          <w:trHeight w:val="216"/>
        </w:trPr>
        <w:tc>
          <w:tcPr>
            <w:tcW w:w="500" w:type="dxa"/>
            <w:vAlign w:val="bottom"/>
          </w:tcPr>
          <w:p>
            <w:pPr>
              <w:spacing w:after="0"/>
              <w:rPr>
                <w:sz w:val="18"/>
                <w:szCs w:val="18"/>
                <w:color w:val="auto"/>
              </w:rPr>
            </w:pPr>
          </w:p>
        </w:tc>
        <w:tc>
          <w:tcPr>
            <w:tcW w:w="1008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5"/>
              </w:rPr>
              <w:t>considering  manufacturing,  selling,  offering  for  sale  (including  marketing  and  promotion),  importation,</w:t>
            </w:r>
          </w:p>
        </w:tc>
      </w:tr>
      <w:tr>
        <w:trPr>
          <w:trHeight w:val="216"/>
        </w:trPr>
        <w:tc>
          <w:tcPr>
            <w:tcW w:w="500" w:type="dxa"/>
            <w:vAlign w:val="bottom"/>
          </w:tcPr>
          <w:p>
            <w:pPr>
              <w:spacing w:after="0"/>
              <w:rPr>
                <w:sz w:val="18"/>
                <w:szCs w:val="18"/>
                <w:color w:val="auto"/>
              </w:rPr>
            </w:pPr>
          </w:p>
        </w:tc>
        <w:tc>
          <w:tcPr>
            <w:tcW w:w="1008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1"/>
              </w:rPr>
              <w:t>distribution or other commercialization of a Competitive Product that would compete with the Product during the</w:t>
            </w:r>
          </w:p>
        </w:tc>
      </w:tr>
      <w:tr>
        <w:trPr>
          <w:trHeight w:val="274"/>
        </w:trPr>
        <w:tc>
          <w:tcPr>
            <w:tcW w:w="500" w:type="dxa"/>
            <w:vAlign w:val="bottom"/>
          </w:tcPr>
          <w:p>
            <w:pPr>
              <w:spacing w:after="0"/>
              <w:rPr>
                <w:sz w:val="23"/>
                <w:szCs w:val="23"/>
                <w:color w:val="auto"/>
              </w:rPr>
            </w:pPr>
          </w:p>
        </w:tc>
        <w:tc>
          <w:tcPr>
            <w:tcW w:w="10080" w:type="dxa"/>
            <w:vAlign w:val="bottom"/>
            <w:gridSpan w:val="2"/>
          </w:tcPr>
          <w:p>
            <w:pPr>
              <w:ind w:left="140"/>
              <w:spacing w:after="0"/>
              <w:rPr>
                <w:sz w:val="20"/>
                <w:szCs w:val="20"/>
                <w:color w:val="auto"/>
              </w:rPr>
            </w:pPr>
            <w:r>
              <w:rPr>
                <w:rFonts w:ascii="Arial" w:cs="Arial" w:eastAsia="Arial" w:hAnsi="Arial"/>
                <w:sz w:val="22"/>
                <w:szCs w:val="22"/>
                <w:color w:val="auto"/>
              </w:rPr>
              <w:t>term of this Agreement in the Territory.</w:t>
            </w:r>
          </w:p>
        </w:tc>
      </w:tr>
      <w:tr>
        <w:trPr>
          <w:trHeight w:val="432"/>
        </w:trPr>
        <w:tc>
          <w:tcPr>
            <w:tcW w:w="500" w:type="dxa"/>
            <w:vAlign w:val="bottom"/>
          </w:tcPr>
          <w:p>
            <w:pPr>
              <w:spacing w:after="0"/>
              <w:rPr>
                <w:sz w:val="20"/>
                <w:szCs w:val="20"/>
                <w:color w:val="auto"/>
              </w:rPr>
            </w:pPr>
            <w:r>
              <w:rPr>
                <w:rFonts w:ascii="Arial" w:cs="Arial" w:eastAsia="Arial" w:hAnsi="Arial"/>
                <w:sz w:val="22"/>
                <w:szCs w:val="22"/>
                <w:color w:val="auto"/>
              </w:rPr>
              <w:t>(bf)</w:t>
            </w:r>
          </w:p>
        </w:tc>
        <w:tc>
          <w:tcPr>
            <w:tcW w:w="2500" w:type="dxa"/>
            <w:vAlign w:val="bottom"/>
          </w:tcPr>
          <w:p>
            <w:pPr>
              <w:ind w:left="140"/>
              <w:spacing w:after="0"/>
              <w:rPr>
                <w:sz w:val="20"/>
                <w:szCs w:val="20"/>
                <w:color w:val="auto"/>
              </w:rPr>
            </w:pPr>
            <w:r>
              <w:rPr>
                <w:rFonts w:ascii="Arial" w:cs="Arial" w:eastAsia="Arial" w:hAnsi="Arial"/>
                <w:sz w:val="22"/>
                <w:szCs w:val="22"/>
                <w:color w:val="auto"/>
              </w:rPr>
              <w:t>[Reserved]</w:t>
            </w:r>
          </w:p>
        </w:tc>
        <w:tc>
          <w:tcPr>
            <w:tcW w:w="7580" w:type="dxa"/>
            <w:vAlign w:val="bottom"/>
          </w:tcPr>
          <w:p>
            <w:pPr>
              <w:spacing w:after="0"/>
              <w:rPr>
                <w:sz w:val="24"/>
                <w:szCs w:val="24"/>
                <w:color w:val="auto"/>
              </w:rPr>
            </w:pPr>
          </w:p>
        </w:tc>
      </w:tr>
      <w:tr>
        <w:trPr>
          <w:trHeight w:val="374"/>
        </w:trPr>
        <w:tc>
          <w:tcPr>
            <w:tcW w:w="500" w:type="dxa"/>
            <w:vAlign w:val="bottom"/>
          </w:tcPr>
          <w:p>
            <w:pPr>
              <w:spacing w:after="0"/>
              <w:rPr>
                <w:sz w:val="20"/>
                <w:szCs w:val="20"/>
                <w:color w:val="auto"/>
              </w:rPr>
            </w:pPr>
            <w:r>
              <w:rPr>
                <w:rFonts w:ascii="Arial" w:cs="Arial" w:eastAsia="Arial" w:hAnsi="Arial"/>
                <w:sz w:val="22"/>
                <w:szCs w:val="22"/>
                <w:color w:val="auto"/>
              </w:rPr>
              <w:t>(bg)</w:t>
            </w:r>
          </w:p>
        </w:tc>
        <w:tc>
          <w:tcPr>
            <w:tcW w:w="10080" w:type="dxa"/>
            <w:vAlign w:val="bottom"/>
            <w:gridSpan w:val="2"/>
          </w:tcPr>
          <w:p>
            <w:pPr>
              <w:ind w:left="140"/>
              <w:spacing w:after="0"/>
              <w:rPr>
                <w:sz w:val="20"/>
                <w:szCs w:val="20"/>
                <w:color w:val="auto"/>
              </w:rPr>
            </w:pPr>
            <w:r>
              <w:rPr>
                <w:rFonts w:ascii="Arial" w:cs="Arial" w:eastAsia="Arial" w:hAnsi="Arial"/>
                <w:sz w:val="22"/>
                <w:szCs w:val="22"/>
                <w:color w:val="auto"/>
                <w:w w:val="89"/>
              </w:rPr>
              <w:t>To the Knowledge of Seller, Licensee is neither contemplating nor planning to commence any case, proceeding or</w:t>
            </w:r>
          </w:p>
        </w:tc>
      </w:tr>
      <w:tr>
        <w:trPr>
          <w:trHeight w:val="216"/>
        </w:trPr>
        <w:tc>
          <w:tcPr>
            <w:tcW w:w="500" w:type="dxa"/>
            <w:vAlign w:val="bottom"/>
          </w:tcPr>
          <w:p>
            <w:pPr>
              <w:spacing w:after="0"/>
              <w:rPr>
                <w:sz w:val="18"/>
                <w:szCs w:val="18"/>
                <w:color w:val="auto"/>
              </w:rPr>
            </w:pPr>
          </w:p>
        </w:tc>
        <w:tc>
          <w:tcPr>
            <w:tcW w:w="1008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2"/>
              </w:rPr>
              <w:t>other action relating to Licensee’s bankruptcy, insolvency, liquidation or dissolution or reorganization by any of</w:t>
            </w:r>
          </w:p>
        </w:tc>
      </w:tr>
      <w:tr>
        <w:trPr>
          <w:trHeight w:val="274"/>
        </w:trPr>
        <w:tc>
          <w:tcPr>
            <w:tcW w:w="50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the foregoing means.</w:t>
            </w:r>
          </w:p>
        </w:tc>
        <w:tc>
          <w:tcPr>
            <w:tcW w:w="7580" w:type="dxa"/>
            <w:vAlign w:val="bottom"/>
          </w:tcPr>
          <w:p>
            <w:pPr>
              <w:spacing w:after="0"/>
              <w:rPr>
                <w:sz w:val="23"/>
                <w:szCs w:val="23"/>
                <w:color w:val="auto"/>
              </w:rPr>
            </w:pPr>
          </w:p>
        </w:tc>
      </w:tr>
      <w:tr>
        <w:trPr>
          <w:trHeight w:val="432"/>
        </w:trPr>
        <w:tc>
          <w:tcPr>
            <w:tcW w:w="500" w:type="dxa"/>
            <w:vAlign w:val="bottom"/>
          </w:tcPr>
          <w:p>
            <w:pPr>
              <w:spacing w:after="0"/>
              <w:rPr>
                <w:sz w:val="24"/>
                <w:szCs w:val="24"/>
                <w:color w:val="auto"/>
              </w:rPr>
            </w:pPr>
          </w:p>
        </w:tc>
        <w:tc>
          <w:tcPr>
            <w:tcW w:w="2500" w:type="dxa"/>
            <w:vAlign w:val="bottom"/>
          </w:tcPr>
          <w:p>
            <w:pPr>
              <w:ind w:left="1120"/>
              <w:spacing w:after="0"/>
              <w:rPr>
                <w:sz w:val="20"/>
                <w:szCs w:val="20"/>
                <w:color w:val="auto"/>
              </w:rPr>
            </w:pPr>
            <w:r>
              <w:rPr>
                <w:rFonts w:ascii="Arial" w:cs="Arial" w:eastAsia="Arial" w:hAnsi="Arial"/>
                <w:sz w:val="22"/>
                <w:szCs w:val="22"/>
                <w:b w:val="1"/>
                <w:bCs w:val="1"/>
                <w:color w:val="auto"/>
              </w:rPr>
              <w:t>Section 1.2.</w:t>
            </w:r>
          </w:p>
        </w:tc>
        <w:tc>
          <w:tcPr>
            <w:tcW w:w="7580" w:type="dxa"/>
            <w:vAlign w:val="bottom"/>
          </w:tcPr>
          <w:p>
            <w:pPr>
              <w:ind w:left="240"/>
              <w:spacing w:after="0"/>
              <w:rPr>
                <w:sz w:val="20"/>
                <w:szCs w:val="20"/>
                <w:color w:val="auto"/>
              </w:rPr>
            </w:pPr>
            <w:r>
              <w:rPr>
                <w:rFonts w:ascii="Arial" w:cs="Arial" w:eastAsia="Arial" w:hAnsi="Arial"/>
                <w:sz w:val="22"/>
                <w:szCs w:val="22"/>
                <w:b w:val="1"/>
                <w:bCs w:val="1"/>
                <w:color w:val="auto"/>
              </w:rPr>
              <w:t>Taxes.</w:t>
            </w:r>
          </w:p>
        </w:tc>
      </w:tr>
    </w:tbl>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 deduction or withholding for or on account of any tax has been made, or was required to have been made, from any payment to Seller under the License Agreement and, other than with respect to Japanese tax withholding, Seller was not required to claim any treaty benefits in order to avoid such withholding.</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Buyer hereby represents and warrants to Seller that the following representations are true and complete as of the Closing Date, except as otherwise indicated:</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9"/>
          <w:szCs w:val="19"/>
          <w:b w:val="1"/>
          <w:bCs w:val="1"/>
          <w:color w:val="auto"/>
        </w:rPr>
        <w:t>Organization.</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Buyer is a limited partnership formed and validly existing under the laws of the State of Delaware, and has all limited partnership powers and all licenses, authorizations, consents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2" w:name="page113"/>
    <w:bookmarkEnd w:id="112"/>
    <w:p>
      <w:pPr>
        <w:jc w:val="both"/>
        <w:ind w:right="20"/>
        <w:spacing w:after="0" w:line="232" w:lineRule="auto"/>
        <w:rPr>
          <w:sz w:val="20"/>
          <w:szCs w:val="20"/>
          <w:color w:val="auto"/>
        </w:rPr>
      </w:pPr>
      <w:r>
        <w:rPr>
          <w:rFonts w:ascii="Arial" w:cs="Arial" w:eastAsia="Arial" w:hAnsi="Arial"/>
          <w:sz w:val="22"/>
          <w:szCs w:val="22"/>
          <w:color w:val="auto"/>
        </w:rPr>
        <w:t>approvals required to carry on its business as now conducted and as proposed to be conducted in connection with the transactions contemplated by the Transaction Documents.</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b w:val="1"/>
          <w:bCs w:val="1"/>
          <w:color w:val="auto"/>
        </w:rPr>
        <w:t>Authorization.</w:t>
      </w:r>
    </w:p>
    <w:p>
      <w:pPr>
        <w:spacing w:after="0" w:line="18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Buyer has all necessary limited partnership power and authority to enter into, execute and deliver this Agreement and the other Transaction Documents and to perform all of the obligations to be performed by it hereunder and thereunder and to consummate the transactions contemplated hereunder and thereunder. Once signed, the Transaction Documents will have been duly authorized, executed and delivered by Buyer and each Transaction Document will then constitute the valid and binding obligation of Buyer, enforceable against Buyer in accordance with their respective terms, subject, as to enforcement of remedies, to bankruptcy, insolvency, reorganization, moratorium or similar laws affecting creditors’ rights generally or general equitable principles.</w:t>
      </w:r>
    </w:p>
    <w:p>
      <w:pPr>
        <w:spacing w:after="0" w:line="158"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b w:val="1"/>
          <w:bCs w:val="1"/>
          <w:color w:val="auto"/>
        </w:rPr>
        <w:t>Broker’s Fees.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None of Buyer or its Affiliates has taken any action that would entitle any Person to any commission or broker’s fee in connection with the transactions contemplated by the Transaction Documents.</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1.010.</w:t>
      </w:r>
      <w:r>
        <w:rPr>
          <w:sz w:val="20"/>
          <w:szCs w:val="20"/>
          <w:color w:val="auto"/>
        </w:rPr>
        <w:tab/>
      </w:r>
      <w:r>
        <w:rPr>
          <w:rFonts w:ascii="Arial" w:cs="Arial" w:eastAsia="Arial" w:hAnsi="Arial"/>
          <w:sz w:val="19"/>
          <w:szCs w:val="19"/>
          <w:b w:val="1"/>
          <w:bCs w:val="1"/>
          <w:color w:val="auto"/>
        </w:rPr>
        <w:t>Conflicts.</w:t>
      </w:r>
    </w:p>
    <w:p>
      <w:pPr>
        <w:spacing w:after="0" w:line="18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Neither the execution and delivery of this Agreement or any other Transaction Document nor the performance or consummation of the transactions contemplated hereby or thereby will: (i) contravene, conflict with, result in a breach or violation of, constitute a default under, or accelerate the performance provided by, in any material respects, any provisions of: (A) any Law, or any judgment, order, writ, decree, permit or license of any Governmental Authority, to which Buyer or any of its assets or properties may be subject or bound; or (B) any contract, agreement, commitment or instrument to which Buyer is a party or by which Buyer or any of its assets or properties is bound or committed; (ii) contravene, conflict with, result in a breach or violation of, constitute a default under, or accelerate the performance provided by, any provisions of the organizational or constitutional documents of Buyer; or (iii) require any notification to, filing with, or consent of, any Person or Governmental Authority.</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term of this Agreement, the following covenants shall apply:</w:t>
      </w:r>
    </w:p>
    <w:p>
      <w:pPr>
        <w:spacing w:after="0" w:line="17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color w:val="auto"/>
        </w:rPr>
        <w:t>Consents and Waivers.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Seller and Buyer shall use commercially reasonable efforts to obtain and maintain any required consents, acknowledgements, certificates or waivers so that the transactions contemplated by this Agreement or any other Transaction Document may be consummated and shall not result in any default or breach or termination of the License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3" w:name="page114"/>
    <w:bookmarkEnd w:id="113"/>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color w:val="auto"/>
        </w:rPr>
        <w:t>Compliance.</w:t>
      </w:r>
    </w:p>
    <w:p>
      <w:pPr>
        <w:spacing w:after="0" w:line="185" w:lineRule="exact"/>
        <w:rPr>
          <w:sz w:val="20"/>
          <w:szCs w:val="20"/>
          <w:color w:val="auto"/>
        </w:rPr>
      </w:pPr>
    </w:p>
    <w:p>
      <w:pPr>
        <w:ind w:left="1300" w:hanging="644"/>
        <w:spacing w:after="0" w:line="232" w:lineRule="auto"/>
        <w:tabs>
          <w:tab w:leader="none" w:pos="129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Seller shall comply with and fulfill, in all material respects, all of Seller’s obligations under the License Agreement and each Production Agreement.</w:t>
      </w:r>
    </w:p>
    <w:p>
      <w:pPr>
        <w:spacing w:after="0" w:line="158" w:lineRule="exact"/>
        <w:rPr>
          <w:rFonts w:ascii="Arial" w:cs="Arial" w:eastAsia="Arial" w:hAnsi="Arial"/>
          <w:sz w:val="22"/>
          <w:szCs w:val="22"/>
          <w:color w:val="auto"/>
        </w:rPr>
      </w:pPr>
    </w:p>
    <w:p>
      <w:pPr>
        <w:jc w:val="both"/>
        <w:ind w:left="1300" w:hanging="644"/>
        <w:spacing w:after="0"/>
        <w:tabs>
          <w:tab w:leader="none" w:pos="1295"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In the event the License Agreement is terminated for any reason whatsoever prior to its expiration pursuant to Section 11.01 of the License Agreement, Seller shall use Commercially Reasonable Efforts, at its sole cost and expense, to locate and secure a replacement licensee to Develop and Commercialize the Product in the Territory;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 (the “</w:t>
      </w:r>
      <w:r>
        <w:rPr>
          <w:rFonts w:ascii="Arial" w:cs="Arial" w:eastAsia="Arial" w:hAnsi="Arial"/>
          <w:sz w:val="19"/>
          <w:szCs w:val="19"/>
          <w:u w:val="single" w:color="auto"/>
          <w:color w:val="auto"/>
        </w:rPr>
        <w:t>New Arrangement</w:t>
      </w:r>
      <w:r>
        <w:rPr>
          <w:rFonts w:ascii="Arial" w:cs="Arial" w:eastAsia="Arial" w:hAnsi="Arial"/>
          <w:sz w:val="19"/>
          <w:szCs w:val="19"/>
          <w:color w:val="auto"/>
        </w:rPr>
        <w:t xml:space="preserve">”), and Seller agrees to use Commercially Reasonable Efforts to negotiate substantially similar obligations and liabilities as it currently has under the License Agreement (such New Arrangement shall, for purposes of the assignment of the Purchased Assets hereunder, be deemed to constitute the “License Agreement” hereunder and shall be subject to the terms and conditions hereof and of the other Transaction Documents) and Seller shall [***]. If Seller is not able to enter into a New Arrangement pursuant to the terms of this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despite using Commercially Reasonable Efforts, then [***] Seller or its Affiliates shall, [***]. The Parties will work together in good faith, if necessary, to amend this Agreement and the Transaction Documents, as appropriate, in order to address any alternative or differing provisions in a New Arrangement entered into pursuant to this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or to address Seller or its Affiliates performing the obligations of Licensee under the License Agreement, as applicable. Without limiting the foregoing, if the License Agreement is terminated and Seller or its Affiliates [***]</w:t>
      </w:r>
      <w:r>
        <w:rPr>
          <w:rFonts w:ascii="Arial" w:cs="Arial" w:eastAsia="Arial" w:hAnsi="Arial"/>
          <w:sz w:val="19"/>
          <w:szCs w:val="19"/>
          <w:color w:val="0000FF"/>
        </w:rPr>
        <w:t>,</w:t>
      </w:r>
      <w:r>
        <w:rPr>
          <w:rFonts w:ascii="Arial" w:cs="Arial" w:eastAsia="Arial" w:hAnsi="Arial"/>
          <w:sz w:val="19"/>
          <w:szCs w:val="19"/>
          <w:color w:val="auto"/>
        </w:rPr>
        <w:t xml:space="preserve"> shall be treated as “Net Sales” subject to the specified royalty rates set forth in the applicable provision of Section 6.04 of Amendment Number 2 of the License Agreement, and the product of such net sales times such royalty rate for the corresponding royalty periods for which such royalty rates apply shall be Royalties hereunder, and Seller shall pay Purchaser an amount equal to any milestone payments that would otherwise have been payable under Section 6.03 of the License Agreement related to the Commercialize the Product in the Territory.</w:t>
      </w:r>
    </w:p>
    <w:p>
      <w:pPr>
        <w:spacing w:after="0" w:line="381" w:lineRule="exact"/>
        <w:rPr>
          <w:sz w:val="20"/>
          <w:szCs w:val="20"/>
          <w:color w:val="auto"/>
        </w:rPr>
      </w:pPr>
    </w:p>
    <w:p>
      <w:pPr>
        <w:jc w:val="center"/>
        <w:ind w:right="240"/>
        <w:spacing w:after="0"/>
        <w:tabs>
          <w:tab w:leader="none" w:pos="320" w:val="left"/>
        </w:tabs>
        <w:rPr>
          <w:sz w:val="20"/>
          <w:szCs w:val="20"/>
          <w:color w:val="auto"/>
        </w:rPr>
      </w:pPr>
      <w:r>
        <w:rPr>
          <w:rFonts w:ascii="Arial" w:cs="Arial" w:eastAsia="Arial" w:hAnsi="Arial"/>
          <w:sz w:val="22"/>
          <w:szCs w:val="22"/>
          <w:b w:val="1"/>
          <w:bCs w:val="1"/>
          <w:color w:val="auto"/>
        </w:rPr>
        <w:t>Section 1.011.</w:t>
      </w:r>
      <w:r>
        <w:rPr>
          <w:sz w:val="20"/>
          <w:szCs w:val="20"/>
          <w:color w:val="auto"/>
        </w:rPr>
        <w:tab/>
      </w:r>
      <w:r>
        <w:rPr>
          <w:rFonts w:ascii="Arial" w:cs="Arial" w:eastAsia="Arial" w:hAnsi="Arial"/>
          <w:sz w:val="19"/>
          <w:szCs w:val="19"/>
          <w:b w:val="1"/>
          <w:bCs w:val="1"/>
          <w:color w:val="auto"/>
        </w:rPr>
        <w:t>Confidentiality; Public Announcement; SEC Filings.</w:t>
      </w:r>
    </w:p>
    <w:p>
      <w:pPr>
        <w:spacing w:after="0" w:line="185" w:lineRule="exact"/>
        <w:rPr>
          <w:sz w:val="20"/>
          <w:szCs w:val="20"/>
          <w:color w:val="auto"/>
        </w:rPr>
      </w:pPr>
    </w:p>
    <w:p>
      <w:pPr>
        <w:jc w:val="both"/>
        <w:ind w:left="1300" w:hanging="644"/>
        <w:spacing w:after="0" w:line="249" w:lineRule="auto"/>
        <w:tabs>
          <w:tab w:leader="none" w:pos="1297"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Except as expressly authorized in this Agreement or the other Transaction Documents or except with the prior written consent of the Disclosing Party, the Receiving Party hereby agrees that (i) it will use the Confidential Information of the Disclosing Party solely for the purpose of the transactions contemplated by this Agreement and the other Transaction Documents and exercising its rights and remedies and performing its obligations hereunder and thereunder; (ii) it will keep confidential the Confidential Information of the Disclosing Party; and (iii) it will not furnish or disclose to any Person any Confidential Information of the Disclosing Party.</w:t>
      </w:r>
    </w:p>
    <w:p>
      <w:pPr>
        <w:spacing w:after="0" w:line="151" w:lineRule="exact"/>
        <w:rPr>
          <w:rFonts w:ascii="Arial" w:cs="Arial" w:eastAsia="Arial" w:hAnsi="Arial"/>
          <w:sz w:val="19"/>
          <w:szCs w:val="19"/>
          <w:color w:val="auto"/>
        </w:rPr>
      </w:pPr>
    </w:p>
    <w:p>
      <w:pPr>
        <w:jc w:val="both"/>
        <w:ind w:left="1300" w:hanging="644"/>
        <w:spacing w:after="0" w:line="234" w:lineRule="auto"/>
        <w:tabs>
          <w:tab w:leader="none" w:pos="1295"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this Agreement or any other Transaction Document, the Receiving Party may, without the consent of the Disclosing Party, but with prior written notice to the Disclosing Party, furnish or disclose Confidential Information of the Disclosing Party to (i) the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14" w:name="page115"/>
    <w:bookmarkEnd w:id="114"/>
    <w:p>
      <w:pPr>
        <w:jc w:val="both"/>
        <w:ind w:left="1300"/>
        <w:spacing w:after="0"/>
        <w:rPr>
          <w:sz w:val="20"/>
          <w:szCs w:val="20"/>
          <w:color w:val="auto"/>
        </w:rPr>
      </w:pPr>
      <w:r>
        <w:rPr>
          <w:rFonts w:ascii="Arial" w:cs="Arial" w:eastAsia="Arial" w:hAnsi="Arial"/>
          <w:sz w:val="19"/>
          <w:szCs w:val="19"/>
          <w:color w:val="auto"/>
        </w:rPr>
        <w:t xml:space="preserve">Party’s Affiliates and their respective Representatives, actual or potential financing sources, investors or co-investors and permitted assignees, transferees or successors-in-interest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each such case, who need to know such information in order to provide or evaluate the provision of financing to the Receiving Party or any of its Affiliates or to assist the Receiving Party in evaluating the transactions contemplated by this Agreement and the other Transaction Documents or in exercising its rights and remedies and performing its obligations hereunder and thereunder and who are, prior to such furnishing or disclosure, informed of the confidentiality and non-use obligations contained in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and who are bound by written or professional confidentiality and non-use obligations no less stringent than those contained in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and (ii) permitted assignees, transferees or successors-in-interest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each such case, who need to know such information in connection with such actual or potential assignment, sale or transfer, including, following any such assignment, sale or transfer, in order to exercise their rights and remedies and perform their obligations under this Agreement and the other Transaction Documents and who are, prior to such furnishing or disclosure, informed of the confidentiality and non-use obligations contained in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and who are bound by written or professional confidentiality and non-use obligations no less stringent than those contained in this </w:t>
      </w:r>
      <w:r>
        <w:rPr>
          <w:rFonts w:ascii="Arial" w:cs="Arial" w:eastAsia="Arial" w:hAnsi="Arial"/>
          <w:sz w:val="19"/>
          <w:szCs w:val="19"/>
          <w:u w:val="single" w:color="auto"/>
          <w:color w:val="auto"/>
        </w:rPr>
        <w:t>Section 5.03</w:t>
      </w:r>
      <w:r>
        <w:rPr>
          <w:rFonts w:ascii="Arial" w:cs="Arial" w:eastAsia="Arial" w:hAnsi="Arial"/>
          <w:sz w:val="19"/>
          <w:szCs w:val="19"/>
          <w:color w:val="auto"/>
        </w:rPr>
        <w:t>. Each Party hereby acknowledges that the United States federal and state securities laws prohibit any Person that has material, non-public information about a company from purchasing or selling securities of such a company or from communicating such information to any other Person under circumstances in which it is reasonably foreseeable that such Person is likely to purchase or sell such securities.</w:t>
      </w:r>
    </w:p>
    <w:p>
      <w:pPr>
        <w:spacing w:after="0" w:line="390" w:lineRule="exact"/>
        <w:rPr>
          <w:sz w:val="20"/>
          <w:szCs w:val="20"/>
          <w:color w:val="auto"/>
        </w:rPr>
      </w:pPr>
    </w:p>
    <w:p>
      <w:pPr>
        <w:jc w:val="both"/>
        <w:ind w:left="1300" w:hanging="644"/>
        <w:spacing w:after="0" w:line="241" w:lineRule="auto"/>
        <w:tabs>
          <w:tab w:leader="none" w:pos="129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In the event that the Receiving Party, its Affiliates or any of their respective Representatives is required by applicable Law, applicable stock exchange rules or legal or judicial process (including by deposition, interrogatory, request for documents, subpoena, civil investigative demand or similar process) to furnish or disclose any portion of the Confidential Information of the Disclosing Party, the Receiving Party shall, to the extent legally permitted, provide the Disclosing Party, as promptly as practicable, with written notice of the existence of, and terms and circumstances relating to, such requirement, so that the Disclosing Party may seek, at its expense, a protective order or other appropriate remedy (and, if the Disclosing Party seeks such an order, the Receiving Party, such Affiliates or such Representatives, as the case may be, shall provide, at their expense, such cooperation as such Disclosing Party shall reasonably require). Subject to the foregoing, the Receiving Party, such Affiliates or such Representatives, as the case may be, may disclose that portion (and only that portion) of the Confidential Information of the Disclosing Party that is legally required to be disclosed;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Receiving Party, such Affiliates or such Representatives, as the case may be, shall exercise reasonable efforts (at their expense) to preserve the confidentiality of the Confidential Information of the Disclosing Party, including by obtaining reliable assurance that confidential treatment will be accorded any such Confidential Information disclosed. Notwithstanding anything to the contrary contained in this Agreement or any of the other Transaction Documents, in the event that the Receiving Party or any of its Affiliates receives a request from an authorized representative of a U.S. or foreign tax authority for a copy of this Agreement or any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30</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5" w:name="page116"/>
    <w:bookmarkEnd w:id="115"/>
    <w:p>
      <w:pPr>
        <w:jc w:val="both"/>
        <w:ind w:left="1300"/>
        <w:spacing w:after="0" w:line="246" w:lineRule="auto"/>
        <w:rPr>
          <w:sz w:val="20"/>
          <w:szCs w:val="20"/>
          <w:color w:val="auto"/>
        </w:rPr>
      </w:pPr>
      <w:r>
        <w:rPr>
          <w:rFonts w:ascii="Arial" w:cs="Arial" w:eastAsia="Arial" w:hAnsi="Arial"/>
          <w:sz w:val="19"/>
          <w:szCs w:val="19"/>
          <w:color w:val="auto"/>
        </w:rPr>
        <w:t xml:space="preserve">Transaction Documents, the Receiving Party or such Affiliate, as the case may be, may provide a copy hereof or thereof to such tax authority representative without advance notice to, or the consent of, the Disclosing Party;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Receiving Party shall, to the extent legally permitted, provide the Disclosing Party with written notice of such disclosure as soon as practicable. Notwithstanding the above, the Parties acknowledge and agree that this Agreement is a material contract of Seller that will be required to be disclosed to the Securities and Exchange Commission pursuant to the Exchange Act. Seller will be permitted to file this Agreement with the Securities and Exchange Commission in its entirety or with confidential treatment of certain terms and conditions of this Agreement, as determined by Seller in its sole discretion.</w:t>
      </w:r>
    </w:p>
    <w:p>
      <w:pPr>
        <w:spacing w:after="0" w:line="152" w:lineRule="exact"/>
        <w:rPr>
          <w:sz w:val="20"/>
          <w:szCs w:val="20"/>
          <w:color w:val="auto"/>
        </w:rPr>
      </w:pPr>
    </w:p>
    <w:p>
      <w:pPr>
        <w:jc w:val="both"/>
        <w:ind w:left="1300" w:hanging="644"/>
        <w:spacing w:after="0" w:line="219" w:lineRule="auto"/>
        <w:tabs>
          <w:tab w:leader="none" w:pos="13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or any of the other Transaction Documents, the Receiving Party may disclose the Confidential Information of the Disclosing Party, including this Agreement, the other Transaction Documents and the terms and conditions hereof and thereof, to the extent necessary in connection with the enforcement of its rights and remedies hereunder or thereunder or as required to perfect the Receiving Party’s rights hereunder or thereunder; </w:t>
      </w:r>
      <w:r>
        <w:rPr>
          <w:rFonts w:ascii="Arial" w:cs="Arial" w:eastAsia="Arial" w:hAnsi="Arial"/>
          <w:sz w:val="21"/>
          <w:szCs w:val="21"/>
          <w:u w:val="single" w:color="auto"/>
          <w:color w:val="auto"/>
        </w:rPr>
        <w:t>provided that</w:t>
      </w:r>
      <w:r>
        <w:rPr>
          <w:rFonts w:ascii="Arial" w:cs="Arial" w:eastAsia="Arial" w:hAnsi="Arial"/>
          <w:sz w:val="21"/>
          <w:szCs w:val="21"/>
          <w:color w:val="auto"/>
        </w:rPr>
        <w:t>, the Receiving Party shall only disclose that portion of the Confidential Information that its counsel advises that it is legally required to disclose and will exercise commercially reasonable efforts to ensure that confidential treatment will be accorded to that portion of the Confidential Information that is being disclosed, including requesting confidential treatment of information in the Transaction Documents. In any event, Receiving Party will not oppose action by Disclosing Party to obtain an appropriate protective order or other reliable assurance, at its own expense, that confidential treatment will be accorded the Confidential Information in the event that confidential treatment cannot be obtained by the Receiving Party.</w:t>
      </w:r>
    </w:p>
    <w:p>
      <w:pPr>
        <w:spacing w:after="0" w:line="163" w:lineRule="exact"/>
        <w:rPr>
          <w:rFonts w:ascii="Arial" w:cs="Arial" w:eastAsia="Arial" w:hAnsi="Arial"/>
          <w:sz w:val="21"/>
          <w:szCs w:val="21"/>
          <w:color w:val="auto"/>
        </w:rPr>
      </w:pPr>
    </w:p>
    <w:p>
      <w:pPr>
        <w:jc w:val="both"/>
        <w:ind w:left="1300" w:hanging="644"/>
        <w:spacing w:after="0" w:line="220" w:lineRule="auto"/>
        <w:tabs>
          <w:tab w:leader="none" w:pos="1295"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Each Party shall have the right to issue a press release with respect to the transactions contemplated by this Agreement or any other Transaction Document,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form of such press release is substantially similar to that set forth on </w:t>
      </w:r>
      <w:r>
        <w:rPr>
          <w:rFonts w:ascii="Arial" w:cs="Arial" w:eastAsia="Arial" w:hAnsi="Arial"/>
          <w:sz w:val="21"/>
          <w:szCs w:val="21"/>
          <w:u w:val="single" w:color="auto"/>
          <w:color w:val="auto"/>
        </w:rPr>
        <w:t>Section 5.03(e)</w:t>
      </w:r>
      <w:r>
        <w:rPr>
          <w:rFonts w:ascii="Arial" w:cs="Arial" w:eastAsia="Arial" w:hAnsi="Arial"/>
          <w:sz w:val="21"/>
          <w:szCs w:val="21"/>
          <w:color w:val="auto"/>
        </w:rPr>
        <w:t xml:space="preserve">. Following the initial press release, the Parties shall be permitted to make additional public disclosures regarding the transactions contemplated by this Agreement or any other Transaction Document,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such additional public disclosures are consistent with such initial disclosure or as may be necessary to correct any facts or circumstances that have changed since the initial disclosure. In addition, each Party shall be permitted to provide any public disclosure regarding the transactions contemplated by this Agreement or any other Transaction Document if and to the extent that any such release or disclosure is required by applicable Law, by the rules and regulations of any applicable stock exchange or by any Governmental Authority of competent jurisdiction.</w:t>
      </w:r>
    </w:p>
    <w:p>
      <w:pPr>
        <w:spacing w:after="0" w:line="162" w:lineRule="exact"/>
        <w:rPr>
          <w:rFonts w:ascii="Arial" w:cs="Arial" w:eastAsia="Arial" w:hAnsi="Arial"/>
          <w:sz w:val="21"/>
          <w:szCs w:val="21"/>
          <w:color w:val="auto"/>
        </w:rPr>
      </w:pPr>
    </w:p>
    <w:p>
      <w:pPr>
        <w:jc w:val="both"/>
        <w:ind w:left="1300" w:hanging="644"/>
        <w:spacing w:after="0" w:line="216" w:lineRule="auto"/>
        <w:tabs>
          <w:tab w:leader="none" w:pos="1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Except with respect to Buyer’s internal communications or private communications with its Representatives, Buyer shall not, and shall cause its Representatives, its Affiliates and its Affiliates’ Representatives not to make use of the name, nickname, trademark, logo, service mark, trade dress or other name, term, mark or symbol identifying or associated with Seller without Seller’s prior written consent to the specific use in question;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the consent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31</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6" w:name="page117"/>
    <w:bookmarkEnd w:id="116"/>
    <w:p>
      <w:pPr>
        <w:jc w:val="both"/>
        <w:ind w:left="1300"/>
        <w:spacing w:after="0" w:line="218" w:lineRule="auto"/>
        <w:rPr>
          <w:sz w:val="20"/>
          <w:szCs w:val="20"/>
          <w:color w:val="auto"/>
        </w:rPr>
      </w:pPr>
      <w:r>
        <w:rPr>
          <w:rFonts w:ascii="Arial" w:cs="Arial" w:eastAsia="Arial" w:hAnsi="Arial"/>
          <w:sz w:val="22"/>
          <w:szCs w:val="22"/>
          <w:color w:val="auto"/>
        </w:rPr>
        <w:t xml:space="preserve">shall not be required with respect to publication of Seller’s name and logos in Buyer’s promotional materials, including without limitation the websites for Buyer and its Affiliates, if such publication is made in accordance with the format set forth on </w:t>
      </w:r>
      <w:r>
        <w:rPr>
          <w:rFonts w:ascii="Arial" w:cs="Arial" w:eastAsia="Arial" w:hAnsi="Arial"/>
          <w:sz w:val="22"/>
          <w:szCs w:val="22"/>
          <w:u w:val="single" w:color="auto"/>
          <w:color w:val="auto"/>
        </w:rPr>
        <w:t>Schedule 5.03(f)</w:t>
      </w:r>
      <w:r>
        <w:rPr>
          <w:rFonts w:ascii="Arial" w:cs="Arial" w:eastAsia="Arial" w:hAnsi="Arial"/>
          <w:sz w:val="22"/>
          <w:szCs w:val="22"/>
          <w:color w:val="auto"/>
        </w:rPr>
        <w:t xml:space="preserve"> and Buyer does not make any such publication until after Seller files this Agreement in compliance with United States securities laws.</w:t>
      </w:r>
    </w:p>
    <w:p>
      <w:pPr>
        <w:spacing w:after="0" w:line="161" w:lineRule="exact"/>
        <w:rPr>
          <w:sz w:val="20"/>
          <w:szCs w:val="20"/>
          <w:color w:val="auto"/>
        </w:rPr>
      </w:pPr>
    </w:p>
    <w:p>
      <w:pPr>
        <w:jc w:val="both"/>
        <w:ind w:left="1300" w:hanging="644"/>
        <w:spacing w:after="0" w:line="257" w:lineRule="auto"/>
        <w:tabs>
          <w:tab w:leader="none" w:pos="1288" w:val="left"/>
        </w:tabs>
        <w:numPr>
          <w:ilvl w:val="0"/>
          <w:numId w:val="60"/>
        </w:numPr>
        <w:rPr>
          <w:rFonts w:ascii="Arial" w:cs="Arial" w:eastAsia="Arial" w:hAnsi="Arial"/>
          <w:sz w:val="19"/>
          <w:szCs w:val="19"/>
          <w:color w:val="auto"/>
        </w:rPr>
      </w:pPr>
      <w:r>
        <w:rPr>
          <w:rFonts w:ascii="Arial" w:cs="Arial" w:eastAsia="Arial" w:hAnsi="Arial"/>
          <w:sz w:val="19"/>
          <w:szCs w:val="19"/>
          <w:color w:val="auto"/>
        </w:rPr>
        <w:t>Each of Seller and Buyer hereby (i) agree that, notwithstanding the terms thereof, the Confidentiality Agreement is hereby terminated and (ii) acknowledge that this Agreement shall supersede such Confidentiality Agreement with respect to the treatment of Confidential Information by the Parties (including, without limitation, with regard to Confidential Information previously provided pursuant to such Confidentiality Agreement).</w:t>
      </w:r>
    </w:p>
    <w:p>
      <w:pPr>
        <w:spacing w:after="0" w:line="144" w:lineRule="exact"/>
        <w:rPr>
          <w:rFonts w:ascii="Arial" w:cs="Arial" w:eastAsia="Arial" w:hAnsi="Arial"/>
          <w:sz w:val="19"/>
          <w:szCs w:val="19"/>
          <w:color w:val="auto"/>
        </w:rPr>
      </w:pPr>
    </w:p>
    <w:p>
      <w:pPr>
        <w:jc w:val="both"/>
        <w:ind w:left="1300" w:hanging="644"/>
        <w:spacing w:after="0" w:line="249" w:lineRule="auto"/>
        <w:tabs>
          <w:tab w:leader="none" w:pos="1288" w:val="left"/>
        </w:tabs>
        <w:numPr>
          <w:ilvl w:val="0"/>
          <w:numId w:val="60"/>
        </w:numPr>
        <w:rPr>
          <w:rFonts w:ascii="Arial" w:cs="Arial" w:eastAsia="Arial" w:hAnsi="Arial"/>
          <w:sz w:val="19"/>
          <w:szCs w:val="19"/>
          <w:color w:val="auto"/>
        </w:rPr>
      </w:pPr>
      <w:r>
        <w:rPr>
          <w:rFonts w:ascii="Arial" w:cs="Arial" w:eastAsia="Arial" w:hAnsi="Arial"/>
          <w:sz w:val="19"/>
          <w:szCs w:val="19"/>
          <w:color w:val="auto"/>
        </w:rPr>
        <w:t>Buyer further agrees to (a) comply with the terms of Article VII of the License Agreement with respect to any Confidential Information (as defined in the License Agreement) of Licensee and (b) to keep confidential and not publish or otherwise disclose or use for any purpose other than to conduct its activities under this Agreement any Confidential Information of Licensee, unless such disclosure falls within the exceptions set forth in Section 7.02 or 7.04 of the License Agreement, in which case Buyer agrees to make any such limited permitted disclosure in strict compliance with the requirements set forth in Article VII of the License Agreement.</w:t>
      </w:r>
    </w:p>
    <w:p>
      <w:pPr>
        <w:spacing w:after="0" w:line="146"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color w:val="auto"/>
        </w:rPr>
        <w:t>Further Assurances.</w:t>
      </w:r>
    </w:p>
    <w:p>
      <w:pPr>
        <w:spacing w:after="0" w:line="185" w:lineRule="exact"/>
        <w:rPr>
          <w:sz w:val="20"/>
          <w:szCs w:val="20"/>
          <w:color w:val="auto"/>
        </w:rPr>
      </w:pPr>
    </w:p>
    <w:p>
      <w:pPr>
        <w:jc w:val="both"/>
        <w:ind w:left="1300" w:hanging="644"/>
        <w:spacing w:after="0" w:line="243" w:lineRule="auto"/>
        <w:tabs>
          <w:tab w:leader="none" w:pos="1295" w:val="left"/>
        </w:tabs>
        <w:numPr>
          <w:ilvl w:val="0"/>
          <w:numId w:val="61"/>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of Buyer and Seller will use commercially reasonable efforts to take, or cause to be taken, all actions and to do, or cause to be done, all things necessary under applicable Laws to consummate the transactions contemplated by this Agreement and any other Transaction Document. Buyer and Seller agree to execute and deliver such other documents, certificates, agreements and other writings (including any financing statement filings, other documents, certificates or agreements requested by Buyer) and to take such other actions as may be reasonably necessary to carry out and effectuate all of the provisions of this Agreement and any other Transaction Document, to consummate the transactions contemplated by this Agreement and any other Transaction Document and to vest in Buyer all of Seller’s rights and obligations (whether joint, several or joint and several) to the Purchased Assets, free and clear of all Liens except any Permitted Liens or Liens created in favor of Buyer. Seller shall take all actions and do, all things necessary to pay off, satisfy and release any Permitted Liens.</w:t>
      </w:r>
    </w:p>
    <w:p>
      <w:pPr>
        <w:spacing w:after="0" w:line="379" w:lineRule="exact"/>
        <w:rPr>
          <w:rFonts w:ascii="Arial" w:cs="Arial" w:eastAsia="Arial" w:hAnsi="Arial"/>
          <w:sz w:val="19"/>
          <w:szCs w:val="19"/>
          <w:color w:val="auto"/>
        </w:rPr>
      </w:pPr>
    </w:p>
    <w:p>
      <w:pPr>
        <w:jc w:val="both"/>
        <w:ind w:left="1300" w:hanging="644"/>
        <w:spacing w:after="0" w:line="222" w:lineRule="auto"/>
        <w:tabs>
          <w:tab w:leader="none" w:pos="1288" w:val="left"/>
        </w:tabs>
        <w:numPr>
          <w:ilvl w:val="0"/>
          <w:numId w:val="61"/>
        </w:numPr>
        <w:rPr>
          <w:rFonts w:ascii="Arial" w:cs="Arial" w:eastAsia="Arial" w:hAnsi="Arial"/>
          <w:sz w:val="21"/>
          <w:szCs w:val="21"/>
          <w:color w:val="auto"/>
        </w:rPr>
      </w:pPr>
      <w:r>
        <w:rPr>
          <w:rFonts w:ascii="Arial" w:cs="Arial" w:eastAsia="Arial" w:hAnsi="Arial"/>
          <w:sz w:val="21"/>
          <w:szCs w:val="21"/>
          <w:color w:val="auto"/>
        </w:rPr>
        <w:t>Except for Disputes between the Parties, each of Buyer and Seller shall cooperate and provide assistance as reasonably requested by the other Party (and at no expense to the requesting Party unless the requesting Party is obligated to indemnify the other Party pursuant to the requesting Party’s indemnification obligations provided for in this Agreement) in connection with any litigation, arbitration or other proceeding (whether threatened, existing, initiated, or contemplated prior to, on or after the date hereof) to which any Party or any of its officers, directors, shareholders, agents or employees is or may become a party or is or may become otherwise directly or indirectly affected or as to which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32</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7" w:name="page118"/>
    <w:bookmarkEnd w:id="117"/>
    <w:p>
      <w:pPr>
        <w:jc w:val="both"/>
        <w:ind w:left="1300"/>
        <w:spacing w:after="0" w:line="242" w:lineRule="auto"/>
        <w:rPr>
          <w:sz w:val="20"/>
          <w:szCs w:val="20"/>
          <w:color w:val="auto"/>
        </w:rPr>
      </w:pPr>
      <w:r>
        <w:rPr>
          <w:rFonts w:ascii="Arial" w:cs="Arial" w:eastAsia="Arial" w:hAnsi="Arial"/>
          <w:sz w:val="19"/>
          <w:szCs w:val="19"/>
          <w:color w:val="auto"/>
        </w:rPr>
        <w:t>Persons have a direct or indirect interests, in each case relating to this Agreement or any other Transaction Document, and the Purchased Assets, the License Agreement, or the transactions described herein or therein, and, without limiting the generality of the preceding provision, shall provide promptly to the other Party copies of all correspondence, reports, notices or other information sent by or on behalf of such Party to, or received by or on behalf of such Party from, Licensee, in any case relating to the License Agreement; it being understood that a Party’s failure to provide such information shall not limit any otherwise applicable indemnification obligations under this Agreement of the other Party other than to the extent of any final non-appealable order of a court of competent jurisdiction finding that a Loss was incurred by such other Party as a result of such failure to provide such information. In particular, with respect to the immediately preceding sentence, Seller shall, upon request of Buyer, be available and fully cooperate with and support Buyer in connection with the License Agreement and its performance, at reasonable times and, unless otherwise set forth in this Agreement. Notwithstanding anything in this Section 5.04(b) to the contrary, at no time shall either Buyer or Seller be required to provide any attorney-client privileged information.</w:t>
      </w:r>
    </w:p>
    <w:p>
      <w:pPr>
        <w:spacing w:after="0" w:line="380" w:lineRule="exact"/>
        <w:rPr>
          <w:sz w:val="20"/>
          <w:szCs w:val="20"/>
          <w:color w:val="auto"/>
        </w:rPr>
      </w:pPr>
    </w:p>
    <w:p>
      <w:pPr>
        <w:jc w:val="both"/>
        <w:ind w:left="1300" w:hanging="644"/>
        <w:spacing w:after="0" w:line="223" w:lineRule="auto"/>
        <w:tabs>
          <w:tab w:leader="none" w:pos="12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Seller and its Subsidiaries shall obtain Buyer’s prior written consent prior to delivering any notice or correspondence to Licensee alleging any material breach or material default of any representation, warranty or covenant (or otherwise) by Licensee or its Subsidiaries under the License Agreement.</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1.012.</w:t>
      </w:r>
      <w:r>
        <w:rPr>
          <w:sz w:val="20"/>
          <w:szCs w:val="20"/>
          <w:color w:val="auto"/>
        </w:rPr>
        <w:tab/>
      </w:r>
      <w:r>
        <w:rPr>
          <w:rFonts w:ascii="Arial" w:cs="Arial" w:eastAsia="Arial" w:hAnsi="Arial"/>
          <w:sz w:val="19"/>
          <w:szCs w:val="19"/>
          <w:b w:val="1"/>
          <w:bCs w:val="1"/>
          <w:color w:val="auto"/>
        </w:rPr>
        <w:t>Notice by Seller.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Seller shall provide Buyer with written notice as promptly as practicable (and in any event within five (5) Business Days)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after obtaining actual knowledge of any of the following:</w:t>
      </w:r>
    </w:p>
    <w:p>
      <w:pPr>
        <w:spacing w:after="0" w:line="161"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Event of Default;</w:t>
      </w:r>
    </w:p>
    <w:p>
      <w:pPr>
        <w:spacing w:after="0" w:line="179" w:lineRule="exact"/>
        <w:rPr>
          <w:rFonts w:ascii="Arial" w:cs="Arial" w:eastAsia="Arial" w:hAnsi="Arial"/>
          <w:sz w:val="22"/>
          <w:szCs w:val="22"/>
          <w:color w:val="auto"/>
        </w:rPr>
      </w:pPr>
    </w:p>
    <w:p>
      <w:pPr>
        <w:ind w:left="1300" w:hanging="644"/>
        <w:spacing w:after="0" w:line="232" w:lineRule="auto"/>
        <w:tabs>
          <w:tab w:leader="none" w:pos="129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occurrence of an Insolvency Event with respect to Seller or the occurrence of any equivalent event with respect to Licensee;</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95"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material breach or material default, or alleged material breach or material default, of any representation, warranty or covenant by Licensee or its Subsidiaries or Seller or its Subsidiaries under the License Agreement or any Production Agreement;</w:t>
      </w:r>
    </w:p>
    <w:p>
      <w:pPr>
        <w:spacing w:after="0" w:line="158" w:lineRule="exact"/>
        <w:rPr>
          <w:rFonts w:ascii="Arial" w:cs="Arial" w:eastAsia="Arial" w:hAnsi="Arial"/>
          <w:sz w:val="22"/>
          <w:szCs w:val="22"/>
          <w:color w:val="auto"/>
        </w:rPr>
      </w:pPr>
    </w:p>
    <w:p>
      <w:pPr>
        <w:ind w:left="1300" w:hanging="644"/>
        <w:spacing w:after="0" w:line="232" w:lineRule="auto"/>
        <w:tabs>
          <w:tab w:leader="none" w:pos="129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that Seller shall be unable to provide the supply of API set forth in the Manufacturing and Supply Agreement for Development or the Interim Commercial Supply Letter in any material respect;</w:t>
      </w:r>
    </w:p>
    <w:p>
      <w:pPr>
        <w:spacing w:after="0" w:line="158" w:lineRule="exact"/>
        <w:rPr>
          <w:rFonts w:ascii="Arial" w:cs="Arial" w:eastAsia="Arial" w:hAnsi="Arial"/>
          <w:sz w:val="22"/>
          <w:szCs w:val="22"/>
          <w:color w:val="auto"/>
        </w:rPr>
      </w:pPr>
    </w:p>
    <w:p>
      <w:pPr>
        <w:jc w:val="both"/>
        <w:ind w:left="1300" w:hanging="644"/>
        <w:spacing w:after="0" w:line="257" w:lineRule="auto"/>
        <w:tabs>
          <w:tab w:leader="none" w:pos="13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written notice, report or other communication, together with copies of the same, received from or on behalf of the Licensee with respect to the License Agreement, any Production Agreement, the Royalty Interest, the Patent rights, or any of the Purchased Assets, in each case, to the extent regarding matters affecting the Purchased Assets that would, whether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33</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8" w:name="page119"/>
    <w:bookmarkEnd w:id="118"/>
    <w:p>
      <w:pPr>
        <w:jc w:val="both"/>
        <w:ind w:left="1300" w:hanging="644"/>
        <w:spacing w:after="0" w:line="216" w:lineRule="auto"/>
        <w:tabs>
          <w:tab w:leader="none" w:pos="1298"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written notice, report or other communication, together with copies of the same, sent to the Licensee by or on behalf of Seller with respect to the License Agreement, any Production Agreement, the Royalty Interest, the Patent rights, or any of the Purchased Assets, in each case, to the extent regarding matters affecting the Purchased Assets that would, whether individually or in the aggregate, reasonably be expected to have a Material Adverse Effect; and</w:t>
      </w:r>
    </w:p>
    <w:p>
      <w:pPr>
        <w:spacing w:after="0" w:line="157" w:lineRule="exact"/>
        <w:rPr>
          <w:rFonts w:ascii="Arial" w:cs="Arial" w:eastAsia="Arial" w:hAnsi="Arial"/>
          <w:sz w:val="22"/>
          <w:szCs w:val="22"/>
          <w:color w:val="auto"/>
        </w:rPr>
      </w:pPr>
    </w:p>
    <w:p>
      <w:pPr>
        <w:ind w:left="1300" w:hanging="644"/>
        <w:spacing w:after="0" w:line="232" w:lineRule="auto"/>
        <w:tabs>
          <w:tab w:leader="none" w:pos="1288"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change in, or amendment or alteration of, Seller’s (a) legal name, (b) form or type of organization, or (c) jurisdiction of organization.</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b w:val="1"/>
          <w:bCs w:val="1"/>
          <w:color w:val="auto"/>
        </w:rPr>
        <w:t>Patent Rights.</w:t>
      </w:r>
    </w:p>
    <w:p>
      <w:pPr>
        <w:spacing w:after="0" w:line="185" w:lineRule="exact"/>
        <w:rPr>
          <w:sz w:val="20"/>
          <w:szCs w:val="20"/>
          <w:color w:val="auto"/>
        </w:rPr>
      </w:pPr>
    </w:p>
    <w:p>
      <w:pPr>
        <w:jc w:val="both"/>
        <w:ind w:left="1300" w:hanging="644"/>
        <w:spacing w:after="0" w:line="268" w:lineRule="auto"/>
        <w:tabs>
          <w:tab w:leader="none" w:pos="1295" w:val="left"/>
        </w:tabs>
        <w:numPr>
          <w:ilvl w:val="0"/>
          <w:numId w:val="65"/>
        </w:numPr>
        <w:rPr>
          <w:rFonts w:ascii="Arial" w:cs="Arial" w:eastAsia="Arial" w:hAnsi="Arial"/>
          <w:sz w:val="19"/>
          <w:szCs w:val="19"/>
          <w:color w:val="auto"/>
        </w:rPr>
      </w:pPr>
      <w:r>
        <w:rPr>
          <w:rFonts w:ascii="Arial" w:cs="Arial" w:eastAsia="Arial" w:hAnsi="Arial"/>
          <w:sz w:val="19"/>
          <w:szCs w:val="19"/>
          <w:color w:val="auto"/>
        </w:rPr>
        <w:t>Seller shall, at its sole expense, take any and all commercially reasonable actions and prepare, execute, deliver and file any and all agreements, documents or instruments which are necessary or desirable to diligently prosecute and maintain the Licensed Patents, to the extent required to prevent a Material Adverse Effect.</w:t>
      </w:r>
    </w:p>
    <w:p>
      <w:pPr>
        <w:spacing w:after="0" w:line="132" w:lineRule="exact"/>
        <w:rPr>
          <w:rFonts w:ascii="Arial" w:cs="Arial" w:eastAsia="Arial" w:hAnsi="Arial"/>
          <w:sz w:val="19"/>
          <w:szCs w:val="19"/>
          <w:color w:val="auto"/>
        </w:rPr>
      </w:pPr>
    </w:p>
    <w:p>
      <w:pPr>
        <w:jc w:val="both"/>
        <w:ind w:left="1380" w:hanging="643"/>
        <w:spacing w:after="0" w:line="216" w:lineRule="auto"/>
        <w:tabs>
          <w:tab w:leader="none" w:pos="1375" w:val="left"/>
        </w:tabs>
        <w:numPr>
          <w:ilvl w:val="1"/>
          <w:numId w:val="65"/>
        </w:numPr>
        <w:rPr>
          <w:rFonts w:ascii="Arial" w:cs="Arial" w:eastAsia="Arial" w:hAnsi="Arial"/>
          <w:sz w:val="22"/>
          <w:szCs w:val="22"/>
          <w:color w:val="auto"/>
        </w:rPr>
      </w:pPr>
      <w:r>
        <w:rPr>
          <w:rFonts w:ascii="Arial" w:cs="Arial" w:eastAsia="Arial" w:hAnsi="Arial"/>
          <w:sz w:val="22"/>
          <w:szCs w:val="22"/>
          <w:color w:val="auto"/>
        </w:rPr>
        <w:t>Seller shall, or shall permit Licensee to, at its sole expense, defend or assert the Licensed Patents against infringement by any other Persons, and against any claims of invalidity or unenforceability, in the Territory (including, without limitation, by bringing any legal action for infringement or defending any counterclaim of invalidity or action of a Third Party for declaratory judgment of non-infringement), to the extent required to prevent a Material Adverse Effect.</w:t>
      </w:r>
    </w:p>
    <w:p>
      <w:pPr>
        <w:spacing w:after="0" w:line="158" w:lineRule="exact"/>
        <w:rPr>
          <w:sz w:val="20"/>
          <w:szCs w:val="20"/>
          <w:color w:val="auto"/>
        </w:rPr>
      </w:pPr>
    </w:p>
    <w:p>
      <w:pPr>
        <w:jc w:val="both"/>
        <w:ind w:left="1300" w:hanging="644"/>
        <w:spacing w:after="0" w:line="223" w:lineRule="auto"/>
        <w:tabs>
          <w:tab w:leader="none" w:pos="1289" w:val="left"/>
        </w:tabs>
        <w:numPr>
          <w:ilvl w:val="0"/>
          <w:numId w:val="66"/>
        </w:numPr>
        <w:rPr>
          <w:rFonts w:ascii="Arial" w:cs="Arial" w:eastAsia="Arial" w:hAnsi="Arial"/>
          <w:sz w:val="22"/>
          <w:szCs w:val="22"/>
          <w:color w:val="auto"/>
        </w:rPr>
      </w:pPr>
      <w:r>
        <w:rPr>
          <w:rFonts w:ascii="Arial" w:cs="Arial" w:eastAsia="Arial" w:hAnsi="Arial"/>
          <w:sz w:val="22"/>
          <w:szCs w:val="22"/>
          <w:color w:val="auto"/>
        </w:rPr>
        <w:t>Seller shall not disclaim or abandon, or fail to take any action necessary or desirable to prevent the disclaimer or abandonment of, any Licensed Patents, to the extent the disclaimer or abandonment of such Licensed Patent could reasonably be likely to have a Material Adverse Effect.</w:t>
      </w:r>
    </w:p>
    <w:p>
      <w:pPr>
        <w:spacing w:after="0" w:line="158" w:lineRule="exact"/>
        <w:rPr>
          <w:rFonts w:ascii="Arial" w:cs="Arial" w:eastAsia="Arial" w:hAnsi="Arial"/>
          <w:sz w:val="22"/>
          <w:szCs w:val="22"/>
          <w:color w:val="auto"/>
        </w:rPr>
      </w:pPr>
    </w:p>
    <w:p>
      <w:pPr>
        <w:jc w:val="both"/>
        <w:ind w:left="1380" w:hanging="643"/>
        <w:spacing w:after="0" w:line="222" w:lineRule="auto"/>
        <w:tabs>
          <w:tab w:leader="none" w:pos="1375"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Without limiting Seller’s obligations under </w:t>
      </w:r>
      <w:r>
        <w:rPr>
          <w:rFonts w:ascii="Arial" w:cs="Arial" w:eastAsia="Arial" w:hAnsi="Arial"/>
          <w:sz w:val="21"/>
          <w:szCs w:val="21"/>
          <w:u w:val="single" w:color="auto"/>
          <w:color w:val="auto"/>
        </w:rPr>
        <w:t>Section 5.06(a)</w:t>
      </w:r>
      <w:r>
        <w:rPr>
          <w:rFonts w:ascii="Arial" w:cs="Arial" w:eastAsia="Arial" w:hAnsi="Arial"/>
          <w:sz w:val="21"/>
          <w:szCs w:val="21"/>
          <w:color w:val="auto"/>
        </w:rPr>
        <w:t>, Seller shall keep Buyer reasonably informed and shall promptly provide to Buyer any information of which Seller becomes aware that could reasonably be expected to have an effect on the prosecution, maintenance, defense or enforcement of any Licensed Patents, in a manner that could reasonably be expected to have a Material Adverse Effect. To the extent that Seller receives any material correspondence regarding the prosecution, maintenance, defense or enforcement of any such Licensed Patents, that could reasonably be expected to have a Material Adverse Effect, Seller will provide such correspondence to Buyer.</w:t>
      </w:r>
    </w:p>
    <w:p>
      <w:pPr>
        <w:spacing w:after="0" w:line="164" w:lineRule="exact"/>
        <w:rPr>
          <w:rFonts w:ascii="Arial" w:cs="Arial" w:eastAsia="Arial" w:hAnsi="Arial"/>
          <w:sz w:val="21"/>
          <w:szCs w:val="21"/>
          <w:color w:val="auto"/>
        </w:rPr>
      </w:pPr>
    </w:p>
    <w:p>
      <w:pPr>
        <w:jc w:val="both"/>
        <w:ind w:left="1380" w:hanging="643"/>
        <w:spacing w:after="0" w:line="224" w:lineRule="auto"/>
        <w:tabs>
          <w:tab w:leader="none" w:pos="1375"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In furtherance of </w:t>
      </w:r>
      <w:r>
        <w:rPr>
          <w:rFonts w:ascii="Arial" w:cs="Arial" w:eastAsia="Arial" w:hAnsi="Arial"/>
          <w:sz w:val="21"/>
          <w:szCs w:val="21"/>
          <w:u w:val="single" w:color="auto"/>
          <w:color w:val="auto"/>
        </w:rPr>
        <w:t>Section 5.06(d)</w:t>
      </w:r>
      <w:r>
        <w:rPr>
          <w:rFonts w:ascii="Arial" w:cs="Arial" w:eastAsia="Arial" w:hAnsi="Arial"/>
          <w:sz w:val="21"/>
          <w:szCs w:val="21"/>
          <w:color w:val="auto"/>
        </w:rPr>
        <w:t xml:space="preserve">, in the event of defense or enforcement of any Licensed Patent, Seller shall provide regular updates regarding the status of and strategy for such defense or enforcement activities, including with respect to infringement, validity, enforceability, any counterclaim or settlement; </w:t>
      </w:r>
      <w:r>
        <w:rPr>
          <w:rFonts w:ascii="Arial" w:cs="Arial" w:eastAsia="Arial" w:hAnsi="Arial"/>
          <w:sz w:val="21"/>
          <w:szCs w:val="21"/>
          <w:u w:val="single" w:color="auto"/>
          <w:color w:val="auto"/>
        </w:rPr>
        <w:t>provided that</w:t>
      </w:r>
      <w:r>
        <w:rPr>
          <w:rFonts w:ascii="Arial" w:cs="Arial" w:eastAsia="Arial" w:hAnsi="Arial"/>
          <w:sz w:val="21"/>
          <w:szCs w:val="21"/>
          <w:color w:val="auto"/>
        </w:rPr>
        <w:t>, notwithstanding anything to the contrary contained herein, this provision is not deemed to grant Buyer any rights to (i) dictate or control any enforceability with respect to any Licensed Patent or (ii) information protected by attorney-client privilege or that would otherwise cause a conflict of interest.</w:t>
      </w:r>
    </w:p>
    <w:p>
      <w:pPr>
        <w:spacing w:after="0" w:line="159" w:lineRule="exact"/>
        <w:rPr>
          <w:rFonts w:ascii="Arial" w:cs="Arial" w:eastAsia="Arial" w:hAnsi="Arial"/>
          <w:sz w:val="21"/>
          <w:szCs w:val="21"/>
          <w:color w:val="auto"/>
        </w:rPr>
      </w:pPr>
    </w:p>
    <w:p>
      <w:pPr>
        <w:ind w:left="1380" w:hanging="643"/>
        <w:spacing w:after="0" w:line="232" w:lineRule="auto"/>
        <w:tabs>
          <w:tab w:leader="none" w:pos="1377"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event that Seller becomes aware of any Third Party Claim, whether actual or threatened in writing, alleging that the manufacture, Commercialization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34</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19" w:name="page120"/>
    <w:bookmarkEnd w:id="119"/>
    <w:p>
      <w:pPr>
        <w:ind w:left="1380"/>
        <w:spacing w:after="0" w:line="232" w:lineRule="auto"/>
        <w:rPr>
          <w:sz w:val="20"/>
          <w:szCs w:val="20"/>
          <w:color w:val="auto"/>
        </w:rPr>
      </w:pPr>
      <w:r>
        <w:rPr>
          <w:rFonts w:ascii="Arial" w:cs="Arial" w:eastAsia="Arial" w:hAnsi="Arial"/>
          <w:sz w:val="22"/>
          <w:szCs w:val="22"/>
          <w:color w:val="auto"/>
        </w:rPr>
        <w:t>other Exploitation of the Product may infringe or misappropriate intellectual property of a Third Party, Seller will notify Buyer, and will provide such information as Buyer may reasonably request.</w:t>
      </w:r>
    </w:p>
    <w:p>
      <w:pPr>
        <w:spacing w:after="0" w:line="159" w:lineRule="exact"/>
        <w:rPr>
          <w:sz w:val="20"/>
          <w:szCs w:val="20"/>
          <w:color w:val="auto"/>
        </w:rPr>
      </w:pPr>
    </w:p>
    <w:p>
      <w:pPr>
        <w:jc w:val="both"/>
        <w:ind w:left="1300" w:hanging="644"/>
        <w:spacing w:after="0" w:line="214" w:lineRule="auto"/>
        <w:tabs>
          <w:tab w:leader="none" w:pos="1298"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event Seller becomes aware that any Third Party has filed a marketing authorization request for a generic version of the Lead Licensed Compound in the Territory or has otherwise initiated a Dispute alleging that a Generic does not infringe the Ardelyx Controlled Patents or Licensee Controlled Patents, in the Territory, or that the Ardelyx Controlled Patents or Licensee Controlled Patents (or any claims thereof) are invalid or unenforceable, in the Territory, Seller will notify Buyer, and will provide such information as Buyer may reasonably request.</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1.013.</w:t>
      </w:r>
      <w:r>
        <w:rPr>
          <w:sz w:val="20"/>
          <w:szCs w:val="20"/>
          <w:color w:val="auto"/>
        </w:rPr>
        <w:tab/>
      </w:r>
      <w:r>
        <w:rPr>
          <w:rFonts w:ascii="Arial" w:cs="Arial" w:eastAsia="Arial" w:hAnsi="Arial"/>
          <w:sz w:val="19"/>
          <w:szCs w:val="19"/>
          <w:b w:val="1"/>
          <w:bCs w:val="1"/>
          <w:color w:val="auto"/>
        </w:rPr>
        <w:t>Negative Covenants.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Seller shall not, nor shall it permit any of its Subsidiaries to, without the prior written consent of Buyer:</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(ab)</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5"/>
              </w:rPr>
              <w:t>forgive, release or reduce any amount, or delay or postpone any amount, owed to Seller or its Affiliates and</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relating to the Royalty Interest or the Royalty Interest Payments;</w:t>
            </w: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(ac)</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6"/>
              </w:rPr>
              <w:t>create, incur, assume or suffer to exist any Lien, upon or with respect to the Royalty Interest, the Licensee</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5"/>
              </w:rPr>
              <w:t>Agreement, the Ardelyx Controlled Patents (excluding any Ardelyx Controlled Patents that are Ardelyx Sole</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5"/>
              </w:rPr>
              <w:t>Invention Patents or Ardelyx [***] Patents, in each case, in jurisdictions outside of the Territory), the right to</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0"/>
              </w:rPr>
              <w:t>receive Royalty Interest Payments, or agree to do or suffer to exist any of the foregoing, except for any Permitted</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2"/>
              </w:rPr>
              <w:t>Liens and any Lien or agreements in favor of Buyer granted under or pursuant to this Agreement and the other</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Transaction Documents;</w:t>
            </w: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(ad)</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2"/>
              </w:rPr>
              <w:t>waive, amend, cancel or terminate, exercise or fail to exercise, any material rights constituting or relating to the</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Royalty Interest or other Purchased Assets;</w:t>
            </w: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(ae)</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6"/>
              </w:rPr>
              <w:t>grant or withhold any consent, exercise or waive any right or option or fail to exercise any right or option in</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3"/>
              </w:rPr>
              <w:t>respect of, affecting or relating to the Royalty Interest or other Purchased Assets in any manner that would (i)</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7"/>
              </w:rPr>
              <w:t>reasonably be expected to have a Material Adverse Effect or (ii) conflict with, or that would reasonably be</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3"/>
              </w:rPr>
              <w:t>expected to give rise to a material breach, material violation, termination or material default under the License</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Agreement;</w:t>
            </w: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(af)</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0"/>
              </w:rPr>
              <w:t>amend, modify, restate, cancel, supplement, terminate or waive any provision of the License Agreement or grant</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89"/>
              </w:rPr>
              <w:t>any consent thereunder, or agree to do any of the foregoing, in each case, in a manner that could adversely affect</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Buyer;</w:t>
            </w: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(ag)</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89"/>
              </w:rPr>
              <w:t>assign, in whole or in part, the License Agreement or any provision thereof or right thereunder other than pursuant</w:t>
            </w:r>
          </w:p>
        </w:tc>
      </w:tr>
      <w:tr>
        <w:trPr>
          <w:trHeight w:val="224"/>
        </w:trPr>
        <w:tc>
          <w:tcPr>
            <w:tcW w:w="480" w:type="dxa"/>
            <w:vAlign w:val="bottom"/>
          </w:tcPr>
          <w:p>
            <w:pPr>
              <w:spacing w:after="0"/>
              <w:rPr>
                <w:sz w:val="19"/>
                <w:szCs w:val="19"/>
                <w:color w:val="auto"/>
              </w:rPr>
            </w:pPr>
          </w:p>
        </w:tc>
        <w:tc>
          <w:tcPr>
            <w:tcW w:w="10100" w:type="dxa"/>
            <w:vAlign w:val="bottom"/>
            <w:gridSpan w:val="3"/>
          </w:tcPr>
          <w:p>
            <w:pPr>
              <w:ind w:left="160"/>
              <w:spacing w:after="0" w:line="224" w:lineRule="exact"/>
              <w:rPr>
                <w:sz w:val="20"/>
                <w:szCs w:val="20"/>
                <w:color w:val="auto"/>
              </w:rPr>
            </w:pPr>
            <w:r>
              <w:rPr>
                <w:rFonts w:ascii="Arial" w:cs="Arial" w:eastAsia="Arial" w:hAnsi="Arial"/>
                <w:sz w:val="22"/>
                <w:szCs w:val="22"/>
                <w:color w:val="auto"/>
              </w:rPr>
              <w:t>to Section 8.03;</w:t>
            </w:r>
          </w:p>
        </w:tc>
      </w:tr>
      <w:tr>
        <w:trPr>
          <w:trHeight w:val="20"/>
        </w:trPr>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404"/>
        </w:trPr>
        <w:tc>
          <w:tcPr>
            <w:tcW w:w="480" w:type="dxa"/>
            <w:vAlign w:val="bottom"/>
          </w:tcPr>
          <w:p>
            <w:pPr>
              <w:spacing w:after="0"/>
              <w:rPr>
                <w:sz w:val="20"/>
                <w:szCs w:val="20"/>
                <w:color w:val="auto"/>
              </w:rPr>
            </w:pPr>
            <w:r>
              <w:rPr>
                <w:rFonts w:ascii="Arial" w:cs="Arial" w:eastAsia="Arial" w:hAnsi="Arial"/>
                <w:sz w:val="22"/>
                <w:szCs w:val="22"/>
                <w:color w:val="auto"/>
              </w:rPr>
              <w:t>(ah)</w:t>
            </w: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1"/>
              </w:rPr>
              <w:t>sell, lease, license, transfer or assign (or attempt to do any of the foregoing) all or any material portion of any of</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0"/>
              </w:rPr>
              <w:t>the Ardelyx Controlled Patents (excluding any Ardelyx Controlled Patents that are Ardelyx Sole Invention Patents</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or Ardelyx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35</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20" w:name="page121"/>
    <w:bookmarkEnd w:id="120"/>
    <w:p>
      <w:pPr>
        <w:ind w:left="1300" w:right="20"/>
        <w:spacing w:after="0" w:line="232" w:lineRule="auto"/>
        <w:rPr>
          <w:sz w:val="20"/>
          <w:szCs w:val="20"/>
          <w:color w:val="auto"/>
        </w:rPr>
      </w:pPr>
      <w:r>
        <w:rPr>
          <w:rFonts w:ascii="Arial" w:cs="Arial" w:eastAsia="Arial" w:hAnsi="Arial"/>
          <w:sz w:val="22"/>
          <w:szCs w:val="22"/>
          <w:color w:val="auto"/>
        </w:rPr>
        <w:t xml:space="preserve">[***] Patents, in each case, in jurisdictions outside of the Territory) other than pursuant to </w:t>
      </w:r>
      <w:r>
        <w:rPr>
          <w:rFonts w:ascii="Arial" w:cs="Arial" w:eastAsia="Arial" w:hAnsi="Arial"/>
          <w:sz w:val="22"/>
          <w:szCs w:val="22"/>
          <w:u w:val="single" w:color="auto"/>
          <w:color w:val="auto"/>
        </w:rPr>
        <w:t>Section 8.03</w:t>
      </w:r>
      <w:r>
        <w:rPr>
          <w:rFonts w:ascii="Arial" w:cs="Arial" w:eastAsia="Arial" w:hAnsi="Arial"/>
          <w:sz w:val="22"/>
          <w:szCs w:val="22"/>
          <w:color w:val="auto"/>
        </w:rPr>
        <w:t>, or pursuant to a license outside of the Territory and/or Field; or</w:t>
      </w:r>
    </w:p>
    <w:p>
      <w:pPr>
        <w:sectPr>
          <w:pgSz w:w="11900" w:h="16838" w:orient="portrait"/>
          <w:cols w:equalWidth="0" w:num="1">
            <w:col w:w="11240"/>
          </w:cols>
          <w:pgMar w:left="320" w:top="1401" w:right="339" w:bottom="1440" w:gutter="0" w:footer="0" w:header="0"/>
        </w:sectPr>
      </w:pP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(ai)</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right="20" w:hanging="10"/>
        <w:spacing w:after="0" w:line="223" w:lineRule="auto"/>
        <w:rPr>
          <w:sz w:val="20"/>
          <w:szCs w:val="20"/>
          <w:color w:val="auto"/>
        </w:rPr>
      </w:pPr>
      <w:r>
        <w:rPr>
          <w:rFonts w:ascii="Arial" w:cs="Arial" w:eastAsia="Arial" w:hAnsi="Arial"/>
          <w:sz w:val="22"/>
          <w:szCs w:val="22"/>
          <w:color w:val="auto"/>
        </w:rPr>
        <w:t>directly or indirectly, launch, license, sell, commercialize, distribute, assign or sell rights to any Competitive Product or intellectual property related to any Competitive Product which, in either case, would compete with the Product during the term of this Agreement in the Territory.</w:t>
      </w:r>
    </w:p>
    <w:p>
      <w:pPr>
        <w:spacing w:after="0" w:line="153" w:lineRule="exact"/>
        <w:rPr>
          <w:sz w:val="20"/>
          <w:szCs w:val="20"/>
          <w:color w:val="auto"/>
        </w:rPr>
      </w:pPr>
    </w:p>
    <w:p>
      <w:pPr>
        <w:sectPr>
          <w:pgSz w:w="11900" w:h="16838" w:orient="portrait"/>
          <w:cols w:equalWidth="0" w:num="2">
            <w:col w:w="960" w:space="340"/>
            <w:col w:w="9940"/>
          </w:cols>
          <w:pgMar w:left="320" w:top="1401" w:right="339" w:bottom="1440" w:gutter="0" w:footer="0" w:header="0"/>
          <w:type w:val="continuous"/>
        </w:sectPr>
      </w:pPr>
    </w:p>
    <w:p>
      <w:pPr>
        <w:ind w:left="2280"/>
        <w:spacing w:after="0"/>
        <w:rPr>
          <w:sz w:val="20"/>
          <w:szCs w:val="20"/>
          <w:color w:val="auto"/>
        </w:rPr>
      </w:pPr>
      <w:r>
        <w:rPr>
          <w:rFonts w:ascii="Arial" w:cs="Arial" w:eastAsia="Arial" w:hAnsi="Arial"/>
          <w:sz w:val="18"/>
          <w:szCs w:val="18"/>
          <w:b w:val="1"/>
          <w:bCs w:val="1"/>
          <w:color w:val="auto"/>
        </w:rPr>
        <w:t>Section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Future Agreements.</w:t>
      </w:r>
    </w:p>
    <w:p>
      <w:pPr>
        <w:spacing w:after="0" w:line="200" w:lineRule="exact"/>
        <w:rPr>
          <w:sz w:val="20"/>
          <w:szCs w:val="20"/>
          <w:color w:val="auto"/>
        </w:rPr>
      </w:pPr>
    </w:p>
    <w:p>
      <w:pPr>
        <w:sectPr>
          <w:pgSz w:w="11900" w:h="16838" w:orient="portrait"/>
          <w:cols w:equalWidth="0" w:num="2">
            <w:col w:w="3440" w:space="460"/>
            <w:col w:w="7340"/>
          </w:cols>
          <w:pgMar w:left="320" w:top="1401" w:right="339" w:bottom="1440" w:gutter="0" w:footer="0" w:header="0"/>
          <w:type w:val="continuous"/>
        </w:sectPr>
      </w:pPr>
    </w:p>
    <w:p>
      <w:pPr>
        <w:spacing w:after="0" w:line="2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Seller shall not enter into, nor shall it permit any of its Subsidiaries to enter into, any agreement that would reasonably be expected to result in a Material Adverse Effect without Buyer’s prior written consent, which consent shall not be unreasonably withheld, delayed or conditioned by Buyer. For clarity, nothing in this Section 5.08, or otherwise in this Agreement shall restrict Seller from entering into an agreement for the development and commercialization of the Product in the Territory for irritable bowel syndrome with constipation;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any such agreement does not result in a breach of Seller’s obligations under the License Agreement.</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480" w:type="dxa"/>
            <w:vAlign w:val="bottom"/>
          </w:tcPr>
          <w:p>
            <w:pPr>
              <w:spacing w:after="0"/>
              <w:rPr>
                <w:sz w:val="24"/>
                <w:szCs w:val="24"/>
                <w:color w:val="auto"/>
              </w:rPr>
            </w:pPr>
          </w:p>
        </w:tc>
        <w:tc>
          <w:tcPr>
            <w:tcW w:w="2520" w:type="dxa"/>
            <w:vAlign w:val="bottom"/>
          </w:tcPr>
          <w:p>
            <w:pPr>
              <w:ind w:left="1140"/>
              <w:spacing w:after="0"/>
              <w:rPr>
                <w:sz w:val="20"/>
                <w:szCs w:val="20"/>
                <w:color w:val="auto"/>
              </w:rPr>
            </w:pPr>
            <w:r>
              <w:rPr>
                <w:rFonts w:ascii="Arial" w:cs="Arial" w:eastAsia="Arial" w:hAnsi="Arial"/>
                <w:sz w:val="22"/>
                <w:szCs w:val="22"/>
                <w:b w:val="1"/>
                <w:bCs w:val="1"/>
                <w:color w:val="auto"/>
              </w:rPr>
              <w:t>Section 1.02.</w:t>
            </w:r>
          </w:p>
        </w:tc>
        <w:tc>
          <w:tcPr>
            <w:tcW w:w="7580" w:type="dxa"/>
            <w:vAlign w:val="bottom"/>
          </w:tcPr>
          <w:p>
            <w:pPr>
              <w:ind w:left="240"/>
              <w:spacing w:after="0"/>
              <w:rPr>
                <w:sz w:val="20"/>
                <w:szCs w:val="20"/>
                <w:color w:val="auto"/>
              </w:rPr>
            </w:pPr>
            <w:r>
              <w:rPr>
                <w:rFonts w:ascii="Arial" w:cs="Arial" w:eastAsia="Arial" w:hAnsi="Arial"/>
                <w:sz w:val="22"/>
                <w:szCs w:val="22"/>
                <w:b w:val="1"/>
                <w:bCs w:val="1"/>
                <w:color w:val="auto"/>
              </w:rPr>
              <w:t>Records; Access.</w:t>
            </w: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(aj)</w:t>
            </w:r>
          </w:p>
        </w:tc>
        <w:tc>
          <w:tcPr>
            <w:tcW w:w="10100" w:type="dxa"/>
            <w:vAlign w:val="bottom"/>
            <w:gridSpan w:val="2"/>
          </w:tcPr>
          <w:p>
            <w:pPr>
              <w:ind w:left="160"/>
              <w:spacing w:after="0"/>
              <w:rPr>
                <w:sz w:val="20"/>
                <w:szCs w:val="20"/>
                <w:color w:val="auto"/>
              </w:rPr>
            </w:pPr>
            <w:r>
              <w:rPr>
                <w:rFonts w:ascii="Arial" w:cs="Arial" w:eastAsia="Arial" w:hAnsi="Arial"/>
                <w:sz w:val="22"/>
                <w:szCs w:val="22"/>
                <w:color w:val="auto"/>
                <w:w w:val="94"/>
              </w:rPr>
              <w:t>During the term of this Agreement and for a period of two (2) years thereafter, Seller shall keep and maintain</w:t>
            </w:r>
          </w:p>
        </w:tc>
      </w:tr>
      <w:tr>
        <w:trPr>
          <w:trHeight w:val="216"/>
        </w:trPr>
        <w:tc>
          <w:tcPr>
            <w:tcW w:w="480" w:type="dxa"/>
            <w:vAlign w:val="bottom"/>
          </w:tcPr>
          <w:p>
            <w:pPr>
              <w:spacing w:after="0"/>
              <w:rPr>
                <w:sz w:val="18"/>
                <w:szCs w:val="18"/>
                <w:color w:val="auto"/>
              </w:rPr>
            </w:pPr>
          </w:p>
        </w:tc>
        <w:tc>
          <w:tcPr>
            <w:tcW w:w="10100" w:type="dxa"/>
            <w:vAlign w:val="bottom"/>
            <w:gridSpan w:val="2"/>
          </w:tcPr>
          <w:p>
            <w:pPr>
              <w:ind w:left="160"/>
              <w:spacing w:after="0" w:line="216" w:lineRule="exact"/>
              <w:rPr>
                <w:sz w:val="20"/>
                <w:szCs w:val="20"/>
                <w:color w:val="auto"/>
              </w:rPr>
            </w:pPr>
            <w:r>
              <w:rPr>
                <w:rFonts w:ascii="Arial" w:cs="Arial" w:eastAsia="Arial" w:hAnsi="Arial"/>
                <w:sz w:val="22"/>
                <w:szCs w:val="22"/>
                <w:color w:val="auto"/>
                <w:w w:val="97"/>
              </w:rPr>
              <w:t>proper books of record and account in which full, true and correct entries in conformity with GAAP and all</w:t>
            </w:r>
          </w:p>
        </w:tc>
      </w:tr>
      <w:tr>
        <w:trPr>
          <w:trHeight w:val="216"/>
        </w:trPr>
        <w:tc>
          <w:tcPr>
            <w:tcW w:w="480" w:type="dxa"/>
            <w:vAlign w:val="bottom"/>
          </w:tcPr>
          <w:p>
            <w:pPr>
              <w:spacing w:after="0"/>
              <w:rPr>
                <w:sz w:val="18"/>
                <w:szCs w:val="18"/>
                <w:color w:val="auto"/>
              </w:rPr>
            </w:pPr>
          </w:p>
        </w:tc>
        <w:tc>
          <w:tcPr>
            <w:tcW w:w="10100" w:type="dxa"/>
            <w:vAlign w:val="bottom"/>
            <w:gridSpan w:val="2"/>
          </w:tcPr>
          <w:p>
            <w:pPr>
              <w:ind w:left="160"/>
              <w:spacing w:after="0" w:line="216" w:lineRule="exact"/>
              <w:rPr>
                <w:sz w:val="20"/>
                <w:szCs w:val="20"/>
                <w:color w:val="auto"/>
              </w:rPr>
            </w:pPr>
            <w:r>
              <w:rPr>
                <w:rFonts w:ascii="Arial" w:cs="Arial" w:eastAsia="Arial" w:hAnsi="Arial"/>
                <w:sz w:val="22"/>
                <w:szCs w:val="22"/>
                <w:color w:val="auto"/>
                <w:w w:val="88"/>
              </w:rPr>
              <w:t>requirements of applicable Law are made of all dealings and transactions as are adequate to correctly calculate and</w:t>
            </w:r>
          </w:p>
        </w:tc>
      </w:tr>
      <w:tr>
        <w:trPr>
          <w:trHeight w:val="274"/>
        </w:trPr>
        <w:tc>
          <w:tcPr>
            <w:tcW w:w="480" w:type="dxa"/>
            <w:vAlign w:val="bottom"/>
          </w:tcPr>
          <w:p>
            <w:pPr>
              <w:spacing w:after="0"/>
              <w:rPr>
                <w:sz w:val="23"/>
                <w:szCs w:val="23"/>
                <w:color w:val="auto"/>
              </w:rPr>
            </w:pPr>
          </w:p>
        </w:tc>
        <w:tc>
          <w:tcPr>
            <w:tcW w:w="10100" w:type="dxa"/>
            <w:vAlign w:val="bottom"/>
            <w:gridSpan w:val="2"/>
          </w:tcPr>
          <w:p>
            <w:pPr>
              <w:ind w:left="160"/>
              <w:spacing w:after="0"/>
              <w:rPr>
                <w:sz w:val="20"/>
                <w:szCs w:val="20"/>
                <w:color w:val="auto"/>
              </w:rPr>
            </w:pPr>
            <w:r>
              <w:rPr>
                <w:rFonts w:ascii="Arial" w:cs="Arial" w:eastAsia="Arial" w:hAnsi="Arial"/>
                <w:sz w:val="22"/>
                <w:szCs w:val="22"/>
                <w:color w:val="auto"/>
              </w:rPr>
              <w:t>verify the accuracy of all reports and all Royalty Interest Payments.</w:t>
            </w:r>
          </w:p>
        </w:tc>
      </w:tr>
      <w:tr>
        <w:trPr>
          <w:trHeight w:val="432"/>
        </w:trPr>
        <w:tc>
          <w:tcPr>
            <w:tcW w:w="480" w:type="dxa"/>
            <w:vAlign w:val="bottom"/>
          </w:tcPr>
          <w:p>
            <w:pPr>
              <w:spacing w:after="0"/>
              <w:rPr>
                <w:sz w:val="20"/>
                <w:szCs w:val="20"/>
                <w:color w:val="auto"/>
              </w:rPr>
            </w:pPr>
            <w:r>
              <w:rPr>
                <w:rFonts w:ascii="Arial" w:cs="Arial" w:eastAsia="Arial" w:hAnsi="Arial"/>
                <w:sz w:val="22"/>
                <w:szCs w:val="22"/>
                <w:color w:val="auto"/>
              </w:rPr>
              <w:t>(ak)</w:t>
            </w:r>
          </w:p>
        </w:tc>
        <w:tc>
          <w:tcPr>
            <w:tcW w:w="10100" w:type="dxa"/>
            <w:vAlign w:val="bottom"/>
            <w:gridSpan w:val="2"/>
          </w:tcPr>
          <w:p>
            <w:pPr>
              <w:ind w:left="160"/>
              <w:spacing w:after="0"/>
              <w:rPr>
                <w:sz w:val="20"/>
                <w:szCs w:val="20"/>
                <w:color w:val="auto"/>
              </w:rPr>
            </w:pPr>
            <w:r>
              <w:rPr>
                <w:rFonts w:ascii="Arial" w:cs="Arial" w:eastAsia="Arial" w:hAnsi="Arial"/>
                <w:sz w:val="22"/>
                <w:szCs w:val="22"/>
                <w:color w:val="auto"/>
              </w:rPr>
              <w:t>During the term of this Agreement:</w:t>
            </w:r>
          </w:p>
        </w:tc>
      </w:tr>
      <w:tr>
        <w:trPr>
          <w:trHeight w:val="392"/>
        </w:trPr>
        <w:tc>
          <w:tcPr>
            <w:tcW w:w="480" w:type="dxa"/>
            <w:vAlign w:val="bottom"/>
          </w:tcPr>
          <w:p>
            <w:pPr>
              <w:spacing w:after="0"/>
              <w:rPr>
                <w:sz w:val="24"/>
                <w:szCs w:val="24"/>
                <w:color w:val="auto"/>
              </w:rPr>
            </w:pPr>
          </w:p>
        </w:tc>
        <w:tc>
          <w:tcPr>
            <w:tcW w:w="10100" w:type="dxa"/>
            <w:vAlign w:val="bottom"/>
            <w:gridSpan w:val="2"/>
          </w:tcPr>
          <w:p>
            <w:pPr>
              <w:ind w:left="160"/>
              <w:spacing w:after="0"/>
              <w:rPr>
                <w:sz w:val="20"/>
                <w:szCs w:val="20"/>
                <w:color w:val="auto"/>
              </w:rPr>
            </w:pPr>
            <w:r>
              <w:rPr>
                <w:rFonts w:ascii="Arial" w:cs="Arial" w:eastAsia="Arial" w:hAnsi="Arial"/>
                <w:sz w:val="22"/>
                <w:szCs w:val="22"/>
                <w:color w:val="auto"/>
                <w:w w:val="90"/>
              </w:rPr>
              <w:t>(xii)   Buyer and its representatives shall have the right, from time to time during normal business hours and upon</w:t>
            </w:r>
          </w:p>
        </w:tc>
      </w:tr>
    </w:tbl>
    <w:p>
      <w:pPr>
        <w:jc w:val="both"/>
        <w:ind w:left="1960"/>
        <w:spacing w:after="0"/>
        <w:rPr>
          <w:sz w:val="20"/>
          <w:szCs w:val="20"/>
          <w:color w:val="auto"/>
        </w:rPr>
      </w:pPr>
      <w:r>
        <w:rPr>
          <w:rFonts w:ascii="Arial" w:cs="Arial" w:eastAsia="Arial" w:hAnsi="Arial"/>
          <w:sz w:val="19"/>
          <w:szCs w:val="19"/>
          <w:color w:val="auto"/>
        </w:rPr>
        <w:t>at least twenty (20) Business Days’ prior written notice to Seller, but no more frequently than one (1) time per calendar year to visit the offices and properties of Seller and the Subsidiaries where books and records relating or pertaining to the Royalty Interest Payments, the Royalty Interest and the Purchased Assets are kept and maintained, to inspect and make extracts from and copies of such books and records, to discuss, with officers of Seller and the Subsidiaries, the business, operations, properties and financial and other condition of Seller and the Subsidiaries and to verifying the accuracy of the reports and the Royalty Interest Payments. In the event any inspection of such books and records reveals any underpayment of any Royalty Interest Payment in respect of any calendar quarter, Seller shall pay promptly (but in any event within five (5) Business Days thereafter) to Buyer (x) the amount of such underpayment; and (y) if such underpayment exceeds [***] of the Royalty Interest Payment that was required to be made in respect of such calendar quarter, the reasonable and documented out-of-pocket fees and expenses incurred by Buyer and its Affiliates in connection with such inspection (in all other cases, such fees and expenses will be borne by Buyer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36</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type w:val="continuous"/>
        </w:sectPr>
      </w:pPr>
    </w:p>
    <w:bookmarkStart w:id="121" w:name="page122"/>
    <w:bookmarkEnd w:id="121"/>
    <w:tbl>
      <w:tblPr>
        <w:tblLayout w:type="fixed"/>
        <w:tblInd w:w="66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10120" w:type="dxa"/>
            <w:vAlign w:val="bottom"/>
            <w:gridSpan w:val="4"/>
          </w:tcPr>
          <w:p>
            <w:pPr>
              <w:jc w:val="right"/>
              <w:spacing w:after="0"/>
              <w:rPr>
                <w:sz w:val="20"/>
                <w:szCs w:val="20"/>
                <w:color w:val="auto"/>
              </w:rPr>
            </w:pPr>
            <w:r>
              <w:rPr>
                <w:rFonts w:ascii="Arial" w:cs="Arial" w:eastAsia="Arial" w:hAnsi="Arial"/>
                <w:sz w:val="22"/>
                <w:szCs w:val="22"/>
                <w:color w:val="auto"/>
              </w:rPr>
              <w:t>(xiii)  All information furnished or disclosed to Buyer or any of its representatives in connection with any</w:t>
            </w:r>
          </w:p>
        </w:tc>
      </w:tr>
      <w:tr>
        <w:trPr>
          <w:trHeight w:val="216"/>
        </w:trPr>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3"/>
          </w:tcPr>
          <w:p>
            <w:pPr>
              <w:jc w:val="right"/>
              <w:spacing w:after="0" w:line="216" w:lineRule="exact"/>
              <w:rPr>
                <w:sz w:val="20"/>
                <w:szCs w:val="20"/>
                <w:color w:val="auto"/>
              </w:rPr>
            </w:pPr>
            <w:r>
              <w:rPr>
                <w:rFonts w:ascii="Arial" w:cs="Arial" w:eastAsia="Arial" w:hAnsi="Arial"/>
                <w:sz w:val="22"/>
                <w:szCs w:val="22"/>
                <w:color w:val="auto"/>
                <w:w w:val="95"/>
              </w:rPr>
              <w:t>inspection shall constitute Confidential Information of Seller and shall be subject to the provisions of</w:t>
            </w:r>
          </w:p>
        </w:tc>
      </w:tr>
      <w:tr>
        <w:trPr>
          <w:trHeight w:val="224"/>
        </w:trPr>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gridSpan w:val="2"/>
          </w:tcPr>
          <w:p>
            <w:pPr>
              <w:spacing w:after="0" w:line="224" w:lineRule="exact"/>
              <w:rPr>
                <w:sz w:val="20"/>
                <w:szCs w:val="20"/>
                <w:color w:val="auto"/>
              </w:rPr>
            </w:pPr>
            <w:r>
              <w:rPr>
                <w:rFonts w:ascii="Arial" w:cs="Arial" w:eastAsia="Arial" w:hAnsi="Arial"/>
                <w:sz w:val="22"/>
                <w:szCs w:val="22"/>
                <w:color w:val="auto"/>
              </w:rPr>
              <w:t>Section 5.03.</w:t>
            </w:r>
          </w:p>
        </w:tc>
        <w:tc>
          <w:tcPr>
            <w:tcW w:w="758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r>
      <w:tr>
        <w:trPr>
          <w:trHeight w:val="404"/>
        </w:trPr>
        <w:tc>
          <w:tcPr>
            <w:tcW w:w="460" w:type="dxa"/>
            <w:vAlign w:val="bottom"/>
          </w:tcPr>
          <w:p>
            <w:pPr>
              <w:spacing w:after="0"/>
              <w:rPr>
                <w:sz w:val="24"/>
                <w:szCs w:val="24"/>
                <w:color w:val="auto"/>
              </w:rPr>
            </w:pPr>
          </w:p>
        </w:tc>
        <w:tc>
          <w:tcPr>
            <w:tcW w:w="10120" w:type="dxa"/>
            <w:vAlign w:val="bottom"/>
            <w:gridSpan w:val="4"/>
          </w:tcPr>
          <w:p>
            <w:pPr>
              <w:jc w:val="right"/>
              <w:spacing w:after="0"/>
              <w:rPr>
                <w:sz w:val="20"/>
                <w:szCs w:val="20"/>
                <w:color w:val="auto"/>
              </w:rPr>
            </w:pPr>
            <w:r>
              <w:rPr>
                <w:rFonts w:ascii="Arial" w:cs="Arial" w:eastAsia="Arial" w:hAnsi="Arial"/>
                <w:sz w:val="22"/>
                <w:szCs w:val="22"/>
                <w:color w:val="auto"/>
                <w:w w:val="93"/>
              </w:rPr>
              <w:t>(xiv)  Subject to Section 5.03(h), Seller shall deliver to Buyer such information and data relating or pertaining to</w:t>
            </w:r>
          </w:p>
        </w:tc>
      </w:tr>
      <w:tr>
        <w:trPr>
          <w:trHeight w:val="216"/>
        </w:trPr>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3"/>
          </w:tcPr>
          <w:p>
            <w:pPr>
              <w:jc w:val="right"/>
              <w:spacing w:after="0" w:line="216" w:lineRule="exact"/>
              <w:rPr>
                <w:sz w:val="20"/>
                <w:szCs w:val="20"/>
                <w:color w:val="auto"/>
              </w:rPr>
            </w:pPr>
            <w:r>
              <w:rPr>
                <w:rFonts w:ascii="Arial" w:cs="Arial" w:eastAsia="Arial" w:hAnsi="Arial"/>
                <w:sz w:val="22"/>
                <w:szCs w:val="22"/>
                <w:color w:val="auto"/>
                <w:w w:val="92"/>
              </w:rPr>
              <w:t>the Royalty Interest Payments, the Royalty Interest or the Purchased Assets as Buyer shall reasonably</w:t>
            </w:r>
          </w:p>
        </w:tc>
      </w:tr>
      <w:tr>
        <w:trPr>
          <w:trHeight w:val="274"/>
        </w:trPr>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80" w:type="dxa"/>
            <w:vAlign w:val="bottom"/>
            <w:gridSpan w:val="3"/>
          </w:tcPr>
          <w:p>
            <w:pPr>
              <w:spacing w:after="0"/>
              <w:rPr>
                <w:sz w:val="20"/>
                <w:szCs w:val="20"/>
                <w:color w:val="auto"/>
              </w:rPr>
            </w:pPr>
            <w:r>
              <w:rPr>
                <w:rFonts w:ascii="Arial" w:cs="Arial" w:eastAsia="Arial" w:hAnsi="Arial"/>
                <w:sz w:val="22"/>
                <w:szCs w:val="22"/>
                <w:color w:val="auto"/>
              </w:rPr>
              <w:t>request, promptly upon such request.</w:t>
            </w:r>
          </w:p>
        </w:tc>
      </w:tr>
      <w:tr>
        <w:trPr>
          <w:trHeight w:val="374"/>
        </w:trPr>
        <w:tc>
          <w:tcPr>
            <w:tcW w:w="460" w:type="dxa"/>
            <w:vAlign w:val="bottom"/>
          </w:tcPr>
          <w:p>
            <w:pPr>
              <w:spacing w:after="0"/>
              <w:rPr>
                <w:sz w:val="20"/>
                <w:szCs w:val="20"/>
                <w:color w:val="auto"/>
              </w:rPr>
            </w:pPr>
            <w:r>
              <w:rPr>
                <w:rFonts w:ascii="Arial" w:cs="Arial" w:eastAsia="Arial" w:hAnsi="Arial"/>
                <w:sz w:val="22"/>
                <w:szCs w:val="22"/>
                <w:color w:val="auto"/>
              </w:rPr>
              <w:t>(al)</w:t>
            </w:r>
          </w:p>
        </w:tc>
        <w:tc>
          <w:tcPr>
            <w:tcW w:w="10120" w:type="dxa"/>
            <w:vAlign w:val="bottom"/>
            <w:gridSpan w:val="4"/>
          </w:tcPr>
          <w:p>
            <w:pPr>
              <w:jc w:val="right"/>
              <w:spacing w:after="0"/>
              <w:rPr>
                <w:sz w:val="20"/>
                <w:szCs w:val="20"/>
                <w:color w:val="auto"/>
              </w:rPr>
            </w:pPr>
            <w:r>
              <w:rPr>
                <w:rFonts w:ascii="Arial" w:cs="Arial" w:eastAsia="Arial" w:hAnsi="Arial"/>
                <w:sz w:val="22"/>
                <w:szCs w:val="22"/>
                <w:color w:val="auto"/>
                <w:w w:val="92"/>
              </w:rPr>
              <w:t>Seller shall on, on at least a quarterly basis, or more frequently if requested in writing by Buyer (such notice to be</w:t>
            </w:r>
          </w:p>
        </w:tc>
      </w:tr>
      <w:tr>
        <w:trPr>
          <w:trHeight w:val="216"/>
        </w:trPr>
        <w:tc>
          <w:tcPr>
            <w:tcW w:w="460" w:type="dxa"/>
            <w:vAlign w:val="bottom"/>
          </w:tcPr>
          <w:p>
            <w:pPr>
              <w:spacing w:after="0"/>
              <w:rPr>
                <w:sz w:val="18"/>
                <w:szCs w:val="18"/>
                <w:color w:val="auto"/>
              </w:rPr>
            </w:pPr>
          </w:p>
        </w:tc>
        <w:tc>
          <w:tcPr>
            <w:tcW w:w="1012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0"/>
              </w:rPr>
              <w:t>given at least ten (10) Business Days’ in advance), cause such of the executive officers and employees of Seller as</w:t>
            </w:r>
          </w:p>
        </w:tc>
      </w:tr>
      <w:tr>
        <w:trPr>
          <w:trHeight w:val="216"/>
        </w:trPr>
        <w:tc>
          <w:tcPr>
            <w:tcW w:w="460" w:type="dxa"/>
            <w:vAlign w:val="bottom"/>
          </w:tcPr>
          <w:p>
            <w:pPr>
              <w:spacing w:after="0"/>
              <w:rPr>
                <w:sz w:val="18"/>
                <w:szCs w:val="18"/>
                <w:color w:val="auto"/>
              </w:rPr>
            </w:pPr>
          </w:p>
        </w:tc>
        <w:tc>
          <w:tcPr>
            <w:tcW w:w="1012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5"/>
              </w:rPr>
              <w:t>shall be reasonably identified by Buyer in such notice to meet (virtually or in person), or, at Buyer’s option, to</w:t>
            </w:r>
          </w:p>
        </w:tc>
      </w:tr>
      <w:tr>
        <w:trPr>
          <w:trHeight w:val="274"/>
        </w:trPr>
        <w:tc>
          <w:tcPr>
            <w:tcW w:w="460" w:type="dxa"/>
            <w:vAlign w:val="bottom"/>
          </w:tcPr>
          <w:p>
            <w:pPr>
              <w:spacing w:after="0"/>
              <w:rPr>
                <w:sz w:val="23"/>
                <w:szCs w:val="23"/>
                <w:color w:val="auto"/>
              </w:rPr>
            </w:pPr>
          </w:p>
        </w:tc>
        <w:tc>
          <w:tcPr>
            <w:tcW w:w="10120" w:type="dxa"/>
            <w:vAlign w:val="bottom"/>
            <w:gridSpan w:val="4"/>
          </w:tcPr>
          <w:p>
            <w:pPr>
              <w:jc w:val="right"/>
              <w:ind w:right="212"/>
              <w:spacing w:after="0"/>
              <w:rPr>
                <w:sz w:val="20"/>
                <w:szCs w:val="20"/>
                <w:color w:val="auto"/>
              </w:rPr>
            </w:pPr>
            <w:r>
              <w:rPr>
                <w:rFonts w:ascii="Arial" w:cs="Arial" w:eastAsia="Arial" w:hAnsi="Arial"/>
                <w:sz w:val="22"/>
                <w:szCs w:val="22"/>
                <w:color w:val="auto"/>
                <w:w w:val="89"/>
              </w:rPr>
              <w:t>participate in a conference call with, Buyer for the purpose of discussing the Product and the Purchased Assets.</w:t>
            </w:r>
          </w:p>
        </w:tc>
      </w:tr>
      <w:tr>
        <w:trPr>
          <w:trHeight w:val="432"/>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gridSpan w:val="2"/>
          </w:tcPr>
          <w:p>
            <w:pPr>
              <w:ind w:left="320"/>
              <w:spacing w:after="0"/>
              <w:rPr>
                <w:sz w:val="20"/>
                <w:szCs w:val="20"/>
                <w:color w:val="auto"/>
              </w:rPr>
            </w:pPr>
            <w:r>
              <w:rPr>
                <w:rFonts w:ascii="Arial" w:cs="Arial" w:eastAsia="Arial" w:hAnsi="Arial"/>
                <w:sz w:val="22"/>
                <w:szCs w:val="22"/>
                <w:b w:val="1"/>
                <w:bCs w:val="1"/>
                <w:color w:val="auto"/>
              </w:rPr>
              <w:t>Section 1.10.</w:t>
            </w:r>
          </w:p>
        </w:tc>
        <w:tc>
          <w:tcPr>
            <w:tcW w:w="7580" w:type="dxa"/>
            <w:vAlign w:val="bottom"/>
          </w:tcPr>
          <w:p>
            <w:pPr>
              <w:jc w:val="right"/>
              <w:ind w:right="5152"/>
              <w:spacing w:after="0"/>
              <w:rPr>
                <w:sz w:val="20"/>
                <w:szCs w:val="20"/>
                <w:color w:val="auto"/>
              </w:rPr>
            </w:pPr>
            <w:r>
              <w:rPr>
                <w:rFonts w:ascii="Arial" w:cs="Arial" w:eastAsia="Arial" w:hAnsi="Arial"/>
                <w:sz w:val="22"/>
                <w:szCs w:val="22"/>
                <w:b w:val="1"/>
                <w:bCs w:val="1"/>
                <w:color w:val="auto"/>
                <w:w w:val="97"/>
              </w:rPr>
              <w:t>Regulatory Approvals.</w:t>
            </w:r>
          </w:p>
        </w:tc>
      </w:tr>
    </w:tbl>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Seller shall, to the extent permitted under the License Agreement, take any and all commercially reasonable actions and prepare, execute, deliver and file any and all agreements, documents or instruments that are necessary to secure and maintain all Regulatory Approvals for the Product in the Territory, except where the failure to do so would not reasonably be expected to result in a Material Adverse Effect. To the extent permitted under the License Agreement, Seller shall not withdraw or abandon, or fail to take any action necessary to prevent the withdrawal or abandonment of, any such Regulatory Approval in the Territory once obtained, except where such withdrawal or abandonment would not reasonably be expected to result in a Material Adverse Effect. Notwithstanding the foregoing in this </w:t>
      </w:r>
      <w:r>
        <w:rPr>
          <w:rFonts w:ascii="Arial" w:cs="Arial" w:eastAsia="Arial" w:hAnsi="Arial"/>
          <w:sz w:val="19"/>
          <w:szCs w:val="19"/>
          <w:u w:val="single" w:color="auto"/>
          <w:color w:val="auto"/>
        </w:rPr>
        <w:t>Section 5.10</w:t>
      </w:r>
      <w:r>
        <w:rPr>
          <w:rFonts w:ascii="Arial" w:cs="Arial" w:eastAsia="Arial" w:hAnsi="Arial"/>
          <w:sz w:val="19"/>
          <w:szCs w:val="19"/>
          <w:color w:val="auto"/>
        </w:rPr>
        <w:t>, Seller shall not consent to the withdrawal or abandonment of any Regulatory Approval for the Product in the Territory by Licensee unless Seller obtains Buyer’s prior written consent.</w:t>
      </w:r>
    </w:p>
    <w:p>
      <w:pPr>
        <w:spacing w:after="0" w:line="146" w:lineRule="exact"/>
        <w:rPr>
          <w:sz w:val="20"/>
          <w:szCs w:val="20"/>
          <w:color w:val="auto"/>
        </w:rPr>
      </w:pPr>
    </w:p>
    <w:p>
      <w:pPr>
        <w:ind w:left="2280"/>
        <w:spacing w:after="0"/>
        <w:tabs>
          <w:tab w:leader="none" w:pos="386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color w:val="auto"/>
        </w:rPr>
        <w:t>Misdirected Payments.</w:t>
      </w:r>
    </w:p>
    <w:p>
      <w:pPr>
        <w:spacing w:after="0" w:line="185" w:lineRule="exact"/>
        <w:rPr>
          <w:sz w:val="20"/>
          <w:szCs w:val="20"/>
          <w:color w:val="auto"/>
        </w:rPr>
      </w:pPr>
    </w:p>
    <w:p>
      <w:pPr>
        <w:jc w:val="both"/>
        <w:ind w:left="1300" w:hanging="647"/>
        <w:spacing w:after="0" w:line="239" w:lineRule="auto"/>
        <w:tabs>
          <w:tab w:leader="none" w:pos="1280" w:val="left"/>
        </w:tabs>
        <w:rPr>
          <w:sz w:val="20"/>
          <w:szCs w:val="20"/>
          <w:color w:val="auto"/>
        </w:rPr>
      </w:pPr>
      <w:r>
        <w:rPr>
          <w:rFonts w:ascii="Arial" w:cs="Arial" w:eastAsia="Arial" w:hAnsi="Arial"/>
          <w:sz w:val="22"/>
          <w:szCs w:val="22"/>
          <w:color w:val="auto"/>
        </w:rPr>
        <w:t>(am)</w:t>
      </w:r>
      <w:r>
        <w:rPr>
          <w:sz w:val="20"/>
          <w:szCs w:val="20"/>
          <w:color w:val="auto"/>
        </w:rPr>
        <w:tab/>
      </w:r>
      <w:r>
        <w:rPr>
          <w:rFonts w:ascii="Arial" w:cs="Arial" w:eastAsia="Arial" w:hAnsi="Arial"/>
          <w:sz w:val="19"/>
          <w:szCs w:val="19"/>
          <w:color w:val="auto"/>
        </w:rPr>
        <w:t xml:space="preserve">Notwithstanding the terms of the Licensee Instruction, commencing on the Closing Date and at all times thereafter, if any portion of the Royalty Interest is paid to Seller (after giving effect to the adjustments set forth in </w:t>
      </w:r>
      <w:r>
        <w:rPr>
          <w:rFonts w:ascii="Arial" w:cs="Arial" w:eastAsia="Arial" w:hAnsi="Arial"/>
          <w:sz w:val="19"/>
          <w:szCs w:val="19"/>
          <w:u w:val="single" w:color="auto"/>
          <w:color w:val="auto"/>
        </w:rPr>
        <w:t>Section 2.02(c)</w:t>
      </w:r>
      <w:r>
        <w:rPr>
          <w:rFonts w:ascii="Arial" w:cs="Arial" w:eastAsia="Arial" w:hAnsi="Arial"/>
          <w:sz w:val="19"/>
          <w:szCs w:val="19"/>
          <w:color w:val="auto"/>
        </w:rPr>
        <w:t>), including any payments remitted by Buyer to Seller plus any of Buyer’s reasonable and documented out-of-pocket costs and expenses (including reasonable and documented attorneys’ fees and expenses) incurred in enforcing Buyer’s rights under this Agreement, any Transaction Document or the License Agreement, which are not otherwise reimbursed hereunder then (i) Seller shall hold such amount in trust for the benefit of Buyer in a segregated account, (ii) Seller shall have no right, title or interest whatsoever in such amount and shall not create or suffer to exist any Lien thereon and (iii) Seller promptly, and in any event no later than five</w:t>
      </w:r>
    </w:p>
    <w:p>
      <w:pPr>
        <w:spacing w:after="0" w:line="5" w:lineRule="exact"/>
        <w:rPr>
          <w:sz w:val="20"/>
          <w:szCs w:val="20"/>
          <w:color w:val="auto"/>
        </w:rPr>
      </w:pPr>
    </w:p>
    <w:p>
      <w:pPr>
        <w:jc w:val="both"/>
        <w:ind w:left="1300" w:firstLine="4"/>
        <w:spacing w:after="0" w:line="217" w:lineRule="auto"/>
        <w:tabs>
          <w:tab w:leader="none" w:pos="1623" w:val="left"/>
        </w:tabs>
        <w:numPr>
          <w:ilvl w:val="0"/>
          <w:numId w:val="68"/>
        </w:numPr>
        <w:rPr>
          <w:rFonts w:ascii="Arial" w:cs="Arial" w:eastAsia="Arial" w:hAnsi="Arial"/>
          <w:sz w:val="22"/>
          <w:szCs w:val="22"/>
          <w:color w:val="auto"/>
        </w:rPr>
      </w:pPr>
      <w:r>
        <w:rPr>
          <w:rFonts w:ascii="Arial" w:cs="Arial" w:eastAsia="Arial" w:hAnsi="Arial"/>
          <w:sz w:val="22"/>
          <w:szCs w:val="22"/>
          <w:color w:val="auto"/>
        </w:rPr>
        <w:t>Business Days following the receipt by Seller of such amount, shall remit such amount to Buyer. The Seller shall notify Buyer of such wire transfer and provide reasonable details regarding the Royalty Interest Payment so received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37</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64" w:right="339" w:bottom="1440" w:gutter="0" w:footer="0" w:header="0"/>
        </w:sectPr>
      </w:pPr>
    </w:p>
    <w:bookmarkStart w:id="122" w:name="page123"/>
    <w:bookmarkEnd w:id="122"/>
    <w:tbl>
      <w:tblPr>
        <w:tblLayout w:type="fixed"/>
        <w:tblInd w:w="66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(an)</w:t>
            </w:r>
          </w:p>
        </w:tc>
        <w:tc>
          <w:tcPr>
            <w:tcW w:w="10080" w:type="dxa"/>
            <w:vAlign w:val="bottom"/>
            <w:gridSpan w:val="8"/>
          </w:tcPr>
          <w:p>
            <w:pPr>
              <w:ind w:left="140"/>
              <w:spacing w:after="0"/>
              <w:rPr>
                <w:sz w:val="20"/>
                <w:szCs w:val="20"/>
                <w:color w:val="auto"/>
              </w:rPr>
            </w:pPr>
            <w:r>
              <w:rPr>
                <w:rFonts w:ascii="Arial" w:cs="Arial" w:eastAsia="Arial" w:hAnsi="Arial"/>
                <w:sz w:val="22"/>
                <w:szCs w:val="22"/>
                <w:color w:val="auto"/>
                <w:w w:val="91"/>
              </w:rPr>
              <w:t>If the Licensee exercises any set-off or deduction against any payment of the Royalty Interests, then Seller shall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8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7"/>
              </w:rPr>
              <w:t>promptly (and in any event no later than five (5) Business Days) following payment of the Royalty Interest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8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0"/>
              </w:rPr>
              <w:t>reduced by such set-off or deduction, make a true-up payment to Buyer such that Buyer receives the full amount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8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0"/>
              </w:rPr>
              <w:t>of such Royalty Interest Payment that would have been payable to Buyer had such set-off or deduction not been</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10080" w:type="dxa"/>
            <w:vAlign w:val="bottom"/>
            <w:gridSpan w:val="8"/>
          </w:tcPr>
          <w:p>
            <w:pPr>
              <w:ind w:left="140"/>
              <w:spacing w:after="0" w:line="224" w:lineRule="exact"/>
              <w:rPr>
                <w:sz w:val="20"/>
                <w:szCs w:val="20"/>
                <w:color w:val="auto"/>
              </w:rPr>
            </w:pPr>
            <w:r>
              <w:rPr>
                <w:rFonts w:ascii="Arial" w:cs="Arial" w:eastAsia="Arial" w:hAnsi="Arial"/>
                <w:sz w:val="22"/>
                <w:szCs w:val="22"/>
                <w:color w:val="auto"/>
                <w:w w:val="91"/>
              </w:rPr>
              <w:t>exercised. After Seller makes the payment referred to in the first sentence of this Section 5.11(b), Seller shall be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vMerge w:val="restart"/>
          </w:tcPr>
          <w:p>
            <w:pPr>
              <w:ind w:left="120"/>
              <w:spacing w:after="0" w:line="208" w:lineRule="exact"/>
              <w:rPr>
                <w:sz w:val="20"/>
                <w:szCs w:val="20"/>
                <w:color w:val="auto"/>
              </w:rPr>
            </w:pPr>
            <w:r>
              <w:rPr>
                <w:rFonts w:ascii="Arial" w:cs="Arial" w:eastAsia="Arial" w:hAnsi="Arial"/>
                <w:sz w:val="22"/>
                <w:szCs w:val="22"/>
                <w:color w:val="auto"/>
                <w:w w:val="89"/>
              </w:rPr>
              <w:t>of such set-off</w:t>
            </w:r>
          </w:p>
        </w:tc>
        <w:tc>
          <w:tcPr>
            <w:tcW w:w="0" w:type="dxa"/>
            <w:vAlign w:val="bottom"/>
          </w:tcPr>
          <w:p>
            <w:pPr>
              <w:spacing w:after="0" w:line="20" w:lineRule="exact"/>
              <w:rPr>
                <w:sz w:val="1"/>
                <w:szCs w:val="1"/>
                <w:color w:val="auto"/>
              </w:rPr>
            </w:pPr>
          </w:p>
        </w:tc>
      </w:tr>
      <w:tr>
        <w:trPr>
          <w:trHeight w:val="188"/>
        </w:trPr>
        <w:tc>
          <w:tcPr>
            <w:tcW w:w="500" w:type="dxa"/>
            <w:vAlign w:val="bottom"/>
          </w:tcPr>
          <w:p>
            <w:pPr>
              <w:spacing w:after="0"/>
              <w:rPr>
                <w:sz w:val="16"/>
                <w:szCs w:val="16"/>
                <w:color w:val="auto"/>
              </w:rPr>
            </w:pPr>
          </w:p>
        </w:tc>
        <w:tc>
          <w:tcPr>
            <w:tcW w:w="8700" w:type="dxa"/>
            <w:vAlign w:val="bottom"/>
            <w:gridSpan w:val="7"/>
          </w:tcPr>
          <w:p>
            <w:pPr>
              <w:ind w:left="140"/>
              <w:spacing w:after="0" w:line="188" w:lineRule="exact"/>
              <w:rPr>
                <w:sz w:val="20"/>
                <w:szCs w:val="20"/>
                <w:color w:val="auto"/>
              </w:rPr>
            </w:pPr>
            <w:r>
              <w:rPr>
                <w:rFonts w:ascii="Arial" w:cs="Arial" w:eastAsia="Arial" w:hAnsi="Arial"/>
                <w:sz w:val="21"/>
                <w:szCs w:val="21"/>
                <w:color w:val="auto"/>
                <w:w w:val="93"/>
              </w:rPr>
              <w:t>entitled to, and Buyer shall not be entitled to, any amounts recovered from the Licensee in respect</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2440" w:type="dxa"/>
            <w:vAlign w:val="bottom"/>
          </w:tcPr>
          <w:p>
            <w:pPr>
              <w:ind w:left="140"/>
              <w:spacing w:after="0"/>
              <w:rPr>
                <w:sz w:val="20"/>
                <w:szCs w:val="20"/>
                <w:color w:val="auto"/>
              </w:rPr>
            </w:pPr>
            <w:r>
              <w:rPr>
                <w:rFonts w:ascii="Arial" w:cs="Arial" w:eastAsia="Arial" w:hAnsi="Arial"/>
                <w:sz w:val="22"/>
                <w:szCs w:val="22"/>
                <w:color w:val="auto"/>
              </w:rPr>
              <w:t>or deduction.</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1"/>
        </w:trPr>
        <w:tc>
          <w:tcPr>
            <w:tcW w:w="500" w:type="dxa"/>
            <w:vAlign w:val="bottom"/>
          </w:tcPr>
          <w:p>
            <w:pPr>
              <w:spacing w:after="0"/>
              <w:rPr>
                <w:sz w:val="20"/>
                <w:szCs w:val="20"/>
                <w:color w:val="auto"/>
              </w:rPr>
            </w:pPr>
            <w:r>
              <w:rPr>
                <w:rFonts w:ascii="Arial" w:cs="Arial" w:eastAsia="Arial" w:hAnsi="Arial"/>
                <w:sz w:val="22"/>
                <w:szCs w:val="22"/>
                <w:color w:val="auto"/>
              </w:rPr>
              <w:t>(ao)</w:t>
            </w:r>
          </w:p>
        </w:tc>
        <w:tc>
          <w:tcPr>
            <w:tcW w:w="10080" w:type="dxa"/>
            <w:vAlign w:val="bottom"/>
            <w:gridSpan w:val="8"/>
          </w:tcPr>
          <w:p>
            <w:pPr>
              <w:ind w:left="140"/>
              <w:spacing w:after="0"/>
              <w:rPr>
                <w:sz w:val="20"/>
                <w:szCs w:val="20"/>
                <w:color w:val="auto"/>
              </w:rPr>
            </w:pPr>
            <w:r>
              <w:rPr>
                <w:rFonts w:ascii="Arial" w:cs="Arial" w:eastAsia="Arial" w:hAnsi="Arial"/>
                <w:sz w:val="22"/>
                <w:szCs w:val="22"/>
                <w:color w:val="auto"/>
                <w:w w:val="91"/>
              </w:rPr>
              <w:t>All remittances pursuant to this Section 5.11 shall be made (i) without set-off or deduction of any kind (except as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0" w:type="dxa"/>
            <w:vAlign w:val="bottom"/>
          </w:tcPr>
          <w:p>
            <w:pPr>
              <w:spacing w:after="0"/>
              <w:rPr>
                <w:sz w:val="16"/>
                <w:szCs w:val="16"/>
                <w:color w:val="auto"/>
              </w:rPr>
            </w:pPr>
          </w:p>
        </w:tc>
        <w:tc>
          <w:tcPr>
            <w:tcW w:w="10080" w:type="dxa"/>
            <w:vAlign w:val="bottom"/>
            <w:gridSpan w:val="8"/>
          </w:tcPr>
          <w:p>
            <w:pPr>
              <w:ind w:left="140"/>
              <w:spacing w:after="0" w:line="188" w:lineRule="exact"/>
              <w:rPr>
                <w:sz w:val="20"/>
                <w:szCs w:val="20"/>
                <w:color w:val="auto"/>
              </w:rPr>
            </w:pPr>
            <w:r>
              <w:rPr>
                <w:rFonts w:ascii="Arial" w:cs="Arial" w:eastAsia="Arial" w:hAnsi="Arial"/>
                <w:sz w:val="21"/>
                <w:szCs w:val="21"/>
                <w:color w:val="auto"/>
                <w:w w:val="98"/>
              </w:rPr>
              <w:t>required by applicable Law) and (ii) by wire transfer of immediately available funds to such account as Buyer</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2440" w:type="dxa"/>
            <w:vAlign w:val="bottom"/>
          </w:tcPr>
          <w:p>
            <w:pPr>
              <w:ind w:left="140"/>
              <w:spacing w:after="0"/>
              <w:rPr>
                <w:sz w:val="20"/>
                <w:szCs w:val="20"/>
                <w:color w:val="auto"/>
              </w:rPr>
            </w:pPr>
            <w:r>
              <w:rPr>
                <w:rFonts w:ascii="Arial" w:cs="Arial" w:eastAsia="Arial" w:hAnsi="Arial"/>
                <w:sz w:val="22"/>
                <w:szCs w:val="22"/>
                <w:color w:val="auto"/>
              </w:rPr>
              <w:t>designates in writing.</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500" w:type="dxa"/>
            <w:vAlign w:val="bottom"/>
          </w:tcPr>
          <w:p>
            <w:pPr>
              <w:spacing w:after="0"/>
              <w:rPr>
                <w:sz w:val="20"/>
                <w:szCs w:val="20"/>
                <w:color w:val="auto"/>
              </w:rPr>
            </w:pPr>
            <w:r>
              <w:rPr>
                <w:rFonts w:ascii="Arial" w:cs="Arial" w:eastAsia="Arial" w:hAnsi="Arial"/>
                <w:sz w:val="22"/>
                <w:szCs w:val="22"/>
                <w:color w:val="auto"/>
              </w:rPr>
              <w:t>(ap)</w:t>
            </w:r>
          </w:p>
        </w:tc>
        <w:tc>
          <w:tcPr>
            <w:tcW w:w="10080" w:type="dxa"/>
            <w:vAlign w:val="bottom"/>
            <w:gridSpan w:val="8"/>
          </w:tcPr>
          <w:p>
            <w:pPr>
              <w:ind w:left="140"/>
              <w:spacing w:after="0"/>
              <w:rPr>
                <w:sz w:val="20"/>
                <w:szCs w:val="20"/>
                <w:color w:val="auto"/>
              </w:rPr>
            </w:pPr>
            <w:r>
              <w:rPr>
                <w:rFonts w:ascii="Arial" w:cs="Arial" w:eastAsia="Arial" w:hAnsi="Arial"/>
                <w:sz w:val="22"/>
                <w:szCs w:val="22"/>
                <w:color w:val="auto"/>
                <w:w w:val="90"/>
              </w:rPr>
              <w:t>Any amounts payable by Seller under this Section 5.11 shall bear interest, to the extent not paid within thirty (30)</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3"/>
                <w:szCs w:val="23"/>
                <w:color w:val="auto"/>
              </w:rPr>
            </w:pPr>
          </w:p>
        </w:tc>
        <w:tc>
          <w:tcPr>
            <w:tcW w:w="3860" w:type="dxa"/>
            <w:vAlign w:val="bottom"/>
            <w:gridSpan w:val="3"/>
          </w:tcPr>
          <w:p>
            <w:pPr>
              <w:ind w:left="140"/>
              <w:spacing w:after="0"/>
              <w:rPr>
                <w:sz w:val="20"/>
                <w:szCs w:val="20"/>
                <w:color w:val="auto"/>
              </w:rPr>
            </w:pPr>
            <w:r>
              <w:rPr>
                <w:rFonts w:ascii="Arial" w:cs="Arial" w:eastAsia="Arial" w:hAnsi="Arial"/>
                <w:sz w:val="22"/>
                <w:szCs w:val="22"/>
                <w:color w:val="auto"/>
                <w:w w:val="87"/>
              </w:rPr>
              <w:t>days of demand therefore by Buyer at a per</w:t>
            </w: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22"/>
                <w:szCs w:val="22"/>
                <w:color w:val="auto"/>
                <w:w w:val="88"/>
              </w:rPr>
              <w:t>annum rate</w:t>
            </w:r>
          </w:p>
        </w:tc>
        <w:tc>
          <w:tcPr>
            <w:tcW w:w="5140" w:type="dxa"/>
            <w:vAlign w:val="bottom"/>
            <w:gridSpan w:val="3"/>
          </w:tcPr>
          <w:p>
            <w:pPr>
              <w:ind w:left="20"/>
              <w:spacing w:after="0"/>
              <w:rPr>
                <w:sz w:val="20"/>
                <w:szCs w:val="20"/>
                <w:color w:val="auto"/>
              </w:rPr>
            </w:pPr>
            <w:r>
              <w:rPr>
                <w:rFonts w:ascii="Arial" w:cs="Arial" w:eastAsia="Arial" w:hAnsi="Arial"/>
                <w:sz w:val="22"/>
                <w:szCs w:val="22"/>
                <w:color w:val="auto"/>
              </w:rPr>
              <w:t>equal to [***].</w:t>
            </w:r>
          </w:p>
        </w:tc>
        <w:tc>
          <w:tcPr>
            <w:tcW w:w="0" w:type="dxa"/>
            <w:vAlign w:val="bottom"/>
          </w:tcPr>
          <w:p>
            <w:pPr>
              <w:spacing w:after="0"/>
              <w:rPr>
                <w:sz w:val="1"/>
                <w:szCs w:val="1"/>
                <w:color w:val="auto"/>
              </w:rPr>
            </w:pPr>
          </w:p>
        </w:tc>
      </w:tr>
      <w:tr>
        <w:trPr>
          <w:trHeight w:val="411"/>
        </w:trPr>
        <w:tc>
          <w:tcPr>
            <w:tcW w:w="500" w:type="dxa"/>
            <w:vAlign w:val="bottom"/>
          </w:tcPr>
          <w:p>
            <w:pPr>
              <w:spacing w:after="0"/>
              <w:rPr>
                <w:sz w:val="24"/>
                <w:szCs w:val="24"/>
                <w:color w:val="auto"/>
              </w:rPr>
            </w:pPr>
          </w:p>
        </w:tc>
        <w:tc>
          <w:tcPr>
            <w:tcW w:w="2440" w:type="dxa"/>
            <w:vAlign w:val="bottom"/>
          </w:tcPr>
          <w:p>
            <w:pPr>
              <w:ind w:left="1120"/>
              <w:spacing w:after="0"/>
              <w:rPr>
                <w:sz w:val="20"/>
                <w:szCs w:val="20"/>
                <w:color w:val="auto"/>
              </w:rPr>
            </w:pPr>
            <w:r>
              <w:rPr>
                <w:rFonts w:ascii="Arial" w:cs="Arial" w:eastAsia="Arial" w:hAnsi="Arial"/>
                <w:sz w:val="22"/>
                <w:szCs w:val="22"/>
                <w:b w:val="1"/>
                <w:bCs w:val="1"/>
                <w:color w:val="auto"/>
              </w:rPr>
              <w:t>Section 1.3.</w:t>
            </w:r>
          </w:p>
        </w:tc>
        <w:tc>
          <w:tcPr>
            <w:tcW w:w="7640" w:type="dxa"/>
            <w:vAlign w:val="bottom"/>
            <w:gridSpan w:val="7"/>
          </w:tcPr>
          <w:p>
            <w:pPr>
              <w:ind w:left="300"/>
              <w:spacing w:after="0"/>
              <w:rPr>
                <w:sz w:val="20"/>
                <w:szCs w:val="20"/>
                <w:color w:val="auto"/>
              </w:rPr>
            </w:pPr>
            <w:r>
              <w:rPr>
                <w:rFonts w:ascii="Arial" w:cs="Arial" w:eastAsia="Arial" w:hAnsi="Arial"/>
                <w:sz w:val="22"/>
                <w:szCs w:val="22"/>
                <w:b w:val="1"/>
                <w:bCs w:val="1"/>
                <w:color w:val="auto"/>
              </w:rPr>
              <w:t>Licensee Instruction.</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During the term of this Agreement, other than the Licensee Instruction, Seller shall not, without Buyer’s prior written consent (which consent may be withheld or granted in Buyer’s sole discretion), deliver any written instructions to Licensee redirecting the payment of the Royalty Interests.</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Seller’s Commercially Reasonable Efforts and Judgment.</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It is understood and agreed that, in determining whether Seller’s efforts or judgments are “commercially reasonable” with respect to any covenant that specifically references such term in this Agreement, Seller shall be deemed to be acting or making a judgment in a commercially reasonable manner if Seller would reasonably be expected to act in the same manner if Seller had the sole right, title and interest in and to the Purchased Assets.</w:t>
      </w:r>
    </w:p>
    <w:p>
      <w:pPr>
        <w:spacing w:after="0" w:line="155"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Royalty Reports; Notices and Communications from Licensee.</w:t>
      </w:r>
    </w:p>
    <w:p>
      <w:pPr>
        <w:spacing w:after="0" w:line="185"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Arial" w:cs="Arial" w:eastAsia="Arial" w:hAnsi="Arial"/>
          <w:sz w:val="22"/>
          <w:szCs w:val="22"/>
          <w:color w:val="auto"/>
        </w:rPr>
        <w:t>(aq)</w:t>
      </w:r>
      <w:r>
        <w:rPr>
          <w:sz w:val="20"/>
          <w:szCs w:val="20"/>
          <w:color w:val="auto"/>
        </w:rPr>
        <w:tab/>
      </w:r>
      <w:r>
        <w:rPr>
          <w:rFonts w:ascii="Arial" w:cs="Arial" w:eastAsia="Arial" w:hAnsi="Arial"/>
          <w:sz w:val="21"/>
          <w:szCs w:val="21"/>
          <w:color w:val="auto"/>
        </w:rPr>
        <w:t>Seller shall promptly (and in any event no later than five (5) Business Days) following the receipt by Seller from the Licensee of a Royalty Report furnish a copy of the same to Buyer. Except for the Licensee Instruction and notices and correspondence required to be given or made by Seller (i) under the License Agreement or (ii) by applicable Law, Seller shall not send any notice or correspondence to the Licensee relating to, affecting or involving, the Purchased Assets that would reasonably be expected to result in a Material Adverse Effect, except with the prior written consent of Buyer. Without limiting the foregoing, Seller shall, promptly (and in any event no later than five (5) Business Days) following the delivery thereof by Seller to the Licensee, furnish a copy of a written notice sent by Seller to the Licensee relating to, affecting or involving the Purchased Assets or that would reasonably be expected to result in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38</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64" w:right="339" w:bottom="1440" w:gutter="0" w:footer="0" w:header="0"/>
        </w:sectPr>
      </w:pPr>
    </w:p>
    <w:bookmarkStart w:id="123" w:name="page124"/>
    <w:bookmarkEnd w:id="123"/>
    <w:p>
      <w:pPr>
        <w:jc w:val="both"/>
        <w:ind w:left="1300"/>
        <w:spacing w:after="0" w:line="234" w:lineRule="auto"/>
        <w:rPr>
          <w:sz w:val="20"/>
          <w:szCs w:val="20"/>
          <w:color w:val="auto"/>
        </w:rPr>
      </w:pPr>
      <w:r>
        <w:rPr>
          <w:rFonts w:ascii="Arial" w:cs="Arial" w:eastAsia="Arial" w:hAnsi="Arial"/>
          <w:sz w:val="21"/>
          <w:szCs w:val="21"/>
          <w:color w:val="auto"/>
        </w:rPr>
        <w:t>Adverse Effect. Without limiting the foregoing, Seller shall, promptly (and in any event no later than five (5) Business Days) following the delivery thereof by Seller to the Licensee, furnish a copy of correspondence sent by Seller to the Licensee that would reasonably be expected to result in a Material Adverse Effect.</w:t>
      </w:r>
    </w:p>
    <w:p>
      <w:pPr>
        <w:sectPr>
          <w:pgSz w:w="11900" w:h="16838" w:orient="portrait"/>
          <w:cols w:equalWidth="0" w:num="1">
            <w:col w:w="11240"/>
          </w:cols>
          <w:pgMar w:left="320" w:top="1401" w:right="339" w:bottom="1440" w:gutter="0" w:footer="0" w:header="0"/>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hanging="11"/>
        <w:spacing w:after="0" w:line="232" w:lineRule="auto"/>
        <w:rPr>
          <w:sz w:val="20"/>
          <w:szCs w:val="20"/>
          <w:color w:val="auto"/>
        </w:rPr>
      </w:pPr>
      <w:r>
        <w:rPr>
          <w:rFonts w:ascii="Arial" w:cs="Arial" w:eastAsia="Arial" w:hAnsi="Arial"/>
          <w:sz w:val="22"/>
          <w:szCs w:val="22"/>
          <w:color w:val="auto"/>
        </w:rPr>
        <w:t>Seller shall promptly deliver (i) notices received by Seller from Licensee; and (ii) invoices provided by Seller to Licensee, in each case regarding the achievement of Milestones.</w:t>
      </w:r>
    </w:p>
    <w:p>
      <w:pPr>
        <w:spacing w:after="0" w:line="153" w:lineRule="exact"/>
        <w:rPr>
          <w:sz w:val="20"/>
          <w:szCs w:val="20"/>
          <w:color w:val="auto"/>
        </w:rPr>
      </w:pPr>
    </w:p>
    <w:p>
      <w:pPr>
        <w:sectPr>
          <w:pgSz w:w="11900" w:h="16838" w:orient="portrait"/>
          <w:cols w:equalWidth="0" w:num="2">
            <w:col w:w="960" w:space="340"/>
            <w:col w:w="9940"/>
          </w:cols>
          <w:pgMar w:left="320" w:top="1401" w:right="339" w:bottom="1440" w:gutter="0" w:footer="0" w:header="0"/>
          <w:type w:val="continuous"/>
        </w:sectPr>
      </w:pPr>
    </w:p>
    <w:p>
      <w:pPr>
        <w:ind w:left="2280"/>
        <w:spacing w:after="0"/>
        <w:rPr>
          <w:sz w:val="20"/>
          <w:szCs w:val="20"/>
          <w:color w:val="auto"/>
        </w:rPr>
      </w:pPr>
      <w:r>
        <w:rPr>
          <w:rFonts w:ascii="Arial" w:cs="Arial" w:eastAsia="Arial" w:hAnsi="Arial"/>
          <w:sz w:val="18"/>
          <w:szCs w:val="18"/>
          <w:b w:val="1"/>
          <w:bCs w:val="1"/>
          <w:color w:val="auto"/>
        </w:rPr>
        <w:t>Section 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Maintenance of License Agreement.</w:t>
      </w:r>
    </w:p>
    <w:p>
      <w:pPr>
        <w:spacing w:after="0" w:line="200" w:lineRule="exact"/>
        <w:rPr>
          <w:sz w:val="20"/>
          <w:szCs w:val="20"/>
          <w:color w:val="auto"/>
        </w:rPr>
      </w:pPr>
    </w:p>
    <w:p>
      <w:pPr>
        <w:sectPr>
          <w:pgSz w:w="11900" w:h="16838" w:orient="portrait"/>
          <w:cols w:equalWidth="0" w:num="2">
            <w:col w:w="3440" w:space="460"/>
            <w:col w:w="7340"/>
          </w:cols>
          <w:pgMar w:left="320" w:top="1401" w:right="339" w:bottom="1440" w:gutter="0" w:footer="0" w:header="0"/>
          <w:type w:val="continuous"/>
        </w:sectPr>
      </w:pPr>
    </w:p>
    <w:p>
      <w:pPr>
        <w:spacing w:after="0" w:line="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Within five (5) Business Days after becoming aware, by written notice, of Licensee’s (A) intent to terminate the License Agreement, in whole or in part or (B) allegation of a breach or violation of or default, in each case in any material respect, under the License Agreement by Seller, Seller shall give written notice thereof to Buyer. Such notice shall (x) describe in reasonable detail such breach, default or termination event, (y) include a copy of any written notice received from Licensee with respect thereto, and (z) in the case of any breach or default or alleged breach or default by Seller, in each case of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in any material respect, describe in reasonable detail any corrective action Seller proposes to take in respect of such breach or default. In consultation with Buyer, Seller shall use Commercially Reasonable Efforts to cure any breach or default by it under the License Agreement, as applicable, and, in any case, shall give written notice to Buyer upon curing such breach or default. Seller shall pay the costs and expenses associated with all of the foregoing actions, including in connection with any Disputes related to any alleged breach or alleged default under the License Agreement.</w:t>
      </w:r>
    </w:p>
    <w:p>
      <w:pPr>
        <w:spacing w:after="0" w:line="149" w:lineRule="exact"/>
        <w:rPr>
          <w:sz w:val="20"/>
          <w:szCs w:val="20"/>
          <w:color w:val="auto"/>
        </w:rPr>
      </w:pPr>
    </w:p>
    <w:p>
      <w:pPr>
        <w:ind w:left="2280"/>
        <w:spacing w:after="0" w:line="235" w:lineRule="auto"/>
        <w:rPr>
          <w:sz w:val="20"/>
          <w:szCs w:val="20"/>
          <w:color w:val="auto"/>
        </w:rPr>
      </w:pPr>
      <w:r>
        <w:rPr>
          <w:rFonts w:ascii="Arial" w:cs="Arial" w:eastAsia="Arial" w:hAnsi="Arial"/>
          <w:sz w:val="22"/>
          <w:szCs w:val="22"/>
          <w:b w:val="1"/>
          <w:bCs w:val="1"/>
          <w:color w:val="auto"/>
        </w:rPr>
        <w:t>Section 1.13. Enforcement of License Agreement and the Production Agreements (excluding the Back-up Manufacturing Agreements).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Seller will comply with the enforcement provisions set forth in </w:t>
      </w:r>
      <w:r>
        <w:rPr>
          <w:rFonts w:ascii="Arial" w:cs="Arial" w:eastAsia="Arial" w:hAnsi="Arial"/>
          <w:sz w:val="22"/>
          <w:szCs w:val="22"/>
          <w:u w:val="single" w:color="auto"/>
          <w:color w:val="auto"/>
        </w:rPr>
        <w:t>Schedule 5.16</w:t>
      </w:r>
      <w:r>
        <w:rPr>
          <w:rFonts w:ascii="Arial" w:cs="Arial" w:eastAsia="Arial" w:hAnsi="Arial"/>
          <w:sz w:val="22"/>
          <w:szCs w:val="22"/>
          <w:color w:val="auto"/>
        </w:rPr>
        <w:t>.</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480" w:type="dxa"/>
            <w:vAlign w:val="bottom"/>
          </w:tcPr>
          <w:p>
            <w:pPr>
              <w:spacing w:after="0"/>
              <w:rPr>
                <w:sz w:val="24"/>
                <w:szCs w:val="24"/>
                <w:color w:val="auto"/>
              </w:rPr>
            </w:pPr>
          </w:p>
        </w:tc>
        <w:tc>
          <w:tcPr>
            <w:tcW w:w="2520" w:type="dxa"/>
            <w:vAlign w:val="bottom"/>
          </w:tcPr>
          <w:p>
            <w:pPr>
              <w:ind w:left="1140"/>
              <w:spacing w:after="0"/>
              <w:rPr>
                <w:sz w:val="20"/>
                <w:szCs w:val="20"/>
                <w:color w:val="auto"/>
              </w:rPr>
            </w:pPr>
            <w:r>
              <w:rPr>
                <w:rFonts w:ascii="Arial" w:cs="Arial" w:eastAsia="Arial" w:hAnsi="Arial"/>
                <w:sz w:val="22"/>
                <w:szCs w:val="22"/>
                <w:b w:val="1"/>
                <w:bCs w:val="1"/>
                <w:color w:val="auto"/>
              </w:rPr>
              <w:t>Section 1.14.</w:t>
            </w:r>
          </w:p>
        </w:tc>
        <w:tc>
          <w:tcPr>
            <w:tcW w:w="7580" w:type="dxa"/>
            <w:vAlign w:val="bottom"/>
            <w:gridSpan w:val="3"/>
          </w:tcPr>
          <w:p>
            <w:pPr>
              <w:ind w:left="240"/>
              <w:spacing w:after="0"/>
              <w:rPr>
                <w:sz w:val="20"/>
                <w:szCs w:val="20"/>
                <w:color w:val="auto"/>
              </w:rPr>
            </w:pPr>
            <w:r>
              <w:rPr>
                <w:rFonts w:ascii="Arial" w:cs="Arial" w:eastAsia="Arial" w:hAnsi="Arial"/>
                <w:sz w:val="22"/>
                <w:szCs w:val="22"/>
                <w:b w:val="1"/>
                <w:bCs w:val="1"/>
                <w:color w:val="auto"/>
              </w:rPr>
              <w:t>Audits.</w:t>
            </w:r>
          </w:p>
        </w:tc>
        <w:tc>
          <w:tcPr>
            <w:tcW w:w="0" w:type="dxa"/>
            <w:vAlign w:val="bottom"/>
          </w:tcPr>
          <w:p>
            <w:pPr>
              <w:spacing w:after="0"/>
              <w:rPr>
                <w:sz w:val="1"/>
                <w:szCs w:val="1"/>
                <w:color w:val="auto"/>
              </w:rPr>
            </w:pPr>
          </w:p>
        </w:tc>
      </w:tr>
      <w:tr>
        <w:trPr>
          <w:trHeight w:val="374"/>
        </w:trPr>
        <w:tc>
          <w:tcPr>
            <w:tcW w:w="480" w:type="dxa"/>
            <w:vAlign w:val="bottom"/>
          </w:tcPr>
          <w:p>
            <w:pPr>
              <w:spacing w:after="0"/>
              <w:rPr>
                <w:sz w:val="20"/>
                <w:szCs w:val="20"/>
                <w:color w:val="auto"/>
              </w:rPr>
            </w:pPr>
            <w:r>
              <w:rPr>
                <w:rFonts w:ascii="Arial" w:cs="Arial" w:eastAsia="Arial" w:hAnsi="Arial"/>
                <w:sz w:val="22"/>
                <w:szCs w:val="22"/>
                <w:color w:val="auto"/>
              </w:rPr>
              <w:t>(as)</w:t>
            </w:r>
          </w:p>
        </w:tc>
        <w:tc>
          <w:tcPr>
            <w:tcW w:w="10100" w:type="dxa"/>
            <w:vAlign w:val="bottom"/>
            <w:gridSpan w:val="4"/>
          </w:tcPr>
          <w:p>
            <w:pPr>
              <w:ind w:left="160"/>
              <w:spacing w:after="0"/>
              <w:rPr>
                <w:sz w:val="20"/>
                <w:szCs w:val="20"/>
                <w:color w:val="auto"/>
              </w:rPr>
            </w:pPr>
            <w:r>
              <w:rPr>
                <w:rFonts w:ascii="Arial" w:cs="Arial" w:eastAsia="Arial" w:hAnsi="Arial"/>
                <w:sz w:val="22"/>
                <w:szCs w:val="22"/>
                <w:color w:val="auto"/>
                <w:w w:val="93"/>
              </w:rPr>
              <w:t>The Seller and Buyer shall consult with each other regarding the timing, manner and conduct of any review or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100" w:type="dxa"/>
            <w:vAlign w:val="bottom"/>
            <w:gridSpan w:val="4"/>
          </w:tcPr>
          <w:p>
            <w:pPr>
              <w:ind w:left="160"/>
              <w:spacing w:after="0" w:line="216" w:lineRule="exact"/>
              <w:rPr>
                <w:sz w:val="20"/>
                <w:szCs w:val="20"/>
                <w:color w:val="auto"/>
              </w:rPr>
            </w:pPr>
            <w:r>
              <w:rPr>
                <w:rFonts w:ascii="Arial" w:cs="Arial" w:eastAsia="Arial" w:hAnsi="Arial"/>
                <w:sz w:val="22"/>
                <w:szCs w:val="22"/>
                <w:color w:val="auto"/>
                <w:w w:val="88"/>
              </w:rPr>
              <w:t>audit of the Licensee’s books and records pursuant to Section 8.06 of the License Agreement. For the avoidance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100" w:type="dxa"/>
            <w:vAlign w:val="bottom"/>
            <w:gridSpan w:val="4"/>
          </w:tcPr>
          <w:p>
            <w:pPr>
              <w:ind w:left="160"/>
              <w:spacing w:after="0" w:line="216" w:lineRule="exact"/>
              <w:rPr>
                <w:sz w:val="20"/>
                <w:szCs w:val="20"/>
                <w:color w:val="auto"/>
              </w:rPr>
            </w:pPr>
            <w:r>
              <w:rPr>
                <w:rFonts w:ascii="Arial" w:cs="Arial" w:eastAsia="Arial" w:hAnsi="Arial"/>
                <w:sz w:val="22"/>
                <w:szCs w:val="22"/>
                <w:color w:val="auto"/>
                <w:w w:val="92"/>
              </w:rPr>
              <w:t>doubt, Seller shall not request an examination of the Licensee’s records and books of account without the prior</w:t>
            </w:r>
          </w:p>
        </w:tc>
        <w:tc>
          <w:tcPr>
            <w:tcW w:w="0" w:type="dxa"/>
            <w:vAlign w:val="bottom"/>
          </w:tcPr>
          <w:p>
            <w:pPr>
              <w:spacing w:after="0"/>
              <w:rPr>
                <w:sz w:val="1"/>
                <w:szCs w:val="1"/>
                <w:color w:val="auto"/>
              </w:rPr>
            </w:pPr>
          </w:p>
        </w:tc>
      </w:tr>
      <w:tr>
        <w:trPr>
          <w:trHeight w:val="274"/>
        </w:trPr>
        <w:tc>
          <w:tcPr>
            <w:tcW w:w="480" w:type="dxa"/>
            <w:vAlign w:val="bottom"/>
          </w:tcPr>
          <w:p>
            <w:pPr>
              <w:spacing w:after="0"/>
              <w:rPr>
                <w:sz w:val="23"/>
                <w:szCs w:val="23"/>
                <w:color w:val="auto"/>
              </w:rPr>
            </w:pPr>
          </w:p>
        </w:tc>
        <w:tc>
          <w:tcPr>
            <w:tcW w:w="10100" w:type="dxa"/>
            <w:vAlign w:val="bottom"/>
            <w:gridSpan w:val="4"/>
          </w:tcPr>
          <w:p>
            <w:pPr>
              <w:ind w:left="160"/>
              <w:spacing w:after="0"/>
              <w:rPr>
                <w:sz w:val="20"/>
                <w:szCs w:val="20"/>
                <w:color w:val="auto"/>
              </w:rPr>
            </w:pPr>
            <w:r>
              <w:rPr>
                <w:rFonts w:ascii="Arial" w:cs="Arial" w:eastAsia="Arial" w:hAnsi="Arial"/>
                <w:sz w:val="22"/>
                <w:szCs w:val="22"/>
                <w:color w:val="auto"/>
              </w:rPr>
              <w:t>written consent of Buyer, such consent not to be unreasonably withheld, conditioned or delayed.</w:t>
            </w:r>
          </w:p>
        </w:tc>
        <w:tc>
          <w:tcPr>
            <w:tcW w:w="0" w:type="dxa"/>
            <w:vAlign w:val="bottom"/>
          </w:tcPr>
          <w:p>
            <w:pPr>
              <w:spacing w:after="0"/>
              <w:rPr>
                <w:sz w:val="1"/>
                <w:szCs w:val="1"/>
                <w:color w:val="auto"/>
              </w:rPr>
            </w:pPr>
          </w:p>
        </w:tc>
      </w:tr>
      <w:tr>
        <w:trPr>
          <w:trHeight w:val="381"/>
        </w:trPr>
        <w:tc>
          <w:tcPr>
            <w:tcW w:w="480" w:type="dxa"/>
            <w:vAlign w:val="bottom"/>
          </w:tcPr>
          <w:p>
            <w:pPr>
              <w:spacing w:after="0"/>
              <w:rPr>
                <w:sz w:val="20"/>
                <w:szCs w:val="20"/>
                <w:color w:val="auto"/>
              </w:rPr>
            </w:pPr>
            <w:r>
              <w:rPr>
                <w:rFonts w:ascii="Arial" w:cs="Arial" w:eastAsia="Arial" w:hAnsi="Arial"/>
                <w:sz w:val="22"/>
                <w:szCs w:val="22"/>
                <w:color w:val="auto"/>
              </w:rPr>
              <w:t>(at)</w:t>
            </w:r>
          </w:p>
        </w:tc>
        <w:tc>
          <w:tcPr>
            <w:tcW w:w="10100" w:type="dxa"/>
            <w:vAlign w:val="bottom"/>
            <w:gridSpan w:val="4"/>
          </w:tcPr>
          <w:p>
            <w:pPr>
              <w:ind w:left="160"/>
              <w:spacing w:after="0"/>
              <w:rPr>
                <w:sz w:val="20"/>
                <w:szCs w:val="20"/>
                <w:color w:val="auto"/>
              </w:rPr>
            </w:pPr>
            <w:r>
              <w:rPr>
                <w:rFonts w:ascii="Arial" w:cs="Arial" w:eastAsia="Arial" w:hAnsi="Arial"/>
                <w:sz w:val="22"/>
                <w:szCs w:val="22"/>
                <w:color w:val="auto"/>
                <w:w w:val="94"/>
              </w:rPr>
              <w:t>Following consultation in accordance with Section 5.17(a), if requested in writing by Buyer, Seller shall to the</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60" w:type="dxa"/>
            <w:vAlign w:val="bottom"/>
            <w:vMerge w:val="restart"/>
          </w:tcPr>
          <w:p>
            <w:pPr>
              <w:ind w:left="320"/>
              <w:spacing w:after="0" w:line="226" w:lineRule="exact"/>
              <w:rPr>
                <w:sz w:val="20"/>
                <w:szCs w:val="20"/>
                <w:color w:val="auto"/>
              </w:rPr>
            </w:pPr>
            <w:r>
              <w:rPr>
                <w:rFonts w:ascii="Arial" w:cs="Arial" w:eastAsia="Arial" w:hAnsi="Arial"/>
                <w:sz w:val="22"/>
                <w:szCs w:val="22"/>
                <w:color w:val="auto"/>
                <w:w w:val="91"/>
              </w:rPr>
              <w:t>provide written notice to the Licensee to cause an</w:t>
            </w:r>
          </w:p>
        </w:tc>
        <w:tc>
          <w:tcPr>
            <w:tcW w:w="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5340" w:type="dxa"/>
            <w:vAlign w:val="bottom"/>
            <w:gridSpan w:val="3"/>
          </w:tcPr>
          <w:p>
            <w:pPr>
              <w:ind w:left="160"/>
              <w:spacing w:after="0" w:line="206" w:lineRule="exact"/>
              <w:rPr>
                <w:sz w:val="20"/>
                <w:szCs w:val="20"/>
                <w:color w:val="auto"/>
              </w:rPr>
            </w:pPr>
            <w:r>
              <w:rPr>
                <w:rFonts w:ascii="Arial" w:cs="Arial" w:eastAsia="Arial" w:hAnsi="Arial"/>
                <w:sz w:val="22"/>
                <w:szCs w:val="22"/>
                <w:color w:val="auto"/>
                <w:w w:val="87"/>
              </w:rPr>
              <w:t>extent permitted by Section 10.01 of the License Agreement,</w:t>
            </w: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jc w:val="both"/>
        <w:ind w:left="1300"/>
        <w:spacing w:after="0" w:line="211" w:lineRule="auto"/>
        <w:rPr>
          <w:sz w:val="20"/>
          <w:szCs w:val="20"/>
          <w:color w:val="auto"/>
        </w:rPr>
      </w:pPr>
      <w:r>
        <w:rPr>
          <w:rFonts w:ascii="Arial" w:cs="Arial" w:eastAsia="Arial" w:hAnsi="Arial"/>
          <w:sz w:val="22"/>
          <w:szCs w:val="22"/>
          <w:color w:val="auto"/>
        </w:rPr>
        <w:t>inspection or audit to determine the correctness of any Royalty Interest Payments made under the License Agreement. Seller will promptly furnish to Buyer a true, correct and complete copy of any inspection or audit report prepared in connection with such an inspection or audit. If, following the completion of such inspection or audit, Seller is required to reimburse Licensee for overpayment of the Royalty Interests, then Buyer shall promptly upon request reimburse Seller, or, at Seller’s request, Licensee on behalf of Seller, for the portion of such overpaid amount that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39</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type w:val="continuous"/>
        </w:sectPr>
      </w:pPr>
    </w:p>
    <w:bookmarkStart w:id="124" w:name="page125"/>
    <w:bookmarkEnd w:id="124"/>
    <w:tbl>
      <w:tblPr>
        <w:tblLayout w:type="fixed"/>
        <w:tblInd w:w="66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10060" w:type="dxa"/>
            <w:vAlign w:val="bottom"/>
            <w:gridSpan w:val="6"/>
          </w:tcPr>
          <w:p>
            <w:pPr>
              <w:ind w:left="120"/>
              <w:spacing w:after="0"/>
              <w:rPr>
                <w:sz w:val="20"/>
                <w:szCs w:val="20"/>
                <w:color w:val="auto"/>
              </w:rPr>
            </w:pPr>
            <w:r>
              <w:rPr>
                <w:rFonts w:ascii="Arial" w:cs="Arial" w:eastAsia="Arial" w:hAnsi="Arial"/>
                <w:sz w:val="22"/>
                <w:szCs w:val="22"/>
                <w:color w:val="auto"/>
                <w:w w:val="94"/>
              </w:rPr>
              <w:t>actually paid to Buyer, and shall promptly (and in any event within two (2) Business Days) after making such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6"/>
          </w:tcPr>
          <w:p>
            <w:pPr>
              <w:ind w:left="120"/>
              <w:spacing w:after="0" w:line="216" w:lineRule="exact"/>
              <w:rPr>
                <w:sz w:val="20"/>
                <w:szCs w:val="20"/>
                <w:color w:val="auto"/>
              </w:rPr>
            </w:pPr>
            <w:r>
              <w:rPr>
                <w:rFonts w:ascii="Arial" w:cs="Arial" w:eastAsia="Arial" w:hAnsi="Arial"/>
                <w:sz w:val="22"/>
                <w:szCs w:val="22"/>
                <w:color w:val="auto"/>
                <w:w w:val="91"/>
              </w:rPr>
              <w:t>payment provide documentation satisfactory to Seller evidencing that such payment was made. If, following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6"/>
          </w:tcPr>
          <w:p>
            <w:pPr>
              <w:ind w:left="120"/>
              <w:spacing w:after="0" w:line="216" w:lineRule="exact"/>
              <w:rPr>
                <w:sz w:val="20"/>
                <w:szCs w:val="20"/>
                <w:color w:val="auto"/>
              </w:rPr>
            </w:pPr>
            <w:r>
              <w:rPr>
                <w:rFonts w:ascii="Arial" w:cs="Arial" w:eastAsia="Arial" w:hAnsi="Arial"/>
                <w:sz w:val="22"/>
                <w:szCs w:val="22"/>
                <w:color w:val="auto"/>
                <w:w w:val="90"/>
              </w:rPr>
              <w:t>completion of such inspection or audit, Licensee is required to pay amounts representing an underpayment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6"/>
          </w:tcPr>
          <w:p>
            <w:pPr>
              <w:ind w:left="120"/>
              <w:spacing w:after="0" w:line="216" w:lineRule="exact"/>
              <w:rPr>
                <w:sz w:val="20"/>
                <w:szCs w:val="20"/>
                <w:color w:val="auto"/>
              </w:rPr>
            </w:pPr>
            <w:r>
              <w:rPr>
                <w:rFonts w:ascii="Arial" w:cs="Arial" w:eastAsia="Arial" w:hAnsi="Arial"/>
                <w:sz w:val="22"/>
                <w:szCs w:val="22"/>
                <w:color w:val="auto"/>
                <w:w w:val="91"/>
              </w:rPr>
              <w:t>Royalty Interests during the applicable period of time, Buyer shall be paid from such amounts a portion equal to</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6"/>
          </w:tcPr>
          <w:p>
            <w:pPr>
              <w:ind w:left="120"/>
              <w:spacing w:after="0"/>
              <w:rPr>
                <w:sz w:val="20"/>
                <w:szCs w:val="20"/>
                <w:color w:val="auto"/>
              </w:rPr>
            </w:pPr>
            <w:r>
              <w:rPr>
                <w:rFonts w:ascii="Arial" w:cs="Arial" w:eastAsia="Arial" w:hAnsi="Arial"/>
                <w:sz w:val="22"/>
                <w:szCs w:val="22"/>
                <w:color w:val="auto"/>
              </w:rPr>
              <w:t>the amount by which the Royalty Interest was underpaid during the applicable period of time.</w:t>
            </w:r>
          </w:p>
        </w:tc>
        <w:tc>
          <w:tcPr>
            <w:tcW w:w="0" w:type="dxa"/>
            <w:vAlign w:val="bottom"/>
          </w:tcPr>
          <w:p>
            <w:pPr>
              <w:spacing w:after="0"/>
              <w:rPr>
                <w:sz w:val="1"/>
                <w:szCs w:val="1"/>
                <w:color w:val="auto"/>
              </w:rPr>
            </w:pPr>
          </w:p>
        </w:tc>
      </w:tr>
      <w:tr>
        <w:trPr>
          <w:trHeight w:val="382"/>
        </w:trPr>
        <w:tc>
          <w:tcPr>
            <w:tcW w:w="520" w:type="dxa"/>
            <w:vAlign w:val="bottom"/>
          </w:tcPr>
          <w:p>
            <w:pPr>
              <w:spacing w:after="0"/>
              <w:rPr>
                <w:sz w:val="20"/>
                <w:szCs w:val="20"/>
                <w:color w:val="auto"/>
              </w:rPr>
            </w:pPr>
            <w:r>
              <w:rPr>
                <w:rFonts w:ascii="Arial" w:cs="Arial" w:eastAsia="Arial" w:hAnsi="Arial"/>
                <w:sz w:val="22"/>
                <w:szCs w:val="22"/>
                <w:color w:val="auto"/>
              </w:rPr>
              <w:t>(au)</w:t>
            </w:r>
          </w:p>
        </w:tc>
        <w:tc>
          <w:tcPr>
            <w:tcW w:w="10060" w:type="dxa"/>
            <w:vAlign w:val="bottom"/>
            <w:gridSpan w:val="6"/>
          </w:tcPr>
          <w:p>
            <w:pPr>
              <w:ind w:left="120"/>
              <w:spacing w:after="0"/>
              <w:rPr>
                <w:sz w:val="20"/>
                <w:szCs w:val="20"/>
                <w:color w:val="auto"/>
              </w:rPr>
            </w:pPr>
            <w:r>
              <w:rPr>
                <w:rFonts w:ascii="Arial" w:cs="Arial" w:eastAsia="Arial" w:hAnsi="Arial"/>
                <w:sz w:val="22"/>
                <w:szCs w:val="22"/>
                <w:color w:val="auto"/>
                <w:w w:val="92"/>
              </w:rPr>
              <w:t>All of the expenses of any inspection or audit requested by Buyer pursuant to this Section 5.17, including such</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20" w:type="dxa"/>
            <w:vAlign w:val="bottom"/>
            <w:vMerge w:val="restart"/>
          </w:tcPr>
          <w:p>
            <w:pPr>
              <w:ind w:left="300"/>
              <w:spacing w:after="0" w:line="208" w:lineRule="exact"/>
              <w:rPr>
                <w:sz w:val="20"/>
                <w:szCs w:val="20"/>
                <w:color w:val="auto"/>
              </w:rPr>
            </w:pPr>
            <w:r>
              <w:rPr>
                <w:rFonts w:ascii="Arial" w:cs="Arial" w:eastAsia="Arial" w:hAnsi="Arial"/>
                <w:sz w:val="22"/>
                <w:szCs w:val="22"/>
                <w:color w:val="auto"/>
                <w:w w:val="97"/>
              </w:rPr>
              <w:t>to Buyer) in</w:t>
            </w:r>
          </w:p>
        </w:tc>
        <w:tc>
          <w:tcPr>
            <w:tcW w:w="0" w:type="dxa"/>
            <w:vAlign w:val="bottom"/>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8640" w:type="dxa"/>
            <w:vAlign w:val="bottom"/>
            <w:gridSpan w:val="5"/>
          </w:tcPr>
          <w:p>
            <w:pPr>
              <w:ind w:left="120"/>
              <w:spacing w:after="0" w:line="188" w:lineRule="exact"/>
              <w:rPr>
                <w:sz w:val="20"/>
                <w:szCs w:val="20"/>
                <w:color w:val="auto"/>
              </w:rPr>
            </w:pPr>
            <w:r>
              <w:rPr>
                <w:rFonts w:ascii="Arial" w:cs="Arial" w:eastAsia="Arial" w:hAnsi="Arial"/>
                <w:sz w:val="21"/>
                <w:szCs w:val="21"/>
                <w:color w:val="auto"/>
                <w:w w:val="95"/>
              </w:rPr>
              <w:t>fees and expenses of any public accounting firm engaged by Seller (and reasonably acceptable</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6"/>
          </w:tcPr>
          <w:p>
            <w:pPr>
              <w:ind w:left="120"/>
              <w:spacing w:after="0" w:line="216" w:lineRule="exact"/>
              <w:rPr>
                <w:sz w:val="20"/>
                <w:szCs w:val="20"/>
                <w:color w:val="auto"/>
              </w:rPr>
            </w:pPr>
            <w:r>
              <w:rPr>
                <w:rFonts w:ascii="Arial" w:cs="Arial" w:eastAsia="Arial" w:hAnsi="Arial"/>
                <w:sz w:val="22"/>
                <w:szCs w:val="22"/>
                <w:color w:val="auto"/>
                <w:w w:val="94"/>
              </w:rPr>
              <w:t>connection with such an inspection or audit shall be paid by Buyer unless the amount of the overpayment or</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0060" w:type="dxa"/>
            <w:vAlign w:val="bottom"/>
            <w:gridSpan w:val="6"/>
          </w:tcPr>
          <w:p>
            <w:pPr>
              <w:ind w:left="120"/>
              <w:spacing w:after="0" w:line="224" w:lineRule="exact"/>
              <w:rPr>
                <w:sz w:val="20"/>
                <w:szCs w:val="20"/>
                <w:color w:val="auto"/>
              </w:rPr>
            </w:pPr>
            <w:r>
              <w:rPr>
                <w:rFonts w:ascii="Arial" w:cs="Arial" w:eastAsia="Arial" w:hAnsi="Arial"/>
                <w:sz w:val="22"/>
                <w:szCs w:val="22"/>
                <w:color w:val="auto"/>
                <w:w w:val="91"/>
              </w:rPr>
              <w:t>underpayment payable pursuant to Section 5.17(b) is greater than [***] of the total amount actually owed for the</w:t>
            </w:r>
          </w:p>
        </w:tc>
        <w:tc>
          <w:tcPr>
            <w:tcW w:w="0" w:type="dxa"/>
            <w:vAlign w:val="bottom"/>
          </w:tcPr>
          <w:p>
            <w:pPr>
              <w:spacing w:after="0"/>
              <w:rPr>
                <w:sz w:val="1"/>
                <w:szCs w:val="1"/>
                <w:color w:val="auto"/>
              </w:rPr>
            </w:pPr>
          </w:p>
        </w:tc>
      </w:tr>
      <w:tr>
        <w:trPr>
          <w:trHeight w:val="268"/>
        </w:trPr>
        <w:tc>
          <w:tcPr>
            <w:tcW w:w="520" w:type="dxa"/>
            <w:vAlign w:val="bottom"/>
          </w:tcPr>
          <w:p>
            <w:pPr>
              <w:spacing w:after="0"/>
              <w:rPr>
                <w:sz w:val="23"/>
                <w:szCs w:val="23"/>
                <w:color w:val="auto"/>
              </w:rPr>
            </w:pPr>
          </w:p>
        </w:tc>
        <w:tc>
          <w:tcPr>
            <w:tcW w:w="3200" w:type="dxa"/>
            <w:vAlign w:val="bottom"/>
            <w:gridSpan w:val="2"/>
          </w:tcPr>
          <w:p>
            <w:pPr>
              <w:ind w:left="120"/>
              <w:spacing w:after="0"/>
              <w:rPr>
                <w:sz w:val="20"/>
                <w:szCs w:val="20"/>
                <w:color w:val="auto"/>
              </w:rPr>
            </w:pPr>
            <w:r>
              <w:rPr>
                <w:rFonts w:ascii="Arial" w:cs="Arial" w:eastAsia="Arial" w:hAnsi="Arial"/>
                <w:sz w:val="22"/>
                <w:szCs w:val="22"/>
                <w:color w:val="auto"/>
                <w:w w:val="88"/>
              </w:rPr>
              <w:t>period audited, in which case Seller</w:t>
            </w:r>
          </w:p>
        </w:tc>
        <w:tc>
          <w:tcPr>
            <w:tcW w:w="134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w w:val="90"/>
              </w:rPr>
              <w:t>shall pay such</w:t>
            </w:r>
          </w:p>
        </w:tc>
        <w:tc>
          <w:tcPr>
            <w:tcW w:w="5520" w:type="dxa"/>
            <w:vAlign w:val="bottom"/>
            <w:gridSpan w:val="3"/>
          </w:tcPr>
          <w:p>
            <w:pPr>
              <w:spacing w:after="0"/>
              <w:rPr>
                <w:sz w:val="20"/>
                <w:szCs w:val="20"/>
                <w:color w:val="auto"/>
              </w:rPr>
            </w:pPr>
            <w:r>
              <w:rPr>
                <w:rFonts w:ascii="Arial" w:cs="Arial" w:eastAsia="Arial" w:hAnsi="Arial"/>
                <w:sz w:val="22"/>
                <w:szCs w:val="22"/>
                <w:color w:val="auto"/>
              </w:rPr>
              <w:t>fees and expenses.</w:t>
            </w:r>
          </w:p>
        </w:tc>
        <w:tc>
          <w:tcPr>
            <w:tcW w:w="0" w:type="dxa"/>
            <w:vAlign w:val="bottom"/>
          </w:tcPr>
          <w:p>
            <w:pPr>
              <w:spacing w:after="0"/>
              <w:rPr>
                <w:sz w:val="1"/>
                <w:szCs w:val="1"/>
                <w:color w:val="auto"/>
              </w:rPr>
            </w:pPr>
          </w:p>
        </w:tc>
      </w:tr>
      <w:tr>
        <w:trPr>
          <w:trHeight w:val="411"/>
        </w:trPr>
        <w:tc>
          <w:tcPr>
            <w:tcW w:w="520" w:type="dxa"/>
            <w:vAlign w:val="bottom"/>
          </w:tcPr>
          <w:p>
            <w:pPr>
              <w:spacing w:after="0"/>
              <w:rPr>
                <w:sz w:val="24"/>
                <w:szCs w:val="24"/>
                <w:color w:val="auto"/>
              </w:rPr>
            </w:pPr>
          </w:p>
        </w:tc>
        <w:tc>
          <w:tcPr>
            <w:tcW w:w="2480" w:type="dxa"/>
            <w:vAlign w:val="bottom"/>
          </w:tcPr>
          <w:p>
            <w:pPr>
              <w:ind w:left="1100"/>
              <w:spacing w:after="0"/>
              <w:rPr>
                <w:sz w:val="20"/>
                <w:szCs w:val="20"/>
                <w:color w:val="auto"/>
              </w:rPr>
            </w:pPr>
            <w:r>
              <w:rPr>
                <w:rFonts w:ascii="Arial" w:cs="Arial" w:eastAsia="Arial" w:hAnsi="Arial"/>
                <w:sz w:val="22"/>
                <w:szCs w:val="22"/>
                <w:b w:val="1"/>
                <w:bCs w:val="1"/>
                <w:color w:val="auto"/>
              </w:rPr>
              <w:t>Section 1.1.</w:t>
            </w:r>
          </w:p>
        </w:tc>
        <w:tc>
          <w:tcPr>
            <w:tcW w:w="7580" w:type="dxa"/>
            <w:vAlign w:val="bottom"/>
            <w:gridSpan w:val="5"/>
          </w:tcPr>
          <w:p>
            <w:pPr>
              <w:ind w:left="240"/>
              <w:spacing w:after="0"/>
              <w:rPr>
                <w:sz w:val="20"/>
                <w:szCs w:val="20"/>
                <w:color w:val="auto"/>
              </w:rPr>
            </w:pPr>
            <w:r>
              <w:rPr>
                <w:rFonts w:ascii="Arial" w:cs="Arial" w:eastAsia="Arial" w:hAnsi="Arial"/>
                <w:sz w:val="22"/>
                <w:szCs w:val="22"/>
                <w:b w:val="1"/>
                <w:bCs w:val="1"/>
                <w:color w:val="auto"/>
              </w:rPr>
              <w:t>Post-Closing Obligations.</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22"/>
                <w:szCs w:val="22"/>
                <w:color w:val="auto"/>
              </w:rPr>
              <w:t>(av)</w:t>
            </w:r>
          </w:p>
        </w:tc>
        <w:tc>
          <w:tcPr>
            <w:tcW w:w="2480" w:type="dxa"/>
            <w:vAlign w:val="bottom"/>
          </w:tcPr>
          <w:p>
            <w:pPr>
              <w:ind w:left="120"/>
              <w:spacing w:after="0"/>
              <w:rPr>
                <w:sz w:val="20"/>
                <w:szCs w:val="20"/>
                <w:color w:val="auto"/>
              </w:rPr>
            </w:pPr>
            <w:r>
              <w:rPr>
                <w:rFonts w:ascii="Arial" w:cs="Arial" w:eastAsia="Arial" w:hAnsi="Arial"/>
                <w:sz w:val="22"/>
                <w:szCs w:val="22"/>
                <w:color w:val="auto"/>
              </w:rPr>
              <w:t>[Reserved].</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0" w:type="dxa"/>
            <w:vAlign w:val="bottom"/>
          </w:tcPr>
          <w:p>
            <w:pPr>
              <w:spacing w:after="0"/>
              <w:rPr>
                <w:sz w:val="20"/>
                <w:szCs w:val="20"/>
                <w:color w:val="auto"/>
              </w:rPr>
            </w:pPr>
            <w:r>
              <w:rPr>
                <w:rFonts w:ascii="Arial" w:cs="Arial" w:eastAsia="Arial" w:hAnsi="Arial"/>
                <w:sz w:val="22"/>
                <w:szCs w:val="22"/>
                <w:color w:val="auto"/>
              </w:rPr>
              <w:t>(aw)</w:t>
            </w:r>
          </w:p>
        </w:tc>
        <w:tc>
          <w:tcPr>
            <w:tcW w:w="10060" w:type="dxa"/>
            <w:vAlign w:val="bottom"/>
            <w:gridSpan w:val="6"/>
          </w:tcPr>
          <w:p>
            <w:pPr>
              <w:ind w:left="120"/>
              <w:spacing w:after="0"/>
              <w:rPr>
                <w:sz w:val="20"/>
                <w:szCs w:val="20"/>
                <w:color w:val="auto"/>
              </w:rPr>
            </w:pPr>
            <w:r>
              <w:rPr>
                <w:rFonts w:ascii="Arial" w:cs="Arial" w:eastAsia="Arial" w:hAnsi="Arial"/>
                <w:sz w:val="22"/>
                <w:szCs w:val="22"/>
                <w:color w:val="auto"/>
                <w:w w:val="91"/>
              </w:rPr>
              <w:t>Notwithstanding any provision herein or in any other Transaction Document, as soon as practicable, Seller shall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6"/>
          </w:tcPr>
          <w:p>
            <w:pPr>
              <w:ind w:left="120"/>
              <w:spacing w:after="0" w:line="216" w:lineRule="exact"/>
              <w:rPr>
                <w:sz w:val="20"/>
                <w:szCs w:val="20"/>
                <w:color w:val="auto"/>
              </w:rPr>
            </w:pPr>
            <w:r>
              <w:rPr>
                <w:rFonts w:ascii="Arial" w:cs="Arial" w:eastAsia="Arial" w:hAnsi="Arial"/>
                <w:sz w:val="22"/>
                <w:szCs w:val="22"/>
                <w:color w:val="auto"/>
                <w:w w:val="91"/>
              </w:rPr>
              <w:t>deliver to Licensee a duly executed copy of the Licensee Instruction. Within three (3) Business Days thereafter,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60" w:type="dxa"/>
            <w:vAlign w:val="bottom"/>
            <w:gridSpan w:val="6"/>
          </w:tcPr>
          <w:p>
            <w:pPr>
              <w:ind w:left="120"/>
              <w:spacing w:after="0" w:line="216" w:lineRule="exact"/>
              <w:rPr>
                <w:sz w:val="20"/>
                <w:szCs w:val="20"/>
                <w:color w:val="auto"/>
              </w:rPr>
            </w:pPr>
            <w:r>
              <w:rPr>
                <w:rFonts w:ascii="Arial" w:cs="Arial" w:eastAsia="Arial" w:hAnsi="Arial"/>
                <w:sz w:val="22"/>
                <w:szCs w:val="22"/>
                <w:color w:val="auto"/>
                <w:w w:val="92"/>
              </w:rPr>
              <w:t>Seller shall deliver to Buyer evidence reasonably satisfactory to Buyer confirming the delivery to and receipt by</w:t>
            </w: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10060" w:type="dxa"/>
            <w:vAlign w:val="bottom"/>
            <w:gridSpan w:val="6"/>
          </w:tcPr>
          <w:p>
            <w:pPr>
              <w:ind w:left="120"/>
              <w:spacing w:after="0"/>
              <w:rPr>
                <w:sz w:val="20"/>
                <w:szCs w:val="20"/>
                <w:color w:val="auto"/>
              </w:rPr>
            </w:pPr>
            <w:r>
              <w:rPr>
                <w:rFonts w:ascii="Arial" w:cs="Arial" w:eastAsia="Arial" w:hAnsi="Arial"/>
                <w:sz w:val="22"/>
                <w:szCs w:val="22"/>
                <w:color w:val="auto"/>
              </w:rPr>
              <w:t>Licensee of the Licensee Instruction.</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4"/>
          </w:tcPr>
          <w:p>
            <w:pPr>
              <w:jc w:val="center"/>
              <w:ind w:right="4272"/>
              <w:spacing w:after="0"/>
              <w:rPr>
                <w:sz w:val="20"/>
                <w:szCs w:val="20"/>
                <w:color w:val="auto"/>
              </w:rPr>
            </w:pPr>
            <w:r>
              <w:rPr>
                <w:rFonts w:ascii="Arial" w:cs="Arial" w:eastAsia="Arial" w:hAnsi="Arial"/>
                <w:sz w:val="22"/>
                <w:szCs w:val="22"/>
                <w:b w:val="1"/>
                <w:bCs w:val="1"/>
                <w:color w:val="auto"/>
              </w:rPr>
              <w:t>ARTICLE VI</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0060" w:type="dxa"/>
            <w:vAlign w:val="bottom"/>
            <w:gridSpan w:val="6"/>
          </w:tcPr>
          <w:p>
            <w:pPr>
              <w:jc w:val="center"/>
              <w:ind w:right="1072"/>
              <w:spacing w:after="0"/>
              <w:rPr>
                <w:sz w:val="20"/>
                <w:szCs w:val="20"/>
                <w:color w:val="auto"/>
              </w:rPr>
            </w:pPr>
            <w:r>
              <w:rPr>
                <w:rFonts w:ascii="Arial" w:cs="Arial" w:eastAsia="Arial" w:hAnsi="Arial"/>
                <w:sz w:val="22"/>
                <w:szCs w:val="22"/>
                <w:b w:val="1"/>
                <w:bCs w:val="1"/>
                <w:color w:val="auto"/>
                <w:w w:val="99"/>
              </w:rPr>
              <w:t>THE CLOSING; CONDITIONS TO CLOSING</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480" w:type="dxa"/>
            <w:vAlign w:val="bottom"/>
          </w:tcPr>
          <w:p>
            <w:pPr>
              <w:ind w:left="1100"/>
              <w:spacing w:after="0"/>
              <w:rPr>
                <w:sz w:val="20"/>
                <w:szCs w:val="20"/>
                <w:color w:val="auto"/>
              </w:rPr>
            </w:pPr>
            <w:r>
              <w:rPr>
                <w:rFonts w:ascii="Arial" w:cs="Arial" w:eastAsia="Arial" w:hAnsi="Arial"/>
                <w:sz w:val="22"/>
                <w:szCs w:val="22"/>
                <w:b w:val="1"/>
                <w:bCs w:val="1"/>
                <w:color w:val="auto"/>
              </w:rPr>
              <w:t>Section 1.01.</w:t>
            </w:r>
          </w:p>
        </w:tc>
        <w:tc>
          <w:tcPr>
            <w:tcW w:w="7580" w:type="dxa"/>
            <w:vAlign w:val="bottom"/>
            <w:gridSpan w:val="5"/>
          </w:tcPr>
          <w:p>
            <w:pPr>
              <w:ind w:left="240"/>
              <w:spacing w:after="0"/>
              <w:rPr>
                <w:sz w:val="20"/>
                <w:szCs w:val="20"/>
                <w:color w:val="auto"/>
              </w:rPr>
            </w:pPr>
            <w:r>
              <w:rPr>
                <w:rFonts w:ascii="Arial" w:cs="Arial" w:eastAsia="Arial" w:hAnsi="Arial"/>
                <w:sz w:val="22"/>
                <w:szCs w:val="22"/>
                <w:b w:val="1"/>
                <w:bCs w:val="1"/>
                <w:color w:val="auto"/>
              </w:rPr>
              <w:t>Closing.</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300" w:hanging="644"/>
        <w:spacing w:after="0" w:line="268" w:lineRule="auto"/>
        <w:tabs>
          <w:tab w:leader="none" w:pos="1297"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Subject to the closing conditions set forth in </w:t>
      </w:r>
      <w:r>
        <w:rPr>
          <w:rFonts w:ascii="Arial" w:cs="Arial" w:eastAsia="Arial" w:hAnsi="Arial"/>
          <w:sz w:val="19"/>
          <w:szCs w:val="19"/>
          <w:u w:val="single" w:color="auto"/>
          <w:color w:val="auto"/>
        </w:rPr>
        <w:t>Section 6.02</w:t>
      </w:r>
      <w:r>
        <w:rPr>
          <w:rFonts w:ascii="Arial" w:cs="Arial" w:eastAsia="Arial" w:hAnsi="Arial"/>
          <w:sz w:val="19"/>
          <w:szCs w:val="19"/>
          <w:color w:val="auto"/>
        </w:rPr>
        <w:t>, and unless otherwise mutually agreed by the Parties, the closing of the transactions contemplated under this Agreement (the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remotely via electronic delivery of the executed Transaction Documents and other deliverables, on the Closing Date.</w:t>
      </w:r>
    </w:p>
    <w:p>
      <w:pPr>
        <w:spacing w:after="0" w:line="132" w:lineRule="exact"/>
        <w:rPr>
          <w:rFonts w:ascii="Arial" w:cs="Arial" w:eastAsia="Arial" w:hAnsi="Arial"/>
          <w:sz w:val="19"/>
          <w:szCs w:val="19"/>
          <w:color w:val="auto"/>
        </w:rPr>
      </w:pPr>
    </w:p>
    <w:p>
      <w:pPr>
        <w:jc w:val="both"/>
        <w:ind w:left="1300" w:right="20" w:hanging="644"/>
        <w:spacing w:after="0" w:line="223" w:lineRule="auto"/>
        <w:tabs>
          <w:tab w:leader="none" w:pos="1295"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As soon as practicable (but in any event no later than one (1) Business Day after the Closing Date) Seller shall deliver to Buyer a receipt (which may be confirmation by electronic mail) for payment of the amount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Conditions Applicable to Buyer.</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The obligations of Buyer to effect the Closing and pay the Closing Amount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hereof, shall be subject to the satisfaction of the following conditions, as of the Closing Date, any of which may be waived in writing by Buyer in its sole discretion:</w:t>
      </w:r>
    </w:p>
    <w:p>
      <w:pPr>
        <w:spacing w:after="0" w:line="159" w:lineRule="exact"/>
        <w:rPr>
          <w:sz w:val="20"/>
          <w:szCs w:val="20"/>
          <w:color w:val="auto"/>
        </w:rPr>
      </w:pPr>
    </w:p>
    <w:p>
      <w:pPr>
        <w:ind w:left="1300" w:hanging="644"/>
        <w:spacing w:after="0" w:line="232" w:lineRule="auto"/>
        <w:tabs>
          <w:tab w:leader="none" w:pos="1297"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notices to, consents, approvals, authorizations and waivers from Third Parties and Governmental Authorities that are required for the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40</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64" w:right="339" w:bottom="1440" w:gutter="0" w:footer="0" w:header="0"/>
        </w:sectPr>
      </w:pPr>
    </w:p>
    <w:bookmarkStart w:id="125" w:name="page126"/>
    <w:bookmarkEnd w:id="125"/>
    <w:p>
      <w:pPr>
        <w:ind w:left="1300"/>
        <w:spacing w:after="0" w:line="247" w:lineRule="auto"/>
        <w:rPr>
          <w:sz w:val="20"/>
          <w:szCs w:val="20"/>
          <w:color w:val="auto"/>
        </w:rPr>
      </w:pPr>
      <w:r>
        <w:rPr>
          <w:rFonts w:ascii="Arial" w:cs="Arial" w:eastAsia="Arial" w:hAnsi="Arial"/>
          <w:sz w:val="21"/>
          <w:szCs w:val="21"/>
          <w:color w:val="auto"/>
        </w:rPr>
        <w:t>transactions contemplated by this Agreement or any of the Transaction Documents shall have been obtained or provided for and shall remain in effect, in form and substance reasonably acceptable to Buyer.</w:t>
      </w:r>
    </w:p>
    <w:p>
      <w:pPr>
        <w:spacing w:after="0" w:line="151" w:lineRule="exact"/>
        <w:rPr>
          <w:sz w:val="20"/>
          <w:szCs w:val="20"/>
          <w:color w:val="auto"/>
        </w:rPr>
      </w:pPr>
    </w:p>
    <w:p>
      <w:pPr>
        <w:ind w:left="1300" w:hanging="644"/>
        <w:spacing w:after="0" w:line="232" w:lineRule="auto"/>
        <w:tabs>
          <w:tab w:leader="none" w:pos="12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of the Transaction Documents (including without limitation, the Assignment) shall have been executed and delivered by Seller to Buyer, and Buyer shall have received the same.</w:t>
      </w:r>
    </w:p>
    <w:p>
      <w:pPr>
        <w:spacing w:after="0" w:line="158" w:lineRule="exact"/>
        <w:rPr>
          <w:rFonts w:ascii="Arial" w:cs="Arial" w:eastAsia="Arial" w:hAnsi="Arial"/>
          <w:sz w:val="22"/>
          <w:szCs w:val="22"/>
          <w:color w:val="auto"/>
        </w:rPr>
      </w:pPr>
    </w:p>
    <w:p>
      <w:pPr>
        <w:ind w:left="1300" w:hanging="644"/>
        <w:spacing w:after="0" w:line="232" w:lineRule="auto"/>
        <w:tabs>
          <w:tab w:leader="none" w:pos="1297" w:val="left"/>
        </w:tabs>
        <w:numPr>
          <w:ilvl w:val="0"/>
          <w:numId w:val="71"/>
        </w:numPr>
        <w:rPr>
          <w:rFonts w:ascii="Arial" w:cs="Arial" w:eastAsia="Arial" w:hAnsi="Arial"/>
          <w:sz w:val="22"/>
          <w:szCs w:val="22"/>
          <w:color w:val="auto"/>
        </w:rPr>
      </w:pPr>
      <w:r>
        <w:rPr>
          <w:rFonts w:ascii="Arial" w:cs="Arial" w:eastAsia="Arial" w:hAnsi="Arial"/>
          <w:sz w:val="22"/>
          <w:szCs w:val="22"/>
          <w:color w:val="auto"/>
        </w:rPr>
        <w:t>Buyer shall have received an opinion of Latham &amp; Watkins, LLP, counsel to Seller, in form and substance reasonably acceptable to Buyer.</w:t>
      </w:r>
    </w:p>
    <w:p>
      <w:pPr>
        <w:spacing w:after="0" w:line="158" w:lineRule="exact"/>
        <w:rPr>
          <w:rFonts w:ascii="Arial" w:cs="Arial" w:eastAsia="Arial" w:hAnsi="Arial"/>
          <w:sz w:val="22"/>
          <w:szCs w:val="22"/>
          <w:color w:val="auto"/>
        </w:rPr>
      </w:pPr>
    </w:p>
    <w:p>
      <w:pPr>
        <w:jc w:val="both"/>
        <w:ind w:left="1300" w:hanging="644"/>
        <w:spacing w:after="0" w:line="247" w:lineRule="auto"/>
        <w:tabs>
          <w:tab w:leader="none" w:pos="12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Buyer shall have received a certificate of an executive officer of Seller (the statements made in which shall be true and correct on and as of the Closing Date): (i) attaching copies, certified by such officer as true and complete, of</w:t>
      </w:r>
    </w:p>
    <w:p>
      <w:pPr>
        <w:jc w:val="both"/>
        <w:ind w:left="1300" w:firstLine="4"/>
        <w:spacing w:after="0" w:line="244" w:lineRule="auto"/>
        <w:tabs>
          <w:tab w:leader="none" w:pos="1635"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organizational documents of Seller and (y) resolutions of the governing body of Seller authorizing and approving the execution, delivery and performance by Seller of the Transaction Documents and the transactions contemplated herein and therein; (ii) setting forth the incumbency of the officer or officers of Seller who have executed and delivered the Transaction Documents, including therein a signature specimen of each such officer or officers; and (iii) attaching a copy, certified by such officer as true and complete, of a good standing certificate of the appropriate Governmental Authority of Seller’s jurisdiction of organization issued as of a recent date, stating that Seller is in good standing under the Applicable Laws of such jurisdiction.</w:t>
      </w:r>
    </w:p>
    <w:p>
      <w:pPr>
        <w:spacing w:after="0" w:line="155" w:lineRule="exact"/>
        <w:rPr>
          <w:rFonts w:ascii="Arial" w:cs="Arial" w:eastAsia="Arial" w:hAnsi="Arial"/>
          <w:sz w:val="19"/>
          <w:szCs w:val="19"/>
          <w:color w:val="auto"/>
        </w:rPr>
      </w:pPr>
    </w:p>
    <w:p>
      <w:pPr>
        <w:jc w:val="both"/>
        <w:ind w:left="1300" w:hanging="644"/>
        <w:spacing w:after="0" w:line="216" w:lineRule="auto"/>
        <w:tabs>
          <w:tab w:leader="none" w:pos="1297"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Buyer shall have received a certificate of an executive officer of Seller (the statements made in which shall be true and correct on and as of the date of such certificate) attesting that (i) the representations made by Seller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will be true as of the Closing Date, and (ii) there is no event or circumstance that, upon notice or the passage of time, or both, would constitute or give rise to any breach or default in the performance of Seller under this Agreement.</w:t>
      </w:r>
    </w:p>
    <w:p>
      <w:pPr>
        <w:spacing w:after="0" w:line="157" w:lineRule="exact"/>
        <w:rPr>
          <w:rFonts w:ascii="Arial" w:cs="Arial" w:eastAsia="Arial" w:hAnsi="Arial"/>
          <w:sz w:val="22"/>
          <w:szCs w:val="22"/>
          <w:color w:val="auto"/>
        </w:rPr>
      </w:pPr>
    </w:p>
    <w:p>
      <w:pPr>
        <w:jc w:val="both"/>
        <w:ind w:left="1300" w:hanging="644"/>
        <w:spacing w:after="0" w:line="257" w:lineRule="auto"/>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Searches of Uniform Commercial Code filings in the jurisdictions where a filing would need to be made in order to perfect Purchaser's ownership of or security interest in the Purchased Assets, copies of the financing statements on file in such jurisdictions and evidence that no Liens exist on the Purchased Assets (apart from Liens created pursuant to this Agreement) have been completed, and copies of such search results provided to Buyer.</w:t>
      </w:r>
    </w:p>
    <w:p>
      <w:pPr>
        <w:spacing w:after="0" w:line="144" w:lineRule="exact"/>
        <w:rPr>
          <w:rFonts w:ascii="Arial" w:cs="Arial" w:eastAsia="Arial" w:hAnsi="Arial"/>
          <w:sz w:val="19"/>
          <w:szCs w:val="19"/>
          <w:color w:val="auto"/>
        </w:rPr>
      </w:pPr>
    </w:p>
    <w:p>
      <w:pPr>
        <w:ind w:left="1300" w:hanging="644"/>
        <w:spacing w:after="0" w:line="298" w:lineRule="auto"/>
        <w:tabs>
          <w:tab w:leader="none" w:pos="12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UCC financing statements for each appropriate jurisdiction as is necessary, in Purchaser's sole discretion, to perfect Purchaser's ownership of and security interest in the Purchased Assets have been provided to Buyer.</w:t>
      </w:r>
    </w:p>
    <w:p>
      <w:pPr>
        <w:spacing w:after="0" w:line="105" w:lineRule="exact"/>
        <w:rPr>
          <w:rFonts w:ascii="Arial" w:cs="Arial" w:eastAsia="Arial" w:hAnsi="Arial"/>
          <w:sz w:val="19"/>
          <w:szCs w:val="19"/>
          <w:color w:val="auto"/>
        </w:rPr>
      </w:pPr>
    </w:p>
    <w:p>
      <w:pPr>
        <w:jc w:val="both"/>
        <w:ind w:left="1300" w:hanging="644"/>
        <w:spacing w:after="0" w:line="223" w:lineRule="auto"/>
        <w:tabs>
          <w:tab w:leader="none" w:pos="12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Payment of the amounts obligated to be paid by Seller to Purchaser under </w:t>
      </w:r>
      <w:r>
        <w:rPr>
          <w:rFonts w:ascii="Arial" w:cs="Arial" w:eastAsia="Arial" w:hAnsi="Arial"/>
          <w:sz w:val="22"/>
          <w:szCs w:val="22"/>
          <w:u w:val="single" w:color="auto"/>
          <w:color w:val="auto"/>
        </w:rPr>
        <w:t>Section 8.12</w:t>
      </w:r>
      <w:r>
        <w:rPr>
          <w:rFonts w:ascii="Arial" w:cs="Arial" w:eastAsia="Arial" w:hAnsi="Arial"/>
          <w:sz w:val="22"/>
          <w:szCs w:val="22"/>
          <w:color w:val="auto"/>
        </w:rPr>
        <w:t xml:space="preserve"> have been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the condition set forth in this clause (g) will be satisfied by Purchaser's deduction of such amount from the Closing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41</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26" w:name="page127"/>
    <w:bookmarkEnd w:id="126"/>
    <w:p>
      <w:pPr>
        <w:ind w:left="4660"/>
        <w:spacing w:after="0"/>
        <w:rPr>
          <w:sz w:val="20"/>
          <w:szCs w:val="20"/>
          <w:color w:val="auto"/>
        </w:rPr>
      </w:pPr>
      <w:r>
        <w:rPr>
          <w:rFonts w:ascii="Arial" w:cs="Arial" w:eastAsia="Arial" w:hAnsi="Arial"/>
          <w:sz w:val="22"/>
          <w:szCs w:val="22"/>
          <w:b w:val="1"/>
          <w:bCs w:val="1"/>
          <w:color w:val="auto"/>
        </w:rPr>
        <w:t>ARTICLE VII</w:t>
      </w:r>
    </w:p>
    <w:p>
      <w:pPr>
        <w:spacing w:after="0" w:line="17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TERMINATION</w:t>
      </w:r>
    </w:p>
    <w:p>
      <w:pPr>
        <w:spacing w:after="0" w:line="179"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9"/>
          <w:szCs w:val="19"/>
          <w:b w:val="1"/>
          <w:bCs w:val="1"/>
          <w:color w:val="auto"/>
        </w:rPr>
        <w:t>Termination.</w:t>
      </w:r>
    </w:p>
    <w:p>
      <w:pPr>
        <w:spacing w:after="0" w:line="185" w:lineRule="exact"/>
        <w:rPr>
          <w:sz w:val="20"/>
          <w:szCs w:val="20"/>
          <w:color w:val="auto"/>
        </w:rPr>
      </w:pPr>
    </w:p>
    <w:p>
      <w:pPr>
        <w:ind w:left="660" w:firstLine="648"/>
        <w:spacing w:after="0" w:line="298" w:lineRule="auto"/>
        <w:rPr>
          <w:sz w:val="20"/>
          <w:szCs w:val="20"/>
          <w:color w:val="auto"/>
        </w:rPr>
      </w:pPr>
      <w:r>
        <w:rPr>
          <w:rFonts w:ascii="Arial" w:cs="Arial" w:eastAsia="Arial" w:hAnsi="Arial"/>
          <w:sz w:val="19"/>
          <w:szCs w:val="19"/>
          <w:color w:val="auto"/>
        </w:rPr>
        <w:t>This Agreement shall survive the expiration of any Licensed Patents and shall continue in full force and effect unless terminated on a date (such date,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mutually agreed upon in writing by the Parties.</w:t>
      </w:r>
    </w:p>
    <w:p>
      <w:pPr>
        <w:spacing w:after="0" w:line="99"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b w:val="1"/>
          <w:bCs w:val="1"/>
          <w:color w:val="auto"/>
        </w:rPr>
        <w:t>Effects of Termination.</w:t>
      </w:r>
    </w:p>
    <w:p>
      <w:pPr>
        <w:spacing w:after="0" w:line="185" w:lineRule="exact"/>
        <w:rPr>
          <w:sz w:val="20"/>
          <w:szCs w:val="20"/>
          <w:color w:val="auto"/>
        </w:rPr>
      </w:pPr>
    </w:p>
    <w:p>
      <w:pPr>
        <w:jc w:val="both"/>
        <w:ind w:left="1300" w:hanging="644"/>
        <w:spacing w:after="0" w:line="223" w:lineRule="auto"/>
        <w:tabs>
          <w:tab w:leader="none" w:pos="1297"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termination of this Agreement shall not release either Party of any obligation or liability which, at the time of such termination, has already accrued to the other Party or which is attributable to a period prior to such termination.</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95"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termination of this Agreement shall be without prejudice to other remedies such Party may have at Law or in equity (including any enforcement of its rights under any of the Transaction Documents).</w:t>
      </w:r>
    </w:p>
    <w:p>
      <w:pPr>
        <w:spacing w:after="0" w:line="158" w:lineRule="exact"/>
        <w:rPr>
          <w:rFonts w:ascii="Arial" w:cs="Arial" w:eastAsia="Arial" w:hAnsi="Arial"/>
          <w:sz w:val="22"/>
          <w:szCs w:val="22"/>
          <w:color w:val="auto"/>
        </w:rPr>
      </w:pPr>
    </w:p>
    <w:p>
      <w:pPr>
        <w:jc w:val="both"/>
        <w:ind w:left="1300" w:hanging="644"/>
        <w:spacing w:after="0" w:line="252" w:lineRule="auto"/>
        <w:tabs>
          <w:tab w:leader="none" w:pos="129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(Definitions) and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(No Assumption),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(Confidentiality; Public Announcement), </w:t>
      </w:r>
      <w:r>
        <w:rPr>
          <w:rFonts w:ascii="Arial" w:cs="Arial" w:eastAsia="Arial" w:hAnsi="Arial"/>
          <w:sz w:val="19"/>
          <w:szCs w:val="19"/>
          <w:u w:val="single" w:color="auto"/>
          <w:color w:val="auto"/>
        </w:rPr>
        <w:t>Section 5.04(b)</w:t>
      </w:r>
      <w:r>
        <w:rPr>
          <w:rFonts w:ascii="Arial" w:cs="Arial" w:eastAsia="Arial" w:hAnsi="Arial"/>
          <w:sz w:val="19"/>
          <w:szCs w:val="19"/>
          <w:color w:val="auto"/>
        </w:rPr>
        <w:t xml:space="preserve"> (Further Assurance) and </w:t>
      </w:r>
      <w:r>
        <w:rPr>
          <w:rFonts w:ascii="Arial" w:cs="Arial" w:eastAsia="Arial" w:hAnsi="Arial"/>
          <w:sz w:val="19"/>
          <w:szCs w:val="19"/>
          <w:u w:val="single" w:color="auto"/>
          <w:color w:val="auto"/>
        </w:rPr>
        <w:t>Section 5.09(a)</w:t>
      </w:r>
      <w:r>
        <w:rPr>
          <w:rFonts w:ascii="Arial" w:cs="Arial" w:eastAsia="Arial" w:hAnsi="Arial"/>
          <w:sz w:val="19"/>
          <w:szCs w:val="19"/>
          <w:color w:val="auto"/>
        </w:rPr>
        <w:t xml:space="preserve"> (Records),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(Audits),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(Effects of Termination)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(Miscellaneous) shall survive the termination of this Agreement. Except as otherwise provided in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(Effects of Termination), all rights and obligations of the Parties under this Agreement shall terminate upon termination of this Agreement.</w:t>
      </w:r>
    </w:p>
    <w:p>
      <w:pPr>
        <w:spacing w:after="0" w:line="143"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VIII</w:t>
      </w:r>
    </w:p>
    <w:p>
      <w:pPr>
        <w:spacing w:after="0" w:line="179"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79"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Survival.</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Each representation and warranty of the Parties contained in the Transaction Documents will survive the Closing and continue in full force and effect, in each case, only as of the date such representation and warranty is made, until the Termination Date. Notwithstanding anything in this Agreement or implied by Law to the contrary, each covenant and obligation in the Transaction Documents or in any certificate delivered pursuant to the Transaction Documents will survive the Closing and continue in full force and effect until the Termination Date, subject to </w:t>
      </w:r>
      <w:r>
        <w:rPr>
          <w:rFonts w:ascii="Arial" w:cs="Arial" w:eastAsia="Arial" w:hAnsi="Arial"/>
          <w:sz w:val="21"/>
          <w:szCs w:val="21"/>
          <w:u w:val="single" w:color="auto"/>
          <w:color w:val="auto"/>
        </w:rPr>
        <w:t>Section 7.02(c)</w:t>
      </w:r>
      <w:r>
        <w:rPr>
          <w:rFonts w:ascii="Arial" w:cs="Arial" w:eastAsia="Arial" w:hAnsi="Arial"/>
          <w:sz w:val="21"/>
          <w:szCs w:val="21"/>
          <w:color w:val="auto"/>
        </w:rPr>
        <w:t>. Unless expressly waived pursuant to any Transaction Document, no representation, warranty, covenant, right or remedy available to any Person out of or in connection with any Transaction Document will be deemed waived by any action or inaction of that Person (including consummation of the Closing, any inspection or investigation, or the awareness of any fact or matter) at any time, whether before, on or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42</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7" w:name="page128"/>
    <w:bookmarkEnd w:id="127"/>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8"/>
          <w:szCs w:val="18"/>
          <w:b w:val="1"/>
          <w:bCs w:val="1"/>
          <w:color w:val="auto"/>
        </w:rPr>
        <w:t>Notices.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All notices, consents, waivers and communications hereunder given by any Party to the other shall be in writing (including electronic mail) and delivered personally, by electronic mail, by a recognized overnight courier, or by dispatching the same by certified or registered mail, return receipt requested, with postage prepaid, in each case addressed: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 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HealthCare Royalty Partners IV, L.P.</w:t>
      </w:r>
    </w:p>
    <w:p>
      <w:pPr>
        <w:ind w:left="1300"/>
        <w:spacing w:after="0" w:line="204" w:lineRule="auto"/>
        <w:rPr>
          <w:sz w:val="20"/>
          <w:szCs w:val="20"/>
          <w:color w:val="auto"/>
        </w:rPr>
      </w:pPr>
      <w:r>
        <w:rPr>
          <w:rFonts w:ascii="Arial" w:cs="Arial" w:eastAsia="Arial" w:hAnsi="Arial"/>
          <w:sz w:val="22"/>
          <w:szCs w:val="22"/>
          <w:color w:val="auto"/>
        </w:rPr>
        <w:t>300 Atlantic Street, 6th Floor</w:t>
      </w:r>
    </w:p>
    <w:p>
      <w:pPr>
        <w:ind w:left="1300"/>
        <w:spacing w:after="0" w:line="205" w:lineRule="auto"/>
        <w:rPr>
          <w:sz w:val="20"/>
          <w:szCs w:val="20"/>
          <w:color w:val="auto"/>
        </w:rPr>
      </w:pPr>
      <w:r>
        <w:rPr>
          <w:rFonts w:ascii="Arial" w:cs="Arial" w:eastAsia="Arial" w:hAnsi="Arial"/>
          <w:sz w:val="22"/>
          <w:szCs w:val="22"/>
          <w:color w:val="auto"/>
        </w:rPr>
        <w:t>Stamford, CT 06901</w:t>
      </w:r>
    </w:p>
    <w:p>
      <w:pPr>
        <w:ind w:left="1300"/>
        <w:spacing w:after="0" w:line="205" w:lineRule="auto"/>
        <w:rPr>
          <w:sz w:val="20"/>
          <w:szCs w:val="20"/>
          <w:color w:val="auto"/>
        </w:rPr>
      </w:pPr>
      <w:r>
        <w:rPr>
          <w:rFonts w:ascii="Arial" w:cs="Arial" w:eastAsia="Arial" w:hAnsi="Arial"/>
          <w:sz w:val="22"/>
          <w:szCs w:val="22"/>
          <w:color w:val="auto"/>
        </w:rPr>
        <w:t>Attention: [***]</w:t>
      </w:r>
    </w:p>
    <w:p>
      <w:pPr>
        <w:spacing w:after="0" w:line="1"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Email:</w:t>
        <w:tab/>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courtesy copy to (which shall not constitute notice):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HealthCare Royalty Partners IV, L.P.</w:t>
      </w:r>
    </w:p>
    <w:p>
      <w:pPr>
        <w:ind w:left="1300"/>
        <w:spacing w:after="0" w:line="204" w:lineRule="auto"/>
        <w:rPr>
          <w:sz w:val="20"/>
          <w:szCs w:val="20"/>
          <w:color w:val="auto"/>
        </w:rPr>
      </w:pPr>
      <w:r>
        <w:rPr>
          <w:rFonts w:ascii="Arial" w:cs="Arial" w:eastAsia="Arial" w:hAnsi="Arial"/>
          <w:sz w:val="22"/>
          <w:szCs w:val="22"/>
          <w:color w:val="auto"/>
        </w:rPr>
        <w:t>300 Atlantic Street, 6th Floor</w:t>
      </w:r>
    </w:p>
    <w:p>
      <w:pPr>
        <w:ind w:left="1300"/>
        <w:spacing w:after="0" w:line="205" w:lineRule="auto"/>
        <w:rPr>
          <w:sz w:val="20"/>
          <w:szCs w:val="20"/>
          <w:color w:val="auto"/>
        </w:rPr>
      </w:pPr>
      <w:r>
        <w:rPr>
          <w:rFonts w:ascii="Arial" w:cs="Arial" w:eastAsia="Arial" w:hAnsi="Arial"/>
          <w:sz w:val="22"/>
          <w:szCs w:val="22"/>
          <w:color w:val="auto"/>
        </w:rPr>
        <w:t>Stamford, CT 06901</w:t>
      </w:r>
    </w:p>
    <w:p>
      <w:pPr>
        <w:ind w:left="1300"/>
        <w:spacing w:after="0" w:line="205" w:lineRule="auto"/>
        <w:rPr>
          <w:sz w:val="20"/>
          <w:szCs w:val="20"/>
          <w:color w:val="auto"/>
        </w:rPr>
      </w:pPr>
      <w:r>
        <w:rPr>
          <w:rFonts w:ascii="Arial" w:cs="Arial" w:eastAsia="Arial" w:hAnsi="Arial"/>
          <w:sz w:val="22"/>
          <w:szCs w:val="22"/>
          <w:color w:val="auto"/>
        </w:rPr>
        <w:t>Attention: [***]</w:t>
      </w:r>
    </w:p>
    <w:p>
      <w:pPr>
        <w:spacing w:after="0" w:line="1"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Email:</w:t>
        <w:tab/>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231F20"/>
        </w:rPr>
        <w:t>Cadwalader, Wickersham &amp; Taft LLP</w:t>
      </w:r>
    </w:p>
    <w:p>
      <w:pPr>
        <w:ind w:left="1300"/>
        <w:spacing w:after="0" w:line="204" w:lineRule="auto"/>
        <w:rPr>
          <w:sz w:val="20"/>
          <w:szCs w:val="20"/>
          <w:color w:val="auto"/>
        </w:rPr>
      </w:pPr>
      <w:r>
        <w:rPr>
          <w:rFonts w:ascii="Arial" w:cs="Arial" w:eastAsia="Arial" w:hAnsi="Arial"/>
          <w:sz w:val="22"/>
          <w:szCs w:val="22"/>
          <w:color w:val="231F20"/>
        </w:rPr>
        <w:t>200 Liberty Street</w:t>
      </w:r>
    </w:p>
    <w:p>
      <w:pPr>
        <w:ind w:left="1300"/>
        <w:spacing w:after="0" w:line="205" w:lineRule="auto"/>
        <w:rPr>
          <w:sz w:val="20"/>
          <w:szCs w:val="20"/>
          <w:color w:val="auto"/>
        </w:rPr>
      </w:pPr>
      <w:r>
        <w:rPr>
          <w:rFonts w:ascii="Arial" w:cs="Arial" w:eastAsia="Arial" w:hAnsi="Arial"/>
          <w:sz w:val="22"/>
          <w:szCs w:val="22"/>
          <w:color w:val="auto"/>
        </w:rPr>
        <w:t>New York, NY 10281</w:t>
      </w:r>
    </w:p>
    <w:p>
      <w:pPr>
        <w:ind w:left="1300"/>
        <w:spacing w:after="0" w:line="205" w:lineRule="auto"/>
        <w:rPr>
          <w:sz w:val="20"/>
          <w:szCs w:val="20"/>
          <w:color w:val="auto"/>
        </w:rPr>
      </w:pPr>
      <w:r>
        <w:rPr>
          <w:rFonts w:ascii="Arial" w:cs="Arial" w:eastAsia="Arial" w:hAnsi="Arial"/>
          <w:sz w:val="22"/>
          <w:szCs w:val="22"/>
          <w:color w:val="231F20"/>
        </w:rPr>
        <w:t>Attention: [***]</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231F20"/>
        </w:rPr>
        <w:t xml:space="preserve">Email: </w:t>
      </w:r>
      <w:r>
        <w:rPr>
          <w:rFonts w:ascii="Arial" w:cs="Arial" w:eastAsia="Arial" w:hAnsi="Arial"/>
          <w:sz w:val="22"/>
          <w:szCs w:val="22"/>
          <w:color w:val="000000"/>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Seller to:</w:t>
      </w:r>
    </w:p>
    <w:p>
      <w:pPr>
        <w:ind w:left="1960"/>
        <w:spacing w:after="0" w:line="204" w:lineRule="auto"/>
        <w:rPr>
          <w:sz w:val="20"/>
          <w:szCs w:val="20"/>
          <w:color w:val="auto"/>
        </w:rPr>
      </w:pPr>
      <w:r>
        <w:rPr>
          <w:rFonts w:ascii="Arial" w:cs="Arial" w:eastAsia="Arial" w:hAnsi="Arial"/>
          <w:sz w:val="22"/>
          <w:szCs w:val="22"/>
          <w:color w:val="auto"/>
        </w:rPr>
        <w:t>Ardelyx, Inc.</w:t>
      </w:r>
    </w:p>
    <w:p>
      <w:pPr>
        <w:ind w:left="1960"/>
        <w:spacing w:after="0" w:line="205" w:lineRule="auto"/>
        <w:rPr>
          <w:sz w:val="20"/>
          <w:szCs w:val="20"/>
          <w:color w:val="auto"/>
        </w:rPr>
      </w:pPr>
      <w:r>
        <w:rPr>
          <w:rFonts w:ascii="Arial" w:cs="Arial" w:eastAsia="Arial" w:hAnsi="Arial"/>
          <w:sz w:val="22"/>
          <w:szCs w:val="22"/>
          <w:color w:val="auto"/>
        </w:rPr>
        <w:t>34175 Ardenwood Blvd.</w:t>
      </w:r>
    </w:p>
    <w:p>
      <w:pPr>
        <w:ind w:left="1960"/>
        <w:spacing w:after="0" w:line="205" w:lineRule="auto"/>
        <w:rPr>
          <w:sz w:val="20"/>
          <w:szCs w:val="20"/>
          <w:color w:val="auto"/>
        </w:rPr>
      </w:pPr>
      <w:r>
        <w:rPr>
          <w:rFonts w:ascii="Arial" w:cs="Arial" w:eastAsia="Arial" w:hAnsi="Arial"/>
          <w:sz w:val="22"/>
          <w:szCs w:val="22"/>
          <w:color w:val="auto"/>
        </w:rPr>
        <w:t>Fremont, CA 94555</w:t>
      </w:r>
    </w:p>
    <w:p>
      <w:pPr>
        <w:ind w:left="1960"/>
        <w:spacing w:after="0" w:line="205" w:lineRule="auto"/>
        <w:rPr>
          <w:sz w:val="20"/>
          <w:szCs w:val="20"/>
          <w:color w:val="auto"/>
        </w:rPr>
      </w:pPr>
      <w:r>
        <w:rPr>
          <w:rFonts w:ascii="Arial" w:cs="Arial" w:eastAsia="Arial" w:hAnsi="Arial"/>
          <w:sz w:val="22"/>
          <w:szCs w:val="22"/>
          <w:color w:val="auto"/>
        </w:rPr>
        <w:t>Attention: [***]</w:t>
      </w:r>
    </w:p>
    <w:p>
      <w:pPr>
        <w:ind w:left="1960"/>
        <w:spacing w:after="0" w:line="205" w:lineRule="auto"/>
        <w:rPr>
          <w:sz w:val="20"/>
          <w:szCs w:val="20"/>
          <w:color w:val="auto"/>
        </w:rPr>
      </w:pPr>
      <w:r>
        <w:rPr>
          <w:rFonts w:ascii="Arial" w:cs="Arial" w:eastAsia="Arial" w:hAnsi="Arial"/>
          <w:sz w:val="22"/>
          <w:szCs w:val="22"/>
          <w:color w:val="auto"/>
        </w:rPr>
        <w:t>Telephone: [***]</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courtesy copy to (which shall not constitute notice):</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Ardelyx, Inc.</w:t>
      </w:r>
    </w:p>
    <w:p>
      <w:pPr>
        <w:ind w:left="1960"/>
        <w:spacing w:after="0" w:line="204" w:lineRule="auto"/>
        <w:rPr>
          <w:sz w:val="20"/>
          <w:szCs w:val="20"/>
          <w:color w:val="auto"/>
        </w:rPr>
      </w:pPr>
      <w:r>
        <w:rPr>
          <w:rFonts w:ascii="Arial" w:cs="Arial" w:eastAsia="Arial" w:hAnsi="Arial"/>
          <w:sz w:val="22"/>
          <w:szCs w:val="22"/>
          <w:color w:val="auto"/>
        </w:rPr>
        <w:t>400 Fifth Avenue</w:t>
      </w:r>
    </w:p>
    <w:p>
      <w:pPr>
        <w:ind w:left="1960"/>
        <w:spacing w:after="0" w:line="205" w:lineRule="auto"/>
        <w:rPr>
          <w:sz w:val="20"/>
          <w:szCs w:val="20"/>
          <w:color w:val="auto"/>
        </w:rPr>
      </w:pPr>
      <w:r>
        <w:rPr>
          <w:rFonts w:ascii="Arial" w:cs="Arial" w:eastAsia="Arial" w:hAnsi="Arial"/>
          <w:sz w:val="22"/>
          <w:szCs w:val="22"/>
          <w:color w:val="auto"/>
        </w:rPr>
        <w:t>Suite 210</w:t>
      </w:r>
    </w:p>
    <w:p>
      <w:pPr>
        <w:ind w:left="1960"/>
        <w:spacing w:after="0" w:line="205" w:lineRule="auto"/>
        <w:rPr>
          <w:sz w:val="20"/>
          <w:szCs w:val="20"/>
          <w:color w:val="auto"/>
        </w:rPr>
      </w:pPr>
      <w:r>
        <w:rPr>
          <w:rFonts w:ascii="Arial" w:cs="Arial" w:eastAsia="Arial" w:hAnsi="Arial"/>
          <w:sz w:val="22"/>
          <w:szCs w:val="22"/>
          <w:color w:val="auto"/>
        </w:rPr>
        <w:t>Waltham, MA 02451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type w:val="continuous"/>
        </w:sectPr>
      </w:pPr>
    </w:p>
    <w:bookmarkStart w:id="128" w:name="page129"/>
    <w:bookmarkEnd w:id="128"/>
    <w:p>
      <w:pPr>
        <w:ind w:left="1960"/>
        <w:spacing w:after="0"/>
        <w:rPr>
          <w:sz w:val="20"/>
          <w:szCs w:val="20"/>
          <w:color w:val="auto"/>
        </w:rPr>
      </w:pPr>
      <w:r>
        <w:rPr>
          <w:rFonts w:ascii="Arial" w:cs="Arial" w:eastAsia="Arial" w:hAnsi="Arial"/>
          <w:sz w:val="22"/>
          <w:szCs w:val="22"/>
          <w:color w:val="auto"/>
        </w:rPr>
        <w:t>140 Scott Drive</w:t>
      </w:r>
    </w:p>
    <w:p>
      <w:pPr>
        <w:ind w:left="1960"/>
        <w:spacing w:after="0" w:line="204" w:lineRule="auto"/>
        <w:rPr>
          <w:sz w:val="20"/>
          <w:szCs w:val="20"/>
          <w:color w:val="auto"/>
        </w:rPr>
      </w:pPr>
      <w:r>
        <w:rPr>
          <w:rFonts w:ascii="Arial" w:cs="Arial" w:eastAsia="Arial" w:hAnsi="Arial"/>
          <w:sz w:val="22"/>
          <w:szCs w:val="22"/>
          <w:color w:val="auto"/>
        </w:rPr>
        <w:t>Menlo Park, CA 94025-1008</w:t>
      </w:r>
    </w:p>
    <w:p>
      <w:pPr>
        <w:ind w:left="1960"/>
        <w:spacing w:after="0" w:line="205" w:lineRule="auto"/>
        <w:rPr>
          <w:sz w:val="20"/>
          <w:szCs w:val="20"/>
          <w:color w:val="auto"/>
        </w:rPr>
      </w:pPr>
      <w:r>
        <w:rPr>
          <w:rFonts w:ascii="Arial" w:cs="Arial" w:eastAsia="Arial" w:hAnsi="Arial"/>
          <w:sz w:val="22"/>
          <w:szCs w:val="22"/>
          <w:color w:val="auto"/>
        </w:rPr>
        <w:t>Attention: [***].</w:t>
      </w:r>
    </w:p>
    <w:p>
      <w:pPr>
        <w:ind w:left="1960"/>
        <w:spacing w:after="0" w:line="205" w:lineRule="auto"/>
        <w:rPr>
          <w:sz w:val="20"/>
          <w:szCs w:val="20"/>
          <w:color w:val="auto"/>
        </w:rPr>
      </w:pPr>
      <w:r>
        <w:rPr>
          <w:rFonts w:ascii="Arial" w:cs="Arial" w:eastAsia="Arial" w:hAnsi="Arial"/>
          <w:sz w:val="22"/>
          <w:szCs w:val="22"/>
          <w:color w:val="auto"/>
        </w:rPr>
        <w:t>Telephone: [***]</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or to such other address or addresses as Buyer or Seller may from time to time designate by notice as provided herein, except that notices of changes of address shall be effective only upon receipt. All such notices, consents, waivers and communications shall:</w:t>
      </w:r>
    </w:p>
    <w:p>
      <w:pPr>
        <w:jc w:val="both"/>
        <w:ind w:firstLine="8"/>
        <w:spacing w:after="0" w:line="212" w:lineRule="auto"/>
        <w:tabs>
          <w:tab w:leader="none" w:pos="2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when posted by certified or registered mail, postage prepaid, return receipt requested, be effective five (5) Business Days after dispatch, (b) when sent by electronic mail, be effective upon receipt by the transmitting party of confirmation of complete transmission or return email or “read” receipt from the recipient, (c) when delivered by an internationally recognized overnight courier, be effective upon delivery (such date being evidenced by the courier’s service records), or (d) when delivered in person, be effective upon delivery.</w:t>
      </w:r>
    </w:p>
    <w:p>
      <w:pPr>
        <w:spacing w:after="0" w:line="155"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7"/>
          <w:szCs w:val="17"/>
          <w:b w:val="1"/>
          <w:bCs w:val="1"/>
          <w:color w:val="auto"/>
        </w:rPr>
        <w:t>Successors and Assigns.</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The provisions of this Agreement shall be binding upon and inure to the benefit of the Parties and their respective successors and assigns. Seller shall not be entitled to assign any of its obligations or rights under the Transaction Documents without the prior written consent of Buyer;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such consent shall not be required in connection with an Acquisition, so long as the acquirer has delivered evidence, in form and substance reasonably satisfactory to Buyer, to Buyer that such Person has assumed all of Seller’s rights and obligations under the Transaction Documents. Buyer may assign without the consent of Seller any of its rights or obligations under the Transaction Documents without restriction;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so long as no Event of Default shall have occurred and be continuing, Buyer may not assign any of its rights and obligations under the Transaction Documents to any Competitor without the prior written consent of Seller. Any purported assignment in violation of this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shall be null and void.</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color w:val="auto"/>
        </w:rPr>
        <w:t>Indemnification.</w:t>
      </w:r>
    </w:p>
    <w:p>
      <w:pPr>
        <w:spacing w:after="0" w:line="199" w:lineRule="exact"/>
        <w:rPr>
          <w:sz w:val="20"/>
          <w:szCs w:val="20"/>
          <w:color w:val="auto"/>
        </w:rPr>
      </w:pPr>
    </w:p>
    <w:p>
      <w:pPr>
        <w:jc w:val="both"/>
        <w:ind w:left="1300" w:hanging="644"/>
        <w:spacing w:after="0" w:line="273" w:lineRule="auto"/>
        <w:tabs>
          <w:tab w:leader="none" w:pos="1297" w:val="left"/>
        </w:tabs>
        <w:numPr>
          <w:ilvl w:val="0"/>
          <w:numId w:val="74"/>
        </w:numPr>
        <w:rPr>
          <w:rFonts w:ascii="Arial" w:cs="Arial" w:eastAsia="Arial" w:hAnsi="Arial"/>
          <w:sz w:val="19"/>
          <w:szCs w:val="19"/>
          <w:color w:val="auto"/>
        </w:rPr>
      </w:pPr>
      <w:r>
        <w:rPr>
          <w:rFonts w:ascii="Arial" w:cs="Arial" w:eastAsia="Arial" w:hAnsi="Arial"/>
          <w:sz w:val="19"/>
          <w:szCs w:val="19"/>
          <w:color w:val="auto"/>
        </w:rPr>
        <w:t>Seller hereby indemnifies and holds each Buyer Indemnified Party harmless from and against any and all Losses incurred or suffered by any Buyer Indemnified Party arising out of (i) any breach of any representation or warranty made by Seller in any of the Transaction Documents or in any certificate delivered pursuant to the Transaction Documents, (ii) any breach of or default under any covenant or agreement by Seller pursuant to any Transaction Document, the License Agreement or any Production Agreement, including any failure by Seller to satisfy any of the Excluded Liabilities and Obligations, (iii) any product liability claims or claims of infringement or misappropriation of any intellectual property rights of any Third Parties in respect of the Product, (iv) any Event of Default, (v) any Excluded Liabilities and Obligations, or (vi) any Losses suffered or incurred by any Buyer Indemnified Party as a result of the existence of any Permitted Liens. Notwithstanding the foregoing, such indemnification by Seller shall not apply with respect to any Losses to the extent resulting from the gross negligence, willful misconduct or bad faith of any Buyer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44</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82" w:right="339" w:bottom="1440" w:gutter="0" w:footer="0" w:header="0"/>
        </w:sectPr>
      </w:pPr>
    </w:p>
    <w:bookmarkStart w:id="129" w:name="page130"/>
    <w:bookmarkEnd w:id="129"/>
    <w:p>
      <w:pPr>
        <w:jc w:val="both"/>
        <w:ind w:left="1300" w:hanging="644"/>
        <w:spacing w:after="0" w:line="212" w:lineRule="auto"/>
        <w:tabs>
          <w:tab w:leader="none" w:pos="1295" w:val="left"/>
        </w:tabs>
        <w:numPr>
          <w:ilvl w:val="0"/>
          <w:numId w:val="75"/>
        </w:numPr>
        <w:rPr>
          <w:rFonts w:ascii="Arial" w:cs="Arial" w:eastAsia="Arial" w:hAnsi="Arial"/>
          <w:sz w:val="22"/>
          <w:szCs w:val="22"/>
          <w:color w:val="auto"/>
        </w:rPr>
      </w:pPr>
      <w:r>
        <w:rPr>
          <w:rFonts w:ascii="Arial" w:cs="Arial" w:eastAsia="Arial" w:hAnsi="Arial"/>
          <w:sz w:val="22"/>
          <w:szCs w:val="22"/>
          <w:color w:val="auto"/>
        </w:rPr>
        <w:t>Buyer hereby indemnifies and holds each Seller Indemnified Party harmless from and against any and all Losses incurred or suffered by a Seller Indemnified Party arising out of (i) any breach of any representation or warranty made by Buyer in any of the Transaction Documents or in any certificate delivered pursuant to the Transaction Documents or (ii) any breach of or default under any covenant or agreement by Buyer pursuant to any Transaction Document. Notwithstanding the foregoing, such indemnification by Buyer shall not apply with respect to any Losses to the extent resulting from the gross negligence, willful misconduct or bad faith of any Seller Indemnified Party.</w:t>
      </w:r>
    </w:p>
    <w:p>
      <w:pPr>
        <w:spacing w:after="0" w:line="163" w:lineRule="exact"/>
        <w:rPr>
          <w:rFonts w:ascii="Arial" w:cs="Arial" w:eastAsia="Arial" w:hAnsi="Arial"/>
          <w:sz w:val="22"/>
          <w:szCs w:val="22"/>
          <w:color w:val="auto"/>
        </w:rPr>
      </w:pPr>
    </w:p>
    <w:p>
      <w:pPr>
        <w:jc w:val="both"/>
        <w:ind w:left="1300" w:hanging="644"/>
        <w:spacing w:after="0"/>
        <w:tabs>
          <w:tab w:leader="none" w:pos="1297"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If any a Claim shall be brought or alleged against an indemnified party in respect of which indemnity is to be sought against an indemnifying party pursuant to the preceding paragraphs, the indemnified party shall, promptly after receipt of notice of the commencement of any such Claim, notify the indemnifying party in writing of the commencement of such Claim, enclosing a copy of all papers served,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omission to so notify such indemnifying party will not relieve the indemnifying party from any liability that it may have to any indemnified party under the foregoing provisions of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unless, and only to the extent that, such omission results in the forfeiture of, or has a material adverse effect on the exercise or prosecution of, substantive rights or defenses by the indemnifying party. In case any such Claim is brought against an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for any legal or other expenses subsequently incurred by such indemnified party in connection with the defense thereof other than reasonable costs of investigation. In any such proceeding, an indemnified party shall have the right to retain its own counsel, but the reasonable and documented fees and expenses of such counsel shall be at the expense of such indemnified party unless (i) the indemnifying party and the indemnified party shall have mutually agreed to the retention of such counsel, (ii) the indemnifying party has assumed the defense of such proceeding and has failed within a reasonable time to retain counsel reasonably satisfactory to such indemnified party or has failed to diligently conduct the defense of such Claim, (iii) the named parties to any such proceeding (including any impleaded parties) include both the indemnifying party and the indemnified party and representation of both parties by the same counsel would be inappropriate due to actual or potential conflicts of interests between them based on the advice of such counsel; or (iv) the Claim relates to taxes or any criminal or regulatory enforcement Claim.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45</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30" w:name="page131"/>
    <w:bookmarkEnd w:id="130"/>
    <w:p>
      <w:pPr>
        <w:jc w:val="both"/>
        <w:ind w:left="1300"/>
        <w:spacing w:after="0" w:line="214" w:lineRule="auto"/>
        <w:rPr>
          <w:sz w:val="20"/>
          <w:szCs w:val="20"/>
          <w:color w:val="auto"/>
        </w:rPr>
      </w:pPr>
      <w:r>
        <w:rPr>
          <w:rFonts w:ascii="Arial" w:cs="Arial" w:eastAsia="Arial" w:hAnsi="Arial"/>
          <w:sz w:val="22"/>
          <w:szCs w:val="22"/>
          <w:color w:val="auto"/>
        </w:rPr>
        <w:t>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(ii) provides for the payment by the indemnifying party of money as sole relief for the claimant; and (iii) involves no finding or admission of any violation of Law or the rights of any Person and has no effect on any other claims that have been made against the indemnified person.</w:t>
      </w:r>
    </w:p>
    <w:p>
      <w:pPr>
        <w:spacing w:after="0" w:line="159" w:lineRule="exact"/>
        <w:rPr>
          <w:sz w:val="20"/>
          <w:szCs w:val="20"/>
          <w:color w:val="auto"/>
        </w:rPr>
      </w:pPr>
    </w:p>
    <w:p>
      <w:pPr>
        <w:jc w:val="both"/>
        <w:ind w:left="1300" w:hanging="644"/>
        <w:spacing w:after="0" w:line="247"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only legal action that may be asserted by or on behalf of any Buyer Indemnified Party or Seller Indemnified Party with respect to any matter arising out of the transactions contemplated by this Agreement or the Transaction Documents shall be an action to enforce or to recover Losses as an indemnification claim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w:t>
      </w:r>
      <w:r>
        <w:rPr>
          <w:rFonts w:ascii="Arial" w:cs="Arial" w:eastAsia="Arial" w:hAnsi="Arial"/>
          <w:sz w:val="19"/>
          <w:szCs w:val="19"/>
          <w:color w:val="auto"/>
        </w:rPr>
        <w:t xml:space="preserve">. Without limiting the generality of the foregoing, no legal action based upon predecessor or successor liability, contribution, tort, strict liability or any statute, regulation or ordinance may be maintained by or on behalf of Buyer or any Buyer Indemnified Party or Seller or any Seller Indemnified Party, as applicable, with respect to any matter that is the subject of this </w:t>
      </w:r>
      <w:r>
        <w:rPr>
          <w:rFonts w:ascii="Arial" w:cs="Arial" w:eastAsia="Arial" w:hAnsi="Arial"/>
          <w:sz w:val="19"/>
          <w:szCs w:val="19"/>
          <w:u w:val="single" w:color="auto"/>
          <w:color w:val="auto"/>
        </w:rPr>
        <w:t>Section 8.04</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left="1300" w:hanging="644"/>
        <w:spacing w:after="0" w:line="241" w:lineRule="auto"/>
        <w:tabs>
          <w:tab w:leader="none" w:pos="12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Losses shall be (i) calculated net of actual recoveries received by or on behalf of an indemnified party under insurance policies, risk sharing pools or similar arrangements (net of any actual collection costs and recoveries and deductibles) and (ii) reduced by any proceeds received from third parties, through indemnification, counterclaim or otherwise in compensation for the subject matter of an indemnification claim made hereunder. Notwithstanding the foregoing, any indemnified party may take any action against an indemnifying party to enforce or recover Losses pursuant to the indemnification obligations of the indemnifying party under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without any requirement to take any action or exhaust any right or remedy against any other Person,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indemnified party agrees that the indemnifying party shall then be subrogated to any and all other rights of the indemnified party to recovery to the extent of such indemnification paid by the indemnifying party (but excluding interest amounts and gross-up or other payments in respect of taxes). If any proceeds, benefits or recoveries are received by or on behalf an indemnified party with respect to Losses after an indemnifying party has made an indemnification payment to an indemnified party with respect thereto and receipt of such proceeds, benefits or recoveries prior to such payment would have reduced the amount of such indemnification payment if received prior to such payment, then such indemnified party shall hold such amounts in trust for the benefit of the indemnifying party and, within three (3) Business Days after receipt thereof, deliver such amounts (net of any applicable withholding tax) to the indemnifying party by wire transfer of immediately available funds as directed by the indemnifying party.</w:t>
      </w:r>
    </w:p>
    <w:p>
      <w:pPr>
        <w:spacing w:after="0" w:line="377" w:lineRule="exact"/>
        <w:rPr>
          <w:rFonts w:ascii="Arial" w:cs="Arial" w:eastAsia="Arial" w:hAnsi="Arial"/>
          <w:sz w:val="19"/>
          <w:szCs w:val="19"/>
          <w:color w:val="auto"/>
        </w:rPr>
      </w:pPr>
    </w:p>
    <w:p>
      <w:pPr>
        <w:jc w:val="both"/>
        <w:ind w:left="1300" w:hanging="644"/>
        <w:spacing w:after="0" w:line="252" w:lineRule="auto"/>
        <w:tabs>
          <w:tab w:leader="none" w:pos="12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Neither Party shall be obligated to indemnify Seller Indemnified Parties or Buyer Indemnified Parties, as applicable, with respect to any Losses as to which such Party is otherwise entitled to assert any claim for indemnification, pursuant to </w:t>
      </w:r>
      <w:r>
        <w:rPr>
          <w:rFonts w:ascii="Arial" w:cs="Arial" w:eastAsia="Arial" w:hAnsi="Arial"/>
          <w:sz w:val="19"/>
          <w:szCs w:val="19"/>
          <w:u w:val="single" w:color="auto"/>
          <w:color w:val="auto"/>
        </w:rPr>
        <w:t>Section 8.04(a)(i)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8.04(b)(i)</w:t>
      </w:r>
      <w:r>
        <w:rPr>
          <w:rFonts w:ascii="Arial" w:cs="Arial" w:eastAsia="Arial" w:hAnsi="Arial"/>
          <w:sz w:val="19"/>
          <w:szCs w:val="19"/>
          <w:color w:val="auto"/>
        </w:rPr>
        <w:t xml:space="preserve">, as applicable, unless and until the aggregate amount of the Losses of Seller Indemnified Parties or Buyer Indemnified Parties in respect of </w:t>
      </w:r>
      <w:r>
        <w:rPr>
          <w:rFonts w:ascii="Arial" w:cs="Arial" w:eastAsia="Arial" w:hAnsi="Arial"/>
          <w:sz w:val="19"/>
          <w:szCs w:val="19"/>
          <w:u w:val="single" w:color="auto"/>
          <w:color w:val="auto"/>
        </w:rPr>
        <w:t>Section 8.04(a)(i)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8.04(b)(i)</w:t>
      </w:r>
      <w:r>
        <w:rPr>
          <w:rFonts w:ascii="Arial" w:cs="Arial" w:eastAsia="Arial" w:hAnsi="Arial"/>
          <w:sz w:val="19"/>
          <w:szCs w:val="19"/>
          <w:color w:val="auto"/>
        </w:rPr>
        <w:t xml:space="preserve">, as applicable, exceed the Indemnity Threshold Amount;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46</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31" w:name="page132"/>
    <w:bookmarkEnd w:id="131"/>
    <w:p>
      <w:pPr>
        <w:jc w:val="both"/>
        <w:ind w:left="1300"/>
        <w:spacing w:after="0" w:line="218" w:lineRule="auto"/>
        <w:rPr>
          <w:sz w:val="20"/>
          <w:szCs w:val="20"/>
          <w:color w:val="auto"/>
        </w:rPr>
      </w:pPr>
      <w:r>
        <w:rPr>
          <w:rFonts w:ascii="Arial" w:cs="Arial" w:eastAsia="Arial" w:hAnsi="Arial"/>
          <w:sz w:val="22"/>
          <w:szCs w:val="22"/>
          <w:color w:val="auto"/>
        </w:rPr>
        <w:t xml:space="preserve">thereafter the indemnifying party shall indemnify Buyer Indemnified Parties or Seller Indemnified Parties, as applicable, for all amounts including, for the avoidance of doubt, the Indemnity Threshold Amount; </w:t>
      </w:r>
      <w:r>
        <w:rPr>
          <w:rFonts w:ascii="Arial" w:cs="Arial" w:eastAsia="Arial" w:hAnsi="Arial"/>
          <w:sz w:val="22"/>
          <w:szCs w:val="22"/>
          <w:u w:val="single" w:color="auto"/>
          <w:color w:val="auto"/>
        </w:rPr>
        <w:t>provided</w:t>
      </w:r>
      <w:r>
        <w:rPr>
          <w:rFonts w:ascii="Arial" w:cs="Arial" w:eastAsia="Arial" w:hAnsi="Arial"/>
          <w:sz w:val="22"/>
          <w:szCs w:val="22"/>
          <w:color w:val="auto"/>
        </w:rPr>
        <w:t>, further, that such foregoing limitation shall not apply to any Losses suffered by any indemnified party in connection with a Third Party Claim.</w:t>
      </w:r>
    </w:p>
    <w:p>
      <w:pPr>
        <w:spacing w:after="0" w:line="161" w:lineRule="exact"/>
        <w:rPr>
          <w:sz w:val="20"/>
          <w:szCs w:val="20"/>
          <w:color w:val="auto"/>
        </w:rPr>
      </w:pPr>
    </w:p>
    <w:p>
      <w:pPr>
        <w:jc w:val="both"/>
        <w:ind w:left="1300" w:hanging="644"/>
        <w:spacing w:after="0" w:line="247" w:lineRule="auto"/>
        <w:tabs>
          <w:tab w:leader="none" w:pos="12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Seller shall not have any liability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8.04(a)</w:t>
      </w:r>
      <w:r>
        <w:rPr>
          <w:rFonts w:ascii="Arial" w:cs="Arial" w:eastAsia="Arial" w:hAnsi="Arial"/>
          <w:sz w:val="19"/>
          <w:szCs w:val="19"/>
          <w:color w:val="auto"/>
        </w:rPr>
        <w:t xml:space="preserve"> in excess of the sum of (i) the Closing Amount, (ii) all Investment Payments made by Buyer to Seller, and</w:t>
      </w:r>
    </w:p>
    <w:p>
      <w:pPr>
        <w:jc w:val="both"/>
        <w:ind w:left="1300" w:firstLine="4"/>
        <w:spacing w:after="0" w:line="247" w:lineRule="auto"/>
        <w:tabs>
          <w:tab w:leader="none" w:pos="1712"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the applicable Investment Return Amount;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foregoing limitation shall not apply to any Losses suffered by any Buyer Indemnified Party in connection with a Third Party Claim (other than any Losses to the extent resulting from the gross negligence, willful misconduct or bad faith of any Buyer Indemnified Party). Notwithstanding anything in this Agreement to the contrary, Buyer shall not have any liability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8.04(b)</w:t>
      </w:r>
      <w:r>
        <w:rPr>
          <w:rFonts w:ascii="Arial" w:cs="Arial" w:eastAsia="Arial" w:hAnsi="Arial"/>
          <w:sz w:val="19"/>
          <w:szCs w:val="19"/>
          <w:color w:val="auto"/>
        </w:rPr>
        <w:t xml:space="preserve"> in excess of the amount of Royalty Interest Payments received by Buyer pursuant to this Agreement.</w:t>
      </w:r>
    </w:p>
    <w:p>
      <w:pPr>
        <w:spacing w:after="0" w:line="148"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color w:val="auto"/>
        </w:rPr>
        <w:t>Independent Nature of Relationship; Taxes.</w:t>
      </w:r>
    </w:p>
    <w:p>
      <w:pPr>
        <w:spacing w:after="0" w:line="185" w:lineRule="exact"/>
        <w:rPr>
          <w:sz w:val="20"/>
          <w:szCs w:val="20"/>
          <w:color w:val="auto"/>
        </w:rPr>
      </w:pPr>
    </w:p>
    <w:p>
      <w:pPr>
        <w:jc w:val="both"/>
        <w:ind w:left="1300" w:hanging="644"/>
        <w:spacing w:after="0" w:line="224" w:lineRule="auto"/>
        <w:tabs>
          <w:tab w:leader="none" w:pos="1297"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relationship between Seller, on the one hand, and Buyer, on the other hand, is solely that of assignor and assignee, and neither Buyer, on the one hand, nor Seller, on the other hand, has any fiduciary or other special relationship with the other or any of their respective Affiliates. For the avoidance of doubt, nothing in this Agreement shall be read to create any agency, partnership, association or joint venture of Seller (or any of its Affiliates) and Buyer (or any of its Affiliates) and each Party agrees not to refer to the other as a “partner” or the relationship as a “partnership” or “joint venture” or other kind of entity or legal form.</w:t>
      </w:r>
    </w:p>
    <w:p>
      <w:pPr>
        <w:spacing w:after="0" w:line="159" w:lineRule="exact"/>
        <w:rPr>
          <w:rFonts w:ascii="Arial" w:cs="Arial" w:eastAsia="Arial" w:hAnsi="Arial"/>
          <w:sz w:val="21"/>
          <w:szCs w:val="21"/>
          <w:color w:val="auto"/>
        </w:rPr>
      </w:pPr>
    </w:p>
    <w:p>
      <w:pPr>
        <w:ind w:left="1300" w:hanging="644"/>
        <w:spacing w:after="0" w:line="232" w:lineRule="auto"/>
        <w:tabs>
          <w:tab w:leader="none" w:pos="1295"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as otherwise contemplated herein, no Party shall at any time obligate the other Party, or impose on such other Party any obligation, in any manner or respect to any Third Party.</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97" w:val="left"/>
        </w:tabs>
        <w:numPr>
          <w:ilvl w:val="0"/>
          <w:numId w:val="78"/>
        </w:numPr>
        <w:rPr>
          <w:rFonts w:ascii="Arial" w:cs="Arial" w:eastAsia="Arial" w:hAnsi="Arial"/>
          <w:sz w:val="22"/>
          <w:szCs w:val="22"/>
          <w:color w:val="auto"/>
        </w:rPr>
      </w:pPr>
      <w:r>
        <w:rPr>
          <w:rFonts w:ascii="Arial" w:cs="Arial" w:eastAsia="Arial" w:hAnsi="Arial"/>
          <w:sz w:val="22"/>
          <w:szCs w:val="22"/>
          <w:color w:val="auto"/>
        </w:rPr>
        <w:t>Seller and Buyer shall treat the transactions contemplated by the Transaction Documents as a sale of the Purchased Assets for all purposes (other than financial accounting purposes)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including United States federal, state and local tax purposes.</w:t>
      </w:r>
    </w:p>
    <w:p>
      <w:pPr>
        <w:spacing w:after="0" w:line="158" w:lineRule="exact"/>
        <w:rPr>
          <w:rFonts w:ascii="Arial" w:cs="Arial" w:eastAsia="Arial" w:hAnsi="Arial"/>
          <w:sz w:val="22"/>
          <w:szCs w:val="22"/>
          <w:color w:val="auto"/>
        </w:rPr>
      </w:pPr>
    </w:p>
    <w:p>
      <w:pPr>
        <w:jc w:val="both"/>
        <w:ind w:left="1300" w:hanging="644"/>
        <w:spacing w:after="0" w:line="252" w:lineRule="auto"/>
        <w:tabs>
          <w:tab w:leader="none" w:pos="129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Parties hereto agree not to take any position that is inconsistent with the provisions of this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on any tax return or in any audit or other administrative or judicial proceeding unless (i) the other Party to this Agreement has consented to such actions, or (ii) such inconsistent position is required by applicable Law. If a Governmental Authority conducts an inquiry of Seller or Buyer related to this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the Parties hereto shall cooperate with each other in responding to such inquiry in a reasonable manner consistent with this </w:t>
      </w:r>
      <w:r>
        <w:rPr>
          <w:rFonts w:ascii="Arial" w:cs="Arial" w:eastAsia="Arial" w:hAnsi="Arial"/>
          <w:sz w:val="19"/>
          <w:szCs w:val="19"/>
          <w:u w:val="single" w:color="auto"/>
          <w:color w:val="auto"/>
        </w:rPr>
        <w:t>Section 8.05</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jc w:val="both"/>
        <w:ind w:left="1300" w:hanging="644"/>
        <w:spacing w:after="0" w:line="268" w:lineRule="auto"/>
        <w:tabs>
          <w:tab w:leader="none" w:pos="1297"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Parties shall use commercially reasonable efforts to ensure all payments to Buyer under this Agreement are made without any deduction or withholding for or on account of any tax,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deduction or withholding is required from any payment under this Agreement, other than any deduction or withholding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47</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32" w:name="page133"/>
    <w:bookmarkEnd w:id="132"/>
    <w:p>
      <w:pPr>
        <w:jc w:val="both"/>
        <w:ind w:left="1300"/>
        <w:spacing w:after="0" w:line="242" w:lineRule="auto"/>
        <w:rPr>
          <w:sz w:val="20"/>
          <w:szCs w:val="20"/>
          <w:color w:val="auto"/>
        </w:rPr>
      </w:pPr>
      <w:r>
        <w:rPr>
          <w:rFonts w:ascii="Arial" w:cs="Arial" w:eastAsia="Arial" w:hAnsi="Arial"/>
          <w:sz w:val="19"/>
          <w:szCs w:val="19"/>
          <w:color w:val="auto"/>
        </w:rPr>
        <w:t xml:space="preserve">in respect of (i) any tax that would not have been imposed (or would have been imposed but at a lower rate) but for any connection of Buyer with the jurisdiction of the applicable taxing authority (other than a connection arising solely from this Agreement or any transaction contemplated hereby); (ii) any tax that would not have been imposed (or would have been imposed but at a lower rate) but for any failure of Buyer to provide any applicable documentation permitting such payments to be made without (or at a reduced rate of) withholding that is reasonably requested by Seller and that Buyer is legally eligible to provide and (iii) any U.S. federal withholding tax (such taxes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w:t>
      </w:r>
      <w:r>
        <w:rPr>
          <w:rFonts w:ascii="Arial" w:cs="Arial" w:eastAsia="Arial" w:hAnsi="Arial"/>
          <w:sz w:val="19"/>
          <w:szCs w:val="19"/>
          <w:u w:val="single" w:color="auto"/>
          <w:color w:val="auto"/>
        </w:rPr>
        <w:t>Excluded Taxes</w:t>
      </w:r>
      <w:r>
        <w:rPr>
          <w:rFonts w:ascii="Arial" w:cs="Arial" w:eastAsia="Arial" w:hAnsi="Arial"/>
          <w:sz w:val="19"/>
          <w:szCs w:val="19"/>
          <w:color w:val="auto"/>
        </w:rPr>
        <w:t>,” and all such taxes other than Excluded Taxes, “</w:t>
      </w:r>
      <w:r>
        <w:rPr>
          <w:rFonts w:ascii="Arial" w:cs="Arial" w:eastAsia="Arial" w:hAnsi="Arial"/>
          <w:sz w:val="19"/>
          <w:szCs w:val="19"/>
          <w:u w:val="single" w:color="auto"/>
          <w:color w:val="auto"/>
        </w:rPr>
        <w:t>Indemnified Taxes</w:t>
      </w:r>
      <w:r>
        <w:rPr>
          <w:rFonts w:ascii="Arial" w:cs="Arial" w:eastAsia="Arial" w:hAnsi="Arial"/>
          <w:sz w:val="19"/>
          <w:szCs w:val="19"/>
          <w:color w:val="auto"/>
        </w:rPr>
        <w:t>”), the sum payable shall be increased and paid by Seller or any of its Affiliates as necessary so that after all such deductions and withholdings have been made, Buyer receives an amount equal to the amount it would have received had no such deductions or withholding been made. Seller shall promptly notify Buyer in writing in the event that any deduction or withholding is effected or proposed by Seller or, to the Knowledge of Seller, any Governmental Authority, with respect to any such payments hereunder. On or prior to the Closing Date, Buyer shall deliver to Seller a duly executed Internal Revenue Service Form W-9.</w:t>
      </w:r>
    </w:p>
    <w:p>
      <w:pPr>
        <w:spacing w:after="0" w:line="160" w:lineRule="exact"/>
        <w:rPr>
          <w:sz w:val="20"/>
          <w:szCs w:val="20"/>
          <w:color w:val="auto"/>
        </w:rPr>
      </w:pPr>
    </w:p>
    <w:p>
      <w:pPr>
        <w:jc w:val="both"/>
        <w:ind w:left="1300" w:hanging="644"/>
        <w:spacing w:after="0" w:line="229"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The Parties shall treat any Investment Payments pursuant to </w:t>
      </w:r>
      <w:r>
        <w:rPr>
          <w:rFonts w:ascii="Arial" w:cs="Arial" w:eastAsia="Arial" w:hAnsi="Arial"/>
          <w:sz w:val="21"/>
          <w:szCs w:val="21"/>
          <w:u w:val="single" w:color="auto"/>
          <w:color w:val="auto"/>
        </w:rPr>
        <w:t>Section 2.03(b)</w:t>
      </w:r>
      <w:r>
        <w:rPr>
          <w:rFonts w:ascii="Arial" w:cs="Arial" w:eastAsia="Arial" w:hAnsi="Arial"/>
          <w:sz w:val="21"/>
          <w:szCs w:val="21"/>
          <w:color w:val="auto"/>
        </w:rPr>
        <w:t xml:space="preserve"> and any indemnification payments pursuant to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(except to the extent treated as imputed interest pursuant to Sections 483 or 1274 of the Internal Revenue Code of 1986, as amended or otherwise) as adjustments to the purchase price of the Purchased Assets for all tax purposes to the extent permitted by applicable Law.</w:t>
      </w:r>
    </w:p>
    <w:p>
      <w:pPr>
        <w:spacing w:after="0" w:line="158" w:lineRule="exact"/>
        <w:rPr>
          <w:rFonts w:ascii="Arial" w:cs="Arial" w:eastAsia="Arial" w:hAnsi="Arial"/>
          <w:sz w:val="21"/>
          <w:szCs w:val="21"/>
          <w:color w:val="auto"/>
        </w:rPr>
      </w:pPr>
    </w:p>
    <w:p>
      <w:pPr>
        <w:jc w:val="both"/>
        <w:ind w:left="1300" w:hanging="644"/>
        <w:spacing w:after="0" w:line="223" w:lineRule="auto"/>
        <w:tabs>
          <w:tab w:leader="none" w:pos="12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Without limitation of </w:t>
      </w:r>
      <w:r>
        <w:rPr>
          <w:rFonts w:ascii="Arial" w:cs="Arial" w:eastAsia="Arial" w:hAnsi="Arial"/>
          <w:sz w:val="22"/>
          <w:szCs w:val="22"/>
          <w:u w:val="single" w:color="auto"/>
          <w:color w:val="auto"/>
        </w:rPr>
        <w:t>Section 8.05(d)</w:t>
      </w:r>
      <w:r>
        <w:rPr>
          <w:rFonts w:ascii="Arial" w:cs="Arial" w:eastAsia="Arial" w:hAnsi="Arial"/>
          <w:sz w:val="22"/>
          <w:szCs w:val="22"/>
          <w:color w:val="auto"/>
        </w:rPr>
        <w:t xml:space="preserve"> and (e), this Agreement is not intended to create a deemed partnership, association or joint venture between Buyer and any counterparty. Each Party agrees not to refer to the other as a “partner,” or the relationship as a “partnership” or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-304800</wp:posOffset>
            </wp:positionV>
            <wp:extent cx="203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3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b w:val="1"/>
          <w:bCs w:val="1"/>
          <w:color w:val="auto"/>
        </w:rPr>
        <w:t>Entire Agreement.</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This Agreement, together with the Exhibits and Schedules hereto (which are incorporated herein by reference), and the other Transaction Documents constitute the entire agreement between the Parties with respect to the subject matter hereof and supersede all prior agreements (including the Confidentiality Agreement), understandings and negotiations, both written and oral, between the Parties with respect to the subject matter of this Agreement. Neither this Agreement nor any provision hereof (other than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8.04</w:t>
      </w:r>
      <w:r>
        <w:rPr>
          <w:rFonts w:ascii="Arial" w:cs="Arial" w:eastAsia="Arial" w:hAnsi="Arial"/>
          <w:sz w:val="22"/>
          <w:szCs w:val="22"/>
          <w:color w:val="auto"/>
        </w:rPr>
        <w:t>), is intended to confer upon any Person other than the Parties any rights or remedies hereunder.</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9"/>
          <w:szCs w:val="19"/>
          <w:b w:val="1"/>
          <w:bCs w:val="1"/>
          <w:color w:val="auto"/>
        </w:rPr>
        <w:t>Amendments; No Waivers.</w:t>
      </w:r>
    </w:p>
    <w:p>
      <w:pPr>
        <w:spacing w:after="0" w:line="185" w:lineRule="exact"/>
        <w:rPr>
          <w:sz w:val="20"/>
          <w:szCs w:val="20"/>
          <w:color w:val="auto"/>
        </w:rPr>
      </w:pPr>
    </w:p>
    <w:p>
      <w:pPr>
        <w:jc w:val="both"/>
        <w:ind w:left="1300" w:hanging="644"/>
        <w:spacing w:after="0" w:line="223" w:lineRule="auto"/>
        <w:tabs>
          <w:tab w:leader="none" w:pos="1297"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This Agreement or any term or provision hereof may not be amended, changed or modified except with the written consent of both Parties. No waiver of any right hereunder shall be effective unless such waiver is signed in writing by the Party against whom such waiver is sought to be enforced.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48</w:t>
      </w:r>
    </w:p>
    <w:p>
      <w:pPr>
        <w:spacing w:after="0" w:line="200" w:lineRule="exact"/>
        <w:rPr>
          <w:sz w:val="20"/>
          <w:szCs w:val="20"/>
          <w:color w:val="auto"/>
        </w:rPr>
      </w:pP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33" w:name="page134"/>
    <w:bookmarkEnd w:id="133"/>
    <w:p>
      <w:pPr>
        <w:jc w:val="both"/>
        <w:ind w:left="1300" w:hanging="644"/>
        <w:spacing w:after="0" w:line="223" w:lineRule="auto"/>
        <w:tabs>
          <w:tab w:leader="none" w:pos="1295"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58" w:lineRule="exact"/>
        <w:rPr>
          <w:rFonts w:ascii="Arial" w:cs="Arial" w:eastAsia="Arial" w:hAnsi="Arial"/>
          <w:sz w:val="22"/>
          <w:szCs w:val="22"/>
          <w:color w:val="auto"/>
        </w:rPr>
      </w:pPr>
    </w:p>
    <w:p>
      <w:pPr>
        <w:jc w:val="both"/>
        <w:ind w:left="1300" w:hanging="644"/>
        <w:spacing w:after="0" w:line="218" w:lineRule="auto"/>
        <w:tabs>
          <w:tab w:leader="none" w:pos="12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w:t>
      </w:r>
    </w:p>
    <w:p>
      <w:pPr>
        <w:spacing w:after="0" w:line="155"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b w:val="1"/>
          <w:bCs w:val="1"/>
          <w:color w:val="auto"/>
        </w:rPr>
        <w:t>Interpretation.</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When a reference is made in this Agreement to Articles, Sections, Schedules or Exhibits, such reference shall be to an Article, Section, Schedule or Exhibit to this Agreement unless otherwise indicated. The words “include”, “includes” and “including” when used herein shall be deemed in each case to be followed by the words “without limitation”. Neither Party shall be or be deemed to be the drafter of this Agreement for the purposes of construing this Agreement against one Party or the other. The word “or” has the inclusive meaning represented by the phrase “or.” References to an agreement or instrument mean such agreement or instrument as from time to time amended, supplemented, restated or otherwise modified in compliance with the terms thereunder. References to a Person are also to its permitted successors and assigns.</w:t>
      </w:r>
    </w:p>
    <w:p>
      <w:pPr>
        <w:spacing w:after="0" w:line="148"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b w:val="1"/>
          <w:bCs w:val="1"/>
          <w:color w:val="auto"/>
        </w:rPr>
        <w:t>Headings and Captions.</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The headings and captions in this Agreement are for convenience and reference purposes only and shall not be considered a part of or affect the construction or interpretation of any provision of this Agreement.</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1.10.</w:t>
      </w:r>
      <w:r>
        <w:rPr>
          <w:sz w:val="20"/>
          <w:szCs w:val="20"/>
          <w:color w:val="auto"/>
        </w:rPr>
        <w:tab/>
      </w:r>
      <w:r>
        <w:rPr>
          <w:rFonts w:ascii="Arial" w:cs="Arial" w:eastAsia="Arial" w:hAnsi="Arial"/>
          <w:sz w:val="19"/>
          <w:szCs w:val="19"/>
          <w:b w:val="1"/>
          <w:bCs w:val="1"/>
          <w:color w:val="auto"/>
        </w:rPr>
        <w:t>Counterparts; Effectiveness; Electronic Signatures.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This Agreement may be executed in two or more counterparts, each of which shall be an original, but all of which together shall constitute one and the same instrument. This Agreement shall become effective when each Party shall have received a counterpart hereof signed by the other Party. Any counterpart may be executed by facsimile, .pdf signature or other electronic signature and any such signature shall be deemed an original.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Buyer,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49</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34" w:name="page135"/>
    <w:bookmarkEnd w:id="134"/>
    <w:p>
      <w:pPr>
        <w:ind w:left="2280"/>
        <w:spacing w:after="0"/>
        <w:tabs>
          <w:tab w:leader="none" w:pos="386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color w:val="auto"/>
        </w:rPr>
        <w:t>Severability.</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If any provision of this Agreement is held to be invalid or unenforceable, the remaining provisions shall nevertheless be given full force and effect. Any provision of this Agreement held invalid or unenforceable only in part or degree by a court of competent jurisdiction shall remain in full force and effect to the extent not held invalid or unenforceable. Upon such determination that a provision is invalid or unenforceable, the Parties shall negotiate in good faith to modify this Agreement as to effect the original intent of the Parties as closely as possible to the fullest extent permitted by applicable Law to the end that the transactions contemplated hereby are fulfilled to the extent possible.</w:t>
      </w:r>
    </w:p>
    <w:p>
      <w:pPr>
        <w:spacing w:after="0" w:line="154"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8"/>
          <w:szCs w:val="18"/>
          <w:b w:val="1"/>
          <w:bCs w:val="1"/>
          <w:color w:val="auto"/>
        </w:rPr>
        <w:t>Expenses.</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Each party will pay all of its own fees and expenses in connection with entering into and consummating the transactions contemplated by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w:t>
      </w:r>
    </w:p>
    <w:p>
      <w:pPr>
        <w:spacing w:after="0" w:line="153"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color w:val="auto"/>
        </w:rPr>
        <w:t>Governing Law; Jurisdiction.</w:t>
      </w:r>
    </w:p>
    <w:p>
      <w:pPr>
        <w:spacing w:after="0" w:line="185" w:lineRule="exact"/>
        <w:rPr>
          <w:sz w:val="20"/>
          <w:szCs w:val="20"/>
          <w:color w:val="auto"/>
        </w:rPr>
      </w:pPr>
    </w:p>
    <w:p>
      <w:pPr>
        <w:jc w:val="both"/>
        <w:ind w:left="1300" w:hanging="644"/>
        <w:spacing w:after="0" w:line="244" w:lineRule="auto"/>
        <w:tabs>
          <w:tab w:leader="none" w:pos="129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This Agreement shall be governed by, and construed, interpreted and enforced in accordance with, the laws of the State of New York, USA without giving effect to the principles of conflicts of law thereof (other than Section 5-1401 of the General Obligations Law of the State of New York). Each Party unconditionally and irrevocably consents to the exclusive jurisdiction of the courts of the State of New York, USA located in the County of New York and the Federal district court for the Southern District of New York located in the County of New York with respect to any suit, action or proceeding arising out of or relating to this Agreement or the transactions contemplated hereby. Each Party hereby further irrevocably waives any objection, including any objection to the laying of venue or based on the grounds of </w:t>
      </w:r>
      <w:r>
        <w:rPr>
          <w:rFonts w:ascii="Arial" w:cs="Arial" w:eastAsia="Arial" w:hAnsi="Arial"/>
          <w:sz w:val="19"/>
          <w:szCs w:val="19"/>
          <w:i w:val="1"/>
          <w:iCs w:val="1"/>
          <w:color w:val="auto"/>
        </w:rPr>
        <w:t>forum non conveniens</w:t>
      </w:r>
      <w:r>
        <w:rPr>
          <w:rFonts w:ascii="Arial" w:cs="Arial" w:eastAsia="Arial" w:hAnsi="Arial"/>
          <w:sz w:val="19"/>
          <w:szCs w:val="19"/>
          <w:color w:val="auto"/>
        </w:rPr>
        <w:t>, which it may now or hereafter have to the bringing of any action or proceeding in such jurisdiction in respect of any Transaction Document.</w:t>
      </w:r>
    </w:p>
    <w:p>
      <w:pPr>
        <w:spacing w:after="0" w:line="160" w:lineRule="exact"/>
        <w:rPr>
          <w:rFonts w:ascii="Arial" w:cs="Arial" w:eastAsia="Arial" w:hAnsi="Arial"/>
          <w:sz w:val="19"/>
          <w:szCs w:val="19"/>
          <w:color w:val="auto"/>
        </w:rPr>
      </w:pPr>
    </w:p>
    <w:p>
      <w:pPr>
        <w:jc w:val="both"/>
        <w:ind w:left="1300" w:hanging="644"/>
        <w:spacing w:after="0" w:line="222" w:lineRule="auto"/>
        <w:tabs>
          <w:tab w:leader="none" w:pos="1295"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Each Party hereby irrevocably consents to the service of process out of any of the courts referred to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8.13(a)</w:t>
      </w:r>
      <w:r>
        <w:rPr>
          <w:rFonts w:ascii="Arial" w:cs="Arial" w:eastAsia="Arial" w:hAnsi="Arial"/>
          <w:sz w:val="21"/>
          <w:szCs w:val="21"/>
          <w:color w:val="auto"/>
        </w:rPr>
        <w:t xml:space="preserve"> in any such suit, action or proceeding by the mailing of copies thereof by registered or certified mail, postage prepaid, to it at its address set forth in this Agreement. Each Party hereby irrevocably waives any objection to such service of process and further irrevocably waives and agrees not to plead or claim in any suit, action or proceeding commenced hereunder or under any other Transaction Document that service of process was in any way invalid or ineffective. Nothing herein shall affect the right of a Party to serve process on the other Party in any other manner permitted by law.</w:t>
      </w:r>
    </w:p>
    <w:p>
      <w:pPr>
        <w:spacing w:after="0" w:line="158" w:lineRule="exact"/>
        <w:rPr>
          <w:sz w:val="20"/>
          <w:szCs w:val="20"/>
          <w:color w:val="auto"/>
        </w:rPr>
      </w:pPr>
    </w:p>
    <w:p>
      <w:pPr>
        <w:ind w:left="2280"/>
        <w:spacing w:after="0"/>
        <w:tabs>
          <w:tab w:leader="none" w:pos="38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Waiver of Jury Trial.</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EACH PARTY HEREBY IRREVOCABLY WAIVES, TO THE FULLEST EXTENT PERMITTED BY APPLICABLE LAW, ANY AND ALL RIGHT TO TRIAL BY JURY IN ANY ACTION, PROCEEDING, CLAIM OR COUNTERCLAIM ARISING OUT OF OR RELATING TO ANY TRANSACTION DOCUMENT OR THE TRANSACTIONS CONTEMPLATED UNDER ANY TRANSACTION DOCUMENT. THIS WAIVER SHALL APPLY TO ANY SUBSEQUENT AMENDMENTS, RENEWALS, SUPPLEMENTS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50</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35" w:name="page136"/>
    <w:bookmarkEnd w:id="135"/>
    <w:p>
      <w:pPr>
        <w:jc w:val="both"/>
        <w:spacing w:after="0" w:line="211" w:lineRule="auto"/>
        <w:rPr>
          <w:sz w:val="20"/>
          <w:szCs w:val="20"/>
          <w:color w:val="auto"/>
        </w:rPr>
      </w:pPr>
      <w:r>
        <w:rPr>
          <w:rFonts w:ascii="Arial" w:cs="Arial" w:eastAsia="Arial" w:hAnsi="Arial"/>
          <w:sz w:val="22"/>
          <w:szCs w:val="22"/>
          <w:color w:val="auto"/>
        </w:rPr>
        <w:t>MODIFICATIONS TO ANY TRANSACTION DOCUMENT (WHETHER BASED ON CONTRACT, TORT OR ANY OTHER THEORY). THIS WAIVER SHALL APPLY TO ANY SUBSEQUENT AMENDMENTS, RENEWALS, SUPPLEMENTS OR MODIFICATIONS TO ANY TRANSACTION DOCUMENT.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AGREEMENT BY, AMONG OTHER THINGS, THE MUTUAL WAIVERS AND CERTIFICATIONS IN THIS SECTION 8.14.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51</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36" w:name="page137"/>
    <w:bookmarkEnd w:id="136"/>
    <w:p>
      <w:pPr>
        <w:ind w:firstLine="648"/>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Agreement to be duly executed by their respective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as of the date first above written.</w:t>
      </w:r>
    </w:p>
    <w:p>
      <w:pPr>
        <w:spacing w:after="0" w:line="213" w:lineRule="exact"/>
        <w:rPr>
          <w:sz w:val="20"/>
          <w:szCs w:val="20"/>
          <w:color w:val="auto"/>
        </w:rPr>
      </w:pPr>
    </w:p>
    <w:p>
      <w:pPr>
        <w:ind w:left="80"/>
        <w:spacing w:after="0"/>
        <w:tabs>
          <w:tab w:leader="none" w:pos="5280" w:val="left"/>
        </w:tabs>
        <w:rPr>
          <w:sz w:val="20"/>
          <w:szCs w:val="20"/>
          <w:color w:val="auto"/>
        </w:rPr>
      </w:pPr>
      <w:r>
        <w:rPr>
          <w:rFonts w:ascii="Arial" w:cs="Arial" w:eastAsia="Arial" w:hAnsi="Arial"/>
          <w:sz w:val="22"/>
          <w:szCs w:val="22"/>
          <w:color w:val="auto"/>
        </w:rPr>
        <w:t>SELLER:</w:t>
      </w:r>
      <w:r>
        <w:rPr>
          <w:sz w:val="20"/>
          <w:szCs w:val="20"/>
          <w:color w:val="auto"/>
        </w:rPr>
        <w:tab/>
      </w:r>
      <w:r>
        <w:rPr>
          <w:rFonts w:ascii="Arial" w:cs="Arial" w:eastAsia="Arial" w:hAnsi="Arial"/>
          <w:sz w:val="22"/>
          <w:szCs w:val="22"/>
          <w:color w:val="auto"/>
        </w:rPr>
        <w:t>Ardelyx, Inc.</w:t>
      </w:r>
    </w:p>
    <w:p>
      <w:pPr>
        <w:spacing w:after="0" w:line="395"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 Michael Raab</w:t>
      </w:r>
    </w:p>
    <w:p>
      <w:pPr>
        <w:spacing w:after="0" w:line="187"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Michael Raab</w:t>
      </w:r>
    </w:p>
    <w:p>
      <w:pPr>
        <w:jc w:val="center"/>
        <w:ind w:right="-319"/>
        <w:spacing w:after="0"/>
        <w:rPr>
          <w:sz w:val="20"/>
          <w:szCs w:val="20"/>
          <w:color w:val="auto"/>
        </w:rPr>
      </w:pPr>
      <w:r>
        <w:rPr>
          <w:rFonts w:ascii="Arial" w:cs="Arial" w:eastAsia="Arial" w:hAnsi="Arial"/>
          <w:sz w:val="22"/>
          <w:szCs w:val="22"/>
          <w:color w:val="auto"/>
        </w:rPr>
        <w:t>Title: CEO</w:t>
      </w:r>
    </w:p>
    <w:p>
      <w:pPr>
        <w:spacing w:after="0" w:line="215" w:lineRule="exact"/>
        <w:rPr>
          <w:sz w:val="20"/>
          <w:szCs w:val="20"/>
          <w:color w:val="auto"/>
        </w:rPr>
      </w:pPr>
    </w:p>
    <w:p>
      <w:pPr>
        <w:ind w:left="80"/>
        <w:spacing w:after="0"/>
        <w:tabs>
          <w:tab w:leader="none" w:pos="5280" w:val="left"/>
        </w:tabs>
        <w:rPr>
          <w:sz w:val="20"/>
          <w:szCs w:val="20"/>
          <w:color w:val="auto"/>
        </w:rPr>
      </w:pPr>
      <w:r>
        <w:rPr>
          <w:rFonts w:ascii="Arial" w:cs="Arial" w:eastAsia="Arial" w:hAnsi="Arial"/>
          <w:sz w:val="22"/>
          <w:szCs w:val="22"/>
          <w:color w:val="auto"/>
        </w:rPr>
        <w:t>BUYER:</w:t>
      </w:r>
      <w:r>
        <w:rPr>
          <w:sz w:val="20"/>
          <w:szCs w:val="20"/>
          <w:color w:val="auto"/>
        </w:rPr>
        <w:tab/>
      </w:r>
      <w:r>
        <w:rPr>
          <w:rFonts w:ascii="Arial" w:cs="Arial" w:eastAsia="Arial" w:hAnsi="Arial"/>
          <w:sz w:val="22"/>
          <w:szCs w:val="22"/>
          <w:color w:val="auto"/>
        </w:rPr>
        <w:t>HealthCare Royalty Partners IV, L.P.</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 Clarke Futch</w:t>
      </w:r>
    </w:p>
    <w:p>
      <w:pPr>
        <w:spacing w:after="0" w:line="187"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Clarke B. Futch</w:t>
      </w:r>
    </w:p>
    <w:p>
      <w:pPr>
        <w:ind w:left="5300"/>
        <w:spacing w:after="0"/>
        <w:rPr>
          <w:sz w:val="20"/>
          <w:szCs w:val="20"/>
          <w:color w:val="auto"/>
        </w:rPr>
      </w:pPr>
      <w:r>
        <w:rPr>
          <w:rFonts w:ascii="Arial" w:cs="Arial" w:eastAsia="Arial" w:hAnsi="Arial"/>
          <w:sz w:val="22"/>
          <w:szCs w:val="22"/>
          <w:color w:val="auto"/>
        </w:rPr>
        <w:t>Title: Chairman &amp; CEO</w:t>
      </w:r>
    </w:p>
    <w:p>
      <w:pPr>
        <w:sectPr>
          <w:pgSz w:w="11900" w:h="16838" w:orient="portrait"/>
          <w:cols w:equalWidth="0" w:num="1">
            <w:col w:w="11240"/>
          </w:cols>
          <w:pgMar w:left="320" w:top="1394" w:right="339" w:bottom="1440" w:gutter="0" w:footer="0" w:header="0"/>
        </w:sectPr>
      </w:pPr>
    </w:p>
    <w:bookmarkStart w:id="137" w:name="page138"/>
    <w:bookmarkEnd w:id="137"/>
    <w:p>
      <w:pPr>
        <w:jc w:val="center"/>
        <w:ind w:right="-259"/>
        <w:spacing w:after="0"/>
        <w:rPr>
          <w:sz w:val="20"/>
          <w:szCs w:val="20"/>
          <w:color w:val="auto"/>
        </w:rPr>
      </w:pPr>
      <w:r>
        <w:rPr>
          <w:rFonts w:ascii="Arial" w:cs="Arial" w:eastAsia="Arial" w:hAnsi="Arial"/>
          <w:sz w:val="22"/>
          <w:szCs w:val="22"/>
          <w:b w:val="1"/>
          <w:bCs w:val="1"/>
          <w:color w:val="auto"/>
        </w:rPr>
        <w:t>Exhibit A</w:t>
      </w:r>
    </w:p>
    <w:p>
      <w:pPr>
        <w:jc w:val="center"/>
        <w:ind w:right="-259"/>
        <w:spacing w:after="0"/>
        <w:rPr>
          <w:sz w:val="20"/>
          <w:szCs w:val="20"/>
          <w:color w:val="auto"/>
        </w:rPr>
      </w:pPr>
      <w:r>
        <w:rPr>
          <w:rFonts w:ascii="Arial" w:cs="Arial" w:eastAsia="Arial" w:hAnsi="Arial"/>
          <w:sz w:val="22"/>
          <w:szCs w:val="22"/>
          <w:b w:val="1"/>
          <w:bCs w:val="1"/>
          <w:color w:val="auto"/>
        </w:rPr>
        <w:t>License Agreement</w:t>
      </w:r>
    </w:p>
    <w:p>
      <w:pPr>
        <w:spacing w:after="0" w:line="18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Incorporated by reference to Exhibit 10.35 of the Company’s Annual Report on Form 10-K for the fiscal year ended December 31, 2017 and Exhibit 10.1 of the Company’s report on Form 8-K filed in April 11, 2022 filed with the Securities and Exchange Commission.</w:t>
      </w:r>
    </w:p>
    <w:p>
      <w:pPr>
        <w:sectPr>
          <w:pgSz w:w="11900" w:h="16838" w:orient="portrait"/>
          <w:cols w:equalWidth="0" w:num="1">
            <w:col w:w="10980"/>
          </w:cols>
          <w:pgMar w:left="320" w:top="1382" w:right="59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18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7"/>
          <w:szCs w:val="17"/>
          <w:color w:val="auto"/>
        </w:rPr>
        <w:t>THIS FIRST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August 1, 2022, by and among SLR INVESTMENT CORP., a Maryland corporation with an office located at 500 Park Avenue,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New York, NY 10022 (“</w:t>
      </w:r>
      <w:r>
        <w:rPr>
          <w:rFonts w:ascii="Arial" w:cs="Arial" w:eastAsia="Arial" w:hAnsi="Arial"/>
          <w:sz w:val="17"/>
          <w:szCs w:val="17"/>
          <w:b w:val="1"/>
          <w:bCs w:val="1"/>
          <w:color w:val="auto"/>
        </w:rPr>
        <w:t>SLR</w:t>
      </w:r>
      <w:r>
        <w:rPr>
          <w:rFonts w:ascii="Arial" w:cs="Arial" w:eastAsia="Arial" w:hAnsi="Arial"/>
          <w:sz w:val="17"/>
          <w:szCs w:val="17"/>
          <w:color w:val="auto"/>
        </w:rPr>
        <w:t>”), as collateral agent (in such capacity, together with its successors and assigns, “</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the Lenders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thereto or otherwise a party thereto from time to time including SLR in its capacity as a Lender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ARDELYX, INC., a Delaware corporation with offices located at 400 Fifth Avenue, Suite 210, Waltham, MA 02451 (the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62" w:lineRule="exact"/>
        <w:rPr>
          <w:sz w:val="20"/>
          <w:szCs w:val="20"/>
          <w:color w:val="auto"/>
        </w:rPr>
      </w:pPr>
    </w:p>
    <w:p>
      <w:pPr>
        <w:jc w:val="both"/>
        <w:ind w:firstLine="656"/>
        <w:spacing w:after="0" w:line="224" w:lineRule="auto"/>
        <w:tabs>
          <w:tab w:leader="none" w:pos="1091"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Collateral Agent, Borrower and Lenders have entered into that certain Loan and Security Agreement dated as of February 23, 2022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 and</w:t>
      </w:r>
    </w:p>
    <w:p>
      <w:pPr>
        <w:spacing w:after="0" w:line="162" w:lineRule="exact"/>
        <w:rPr>
          <w:rFonts w:ascii="Arial" w:cs="Arial" w:eastAsia="Arial" w:hAnsi="Arial"/>
          <w:sz w:val="18"/>
          <w:szCs w:val="18"/>
          <w:color w:val="auto"/>
        </w:rPr>
      </w:pPr>
    </w:p>
    <w:p>
      <w:pPr>
        <w:ind w:right="20" w:firstLine="656"/>
        <w:spacing w:after="0" w:line="235"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Borrower, Collateral Agent and the Required Lenders have agreed to amend the defined term “Term B Milestone”, subject to, and in accordance with, the terms and conditions set forth herein, and in reliance upon the representations and warranties set forth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89" w:lineRule="exact"/>
        <w:rPr>
          <w:sz w:val="20"/>
          <w:szCs w:val="20"/>
          <w:color w:val="auto"/>
        </w:rPr>
      </w:pPr>
    </w:p>
    <w:p>
      <w:pPr>
        <w:ind w:firstLine="258"/>
        <w:spacing w:after="0" w:line="258" w:lineRule="auto"/>
        <w:rPr>
          <w:sz w:val="20"/>
          <w:szCs w:val="20"/>
          <w:color w:val="auto"/>
        </w:rPr>
      </w:pPr>
      <w:r>
        <w:rPr>
          <w:rFonts w:ascii="Arial" w:cs="Arial" w:eastAsia="Arial" w:hAnsi="Arial"/>
          <w:sz w:val="17"/>
          <w:szCs w:val="17"/>
          <w:color w:val="auto"/>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spacing w:after="0" w:line="14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but not defined in this Amendment shall have the meanings given to them in the Loan Agreement.</w:t>
      </w:r>
    </w:p>
    <w:p>
      <w:pPr>
        <w:spacing w:after="0" w:line="196" w:lineRule="exact"/>
        <w:rPr>
          <w:rFonts w:ascii="Arial" w:cs="Arial" w:eastAsia="Arial" w:hAnsi="Arial"/>
          <w:sz w:val="17"/>
          <w:szCs w:val="17"/>
          <w:b w:val="1"/>
          <w:bCs w:val="1"/>
          <w:color w:val="auto"/>
        </w:rPr>
      </w:pPr>
    </w:p>
    <w:p>
      <w:pPr>
        <w:ind w:right="20" w:firstLine="8"/>
        <w:spacing w:after="0" w:line="237" w:lineRule="auto"/>
        <w:tabs>
          <w:tab w:leader="none" w:pos="64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Loan Agreement. </w:t>
      </w:r>
      <w:r>
        <w:rPr>
          <w:rFonts w:ascii="Arial" w:cs="Arial" w:eastAsia="Arial" w:hAnsi="Arial"/>
          <w:sz w:val="18"/>
          <w:szCs w:val="18"/>
          <w:color w:val="auto"/>
        </w:rPr>
        <w:t>The defined term “Term B Milestone” in Section 1.4 of the Loan Agreement is hereby amended by replacing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reference to December 31, 2022 with March 31, 2023.</w:t>
      </w:r>
    </w:p>
    <w:p>
      <w:pPr>
        <w:spacing w:after="0" w:line="158" w:lineRule="exact"/>
        <w:rPr>
          <w:rFonts w:ascii="Arial" w:cs="Arial" w:eastAsia="Arial" w:hAnsi="Arial"/>
          <w:sz w:val="18"/>
          <w:szCs w:val="18"/>
          <w:b w:val="1"/>
          <w:bCs w:val="1"/>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18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The amendment set forth in Section 2 above is effective for the purposes set forth herein and shall be limited precisely as written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This Amendment shall be construed in connection with and as part of the Loan Documents and all terms, conditions,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covenants and agreements set forth in the Loan Documents are hereby ratified and confirmed and shall remain in full force and effect.</w:t>
      </w:r>
    </w:p>
    <w:p>
      <w:pPr>
        <w:spacing w:after="0" w:line="139" w:lineRule="exact"/>
        <w:rPr>
          <w:sz w:val="20"/>
          <w:szCs w:val="20"/>
          <w:color w:val="auto"/>
        </w:rPr>
      </w:pPr>
    </w:p>
    <w:p>
      <w:pPr>
        <w:ind w:firstLine="8"/>
        <w:spacing w:after="0" w:line="237" w:lineRule="auto"/>
        <w:tabs>
          <w:tab w:leader="none" w:pos="64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the Required Lenders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Collateral Agent and the Required Lenders as follows:</w:t>
      </w:r>
    </w:p>
    <w:p>
      <w:pPr>
        <w:spacing w:after="0" w:line="15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color w:val="auto"/>
        </w:rPr>
        <w:t>Immediately after giving effect to this Amendment (a) the representations and warranties contained in the Loan Documents are true,</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5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Borrower has the power and due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5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The organizational documents of Borrower delivered to Collateral Agent on the Effective Date, and updated pursuant to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deliveries by or on behalf of the Borrower to the Collateral Agent, remain true, accurate and complete and have not been amended, supplemented or restated and are and continue to be in full force and effect;</w:t>
      </w:r>
    </w:p>
    <w:p>
      <w:pPr>
        <w:sectPr>
          <w:pgSz w:w="11900" w:h="16838" w:orient="portrait"/>
          <w:cols w:equalWidth="0" w:num="1">
            <w:col w:w="11240"/>
          </w:cols>
          <w:pgMar w:left="320" w:top="104" w:right="339" w:bottom="1440" w:gutter="0" w:footer="0" w:header="0"/>
        </w:sectPr>
      </w:pPr>
    </w:p>
    <w:bookmarkStart w:id="139" w:name="page140"/>
    <w:bookmarkEnd w:id="139"/>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contravene (i) any material law or regulation binding on or affecting Borrower, (ii) any material contractual restriction with a Person binding on Borrower, (iii) any order, judgment or decree of any court or other governmental or public body or authority, or subdivision thereof, binding on Borrower, or (iv) the organizational documents of Borrower;</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jc w:val="both"/>
        <w:ind w:firstLine="8"/>
        <w:spacing w:after="0" w:line="239" w:lineRule="auto"/>
        <w:tabs>
          <w:tab w:leader="none" w:pos="64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Document. </w:t>
      </w:r>
      <w:r>
        <w:rPr>
          <w:rFonts w:ascii="Arial" w:cs="Arial" w:eastAsia="Arial" w:hAnsi="Arial"/>
          <w:sz w:val="17"/>
          <w:szCs w:val="17"/>
          <w:color w:val="auto"/>
        </w:rPr>
        <w:t>Borrower, Lenders and Collateral Agent agree that this Amendment shall be a Loan Document. Except as expressly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the Loan Agreement and the other Loan Documents shall continue in full force and effect without alteration or amendment. This Amendment and the Loan Documents represent the entire agreement about this subject matter and supersede prior negotiations or agreements.</w:t>
      </w:r>
    </w:p>
    <w:p>
      <w:pPr>
        <w:spacing w:after="0" w:line="158" w:lineRule="exact"/>
        <w:rPr>
          <w:rFonts w:ascii="Arial" w:cs="Arial" w:eastAsia="Arial" w:hAnsi="Arial"/>
          <w:sz w:val="17"/>
          <w:szCs w:val="17"/>
          <w:b w:val="1"/>
          <w:bCs w:val="1"/>
          <w:color w:val="auto"/>
        </w:rPr>
      </w:pPr>
    </w:p>
    <w:p>
      <w:pPr>
        <w:ind w:left="660" w:hanging="652"/>
        <w:spacing w:after="0"/>
        <w:tabs>
          <w:tab w:leader="none" w:pos="6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Effectiveness</w:t>
      </w:r>
      <w:r>
        <w:rPr>
          <w:rFonts w:ascii="Arial" w:cs="Arial" w:eastAsia="Arial" w:hAnsi="Arial"/>
          <w:sz w:val="16"/>
          <w:szCs w:val="16"/>
          <w:color w:val="auto"/>
        </w:rPr>
        <w:t>. This Amendment shall be deemed effective as of the date hereof upon the due execution of this Amendment by the parties thereto.</w:t>
      </w:r>
    </w:p>
    <w:p>
      <w:pPr>
        <w:spacing w:after="0" w:line="207" w:lineRule="exact"/>
        <w:rPr>
          <w:rFonts w:ascii="Arial" w:cs="Arial" w:eastAsia="Arial" w:hAnsi="Arial"/>
          <w:sz w:val="16"/>
          <w:szCs w:val="16"/>
          <w:b w:val="1"/>
          <w:bCs w:val="1"/>
          <w:color w:val="auto"/>
        </w:rPr>
      </w:pPr>
    </w:p>
    <w:p>
      <w:pPr>
        <w:jc w:val="both"/>
        <w:ind w:firstLine="8"/>
        <w:spacing w:after="0" w:line="226" w:lineRule="auto"/>
        <w:tabs>
          <w:tab w:leader="none" w:pos="648"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constitute one and the same instrument. Delivery by electronic transmission (e.g. “.pdf”) of an executed counterpart of this Amendment shall be effective as a manually executed counterpart signature thereof.</w:t>
      </w:r>
    </w:p>
    <w:p>
      <w:pPr>
        <w:spacing w:after="0" w:line="157" w:lineRule="exact"/>
        <w:rPr>
          <w:rFonts w:ascii="Arial" w:cs="Arial" w:eastAsia="Arial" w:hAnsi="Arial"/>
          <w:sz w:val="18"/>
          <w:szCs w:val="18"/>
          <w:b w:val="1"/>
          <w:bCs w:val="1"/>
          <w:color w:val="auto"/>
        </w:rPr>
      </w:pPr>
    </w:p>
    <w:p>
      <w:pPr>
        <w:jc w:val="both"/>
        <w:ind w:firstLine="8"/>
        <w:spacing w:after="0" w:line="225" w:lineRule="auto"/>
        <w:tabs>
          <w:tab w:leader="none" w:pos="64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Execution. </w:t>
      </w:r>
      <w:r>
        <w:rPr>
          <w:rFonts w:ascii="Arial" w:cs="Arial" w:eastAsia="Arial" w:hAnsi="Arial"/>
          <w:sz w:val="17"/>
          <w:szCs w:val="17"/>
          <w:color w:val="auto"/>
        </w:rPr>
        <w:t>The words “execution,” “execute”, “signed,” “signature,” and words of like import in or related to any document to be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1" w:lineRule="exact"/>
        <w:rPr>
          <w:rFonts w:ascii="Arial" w:cs="Arial" w:eastAsia="Arial" w:hAnsi="Arial"/>
          <w:sz w:val="17"/>
          <w:szCs w:val="17"/>
          <w:b w:val="1"/>
          <w:bCs w:val="1"/>
          <w:color w:val="auto"/>
        </w:rPr>
      </w:pPr>
    </w:p>
    <w:p>
      <w:pPr>
        <w:jc w:val="both"/>
        <w:ind w:firstLine="8"/>
        <w:spacing w:after="0" w:line="212" w:lineRule="auto"/>
        <w:tabs>
          <w:tab w:leader="none" w:pos="648"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HEREUNDER SHALL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4" w:right="339" w:bottom="1440" w:gutter="0" w:footer="0" w:header="0"/>
        </w:sectPr>
      </w:pPr>
    </w:p>
    <w:bookmarkStart w:id="140" w:name="page141"/>
    <w:bookmarkEnd w:id="140"/>
    <w:p>
      <w:pPr>
        <w:ind w:firstLine="648"/>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First Amendment to Loan and Security Agreement to be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set forth above.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ARDELYX, INC.</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Justin Renz</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Justin Renz</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INVESTMENT CORP.</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Anthony J. Storino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Anthony J. Storino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SENIOR INVESTMENT CORP.</w:t>
      </w:r>
    </w:p>
    <w:p>
      <w:pPr>
        <w:ind w:left="20"/>
        <w:spacing w:after="0" w:line="203" w:lineRule="auto"/>
        <w:rPr>
          <w:sz w:val="20"/>
          <w:szCs w:val="20"/>
          <w:color w:val="auto"/>
        </w:rPr>
      </w:pPr>
      <w:r>
        <w:rPr>
          <w:rFonts w:ascii="Arial" w:cs="Arial" w:eastAsia="Arial" w:hAnsi="Arial"/>
          <w:sz w:val="18"/>
          <w:szCs w:val="18"/>
          <w:color w:val="auto"/>
        </w:rPr>
        <w:t>SCP PRIVATE CREDIT INCOME FUND SPV, LLC</w:t>
      </w:r>
    </w:p>
    <w:p>
      <w:pPr>
        <w:ind w:left="20"/>
        <w:spacing w:after="0" w:line="203" w:lineRule="auto"/>
        <w:rPr>
          <w:sz w:val="20"/>
          <w:szCs w:val="20"/>
          <w:color w:val="auto"/>
        </w:rPr>
      </w:pPr>
      <w:r>
        <w:rPr>
          <w:rFonts w:ascii="Arial" w:cs="Arial" w:eastAsia="Arial" w:hAnsi="Arial"/>
          <w:sz w:val="18"/>
          <w:szCs w:val="18"/>
          <w:color w:val="auto"/>
        </w:rPr>
        <w:t>SCP PRIVATE CREDIT INCOME BDC SPV LLC</w:t>
      </w:r>
    </w:p>
    <w:p>
      <w:pPr>
        <w:ind w:left="20"/>
        <w:spacing w:after="0" w:line="204" w:lineRule="auto"/>
        <w:rPr>
          <w:sz w:val="20"/>
          <w:szCs w:val="20"/>
          <w:color w:val="auto"/>
        </w:rPr>
      </w:pPr>
      <w:r>
        <w:rPr>
          <w:rFonts w:ascii="Arial" w:cs="Arial" w:eastAsia="Arial" w:hAnsi="Arial"/>
          <w:sz w:val="18"/>
          <w:szCs w:val="18"/>
          <w:color w:val="auto"/>
        </w:rPr>
        <w:t>SCP PRIVATE CORPORATE LENDING FUND SPV LLC</w:t>
      </w:r>
    </w:p>
    <w:p>
      <w:pPr>
        <w:ind w:left="20"/>
        <w:spacing w:after="0" w:line="203" w:lineRule="auto"/>
        <w:rPr>
          <w:sz w:val="20"/>
          <w:szCs w:val="20"/>
          <w:color w:val="auto"/>
        </w:rPr>
      </w:pPr>
      <w:r>
        <w:rPr>
          <w:rFonts w:ascii="Arial" w:cs="Arial" w:eastAsia="Arial" w:hAnsi="Arial"/>
          <w:sz w:val="18"/>
          <w:szCs w:val="18"/>
          <w:color w:val="auto"/>
        </w:rPr>
        <w:t>SCP SF DEBT FUND L.P.</w:t>
      </w:r>
    </w:p>
    <w:p>
      <w:pPr>
        <w:ind w:left="20"/>
        <w:spacing w:after="0" w:line="204" w:lineRule="auto"/>
        <w:rPr>
          <w:sz w:val="20"/>
          <w:szCs w:val="20"/>
          <w:color w:val="auto"/>
        </w:rPr>
      </w:pPr>
      <w:r>
        <w:rPr>
          <w:rFonts w:ascii="Arial" w:cs="Arial" w:eastAsia="Arial" w:hAnsi="Arial"/>
          <w:sz w:val="18"/>
          <w:szCs w:val="18"/>
          <w:color w:val="auto"/>
        </w:rPr>
        <w:t>SLR HC FUND SPV, LLC</w:t>
      </w:r>
    </w:p>
    <w:p>
      <w:pPr>
        <w:ind w:left="20"/>
        <w:spacing w:after="0"/>
        <w:rPr>
          <w:sz w:val="20"/>
          <w:szCs w:val="20"/>
          <w:color w:val="auto"/>
        </w:rPr>
      </w:pPr>
      <w:r>
        <w:rPr>
          <w:rFonts w:ascii="Arial" w:cs="Arial" w:eastAsia="Arial" w:hAnsi="Arial"/>
          <w:sz w:val="18"/>
          <w:szCs w:val="18"/>
          <w:color w:val="auto"/>
        </w:rPr>
        <w:t>SLR HC BDC LLC</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Anthony J.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-635</wp:posOffset>
            </wp:positionV>
            <wp:extent cx="114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Name: Anthony J. Storino</w:t>
      </w:r>
    </w:p>
    <w:p>
      <w:pPr>
        <w:ind w:left="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First Amendment to Loan and Security Agreement</w:t>
      </w:r>
      <w:r>
        <w:rPr>
          <w:rFonts w:ascii="Arial" w:cs="Arial" w:eastAsia="Arial" w:hAnsi="Arial"/>
          <w:sz w:val="18"/>
          <w:szCs w:val="18"/>
          <w:b w:val="1"/>
          <w:bCs w:val="1"/>
          <w:color w:val="auto"/>
        </w:rPr>
        <w:t>]</w:t>
      </w:r>
    </w:p>
    <w:p>
      <w:pPr>
        <w:sectPr>
          <w:pgSz w:w="11900" w:h="16838" w:orient="portrait"/>
          <w:cols w:equalWidth="0" w:num="1">
            <w:col w:w="11240"/>
          </w:cols>
          <w:pgMar w:left="320" w:top="140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ARDELYX, INC.</w:t>
      </w:r>
    </w:p>
    <w:p>
      <w:pPr>
        <w:jc w:val="center"/>
        <w:spacing w:after="0" w:line="197" w:lineRule="auto"/>
        <w:rPr>
          <w:sz w:val="20"/>
          <w:szCs w:val="20"/>
          <w:color w:val="auto"/>
        </w:rPr>
      </w:pPr>
      <w:r>
        <w:rPr>
          <w:rFonts w:ascii="Arial" w:cs="Arial" w:eastAsia="Arial" w:hAnsi="Arial"/>
          <w:sz w:val="20"/>
          <w:szCs w:val="20"/>
          <w:b w:val="1"/>
          <w:bCs w:val="1"/>
          <w:color w:val="auto"/>
        </w:rPr>
        <w:t>SECOND AMENDED AND RESTATED</w:t>
      </w:r>
    </w:p>
    <w:p>
      <w:pPr>
        <w:jc w:val="center"/>
        <w:spacing w:after="0"/>
        <w:rPr>
          <w:sz w:val="20"/>
          <w:szCs w:val="20"/>
          <w:color w:val="auto"/>
        </w:rPr>
      </w:pPr>
      <w:r>
        <w:rPr>
          <w:rFonts w:ascii="Arial" w:cs="Arial" w:eastAsia="Arial" w:hAnsi="Arial"/>
          <w:sz w:val="20"/>
          <w:szCs w:val="20"/>
          <w:b w:val="1"/>
          <w:bCs w:val="1"/>
          <w:color w:val="auto"/>
        </w:rPr>
        <w:t>NON-EMPLOYEE DIRECTOR COMPENSATION PROGRAM</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Ardelyx,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eligible to receive cash and equity compensation as set forth in this Non-Employee Director Compensation Program (this “</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which was adopted pursuant to the Board’s resolutions on May 23, 2014, and amended pursuant to the Board’s resolutions on March 3, 2017, March 14, 2019, March 11, 2021 and June 15, 2022.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who may be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on the date of the closing of the initial public offering of Company common stock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0" w:lineRule="exact"/>
        <w:rPr>
          <w:sz w:val="20"/>
          <w:szCs w:val="20"/>
          <w:color w:val="auto"/>
        </w:rPr>
      </w:pPr>
    </w:p>
    <w:p>
      <w:pPr>
        <w:ind w:left="1000" w:hanging="344"/>
        <w:spacing w:after="0"/>
        <w:tabs>
          <w:tab w:leader="none" w:pos="100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173" w:lineRule="exact"/>
        <w:rPr>
          <w:rFonts w:ascii="Arial" w:cs="Arial" w:eastAsia="Arial" w:hAnsi="Arial"/>
          <w:sz w:val="20"/>
          <w:szCs w:val="20"/>
          <w:color w:val="auto"/>
        </w:rPr>
      </w:pPr>
    </w:p>
    <w:p>
      <w:pPr>
        <w:ind w:left="1720" w:hanging="416"/>
        <w:spacing w:after="0"/>
        <w:tabs>
          <w:tab w:leader="none" w:pos="172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be eligible to receive an annual retainer of $45,000 for service on</w:t>
      </w:r>
    </w:p>
    <w:p>
      <w:pPr>
        <w:spacing w:after="0"/>
        <w:rPr>
          <w:rFonts w:ascii="Arial" w:cs="Arial" w:eastAsia="Arial" w:hAnsi="Arial"/>
          <w:sz w:val="18"/>
          <w:szCs w:val="18"/>
          <w:color w:val="auto"/>
        </w:rPr>
      </w:pPr>
      <w:r>
        <w:rPr>
          <w:rFonts w:ascii="Arial" w:cs="Arial" w:eastAsia="Arial" w:hAnsi="Arial"/>
          <w:sz w:val="20"/>
          <w:szCs w:val="20"/>
          <w:color w:val="auto"/>
        </w:rPr>
        <w:t>the Board.</w:t>
      </w:r>
    </w:p>
    <w:p>
      <w:pPr>
        <w:spacing w:after="0" w:line="159" w:lineRule="exact"/>
        <w:rPr>
          <w:rFonts w:ascii="Arial" w:cs="Arial" w:eastAsia="Arial" w:hAnsi="Arial"/>
          <w:sz w:val="18"/>
          <w:szCs w:val="18"/>
          <w:color w:val="auto"/>
        </w:rPr>
      </w:pPr>
    </w:p>
    <w:p>
      <w:pPr>
        <w:ind w:left="1740" w:hanging="436"/>
        <w:spacing w:after="0"/>
        <w:tabs>
          <w:tab w:leader="none" w:pos="1740"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a Non-Employee Director shall receive the following annual retainers:</w:t>
      </w:r>
    </w:p>
    <w:p>
      <w:pPr>
        <w:spacing w:after="0" w:line="186" w:lineRule="exact"/>
        <w:rPr>
          <w:rFonts w:ascii="Arial" w:cs="Arial" w:eastAsia="Arial" w:hAnsi="Arial"/>
          <w:sz w:val="19"/>
          <w:szCs w:val="19"/>
          <w:color w:val="auto"/>
        </w:rPr>
      </w:pPr>
    </w:p>
    <w:p>
      <w:pPr>
        <w:ind w:firstLine="1952"/>
        <w:spacing w:after="0" w:line="229" w:lineRule="auto"/>
        <w:tabs>
          <w:tab w:leader="none" w:pos="2329" w:val="left"/>
        </w:tabs>
        <w:numPr>
          <w:ilvl w:val="2"/>
          <w:numId w:val="87"/>
        </w:numPr>
        <w:rPr>
          <w:rFonts w:ascii="Arial" w:cs="Arial" w:eastAsia="Arial" w:hAnsi="Arial"/>
          <w:sz w:val="20"/>
          <w:szCs w:val="20"/>
          <w:color w:val="auto"/>
        </w:rPr>
      </w:pPr>
      <w:r>
        <w:rPr>
          <w:rFonts w:ascii="Arial" w:cs="Arial" w:eastAsia="Arial" w:hAnsi="Arial"/>
          <w:sz w:val="20"/>
          <w:szCs w:val="20"/>
          <w:u w:val="single" w:color="auto"/>
          <w:color w:val="auto"/>
        </w:rPr>
        <w:t>Chairman of the Board</w:t>
      </w:r>
      <w:r>
        <w:rPr>
          <w:rFonts w:ascii="Arial" w:cs="Arial" w:eastAsia="Arial" w:hAnsi="Arial"/>
          <w:sz w:val="20"/>
          <w:szCs w:val="20"/>
          <w:color w:val="auto"/>
        </w:rPr>
        <w:t>. A Non-Employee Director serving as Chairman of the Board shall receive an additional annual retainer of $30,000 for such service.</w:t>
      </w:r>
    </w:p>
    <w:p>
      <w:pPr>
        <w:spacing w:after="0" w:line="155" w:lineRule="exact"/>
        <w:rPr>
          <w:rFonts w:ascii="Arial" w:cs="Arial" w:eastAsia="Arial" w:hAnsi="Arial"/>
          <w:sz w:val="20"/>
          <w:szCs w:val="20"/>
          <w:color w:val="auto"/>
        </w:rPr>
      </w:pPr>
    </w:p>
    <w:p>
      <w:pPr>
        <w:jc w:val="both"/>
        <w:ind w:firstLine="1952"/>
        <w:spacing w:after="0" w:line="218" w:lineRule="auto"/>
        <w:tabs>
          <w:tab w:leader="none" w:pos="2424" w:val="left"/>
        </w:tabs>
        <w:numPr>
          <w:ilvl w:val="2"/>
          <w:numId w:val="87"/>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56" w:lineRule="exact"/>
        <w:rPr>
          <w:rFonts w:ascii="Arial" w:cs="Arial" w:eastAsia="Arial" w:hAnsi="Arial"/>
          <w:sz w:val="20"/>
          <w:szCs w:val="20"/>
          <w:color w:val="auto"/>
        </w:rPr>
      </w:pPr>
    </w:p>
    <w:p>
      <w:pPr>
        <w:jc w:val="both"/>
        <w:ind w:right="20" w:firstLine="1952"/>
        <w:spacing w:after="0" w:line="230" w:lineRule="auto"/>
        <w:tabs>
          <w:tab w:leader="none" w:pos="2438" w:val="left"/>
        </w:tabs>
        <w:numPr>
          <w:ilvl w:val="2"/>
          <w:numId w:val="87"/>
        </w:numPr>
        <w:rPr>
          <w:rFonts w:ascii="Arial" w:cs="Arial" w:eastAsia="Arial" w:hAnsi="Arial"/>
          <w:sz w:val="19"/>
          <w:szCs w:val="19"/>
          <w:color w:val="auto"/>
        </w:rPr>
      </w:pP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55" w:lineRule="exact"/>
        <w:rPr>
          <w:sz w:val="20"/>
          <w:szCs w:val="20"/>
          <w:color w:val="auto"/>
        </w:rPr>
      </w:pPr>
    </w:p>
    <w:p>
      <w:pPr>
        <w:jc w:val="both"/>
        <w:ind w:firstLine="1952"/>
        <w:spacing w:after="0" w:line="213" w:lineRule="auto"/>
        <w:tabs>
          <w:tab w:leader="none" w:pos="2504"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155" w:lineRule="exact"/>
        <w:rPr>
          <w:rFonts w:ascii="Arial" w:cs="Arial" w:eastAsia="Arial" w:hAnsi="Arial"/>
          <w:sz w:val="20"/>
          <w:szCs w:val="20"/>
          <w:color w:val="auto"/>
        </w:rPr>
      </w:pPr>
    </w:p>
    <w:p>
      <w:pPr>
        <w:jc w:val="both"/>
        <w:ind w:firstLine="530"/>
        <w:spacing w:after="0" w:line="218" w:lineRule="auto"/>
        <w:tabs>
          <w:tab w:leader="none" w:pos="100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Payment of Retainers</w:t>
      </w:r>
      <w:r>
        <w:rPr>
          <w:rFonts w:ascii="Arial" w:cs="Arial" w:eastAsia="Arial" w:hAnsi="Arial"/>
          <w:sz w:val="19"/>
          <w:szCs w:val="19"/>
          <w:color w:val="auto"/>
        </w:rPr>
        <w:t>. The annual retainers described in Sections 1(a) and 1(b) (the “</w:t>
      </w:r>
      <w:r>
        <w:rPr>
          <w:rFonts w:ascii="Arial" w:cs="Arial" w:eastAsia="Arial" w:hAnsi="Arial"/>
          <w:sz w:val="19"/>
          <w:szCs w:val="19"/>
          <w:b w:val="1"/>
          <w:bCs w:val="1"/>
          <w:i w:val="1"/>
          <w:iCs w:val="1"/>
          <w:color w:val="auto"/>
        </w:rPr>
        <w:t>Annual Retainers</w:t>
      </w:r>
      <w:r>
        <w:rPr>
          <w:rFonts w:ascii="Arial" w:cs="Arial" w:eastAsia="Arial" w:hAnsi="Arial"/>
          <w:sz w:val="19"/>
          <w:szCs w:val="19"/>
          <w:color w:val="auto"/>
        </w:rPr>
        <w:t>”) shall be paid by the Company in a single cash lump sum immediately following the Effective Date and on the date of each annual meeting of the Company’s stockholders after the Effective Date. In the event a Non-Employee Director is initially elected or appointed to the Board or a committee thereunder on a date other than the date of an annual meeting of the Company’s stockholders, the Annual Retainers paid to such Non-Employee Director shall be paid on the date of election or appointment, prorated to reflect the number of months (rounded up to the next whole month) remaining until the next annual meeting of the Company’s stockholders.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42" w:name="page143"/>
    <w:bookmarkEnd w:id="142"/>
    <w:p>
      <w:pPr>
        <w:jc w:val="both"/>
        <w:ind w:firstLine="570"/>
        <w:spacing w:after="0" w:line="213" w:lineRule="auto"/>
        <w:tabs>
          <w:tab w:leader="none" w:pos="114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Election to Receive Stock in Lieu of Cash</w:t>
      </w:r>
      <w:r>
        <w:rPr>
          <w:rFonts w:ascii="Arial" w:cs="Arial" w:eastAsia="Arial" w:hAnsi="Arial"/>
          <w:sz w:val="19"/>
          <w:szCs w:val="19"/>
          <w:color w:val="auto"/>
        </w:rPr>
        <w:t>. After the first payment of Annual Retainers following the Effective Date, Non-Employee Directors shall have the ability to elect to receive the Annual Retainers in an award of stock in lieu of cash pursuant to an election form provided by the Company for such purpose. Non-Employee Directors must complete and deliver the election form to the Company no later than 15 days prior to the next annual meeting of the Company’s stockholders. In the event that a Non-Employee Director makes an election to receive the Annual Retainers in an award of stock in lieu of cash, on the annual meeting of the Company’s stockholders, he or she will automatically be granted that number of shares of fully vested Company common stock calculated by dividing the aggregate amount of the Annual Retainers by the Fair Market Value (as defined in the Equity Plan (as defined below)) of a share of Company common stock on the date of grant, rounded down to the nearest whole share. The stock awards shall be granted under and shall be subject to the terms and provisions of the Company’s 2014 Equity Incentive Award Plan or any other applicable Company equity incentive plan then-maintained by the Company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In the event of any inconsistency between the Equity Plan and this Program, the terms of this Program shall control.</w:t>
      </w:r>
    </w:p>
    <w:p>
      <w:pPr>
        <w:spacing w:after="0" w:line="189" w:lineRule="exact"/>
        <w:rPr>
          <w:rFonts w:ascii="Arial" w:cs="Arial" w:eastAsia="Arial" w:hAnsi="Arial"/>
          <w:sz w:val="19"/>
          <w:szCs w:val="19"/>
          <w:color w:val="auto"/>
        </w:rPr>
      </w:pPr>
    </w:p>
    <w:p>
      <w:pPr>
        <w:jc w:val="both"/>
        <w:ind w:firstLine="656"/>
        <w:spacing w:after="0" w:line="207" w:lineRule="auto"/>
        <w:tabs>
          <w:tab w:leader="none" w:pos="1102" w:val="left"/>
        </w:tabs>
        <w:numPr>
          <w:ilvl w:val="1"/>
          <w:numId w:val="90"/>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 Non-Employee Directors shall be granted the equity awards described below. The awards described below shall be granted under and shall be subject to the terms and provisions of the Equity Plan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In the event of any inconsistency between the Equity Plan and this Program, the terms of this Program shall control.</w:t>
      </w:r>
    </w:p>
    <w:p>
      <w:pPr>
        <w:spacing w:after="0" w:line="159" w:lineRule="exact"/>
        <w:rPr>
          <w:rFonts w:ascii="Arial" w:cs="Arial" w:eastAsia="Arial" w:hAnsi="Arial"/>
          <w:sz w:val="20"/>
          <w:szCs w:val="20"/>
          <w:color w:val="auto"/>
        </w:rPr>
      </w:pPr>
    </w:p>
    <w:p>
      <w:pPr>
        <w:jc w:val="both"/>
        <w:ind w:firstLine="874"/>
        <w:spacing w:after="0" w:line="216" w:lineRule="auto"/>
        <w:tabs>
          <w:tab w:leader="none" w:pos="1304" w:val="left"/>
        </w:tabs>
        <w:numPr>
          <w:ilvl w:val="2"/>
          <w:numId w:val="90"/>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 xml:space="preserve">. Each Non-Employee Director who is initially elected or appointed to the Board after the Effective Date shall be eligible to receive, on the date of such initial election or appointment, an option to purchase </w:t>
      </w:r>
      <w:r>
        <w:rPr>
          <w:rFonts w:ascii="Arial" w:cs="Arial" w:eastAsia="Arial" w:hAnsi="Arial"/>
          <w:sz w:val="21"/>
          <w:szCs w:val="21"/>
          <w:color w:val="auto"/>
        </w:rPr>
        <w:t>shares of the Company’s common stock</w:t>
      </w:r>
      <w:r>
        <w:rPr>
          <w:rFonts w:ascii="Arial" w:cs="Arial" w:eastAsia="Arial" w:hAnsi="Arial"/>
          <w:sz w:val="20"/>
          <w:szCs w:val="20"/>
          <w:color w:val="auto"/>
        </w:rPr>
        <w:t xml:space="preserve"> </w:t>
      </w:r>
      <w:r>
        <w:rPr>
          <w:rFonts w:ascii="Arial" w:cs="Arial" w:eastAsia="Arial" w:hAnsi="Arial"/>
          <w:sz w:val="21"/>
          <w:szCs w:val="21"/>
          <w:color w:val="auto"/>
        </w:rPr>
        <w:t xml:space="preserve">with a grant date fair value of $300,000, but with a maximum number of shares of 200,000 shares </w:t>
      </w:r>
      <w:r>
        <w:rPr>
          <w:rFonts w:ascii="Arial" w:cs="Arial" w:eastAsia="Arial" w:hAnsi="Arial"/>
          <w:sz w:val="19"/>
          <w:szCs w:val="19"/>
          <w:color w:val="auto"/>
        </w:rPr>
        <w:t>of the Company’s common stock.</w:t>
      </w:r>
      <w:r>
        <w:rPr>
          <w:rFonts w:ascii="Arial" w:cs="Arial" w:eastAsia="Arial" w:hAnsi="Arial"/>
          <w:sz w:val="21"/>
          <w:szCs w:val="21"/>
          <w:color w:val="auto"/>
        </w:rPr>
        <w:t xml:space="preserve"> </w:t>
      </w:r>
      <w:r>
        <w:rPr>
          <w:rFonts w:ascii="Arial" w:cs="Arial" w:eastAsia="Arial" w:hAnsi="Arial"/>
          <w:sz w:val="19"/>
          <w:szCs w:val="19"/>
          <w:color w:val="auto"/>
        </w:rPr>
        <w:t>The awards described in this Section 2(a) shall be referred to as “</w:t>
      </w:r>
      <w:r>
        <w:rPr>
          <w:rFonts w:ascii="Arial" w:cs="Arial" w:eastAsia="Arial" w:hAnsi="Arial"/>
          <w:sz w:val="19"/>
          <w:szCs w:val="19"/>
          <w:b w:val="1"/>
          <w:bCs w:val="1"/>
          <w:i w:val="1"/>
          <w:iCs w:val="1"/>
          <w:color w:val="auto"/>
        </w:rPr>
        <w:t>Initial Awards</w:t>
      </w:r>
      <w:r>
        <w:rPr>
          <w:rFonts w:ascii="Arial" w:cs="Arial" w:eastAsia="Arial" w:hAnsi="Arial"/>
          <w:sz w:val="19"/>
          <w:szCs w:val="19"/>
          <w:color w:val="auto"/>
        </w:rPr>
        <w:t>.” No Non-Employee Director shall be granted more than one Initial Award.</w:t>
      </w:r>
    </w:p>
    <w:p>
      <w:pPr>
        <w:spacing w:after="0" w:line="159" w:lineRule="exact"/>
        <w:rPr>
          <w:rFonts w:ascii="Arial" w:cs="Arial" w:eastAsia="Arial" w:hAnsi="Arial"/>
          <w:sz w:val="20"/>
          <w:szCs w:val="20"/>
          <w:color w:val="auto"/>
        </w:rPr>
      </w:pPr>
    </w:p>
    <w:p>
      <w:pPr>
        <w:jc w:val="both"/>
        <w:ind w:firstLine="854"/>
        <w:spacing w:after="0"/>
        <w:tabs>
          <w:tab w:leader="none" w:pos="1274" w:val="left"/>
        </w:tabs>
        <w:numPr>
          <w:ilvl w:val="2"/>
          <w:numId w:val="90"/>
        </w:numPr>
        <w:rPr>
          <w:rFonts w:ascii="Arial" w:cs="Arial" w:eastAsia="Arial" w:hAnsi="Arial"/>
          <w:sz w:val="18"/>
          <w:szCs w:val="18"/>
          <w:color w:val="auto"/>
        </w:rPr>
      </w:pPr>
      <w:r>
        <w:rPr>
          <w:rFonts w:ascii="Arial" w:cs="Arial" w:eastAsia="Arial" w:hAnsi="Arial"/>
          <w:sz w:val="18"/>
          <w:szCs w:val="18"/>
          <w:u w:val="single" w:color="auto"/>
          <w:color w:val="auto"/>
        </w:rPr>
        <w:t>Subsequent Awards</w:t>
      </w:r>
      <w:r>
        <w:rPr>
          <w:rFonts w:ascii="Arial" w:cs="Arial" w:eastAsia="Arial" w:hAnsi="Arial"/>
          <w:sz w:val="18"/>
          <w:szCs w:val="18"/>
          <w:color w:val="auto"/>
        </w:rPr>
        <w:t xml:space="preserve">.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option to purchase </w:t>
      </w:r>
      <w:r>
        <w:rPr>
          <w:rFonts w:ascii="Arial" w:cs="Arial" w:eastAsia="Arial" w:hAnsi="Arial"/>
          <w:sz w:val="19"/>
          <w:szCs w:val="19"/>
          <w:color w:val="auto"/>
        </w:rPr>
        <w:t>shares of the</w:t>
      </w:r>
      <w:r>
        <w:rPr>
          <w:rFonts w:ascii="Arial" w:cs="Arial" w:eastAsia="Arial" w:hAnsi="Arial"/>
          <w:sz w:val="18"/>
          <w:szCs w:val="18"/>
          <w:color w:val="auto"/>
        </w:rPr>
        <w:t xml:space="preserve"> </w:t>
      </w:r>
      <w:r>
        <w:rPr>
          <w:rFonts w:ascii="Arial" w:cs="Arial" w:eastAsia="Arial" w:hAnsi="Arial"/>
          <w:sz w:val="19"/>
          <w:szCs w:val="19"/>
          <w:color w:val="auto"/>
        </w:rPr>
        <w:t xml:space="preserve">Company’s common stock with a grant date fair value of $150,000, but with a maximum number of shares of 100,000 shares </w:t>
      </w:r>
      <w:r>
        <w:rPr>
          <w:rFonts w:ascii="Arial" w:cs="Arial" w:eastAsia="Arial" w:hAnsi="Arial"/>
          <w:sz w:val="17"/>
          <w:szCs w:val="17"/>
          <w:color w:val="auto"/>
        </w:rPr>
        <w:t>of</w:t>
      </w:r>
      <w:r>
        <w:rPr>
          <w:rFonts w:ascii="Arial" w:cs="Arial" w:eastAsia="Arial" w:hAnsi="Arial"/>
          <w:sz w:val="19"/>
          <w:szCs w:val="19"/>
          <w:color w:val="auto"/>
        </w:rPr>
        <w:t xml:space="preserve"> </w:t>
      </w:r>
      <w:r>
        <w:rPr>
          <w:rFonts w:ascii="Arial" w:cs="Arial" w:eastAsia="Arial" w:hAnsi="Arial"/>
          <w:sz w:val="17"/>
          <w:szCs w:val="17"/>
          <w:color w:val="auto"/>
        </w:rPr>
        <w:t>the Company’s common stock. The awards described in this Section 2(b) shall be referred to as “</w:t>
      </w:r>
      <w:r>
        <w:rPr>
          <w:rFonts w:ascii="Arial" w:cs="Arial" w:eastAsia="Arial" w:hAnsi="Arial"/>
          <w:sz w:val="17"/>
          <w:szCs w:val="17"/>
          <w:b w:val="1"/>
          <w:bCs w:val="1"/>
          <w:i w:val="1"/>
          <w:iCs w:val="1"/>
          <w:color w:val="auto"/>
        </w:rPr>
        <w:t>Subsequent Awards</w:t>
      </w:r>
      <w:r>
        <w:rPr>
          <w:rFonts w:ascii="Arial" w:cs="Arial" w:eastAsia="Arial" w:hAnsi="Arial"/>
          <w:sz w:val="17"/>
          <w:szCs w:val="17"/>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28" w:lineRule="exact"/>
        <w:rPr>
          <w:rFonts w:ascii="Arial" w:cs="Arial" w:eastAsia="Arial" w:hAnsi="Arial"/>
          <w:sz w:val="18"/>
          <w:szCs w:val="18"/>
          <w:color w:val="auto"/>
        </w:rPr>
      </w:pPr>
    </w:p>
    <w:p>
      <w:pPr>
        <w:jc w:val="both"/>
        <w:ind w:firstLine="1304"/>
        <w:spacing w:after="0" w:line="210" w:lineRule="auto"/>
        <w:tabs>
          <w:tab w:leader="none" w:pos="1808" w:val="left"/>
        </w:tabs>
        <w:numPr>
          <w:ilvl w:val="4"/>
          <w:numId w:val="90"/>
        </w:numPr>
        <w:rPr>
          <w:rFonts w:ascii="Arial" w:cs="Arial" w:eastAsia="Arial" w:hAnsi="Arial"/>
          <w:sz w:val="20"/>
          <w:szCs w:val="20"/>
          <w:color w:val="auto"/>
        </w:rPr>
      </w:pPr>
      <w:r>
        <w:rPr>
          <w:rFonts w:ascii="Arial" w:cs="Arial" w:eastAsia="Arial" w:hAnsi="Arial"/>
          <w:sz w:val="20"/>
          <w:szCs w:val="20"/>
          <w:u w:val="single" w:color="auto"/>
          <w:color w:val="auto"/>
        </w:rPr>
        <w:t>Termination of Service of Employee Directors</w:t>
      </w:r>
      <w:r>
        <w:rPr>
          <w:rFonts w:ascii="Arial" w:cs="Arial" w:eastAsia="Arial" w:hAnsi="Arial"/>
          <w:sz w:val="20"/>
          <w:szCs w:val="20"/>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54" w:lineRule="exact"/>
        <w:rPr>
          <w:rFonts w:ascii="Arial" w:cs="Arial" w:eastAsia="Arial" w:hAnsi="Arial"/>
          <w:sz w:val="20"/>
          <w:szCs w:val="20"/>
          <w:color w:val="auto"/>
        </w:rPr>
      </w:pPr>
    </w:p>
    <w:p>
      <w:pPr>
        <w:ind w:left="1740" w:hanging="436"/>
        <w:spacing w:after="0"/>
        <w:tabs>
          <w:tab w:leader="none" w:pos="1740" w:val="left"/>
        </w:tabs>
        <w:numPr>
          <w:ilvl w:val="4"/>
          <w:numId w:val="90"/>
        </w:numPr>
        <w:rPr>
          <w:rFonts w:ascii="Arial" w:cs="Arial" w:eastAsia="Arial" w:hAnsi="Arial"/>
          <w:sz w:val="20"/>
          <w:szCs w:val="20"/>
          <w:color w:val="auto"/>
        </w:rPr>
      </w:pPr>
      <w:r>
        <w:rPr>
          <w:rFonts w:ascii="Arial" w:cs="Arial" w:eastAsia="Arial" w:hAnsi="Arial"/>
          <w:sz w:val="20"/>
          <w:szCs w:val="20"/>
          <w:u w:val="single" w:color="auto"/>
          <w:color w:val="auto"/>
        </w:rPr>
        <w:t>Terms of Awards Granted to Non-Employee Directors</w:t>
      </w:r>
    </w:p>
    <w:p>
      <w:pPr>
        <w:spacing w:after="0" w:line="175" w:lineRule="exact"/>
        <w:rPr>
          <w:rFonts w:ascii="Arial" w:cs="Arial" w:eastAsia="Arial" w:hAnsi="Arial"/>
          <w:sz w:val="20"/>
          <w:szCs w:val="20"/>
          <w:color w:val="auto"/>
        </w:rPr>
      </w:pPr>
    </w:p>
    <w:p>
      <w:pPr>
        <w:ind w:firstLine="1196"/>
        <w:spacing w:after="0" w:line="229" w:lineRule="auto"/>
        <w:tabs>
          <w:tab w:leader="none" w:pos="1707" w:val="left"/>
        </w:tabs>
        <w:numPr>
          <w:ilvl w:val="3"/>
          <w:numId w:val="90"/>
        </w:numPr>
        <w:rPr>
          <w:rFonts w:ascii="Arial" w:cs="Arial" w:eastAsia="Arial" w:hAnsi="Arial"/>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per share exercise price of each option granted to a Non-Employee Director shall equal the Fair Market Value (as defined in the Equity Plan) of a share of common stock on the date the option is granted.</w:t>
      </w:r>
    </w:p>
    <w:p>
      <w:pPr>
        <w:spacing w:after="0" w:line="155" w:lineRule="exact"/>
        <w:rPr>
          <w:rFonts w:ascii="Arial" w:cs="Arial" w:eastAsia="Arial" w:hAnsi="Arial"/>
          <w:sz w:val="20"/>
          <w:szCs w:val="20"/>
          <w:color w:val="auto"/>
        </w:rPr>
      </w:pPr>
    </w:p>
    <w:p>
      <w:pPr>
        <w:jc w:val="both"/>
        <w:ind w:firstLine="1151"/>
        <w:spacing w:after="0" w:line="218" w:lineRule="auto"/>
        <w:tabs>
          <w:tab w:leader="none" w:pos="1632" w:val="left"/>
        </w:tabs>
        <w:numPr>
          <w:ilvl w:val="3"/>
          <w:numId w:val="90"/>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Each Initial Award shall vest and become exercisable with respect to 1/36th of the shares subject to the Initial Award on each monthly anniversary of the date of grant, subject to the Non-Employee Director continuing in service on the Board through each such vesting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5" w:right="339" w:bottom="1440" w:gutter="0" w:footer="0" w:header="0"/>
        </w:sectPr>
      </w:pPr>
    </w:p>
    <w:bookmarkStart w:id="143" w:name="page144"/>
    <w:bookmarkEnd w:id="143"/>
    <w:p>
      <w:pPr>
        <w:jc w:val="both"/>
        <w:spacing w:after="0" w:line="228" w:lineRule="auto"/>
        <w:rPr>
          <w:sz w:val="20"/>
          <w:szCs w:val="20"/>
          <w:color w:val="auto"/>
        </w:rPr>
      </w:pPr>
      <w:r>
        <w:rPr>
          <w:rFonts w:ascii="Arial" w:cs="Arial" w:eastAsia="Arial" w:hAnsi="Arial"/>
          <w:sz w:val="18"/>
          <w:szCs w:val="18"/>
          <w:color w:val="auto"/>
        </w:rPr>
        <w:t>date. Each Subsequent Award shall vest and become exercisable with respect to 1/12th of the shares subject to the Subsequent Award on each monthly anniversary of the date of grant, which vesting will accelerate in full immediately prior to the next annual meeting of the Company’s stockholders after the date of grant to the extent unvested as of such date, subject to the Non-Employee Director continuing in service on the Board through each such vesting date. Unless as otherwise specified herein, no portion of an Initial Award or Subsequent Award which is unvested or unexercisable at the time of a Non-Employee Director’s termination of service on the Board shall become vested and exercisable thereafter. All of a Non-Employee Director’s Initial Awards and Subsequent Awards, and any other stock options or other equity-based awards outstanding and held by the Non-Employee Director, shall vest in full immediately prior to the occurrence of a Change in Control (as defined in the Equity Plan), to the extent outstanding at such time.</w:t>
      </w:r>
    </w:p>
    <w:p>
      <w:pPr>
        <w:spacing w:after="0" w:line="130"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The term of each stock option granted to a Non-Employee Director shall be ten (10) years from the date</w:t>
      </w:r>
    </w:p>
    <w:p>
      <w:pPr>
        <w:spacing w:after="0"/>
        <w:rPr>
          <w:sz w:val="20"/>
          <w:szCs w:val="20"/>
          <w:color w:val="auto"/>
        </w:rPr>
      </w:pPr>
      <w:r>
        <w:rPr>
          <w:rFonts w:ascii="Arial" w:cs="Arial" w:eastAsia="Arial" w:hAnsi="Arial"/>
          <w:sz w:val="20"/>
          <w:szCs w:val="20"/>
          <w:color w:val="auto"/>
        </w:rPr>
        <w:t>the option is granted.</w:t>
      </w:r>
    </w:p>
    <w:p>
      <w:pPr>
        <w:spacing w:after="0" w:line="159" w:lineRule="exact"/>
        <w:rPr>
          <w:sz w:val="20"/>
          <w:szCs w:val="20"/>
          <w:color w:val="auto"/>
        </w:rPr>
      </w:pPr>
    </w:p>
    <w:p>
      <w:pPr>
        <w:jc w:val="both"/>
        <w:ind w:right="20" w:firstLine="656"/>
        <w:spacing w:after="0" w:line="244" w:lineRule="auto"/>
        <w:tabs>
          <w:tab w:leader="none" w:pos="107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Reimbursements</w:t>
      </w:r>
      <w:r>
        <w:rPr>
          <w:rFonts w:ascii="Arial" w:cs="Arial" w:eastAsia="Arial" w:hAnsi="Arial"/>
          <w:sz w:val="18"/>
          <w:szCs w:val="18"/>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47"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22"/>
          <w:szCs w:val="22"/>
          <w:color w:val="auto"/>
        </w:rPr>
        <w:t>* * * * *</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6180" w:val="left"/>
          <w:tab w:leader="none" w:pos="84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66"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Quartlery Report of Ardelyx, Inc. (the “Company”) on Form 10-Q for the period ending June 30, 2022,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46" w:lineRule="exact"/>
        <w:rPr>
          <w:sz w:val="20"/>
          <w:szCs w:val="20"/>
          <w:color w:val="auto"/>
        </w:rPr>
      </w:pPr>
    </w:p>
    <w:p>
      <w:pPr>
        <w:ind w:left="640" w:hanging="308"/>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ind w:left="20"/>
        <w:spacing w:after="0"/>
        <w:tabs>
          <w:tab w:leader="none" w:pos="6140" w:val="left"/>
          <w:tab w:leader="none" w:pos="83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9146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606"/>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amp;"/>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2"/>
      <w:numFmt w:val="decimal"/>
      <w:start w:val="104"/>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lowerLetter"/>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lowerLetter"/>
      <w:start w:val="3"/>
    </w:lvl>
  </w:abstractNum>
  <w:abstractNum w:abstractNumId="42">
    <w:nsid w:val="100F8FC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3">
    <w:nsid w:val="6590700B"/>
    <w:multiLevelType w:val="hybridMultilevel"/>
    <w:lvl w:ilvl="0">
      <w:lvlJc w:val="left"/>
      <w:lvlText w:val="(%1)"/>
      <w:numFmt w:val="lowerRoman"/>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3"/>
    </w:lvl>
  </w:abstractNum>
  <w:abstractNum w:abstractNumId="47">
    <w:nsid w:val="799D0247"/>
    <w:multiLevelType w:val="hybridMultilevel"/>
    <w:lvl w:ilvl="0">
      <w:lvlJc w:val="left"/>
      <w:lvlText w:val="(%1)"/>
      <w:numFmt w:val="lowerLetter"/>
      <w:start w:val="7"/>
    </w:lvl>
  </w:abstractNum>
  <w:abstractNum w:abstractNumId="48">
    <w:nsid w:val="6B94764"/>
    <w:multiLevelType w:val="hybridMultilevel"/>
    <w:lvl w:ilvl="0">
      <w:lvlJc w:val="left"/>
      <w:lvlText w:val="(%1)"/>
      <w:numFmt w:val="lowerLetter"/>
      <w:start w:val="10"/>
    </w:lvl>
    <w:lvl w:ilvl="1">
      <w:lvlJc w:val="left"/>
      <w:lvlText w:val="(%2)"/>
      <w:numFmt w:val="lowerRoman"/>
      <w:start w:val="1"/>
    </w:lvl>
  </w:abstractNum>
  <w:abstractNum w:abstractNumId="49">
    <w:nsid w:val="42C296BD"/>
    <w:multiLevelType w:val="hybridMultilevel"/>
    <w:lvl w:ilvl="0">
      <w:lvlJc w:val="left"/>
      <w:lvlText w:val="%1"/>
      <w:numFmt w:val="lowerLetter"/>
      <w:start w:val="1"/>
    </w:lvl>
    <w:lvl w:ilvl="1">
      <w:lvlJc w:val="left"/>
      <w:lvlText w:val="(%2)"/>
      <w:numFmt w:val="lowerRoman"/>
      <w:start w:val="3"/>
    </w:lvl>
  </w:abstractNum>
  <w:abstractNum w:abstractNumId="50">
    <w:nsid w:val="168E121F"/>
    <w:multiLevelType w:val="hybridMultilevel"/>
    <w:lvl w:ilvl="0">
      <w:lvlJc w:val="left"/>
      <w:lvlText w:val="(%1)"/>
      <w:numFmt w:val="lowerLetter"/>
      <w:start w:val="19"/>
    </w:lvl>
    <w:lvl w:ilvl="1">
      <w:lvlJc w:val="left"/>
      <w:lvlText w:val="%2"/>
      <w:numFmt w:val="lowerRoman"/>
      <w:start w:val="1"/>
    </w:lvl>
  </w:abstractNum>
  <w:abstractNum w:abstractNumId="51">
    <w:nsid w:val="1EBA5D23"/>
    <w:multiLevelType w:val="hybridMultilevel"/>
    <w:lvl w:ilvl="0">
      <w:lvlJc w:val="left"/>
      <w:lvlText w:val="(%1)"/>
      <w:numFmt w:val="lowerLetter"/>
      <w:start w:val="21"/>
    </w:lvl>
  </w:abstractNum>
  <w:abstractNum w:abstractNumId="52">
    <w:nsid w:val="661E3F1E"/>
    <w:multiLevelType w:val="hybridMultilevel"/>
    <w:lvl w:ilvl="0">
      <w:lvlJc w:val="left"/>
      <w:lvlText w:val="(%1)"/>
      <w:numFmt w:val="lowerLetter"/>
      <w:start w:val="24"/>
    </w:lvl>
  </w:abstractNum>
  <w:abstractNum w:abstractNumId="53">
    <w:nsid w:val="5DC79EA8"/>
    <w:multiLevelType w:val="hybridMultilevel"/>
    <w:lvl w:ilvl="0">
      <w:lvlJc w:val="left"/>
      <w:lvlText w:val="(%1)"/>
      <w:numFmt w:val="lowerLetter"/>
      <w:start w:val="27"/>
    </w:lvl>
  </w:abstractNum>
  <w:abstractNum w:abstractNumId="54">
    <w:nsid w:val="540A471C"/>
    <w:multiLevelType w:val="hybridMultilevel"/>
    <w:lvl w:ilvl="0">
      <w:lvlJc w:val="left"/>
      <w:lvlText w:val="(%1)"/>
      <w:numFmt w:val="lowerLetter"/>
      <w:start w:val="28"/>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3"/>
    </w:lvl>
  </w:abstractNum>
  <w:abstractNum w:abstractNumId="57">
    <w:nsid w:val="613EFDC5"/>
    <w:multiLevelType w:val="hybridMultilevel"/>
    <w:lvl w:ilvl="0">
      <w:lvlJc w:val="left"/>
      <w:lvlText w:val="(%1)"/>
      <w:numFmt w:val="lowerLetter"/>
      <w:start w:val="5"/>
    </w:lvl>
  </w:abstractNum>
  <w:abstractNum w:abstractNumId="58">
    <w:nsid w:val="BF72B14"/>
    <w:multiLevelType w:val="hybridMultilevel"/>
    <w:lvl w:ilvl="0">
      <w:lvlJc w:val="left"/>
      <w:lvlText w:val="(%1)"/>
      <w:numFmt w:val="lowerLetter"/>
      <w:start w:val="6"/>
    </w:lvl>
  </w:abstractNum>
  <w:abstractNum w:abstractNumId="59">
    <w:nsid w:val="11447B73"/>
    <w:multiLevelType w:val="hybridMultilevel"/>
    <w:lvl w:ilvl="0">
      <w:lvlJc w:val="left"/>
      <w:lvlText w:val="(%1)"/>
      <w:numFmt w:val="lowerLetter"/>
      <w:start w:val="9"/>
    </w:lvl>
  </w:abstractNum>
  <w:abstractNum w:abstractNumId="60">
    <w:nsid w:val="42963E5A"/>
    <w:multiLevelType w:val="hybridMultilevel"/>
    <w:lvl w:ilvl="0">
      <w:lvlJc w:val="left"/>
      <w:lvlText w:val="(%1)"/>
      <w:numFmt w:val="lowerLetter"/>
      <w:start w:val="11"/>
    </w:lvl>
  </w:abstractNum>
  <w:abstractNum w:abstractNumId="61">
    <w:nsid w:val="A0382C5"/>
    <w:multiLevelType w:val="hybridMultilevel"/>
    <w:lvl w:ilvl="0">
      <w:lvlJc w:val="left"/>
      <w:lvlText w:val="(%1)"/>
      <w:numFmt w:val="lowerLetter"/>
      <w:start w:val="13"/>
    </w:lvl>
  </w:abstractNum>
  <w:abstractNum w:abstractNumId="62">
    <w:nsid w:val="8F2B15E"/>
    <w:multiLevelType w:val="hybridMultilevel"/>
    <w:lvl w:ilvl="0">
      <w:lvlJc w:val="left"/>
      <w:lvlText w:val="(%1)"/>
      <w:numFmt w:val="lowerLetter"/>
      <w:start w:val="14"/>
    </w:lvl>
  </w:abstractNum>
  <w:abstractNum w:abstractNumId="63">
    <w:nsid w:val="1A32234B"/>
    <w:multiLevelType w:val="hybridMultilevel"/>
    <w:lvl w:ilvl="0">
      <w:lvlJc w:val="left"/>
      <w:lvlText w:val="(%1)"/>
      <w:numFmt w:val="lowerLetter"/>
      <w:start w:val="19"/>
    </w:lvl>
  </w:abstractNum>
  <w:abstractNum w:abstractNumId="64">
    <w:nsid w:val="3B0FD379"/>
    <w:multiLevelType w:val="hybridMultilevel"/>
    <w:lvl w:ilvl="0">
      <w:lvlJc w:val="left"/>
      <w:lvlText w:val="(%1)"/>
      <w:numFmt w:val="lowerLetter"/>
      <w:start w:val="21"/>
    </w:lvl>
    <w:lvl w:ilvl="1">
      <w:lvlJc w:val="left"/>
      <w:lvlText w:val="(%2)"/>
      <w:numFmt w:val="lowerLetter"/>
      <w:start w:val="22"/>
    </w:lvl>
  </w:abstractNum>
  <w:abstractNum w:abstractNumId="65">
    <w:nsid w:val="68EB2F63"/>
    <w:multiLevelType w:val="hybridMultilevel"/>
    <w:lvl w:ilvl="0">
      <w:lvlJc w:val="left"/>
      <w:lvlText w:val="(%1)"/>
      <w:numFmt w:val="lowerLetter"/>
      <w:start w:val="23"/>
    </w:lvl>
    <w:lvl w:ilvl="1">
      <w:lvlJc w:val="left"/>
      <w:lvlText w:val="(%2)"/>
      <w:numFmt w:val="lowerLetter"/>
      <w:start w:val="24"/>
    </w:lvl>
  </w:abstractNum>
  <w:abstractNum w:abstractNumId="66">
    <w:nsid w:val="4962813B"/>
    <w:multiLevelType w:val="hybridMultilevel"/>
    <w:lvl w:ilvl="0">
      <w:lvlJc w:val="left"/>
      <w:lvlText w:val="(%1)"/>
      <w:numFmt w:val="lowerLetter"/>
      <w:start w:val="27"/>
    </w:lvl>
  </w:abstractNum>
  <w:abstractNum w:abstractNumId="67">
    <w:nsid w:val="60B6DF70"/>
    <w:multiLevelType w:val="hybridMultilevel"/>
    <w:lvl w:ilvl="0">
      <w:lvlJc w:val="left"/>
      <w:lvlText w:val="(%1)"/>
      <w:numFmt w:val="decimal"/>
      <w:start w:val="5"/>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2"/>
    </w:lvl>
    <w:lvl w:ilvl="1">
      <w:lvlJc w:val="left"/>
      <w:lvlText w:val="(%2)"/>
      <w:numFmt w:val="lowerLetter"/>
      <w:start w:val="24"/>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3"/>
    </w:lvl>
  </w:abstractNum>
  <w:abstractNum w:abstractNumId="74">
    <w:nsid w:val="7FB7E0AA"/>
    <w:multiLevelType w:val="hybridMultilevel"/>
    <w:lvl w:ilvl="0">
      <w:lvlJc w:val="left"/>
      <w:lvlText w:val="(%1)"/>
      <w:numFmt w:val="lowerLetter"/>
      <w:start w:val="4"/>
    </w:lvl>
  </w:abstractNum>
  <w:abstractNum w:abstractNumId="75">
    <w:nsid w:val="6EB5BD4"/>
    <w:multiLevelType w:val="hybridMultilevel"/>
    <w:lvl w:ilvl="0">
      <w:lvlJc w:val="left"/>
      <w:lvlText w:val="(%1)"/>
      <w:numFmt w:val="lowerLetter"/>
      <w:start w:val="6"/>
    </w:lvl>
  </w:abstractNum>
  <w:abstractNum w:abstractNumId="76">
    <w:nsid w:val="6F6DD9AC"/>
    <w:multiLevelType w:val="hybridMultilevel"/>
    <w:lvl w:ilvl="0">
      <w:lvlJc w:val="left"/>
      <w:lvlText w:val="(%1)"/>
      <w:numFmt w:val="lowerRoman"/>
      <w:start w:val="1"/>
    </w:lvl>
    <w:lvl w:ilvl="1">
      <w:lvlJc w:val="left"/>
      <w:lvlText w:val="(%2)"/>
      <w:numFmt w:val="lowerRoman"/>
      <w:start w:val="3"/>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6"/>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2"/>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upperLetter"/>
      <w:start w:val="1"/>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1."/>
      <w:numFmt w:val="decimal"/>
      <w:start w:val="4"/>
    </w:lvl>
  </w:abstractNum>
  <w:abstractNum w:abstractNumId="85">
    <w:nsid w:val="68EBC550"/>
    <w:multiLevelType w:val="hybridMultilevel"/>
    <w:lvl w:ilvl="0">
      <w:lvlJc w:val="left"/>
      <w:lvlText w:val="%1."/>
      <w:numFmt w:val="decimal"/>
      <w:start w:val="5"/>
    </w:lvl>
  </w:abstractNum>
  <w:abstractNum w:abstractNumId="86">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
    <w:nsid w:val="46B7D447"/>
    <w:multiLevelType w:val="hybridMultilevel"/>
    <w:lvl w:ilvl="0">
      <w:lvlJc w:val="left"/>
      <w:lvlText w:val="%1"/>
      <w:numFmt w:val="lowerLetter"/>
      <w:start w:val="1"/>
    </w:lvl>
    <w:lvl w:ilvl="1">
      <w:lvlJc w:val="left"/>
      <w:lvlText w:val="(%2)"/>
      <w:numFmt w:val="lowerRoman"/>
      <w:start w:val="6"/>
    </w:lvl>
  </w:abstractNum>
  <w:abstractNum w:abstractNumId="88">
    <w:nsid w:val="4A2AC315"/>
    <w:multiLevelType w:val="hybridMultilevel"/>
    <w:lvl w:ilvl="0">
      <w:lvlJc w:val="left"/>
      <w:lvlText w:val="(%1)"/>
      <w:numFmt w:val="lowerLetter"/>
      <w:start w:val="3"/>
    </w:lvl>
    <w:lvl w:ilvl="1">
      <w:lvlJc w:val="left"/>
      <w:lvlText w:val="%2"/>
      <w:numFmt w:val="lowerRoman"/>
      <w:start w:val="1"/>
    </w:lvl>
  </w:abstractNum>
  <w:abstractNum w:abstractNumId="89">
    <w:nsid w:val="39EE015C"/>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lvl w:ilvl="3">
      <w:lvlJc w:val="left"/>
      <w:lvlText w:val="(%4)"/>
      <w:numFmt w:val="lowerRoman"/>
    </w:lvl>
    <w:lvl w:ilvl="4">
      <w:lvlJc w:val="left"/>
      <w:lvlText w:val="(%5)"/>
      <w:numFmt w:val="lowerLetter"/>
      <w:start w:val="3"/>
    </w:lvl>
  </w:abstractNum>
  <w:abstractNum w:abstractNumId="90">
    <w:nsid w:val="57FC4FBB"/>
    <w:multiLevelType w:val="hybridMultilevel"/>
    <w:lvl w:ilvl="0">
      <w:lvlJc w:val="left"/>
      <w:lvlText w:val="%1."/>
      <w:numFmt w:val="decimal"/>
      <w:start w:val="3"/>
    </w:lvl>
    <w:lvl w:ilvl="1">
      <w:lvlJc w:val="left"/>
      <w:lvlText w:val="*"/>
      <w:numFmt w:val="bullet"/>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2022-08-04T15:40:37Z</dcterms:created>
  <dcterms:modified xsi:type="dcterms:W3CDTF">2022-08-04T15:40:37Z</dcterms:modified>
</cp:coreProperties>
</file>