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7176d1_s8.htm"/>
      <w:bookmarkStart w:id="1" w:name="kstm247176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February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spacing w:before="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714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ARDELYX,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3740"/>
        <w:gridCol w:w="3275"/>
      </w:tblGrid>
      <w:tr>
        <w:trPr/>
        <w:tc>
          <w:tcPr>
            <w:tcW w:w="3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32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26-1303944</w:t>
            </w:r>
          </w:p>
        </w:tc>
      </w:tr>
      <w:tr>
        <w:trPr/>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w:t>
              <w:br/>
              <w:t>organization)</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r>
        <w:trPr/>
        <w:tc>
          <w:tcPr>
            <w:tcW w:w="374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pPr>
            <w:r>
              <w:rPr/>
              <w:t> </w:t>
            </w:r>
          </w:p>
        </w:tc>
      </w:tr>
      <w:tr>
        <w:trPr/>
        <w:tc>
          <w:tcPr>
            <w:tcW w:w="3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400 Fifth Ave., Suite 210</w:t>
              <w:br/>
              <w:t>Waltham, Massachusetts</w:t>
            </w:r>
          </w:p>
        </w:tc>
        <w:tc>
          <w:tcPr>
            <w:tcW w:w="32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02451</w:t>
            </w:r>
          </w:p>
        </w:tc>
      </w:tr>
      <w:tr>
        <w:trPr/>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2014 Equity Incentive Award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2016 Employee Commencement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Elizabeth Grammer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and Administrative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Ardelyx,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Fifth Avenue,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Waltham, MA 02451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 745-1700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V. Roeder,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C Williams,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Latham &amp; Watkins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 Scott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California 94025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328-4600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By a registration statement on Form S-8 filed with the Securities and Exchange Commission (the “SEC”) on </w:t>
      </w:r>
      <w:hyperlink r:id="rId3">
        <w:r>
          <w:rPr>
            <w:rStyle w:val="InternetLink"/>
            <w:rFonts w:ascii="Times New Roman;Times;Serif" w:hAnsi="Times New Roman;Times;Serif"/>
            <w:b w:val="false"/>
            <w:i w:val="false"/>
            <w:caps w:val="false"/>
            <w:smallCaps w:val="false"/>
            <w:sz w:val="20"/>
          </w:rPr>
          <w:t>July 14, 2014</w:t>
        </w:r>
      </w:hyperlink>
      <w:r>
        <w:rPr>
          <w:rFonts w:ascii="Times New Roman;Times;Serif" w:hAnsi="Times New Roman;Times;Serif"/>
          <w:b w:val="false"/>
          <w:i w:val="false"/>
          <w:caps w:val="false"/>
          <w:smallCaps w:val="false"/>
          <w:sz w:val="20"/>
        </w:rPr>
        <w:t>, File No. 333-197408 (the “Original Registration Statement”), Ardelyx, Inc. (the “Registrant”) registered 1,646,134 shares of common stock, par value $0.0001 per share (the “Common Stock”) issuable under the Ardelyx, Inc. 2014 Equity Incentive Award Plan (the “2014 Plan”) and 202,762 shares of Common Stock issuable under the Ardelyx, Inc. 2014 Employee Stock Purchase Plan (the “ESPP”).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By a registration statement on Form S-8 filed with the SEC on </w:t>
      </w:r>
      <w:hyperlink r:id="rId4">
        <w:r>
          <w:rPr>
            <w:rStyle w:val="InternetLink"/>
            <w:rFonts w:ascii="Times New Roman;Times;Serif" w:hAnsi="Times New Roman;Times;Serif"/>
            <w:b w:val="false"/>
            <w:i w:val="false"/>
            <w:caps w:val="false"/>
            <w:smallCaps w:val="false"/>
            <w:sz w:val="20"/>
          </w:rPr>
          <w:t>November 10, 2016</w:t>
        </w:r>
      </w:hyperlink>
      <w:r>
        <w:rPr>
          <w:rFonts w:ascii="Times New Roman;Times;Serif" w:hAnsi="Times New Roman;Times;Serif"/>
          <w:b w:val="false"/>
          <w:i w:val="false"/>
          <w:caps w:val="false"/>
          <w:smallCaps w:val="false"/>
          <w:sz w:val="20"/>
        </w:rPr>
        <w:t>, File No. 333-214538 (the “2016 Original Registration Statement”), the Registrant registered 1,000,000 shares of Common Stock issuable under the Ardelyx, Inc. 2016 Employment Commencement Incentive Plan (the “2016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registration statements on Form S-8 listed in the table below filed with the SEC, the Registrant registered the following additional shares of Common Stock issuable under the 2014 Plan, the ESPP and the 2016 Plan:</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1520"/>
        <w:gridCol w:w="60"/>
        <w:gridCol w:w="1505"/>
        <w:gridCol w:w="60"/>
        <w:gridCol w:w="2540"/>
        <w:gridCol w:w="60"/>
        <w:gridCol w:w="60"/>
        <w:gridCol w:w="845"/>
        <w:gridCol w:w="60"/>
        <w:gridCol w:w="60"/>
        <w:gridCol w:w="60"/>
        <w:gridCol w:w="695"/>
        <w:gridCol w:w="60"/>
        <w:gridCol w:w="60"/>
        <w:gridCol w:w="60"/>
        <w:gridCol w:w="845"/>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Shares Registered</w:t>
            </w:r>
          </w:p>
        </w:tc>
        <w:tc>
          <w:tcPr>
            <w:tcW w:w="75" w:type="dxa"/>
            <w:tcBorders/>
            <w:vAlign w:val="center"/>
          </w:tcPr>
          <w:p>
            <w:pPr>
              <w:pStyle w:val="TableContents"/>
              <w:bidi w:val="0"/>
              <w:spacing w:before="0" w:after="283"/>
              <w:jc w:val="left"/>
              <w:rPr/>
            </w:pPr>
            <w:r>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Filing Date</w:t>
            </w:r>
          </w:p>
        </w:tc>
        <w:tc>
          <w:tcPr>
            <w:tcW w:w="60"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 File Number</w:t>
            </w:r>
          </w:p>
        </w:tc>
        <w:tc>
          <w:tcPr>
            <w:tcW w:w="60" w:type="dxa"/>
            <w:tcBorders/>
            <w:vAlign w:val="center"/>
          </w:tcPr>
          <w:p>
            <w:pPr>
              <w:pStyle w:val="TableContents"/>
              <w:bidi w:val="0"/>
              <w:spacing w:before="0" w:after="283"/>
              <w:jc w:val="left"/>
              <w:rPr/>
            </w:pPr>
            <w:r>
              <w:rPr/>
              <w:t> </w:t>
            </w:r>
          </w:p>
        </w:tc>
        <w:tc>
          <w:tcPr>
            <w:tcW w:w="25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2014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ESPP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2016 Plan</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both"/>
              <w:rPr/>
            </w:pPr>
            <w:hyperlink r:id="rId5">
              <w:r>
                <w:rPr>
                  <w:rStyle w:val="InternetLink"/>
                  <w:rFonts w:ascii="Times New Roman;Times;Serif" w:hAnsi="Times New Roman;Times;Serif"/>
                  <w:sz w:val="20"/>
                </w:rPr>
                <w:t>March 11, 2015</w:t>
              </w:r>
            </w:hyperlink>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333-202663</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w:t>
            </w:r>
            <w:r>
              <w:rPr>
                <w:rFonts w:ascii="Times New Roman;Times;Serif" w:hAnsi="Times New Roman;Times;Serif"/>
                <w:sz w:val="20"/>
              </w:rPr>
              <w:t>2015 Registration Statement”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743,569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both"/>
              <w:rPr/>
            </w:pPr>
            <w:hyperlink r:id="rId6">
              <w:r>
                <w:rPr>
                  <w:rStyle w:val="InternetLink"/>
                  <w:rFonts w:ascii="Times New Roman;Times;Serif" w:hAnsi="Times New Roman;Times;Serif"/>
                  <w:sz w:val="20"/>
                </w:rPr>
                <w:t>March 10, 2016</w:t>
              </w:r>
            </w:hyperlink>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333-210079</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center"/>
              <w:rPr/>
            </w:pPr>
            <w:r>
              <w:rPr/>
              <w:t>“</w:t>
            </w:r>
            <w:r>
              <w:rPr>
                <w:rFonts w:ascii="Times New Roman;Times;Serif" w:hAnsi="Times New Roman;Times;Serif"/>
                <w:sz w:val="20"/>
              </w:rPr>
              <w:t>2016 Registration Statement”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hyperlink r:id="rId7">
              <w:r>
                <w:rPr>
                  <w:rStyle w:val="InternetLink"/>
                  <w:rFonts w:ascii="Times New Roman;Times;Serif" w:hAnsi="Times New Roman;Times;Serif"/>
                  <w:sz w:val="20"/>
                </w:rPr>
                <w:t>February 21, 2017</w:t>
              </w:r>
            </w:hyperlink>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333-216154</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w:t>
            </w:r>
            <w:r>
              <w:rPr>
                <w:rFonts w:ascii="Times New Roman;Times;Serif" w:hAnsi="Times New Roman;Times;Serif"/>
                <w:sz w:val="20"/>
              </w:rPr>
              <w:t>2017 Registration Statement”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1,892,376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both"/>
              <w:rPr/>
            </w:pPr>
            <w:hyperlink r:id="rId8">
              <w:r>
                <w:rPr>
                  <w:rStyle w:val="InternetLink"/>
                  <w:rFonts w:ascii="Times New Roman;Times;Serif" w:hAnsi="Times New Roman;Times;Serif"/>
                  <w:sz w:val="20"/>
                </w:rPr>
                <w:t>March 16, 2018</w:t>
              </w:r>
            </w:hyperlink>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333-223694</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center"/>
              <w:rPr/>
            </w:pPr>
            <w:r>
              <w:rPr/>
              <w:t>“</w:t>
            </w:r>
            <w:r>
              <w:rPr>
                <w:rFonts w:ascii="Times New Roman;Times;Serif" w:hAnsi="Times New Roman;Times;Serif"/>
                <w:sz w:val="20"/>
              </w:rPr>
              <w:t>2018 Registration Statement”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1,901,339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sz w:val="20"/>
                </w:rPr>
                <w:t>March 8, 2019</w:t>
              </w:r>
            </w:hyperlink>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333-230156</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w:t>
            </w:r>
            <w:r>
              <w:rPr>
                <w:rFonts w:ascii="Times New Roman;Times;Serif" w:hAnsi="Times New Roman;Times;Serif"/>
                <w:sz w:val="20"/>
              </w:rPr>
              <w:t>2019 Registration Statement”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2,490,417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622,604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both"/>
              <w:rPr/>
            </w:pPr>
            <w:hyperlink r:id="rId10">
              <w:r>
                <w:rPr>
                  <w:rStyle w:val="InternetLink"/>
                  <w:rFonts w:ascii="Times New Roman;Times;Serif" w:hAnsi="Times New Roman;Times;Serif"/>
                  <w:sz w:val="20"/>
                </w:rPr>
                <w:t>March 10, 2020</w:t>
              </w:r>
            </w:hyperlink>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333-237057</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center"/>
              <w:rPr/>
            </w:pPr>
            <w:r>
              <w:rPr/>
              <w:t>“</w:t>
            </w:r>
            <w:r>
              <w:rPr>
                <w:rFonts w:ascii="Times New Roman;Times;Serif" w:hAnsi="Times New Roman;Times;Serif"/>
                <w:sz w:val="20"/>
              </w:rPr>
              <w:t>2020 Registration Statement”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3,552,709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both"/>
              <w:rPr/>
            </w:pPr>
            <w:hyperlink r:id="rId11">
              <w:r>
                <w:rPr>
                  <w:rStyle w:val="InternetLink"/>
                  <w:rFonts w:ascii="Times New Roman;Times;Serif" w:hAnsi="Times New Roman;Times;Serif"/>
                  <w:sz w:val="20"/>
                </w:rPr>
                <w:t>March 12, 2021</w:t>
              </w:r>
            </w:hyperlink>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333-254187</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w:t>
            </w:r>
            <w:r>
              <w:rPr>
                <w:rFonts w:ascii="Times New Roman;Times;Serif" w:hAnsi="Times New Roman;Times;Serif"/>
                <w:sz w:val="20"/>
              </w:rPr>
              <w:t>2021 Registration Statement”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3,743,999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935,999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457,767</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both"/>
              <w:rPr/>
            </w:pPr>
            <w:hyperlink r:id="rId12">
              <w:r>
                <w:rPr>
                  <w:rStyle w:val="InternetLink"/>
                  <w:rFonts w:ascii="Times New Roman;Times;Serif" w:hAnsi="Times New Roman;Times;Serif"/>
                  <w:sz w:val="20"/>
                </w:rPr>
                <w:t>March 1, 2022</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333-263145</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w:t>
            </w:r>
            <w:r>
              <w:rPr>
                <w:rFonts w:ascii="Times New Roman;Times;Serif" w:hAnsi="Times New Roman;Times;Serif"/>
                <w:sz w:val="20"/>
              </w:rPr>
              <w:t>2022 Registration Statement”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5,207,301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sz w:val="20"/>
                </w:rPr>
                <w:t>March 7, 2023</w:t>
              </w:r>
            </w:hyperlink>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333-270314</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center"/>
              <w:rPr/>
            </w:pPr>
            <w:r>
              <w:rPr/>
              <w:t>“</w:t>
            </w:r>
            <w:r>
              <w:rPr>
                <w:rFonts w:ascii="Times New Roman;Times;Serif" w:hAnsi="Times New Roman;Times;Serif"/>
                <w:sz w:val="20"/>
              </w:rPr>
              <w:t>2023 Registration Statement”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hereby registering an additional 9,298,127 shares of Common Stock issuable under the 2014 Plan, which shares are now available for grant due to automatic annual increase provisions in the 2014 Plan. The Registrant is also hereby registering an additional 5,750,000 shares of Common Stock issuable under the 2016 Plan, which shares are now available for grant following the action of the Board of Directors on January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Instruction E of Form S-8, the contents of the Original Registration Statement, the 2015 Registration Statement, the 2016 Registration Statement, the 2016 Original Registration Statement, the 2017 Registration Statement, the 2018 Registration Statement the 2019 Registration Statement, the 2020 Registration Statement, the 2021 Registration Statement, the 2022 Registration Statement and the 2023 Registration Statement are incorporated by reference in this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in Part I of Form S-8 is not being filed with or included in this Form S-8 (by incorporation by reference or otherwise) in accordance with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this registration statement, Ardelyx, Inc. is sometimes referred to as “Registrant,” “we,” “us” or “our.”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Incorporation of Documents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the Registrant to “incorporate by reference” the information it files with them, which means that the Registrant can disclose important information to you by referring to those documents. The information incorporated by reference is considered to be part of this registration statement, and later information filed with the SEC will update and supersede this information. The Registrant hereby incorporates by reference into this registration statement the following documents previously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6" w:type="dxa"/>
            <w:tcBorders/>
            <w:vAlign w:val="center"/>
          </w:tcPr>
          <w:p>
            <w:pPr>
              <w:pStyle w:val="TableContents"/>
              <w:bidi w:val="0"/>
              <w:spacing w:before="0" w:after="283"/>
              <w:jc w:val="both"/>
              <w:rPr/>
            </w:pPr>
            <w:r>
              <w:rPr>
                <w:rFonts w:ascii="Times New Roman;Times;Serif" w:hAnsi="Times New Roman;Times;Serif"/>
                <w:sz w:val="20"/>
              </w:rPr>
              <w:t xml:space="preserve">The Registrant’s </w:t>
            </w:r>
            <w:hyperlink r:id="rId14">
              <w:r>
                <w:rPr>
                  <w:rStyle w:val="InternetLink"/>
                  <w:sz w:val="20"/>
                </w:rPr>
                <w:t>Annual Report on Form 10-K for the fiscal year ended December 31, 2023, as filed with the SEC on February 22, 2024 (File No. 001-36485)</w:t>
              </w:r>
            </w:hyperlink>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94"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Registrant’s Common Stock contained in the Registrant’s registration statement on </w:t>
            </w:r>
            <w:hyperlink r:id="rId15">
              <w:r>
                <w:rPr>
                  <w:rStyle w:val="InternetLink"/>
                  <w:sz w:val="20"/>
                </w:rPr>
                <w:t>Form 8-A (File No. 001-36485), filed by the Registrant with the SEC under Section 12 of the Securities Exchange Act of 1934, as amended (the “Exchange Act”), on June 9, 2014</w:t>
              </w:r>
            </w:hyperlink>
            <w:r>
              <w:rPr>
                <w:sz w:val="20"/>
              </w:rPr>
              <w:t xml:space="preserve">, as amended by the description of the Registrant’s Common Stock contained in </w:t>
            </w:r>
            <w:hyperlink r:id="rId16">
              <w:r>
                <w:rPr>
                  <w:rStyle w:val="InternetLink"/>
                  <w:sz w:val="20"/>
                </w:rPr>
                <w:t>Exhibit 4.4 to the Registrant’s Annual Report on Form 10-K for the fiscal year ended December 31, 2020, filed on March 8, 2021</w:t>
              </w:r>
            </w:hyperlink>
            <w:r>
              <w:rPr>
                <w:sz w:val="20"/>
              </w:rPr>
              <w:t>, including any amendments or reports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will any information filed under current Items 2.02 or 7.01 of Form 8-K, and exhibits furnished on such form that relate to such items, be deemed incorporated herein by reference unless such Form 8-K expressly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Description of Securities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Interests of Named Experts and Counsel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Indemnification of Directors and Officers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69"/>
        <w:gridCol w:w="9978"/>
      </w:tblGrid>
      <w:tr>
        <w:trPr/>
        <w:tc>
          <w:tcPr>
            <w:tcW w:w="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any breach of the director’s duty of loyalty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any act related to unlawful stock repurchases, redemptions or other distributions or payment of dividends;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50"/>
        <w:gridCol w:w="10004"/>
      </w:tblGrid>
      <w:tr>
        <w:trPr/>
        <w:tc>
          <w:tcPr>
            <w:tcW w:w="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w:t>
            </w:r>
          </w:p>
        </w:tc>
        <w:tc>
          <w:tcPr>
            <w:tcW w:w="10004"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145 of the Delaware General Corporation Law, our amended and restated bylaws provide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may indemnify our directors, officers and employees to the fullest extent permitted by the Delaware General Corporation Law, subject to limited exceptions;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may advance expenses to our directors, officers and employees in connection with a legal proceeding to the fullest extent permitted by the Delaware General Corporation Law, subject to limited exceptions;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8"/>
        <w:gridCol w:w="9993"/>
      </w:tblGrid>
      <w:tr>
        <w:trPr/>
        <w:tc>
          <w:tcPr>
            <w:tcW w:w="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both"/>
              <w:rPr/>
            </w:pPr>
            <w:r>
              <w:rPr/>
              <w:t>the rights provided in our amended and restated bylaws are not exclusive.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w:t>
      </w:r>
      <w:r>
        <w:rPr>
          <w:rFonts w:ascii="Times New Roman;Times;Serif" w:hAnsi="Times New Roman;Times;Serif"/>
          <w:b/>
          <w:i w:val="false"/>
          <w:caps w:val="false"/>
          <w:smallCaps w:val="false"/>
          <w:sz w:val="20"/>
          <w:u w:val="single"/>
        </w:rPr>
        <w:t>Exemption from Registration Claimed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5828"/>
        <w:gridCol w:w="60"/>
        <w:gridCol w:w="500"/>
        <w:gridCol w:w="60"/>
        <w:gridCol w:w="1326"/>
        <w:gridCol w:w="60"/>
        <w:gridCol w:w="710"/>
        <w:gridCol w:w="60"/>
        <w:gridCol w:w="816"/>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56"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r>
      <w:tr>
        <w:trPr/>
        <w:tc>
          <w:tcPr>
            <w:tcW w:w="72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582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283"/>
              <w:jc w:val="left"/>
              <w:rPr/>
            </w:pPr>
            <w:r>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3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8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25"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18">
              <w:r>
                <w:rPr>
                  <w:rStyle w:val="InternetLink"/>
                  <w:rFonts w:ascii="Times New Roman;Times;Serif" w:hAnsi="Times New Roman;Times;Serif"/>
                  <w:sz w:val="20"/>
                </w:rPr>
                <w:t>Amended and Restated Certificate of Incorporation.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19">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20">
              <w:r>
                <w:rPr>
                  <w:rStyle w:val="InternetLink"/>
                  <w:rFonts w:ascii="Times New Roman;Times;Serif" w:hAnsi="Times New Roman;Times;Serif"/>
                  <w:sz w:val="20"/>
                </w:rPr>
                <w:t>June 24,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21">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23">
              <w:r>
                <w:rPr>
                  <w:rStyle w:val="InternetLink"/>
                  <w:rFonts w:ascii="Times New Roman;Times;Serif" w:hAnsi="Times New Roman;Times;Serif"/>
                  <w:sz w:val="20"/>
                </w:rPr>
                <w:t>Certificate of Amendment to Amended and Restated Certificate of Incorporation</w:t>
              </w:r>
            </w:hyperlink>
            <w:hyperlink r:id="rId24">
              <w:r>
                <w:rPr>
                  <w:rStyle w:val="InternetLink"/>
                  <w:sz w:val="20"/>
                  <w:u w:val="single"/>
                </w:rPr>
                <w: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25">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26">
              <w:r>
                <w:rPr>
                  <w:rStyle w:val="InternetLink"/>
                  <w:rFonts w:ascii="Times New Roman;Times;Serif" w:hAnsi="Times New Roman;Times;Serif"/>
                  <w:sz w:val="20"/>
                </w:rPr>
                <w:t>June 20, 2023</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27">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Amended and Restated Bylaws.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30">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31">
              <w:r>
                <w:rPr>
                  <w:rStyle w:val="InternetLink"/>
                  <w:rFonts w:ascii="Times New Roman;Times;Serif" w:hAnsi="Times New Roman;Times;Serif"/>
                  <w:sz w:val="20"/>
                </w:rPr>
                <w:t>June 24,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32">
              <w:r>
                <w:rPr>
                  <w:rStyle w:val="InternetLink"/>
                  <w:rFonts w:ascii="Times New Roman;Times;Serif" w:hAnsi="Times New Roman;Times;Serif"/>
                  <w:sz w:val="20"/>
                </w:rPr>
                <w:t>3.2</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33">
              <w:r>
                <w:rPr>
                  <w:rStyle w:val="InternetLink"/>
                  <w:rFonts w:ascii="Times New Roman;Times;Serif" w:hAnsi="Times New Roman;Times;Serif"/>
                  <w:sz w:val="20"/>
                </w:rPr>
                <w:t>4.4</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35">
              <w:r>
                <w:rPr>
                  <w:rStyle w:val="InternetLink"/>
                  <w:rFonts w:ascii="Times New Roman;Times;Serif" w:hAnsi="Times New Roman;Times;Serif"/>
                  <w:sz w:val="20"/>
                </w:rPr>
                <w:t>S-1/A</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36">
              <w:r>
                <w:rPr>
                  <w:rStyle w:val="InternetLink"/>
                  <w:rFonts w:ascii="Times New Roman;Times;Serif" w:hAnsi="Times New Roman;Times;Serif"/>
                  <w:sz w:val="20"/>
                </w:rPr>
                <w:t>June 18,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37">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47176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w:anchor="tm247176d1_ex5-1.htm">
              <w:r>
                <w:rPr>
                  <w:rStyle w:val="InternetLink"/>
                  <w:rFonts w:ascii="Times New Roman;Times;Serif" w:hAnsi="Times New Roman;Times;Serif"/>
                  <w:sz w:val="20"/>
                </w:rPr>
                <w:t>Opinion of Latham &amp; Watkins LLP.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tm247176d1_ex5-1.htm">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w:anchor="tm247176d1_ex23-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w:anchor="tm247176d1_ex23-1.htm">
              <w:r>
                <w:rPr>
                  <w:rStyle w:val="InternetLink"/>
                  <w:rFonts w:ascii="Times New Roman;Times;Serif" w:hAnsi="Times New Roman;Times;Serif"/>
                  <w:sz w:val="20"/>
                </w:rPr>
                <w:t>Consent of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tm247176d1_ex23-1.htm">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w:anchor="tm247176d1_ex5-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w:anchor="tm247176d1_ex5-1.htm">
              <w:r>
                <w:rPr>
                  <w:rStyle w:val="InternetLink"/>
                  <w:rFonts w:ascii="Times New Roman;Times;Serif" w:hAnsi="Times New Roman;Times;Serif"/>
                  <w:sz w:val="20"/>
                </w:rPr>
                <w:t>Consent of Latham &amp; Watkins LLP (included in Exhibit 5.1).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tm247176d1_ex5-1.htm">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w:anchor="ss_001">
              <w:r>
                <w:rPr>
                  <w:rStyle w:val="InternetLink"/>
                  <w:rFonts w:ascii="Times New Roman;Times;Serif" w:hAnsi="Times New Roman;Times;Serif"/>
                  <w:sz w:val="20"/>
                </w:rPr>
                <w:t>24.1</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w:anchor="ss_001">
              <w:r>
                <w:rPr>
                  <w:rStyle w:val="InternetLink"/>
                  <w:rFonts w:ascii="Times New Roman;Times;Serif" w:hAnsi="Times New Roman;Times;Serif"/>
                  <w:sz w:val="20"/>
                </w:rPr>
                <w:t>Power of Attorney (included on signature page hereto).</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ss_001">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r:id="rId38">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39">
              <w:r>
                <w:rPr>
                  <w:rStyle w:val="InternetLink"/>
                  <w:rFonts w:ascii="Times New Roman;Times;Serif" w:hAnsi="Times New Roman;Times;Serif"/>
                  <w:sz w:val="20"/>
                </w:rPr>
                <w:t>Ardelyx, Inc. 2014 Equity Incentive Award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40">
              <w:r>
                <w:rPr>
                  <w:rStyle w:val="InternetLink"/>
                  <w:rFonts w:ascii="Times New Roman;Times;Serif" w:hAnsi="Times New Roman;Times;Serif"/>
                  <w:sz w:val="20"/>
                </w:rPr>
                <w:t>S-8</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41">
              <w:r>
                <w:rPr>
                  <w:rStyle w:val="InternetLink"/>
                  <w:rFonts w:ascii="Times New Roman;Times;Serif" w:hAnsi="Times New Roman;Times;Serif"/>
                  <w:sz w:val="20"/>
                </w:rPr>
                <w:t>July 14,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42">
              <w:r>
                <w:rPr>
                  <w:rStyle w:val="InternetLink"/>
                  <w:rFonts w:ascii="Times New Roman;Times;Serif" w:hAnsi="Times New Roman;Times;Serif"/>
                  <w:sz w:val="20"/>
                </w:rPr>
                <w:t>99.3</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43">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Ardelyx, Inc. 2016 Employment Commencement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45">
              <w:r>
                <w:rPr>
                  <w:rStyle w:val="InternetLink"/>
                  <w:rFonts w:ascii="Times New Roman;Times;Serif" w:hAnsi="Times New Roman;Times;Serif"/>
                  <w:sz w:val="20"/>
                </w:rPr>
                <w:t>10-K</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46">
              <w:r>
                <w:rPr>
                  <w:rStyle w:val="InternetLink"/>
                  <w:rFonts w:ascii="Times New Roman;Times;Serif" w:hAnsi="Times New Roman;Times;Serif"/>
                  <w:sz w:val="20"/>
                </w:rPr>
                <w:t>February 22, 2024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47">
              <w:r>
                <w:rPr>
                  <w:rStyle w:val="InternetLink"/>
                  <w:rFonts w:ascii="Times New Roman;Times;Serif" w:hAnsi="Times New Roman;Times;Serif"/>
                  <w:sz w:val="20"/>
                </w:rPr>
                <w:t>10.7(a)</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48">
              <w:r>
                <w:rPr>
                  <w:rStyle w:val="InternetLink"/>
                  <w:rFonts w:ascii="Times New Roman;Times;Serif" w:hAnsi="Times New Roman;Times;Serif"/>
                  <w:sz w:val="20"/>
                </w:rPr>
                <w:t>99.3(#)</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49">
              <w:r>
                <w:rPr>
                  <w:rStyle w:val="InternetLink"/>
                  <w:rFonts w:ascii="Times New Roman;Times;Serif" w:hAnsi="Times New Roman;Times;Serif"/>
                  <w:sz w:val="20"/>
                </w:rPr>
                <w:t>Form of Stock Option Grant Notice and Stock Option Agreement under the Ardelyx, Inc. 2014 Equity Incentive Award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50">
              <w:r>
                <w:rPr>
                  <w:rStyle w:val="InternetLink"/>
                  <w:rFonts w:ascii="Times New Roman;Times;Serif" w:hAnsi="Times New Roman;Times;Serif"/>
                  <w:sz w:val="20"/>
                </w:rPr>
                <w:t>S-1/A</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51">
              <w:r>
                <w:rPr>
                  <w:rStyle w:val="InternetLink"/>
                  <w:rFonts w:ascii="Times New Roman;Times;Serif" w:hAnsi="Times New Roman;Times;Serif"/>
                  <w:sz w:val="20"/>
                </w:rPr>
                <w:t>June 9,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52">
              <w:r>
                <w:rPr>
                  <w:rStyle w:val="InternetLink"/>
                  <w:rFonts w:ascii="Times New Roman;Times;Serif" w:hAnsi="Times New Roman;Times;Serif"/>
                  <w:sz w:val="20"/>
                </w:rPr>
                <w:t>10.6(b)</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53">
              <w:r>
                <w:rPr>
                  <w:rStyle w:val="InternetLink"/>
                  <w:rFonts w:ascii="Times New Roman;Times;Serif" w:hAnsi="Times New Roman;Times;Serif"/>
                  <w:sz w:val="20"/>
                </w:rPr>
                <w:t>99.4(#)</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54">
              <w:r>
                <w:rPr>
                  <w:rStyle w:val="InternetLink"/>
                  <w:rFonts w:ascii="Times New Roman;Times;Serif" w:hAnsi="Times New Roman;Times;Serif"/>
                  <w:sz w:val="20"/>
                </w:rPr>
                <w:t>Form of Restricted Stock Award Agreement and Restricted Stock Unit Award Agreement under the Ardelyx, Inc. 2014 Equity Incentive Award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55">
              <w:r>
                <w:rPr>
                  <w:rStyle w:val="InternetLink"/>
                  <w:rFonts w:ascii="Times New Roman;Times;Serif" w:hAnsi="Times New Roman;Times;Serif"/>
                  <w:sz w:val="20"/>
                </w:rPr>
                <w:t>S-1/A</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56">
              <w:r>
                <w:rPr>
                  <w:rStyle w:val="InternetLink"/>
                  <w:rFonts w:ascii="Times New Roman;Times;Serif" w:hAnsi="Times New Roman;Times;Serif"/>
                  <w:sz w:val="20"/>
                </w:rPr>
                <w:t>June 9,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57">
              <w:r>
                <w:rPr>
                  <w:rStyle w:val="InternetLink"/>
                  <w:rFonts w:ascii="Times New Roman;Times;Serif" w:hAnsi="Times New Roman;Times;Serif"/>
                  <w:sz w:val="20"/>
                </w:rPr>
                <w:t>10.6(c)</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58">
              <w:r>
                <w:rPr>
                  <w:rStyle w:val="InternetLink"/>
                  <w:rFonts w:ascii="Times New Roman;Times;Serif" w:hAnsi="Times New Roman;Times;Serif"/>
                  <w:sz w:val="20"/>
                </w:rPr>
                <w:t>99.5(#)</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59">
              <w:r>
                <w:rPr>
                  <w:rStyle w:val="InternetLink"/>
                  <w:rFonts w:ascii="Times New Roman;Times;Serif" w:hAnsi="Times New Roman;Times;Serif"/>
                  <w:sz w:val="20"/>
                </w:rPr>
                <w:t>Form of Stock Option Grant Notice and Stock Option Agreement under the Ardelyx, Inc. 2016 Employment Commencement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60">
              <w:r>
                <w:rPr>
                  <w:rStyle w:val="InternetLink"/>
                  <w:rFonts w:ascii="Times New Roman;Times;Serif" w:hAnsi="Times New Roman;Times;Serif"/>
                  <w:sz w:val="20"/>
                </w:rPr>
                <w:t>S-8</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61">
              <w:r>
                <w:rPr>
                  <w:rStyle w:val="InternetLink"/>
                  <w:rFonts w:ascii="Times New Roman;Times;Serif" w:hAnsi="Times New Roman;Times;Serif"/>
                  <w:sz w:val="20"/>
                </w:rPr>
                <w:t>November 10, 2016</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62">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hyperlink r:id="rId63">
              <w:r>
                <w:rPr>
                  <w:rStyle w:val="InternetLink"/>
                  <w:rFonts w:ascii="Times New Roman;Times;Serif" w:hAnsi="Times New Roman;Times;Serif"/>
                  <w:sz w:val="20"/>
                </w:rPr>
                <w:t>99.6(#)</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r:id="rId64">
              <w:r>
                <w:rPr>
                  <w:rStyle w:val="InternetLink"/>
                  <w:rFonts w:ascii="Times New Roman;Times;Serif" w:hAnsi="Times New Roman;Times;Serif"/>
                  <w:sz w:val="20"/>
                </w:rPr>
                <w:t>Form of Restricted Stock Award Agreement and Restricted Stock Unit Award Agreement under the Ardelyx, Inc. 2016 Employment Commencement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65">
              <w:r>
                <w:rPr>
                  <w:rStyle w:val="InternetLink"/>
                  <w:rFonts w:ascii="Times New Roman;Times;Serif" w:hAnsi="Times New Roman;Times;Serif"/>
                  <w:sz w:val="20"/>
                </w:rPr>
                <w:t>S-8</w:t>
              </w:r>
            </w:hyperlink>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hyperlink r:id="rId66">
              <w:r>
                <w:rPr>
                  <w:rStyle w:val="InternetLink"/>
                  <w:rFonts w:ascii="Times New Roman;Times;Serif" w:hAnsi="Times New Roman;Times;Serif"/>
                  <w:sz w:val="20"/>
                </w:rPr>
                <w:t>November 10, 2016</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67">
              <w:r>
                <w:rPr>
                  <w:rStyle w:val="InternetLink"/>
                  <w:rFonts w:ascii="Times New Roman;Times;Serif" w:hAnsi="Times New Roman;Times;Serif"/>
                  <w:sz w:val="20"/>
                </w:rPr>
                <w:t>99.4</w:t>
              </w:r>
            </w:hyperlink>
          </w:p>
        </w:tc>
        <w:tc>
          <w:tcPr>
            <w:tcW w:w="60"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hyperlink w:anchor="tm247176d1_ex-filingfees.htm">
              <w:r>
                <w:rPr>
                  <w:rStyle w:val="InternetLink"/>
                  <w:rFonts w:ascii="Times New Roman;Times;Serif" w:hAnsi="Times New Roman;Times;Serif"/>
                  <w:sz w:val="20"/>
                </w:rPr>
                <w:t>107.1</w:t>
              </w:r>
            </w:hyperlink>
          </w:p>
        </w:tc>
        <w:tc>
          <w:tcPr>
            <w:tcW w:w="60" w:type="dxa"/>
            <w:tcBorders/>
            <w:vAlign w:val="center"/>
          </w:tcPr>
          <w:p>
            <w:pPr>
              <w:pStyle w:val="TableContents"/>
              <w:bidi w:val="0"/>
              <w:spacing w:before="0" w:after="283"/>
              <w:jc w:val="left"/>
              <w:rPr/>
            </w:pPr>
            <w:r>
              <w:rPr/>
              <w:t> </w:t>
            </w:r>
          </w:p>
        </w:tc>
        <w:tc>
          <w:tcPr>
            <w:tcW w:w="5828" w:type="dxa"/>
            <w:tcBorders/>
            <w:vAlign w:val="center"/>
          </w:tcPr>
          <w:p>
            <w:pPr>
              <w:pStyle w:val="TableContents"/>
              <w:bidi w:val="0"/>
              <w:spacing w:before="0" w:after="283"/>
              <w:jc w:val="left"/>
              <w:rPr/>
            </w:pPr>
            <w:hyperlink w:anchor="tm247176d1_ex-filingfees.htm">
              <w:r>
                <w:rPr>
                  <w:rStyle w:val="InternetLink"/>
                  <w:rFonts w:ascii="Times New Roman;Times;Serif" w:hAnsi="Times New Roman;Times;Serif"/>
                  <w:sz w:val="20"/>
                </w:rPr>
                <w:t>Filing Fee Table.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hyperlink w:anchor="tm247176d1_ex-filingfees.htm">
              <w:r>
                <w:rPr>
                  <w:rStyle w:val="InternetLink"/>
                  <w:rFonts w:ascii="Times New Roman;Times;Serif" w:hAnsi="Times New Roman;Times;Serif"/>
                  <w:sz w:val="20"/>
                </w:rPr>
                <w:t>X</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w:t>
      </w:r>
      <w:r>
        <w:rPr>
          <w:rFonts w:ascii="Times New Roman;Times;Serif" w:hAnsi="Times New Roman;Times;Serif"/>
          <w:b/>
          <w:i w:val="false"/>
          <w:caps w:val="false"/>
          <w:smallCaps w:val="false"/>
          <w:sz w:val="20"/>
          <w:u w:val="single"/>
        </w:rPr>
        <w:t>Undertakings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Waltham, Massachusetts, on February 27, 2024.</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ARDELYX,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Raab</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Raab</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s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constitutes and appoints Michael Raab, Justin Renz and Elizabeth Grammer, and each of them, as attorneys-in-fact, each with the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such attorneys-in-fact and agents or any of them,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180"/>
        <w:gridCol w:w="60"/>
        <w:gridCol w:w="3170"/>
        <w:gridCol w:w="60"/>
        <w:gridCol w:w="1520"/>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Raab</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President, Chief Executive Officer and </w:t>
              <w:br/>
              <w:t xml:space="preserve">Director </w:t>
              <w:b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Michael Raab</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Justin Renz</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and Operations Officer</w:t>
              <w:br/>
              <w:t>(</w:t>
            </w:r>
            <w:r>
              <w:rPr>
                <w:rFonts w:ascii="Times New Roman;Times;Serif" w:hAnsi="Times New Roman;Times;Serif"/>
                <w:i/>
                <w:sz w:val="20"/>
              </w:rPr>
              <w:t>principal financial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Justin Renz</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Robert Felsch</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Accounting Officer</w:t>
              <w:br/>
              <w:t>(</w:t>
            </w:r>
            <w:r>
              <w:rPr>
                <w:rFonts w:ascii="Times New Roman;Times;Serif" w:hAnsi="Times New Roman;Times;Serif"/>
                <w:i/>
                <w:sz w:val="20"/>
              </w:rPr>
              <w:t>principal accounting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 Felsch</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Mott</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Mott</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Robert Bazemore</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 Bazemore</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William Bertrand, Jr.</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Bertrand, Jr.</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Muna Bhanji</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Muna Bhanji, R.Ph</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Onaiza Cadoret-Manier</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Onaiza Cadoret-Manier</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Jan M. Lundberg</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 M. Lundberg, Ph.D.</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Richard Rodgers</w:t>
            </w:r>
          </w:p>
        </w:tc>
        <w:tc>
          <w:tcPr>
            <w:tcW w:w="60" w:type="dxa"/>
            <w:tcBorders/>
            <w:tcMar>
              <w:bottom w:w="0" w:type="dxa"/>
            </w:tcMar>
            <w:vAlign w:val="center"/>
          </w:tcPr>
          <w:p>
            <w:pPr>
              <w:pStyle w:val="TableContents"/>
              <w:bidi w:val="0"/>
              <w:spacing w:before="0" w:after="283"/>
              <w:jc w:val="center"/>
              <w:rPr/>
            </w:pPr>
            <w:r>
              <w:rPr/>
              <w:t> </w:t>
            </w:r>
          </w:p>
        </w:tc>
        <w:tc>
          <w:tcPr>
            <w:tcW w:w="317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20"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27,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Richard Rodgers</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170"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20" w:type="dxa"/>
            <w:vMerge w:val="continue"/>
            <w:tcBorders/>
            <w:tcMar>
              <w:bottom w:w="0" w:type="dxa"/>
            </w:tcMar>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47176d1_ex5-1.htm"/>
      <w:bookmarkStart w:id="4" w:name="kstm247176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8085" w:type="dxa"/>
        <w:jc w:val="left"/>
        <w:tblInd w:w="0" w:type="dxa"/>
        <w:tblLayout w:type="fixed"/>
        <w:tblCellMar>
          <w:top w:w="0" w:type="dxa"/>
          <w:left w:w="0" w:type="dxa"/>
          <w:bottom w:w="0" w:type="dxa"/>
          <w:right w:w="0" w:type="dxa"/>
        </w:tblCellMar>
      </w:tblPr>
      <w:tblGrid>
        <w:gridCol w:w="4335"/>
        <w:gridCol w:w="3750"/>
      </w:tblGrid>
      <w:tr>
        <w:trPr/>
        <w:tc>
          <w:tcPr>
            <w:tcW w:w="4335" w:type="dxa"/>
            <w:tcBorders/>
            <w:vAlign w:val="center"/>
          </w:tcPr>
          <w:p>
            <w:pPr>
              <w:pStyle w:val="TableContents"/>
              <w:bidi w:val="0"/>
              <w:spacing w:before="0" w:after="283"/>
              <w:jc w:val="left"/>
              <w:rPr/>
            </w:pPr>
            <w:r>
              <w:rPr/>
              <w:br/>
              <w:br/>
              <w:br/>
            </w:r>
            <w:r>
              <w:rPr/>
              <w:drawing>
                <wp:inline distT="0" distB="0" distL="0" distR="0">
                  <wp:extent cx="2743200"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8"/>
                          <a:stretch>
                            <a:fillRect/>
                          </a:stretch>
                        </pic:blipFill>
                        <pic:spPr bwMode="auto">
                          <a:xfrm>
                            <a:off x="0" y="0"/>
                            <a:ext cx="2743200" cy="276225"/>
                          </a:xfrm>
                          <a:prstGeom prst="rect">
                            <a:avLst/>
                          </a:prstGeom>
                        </pic:spPr>
                      </pic:pic>
                    </a:graphicData>
                  </a:graphic>
                </wp:inline>
              </w:drawing>
            </w:r>
          </w:p>
        </w:tc>
        <w:tc>
          <w:tcPr>
            <w:tcW w:w="3750" w:type="dxa"/>
            <w:tcBorders/>
            <w:vAlign w:val="center"/>
          </w:tcPr>
          <w:p>
            <w:pPr>
              <w:pStyle w:val="TableContents"/>
              <w:bidi w:val="0"/>
              <w:spacing w:before="0" w:after="283"/>
              <w:jc w:val="both"/>
              <w:rPr/>
            </w:pPr>
            <w:r>
              <w:rPr/>
              <w:t> </w:t>
            </w:r>
            <w:r>
              <w:rPr/>
              <w:drawing>
                <wp:inline distT="0" distB="0" distL="0" distR="0">
                  <wp:extent cx="2333625" cy="3114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9"/>
                          <a:stretch>
                            <a:fillRect/>
                          </a:stretch>
                        </pic:blipFill>
                        <pic:spPr bwMode="auto">
                          <a:xfrm>
                            <a:off x="0" y="0"/>
                            <a:ext cx="2333625" cy="3114675"/>
                          </a:xfrm>
                          <a:prstGeom prst="rect">
                            <a:avLst/>
                          </a:prstGeom>
                        </pic:spPr>
                      </pic:pic>
                    </a:graphicData>
                  </a:graphic>
                </wp:inline>
              </w:drawing>
            </w:r>
          </w:p>
        </w:tc>
      </w:tr>
    </w:tbl>
    <w:p>
      <w:pPr>
        <w:pStyle w:val="TextBody"/>
        <w:bidi w:val="0"/>
        <w:spacing w:before="0" w:after="283"/>
        <w:jc w:val="left"/>
        <w:rPr/>
      </w:pPr>
      <w:r>
        <w:rPr/>
        <w:t> </w:t>
      </w:r>
    </w:p>
    <w:p>
      <w:pPr>
        <w:pStyle w:val="TextBody"/>
        <w:bidi w:val="0"/>
        <w:ind w:left="7200" w:right="0" w:hanging="0"/>
        <w:jc w:val="center"/>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Ardelyx,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Fifth Avenue, Suite 210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32081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4"/>
        <w:gridCol w:w="9804"/>
      </w:tblGrid>
      <w:tr>
        <w:trPr/>
        <w:tc>
          <w:tcPr>
            <w:tcW w:w="3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b/>
              </w:rPr>
            </w:pPr>
            <w:r>
              <w:rPr>
                <w:b/>
              </w:rPr>
              <w:t>Re:</w:t>
            </w:r>
          </w:p>
        </w:tc>
        <w:tc>
          <w:tcPr>
            <w:tcW w:w="9804" w:type="dxa"/>
            <w:tcBorders/>
            <w:vAlign w:val="center"/>
          </w:tcPr>
          <w:p>
            <w:pPr>
              <w:pStyle w:val="TableContents"/>
              <w:bidi w:val="0"/>
              <w:spacing w:before="0" w:after="283"/>
              <w:jc w:val="left"/>
              <w:rPr>
                <w:b/>
                <w:u w:val="single"/>
              </w:rPr>
            </w:pPr>
            <w:r>
              <w:rPr>
                <w:b/>
                <w:u w:val="single"/>
              </w:rPr>
              <w:t>Registration Statement on Form S-8; 15,048,127 shares of Common Stock of Ardelyx, Inc., par value $0.0001 per share</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Ardelyx,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registration by the Company of 15,048,127 shares of common stock of the Company, par value $0.0001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issuable under the Company’s 2014 Equity Incentive Award Plan (the “</w:t>
      </w:r>
      <w:r>
        <w:rPr>
          <w:rFonts w:ascii="Times New Roman;Times;Serif" w:hAnsi="Times New Roman;Times;Serif"/>
          <w:b/>
          <w:i/>
          <w:caps w:val="false"/>
          <w:smallCaps w:val="false"/>
          <w:sz w:val="20"/>
        </w:rPr>
        <w:t>2014 Plan</w:t>
      </w:r>
      <w:r>
        <w:rPr>
          <w:rFonts w:ascii="Times New Roman;Times;Serif" w:hAnsi="Times New Roman;Times;Serif"/>
          <w:b w:val="false"/>
          <w:i w:val="false"/>
          <w:caps w:val="false"/>
          <w:smallCaps w:val="false"/>
          <w:sz w:val="20"/>
        </w:rPr>
        <w:t>”) and 2016 Employment Commencement Incentive Plan, as amended (together with the 2014 Plan, the “</w:t>
      </w:r>
      <w:r>
        <w:rPr>
          <w:rFonts w:ascii="Times New Roman;Times;Serif" w:hAnsi="Times New Roman;Times;Serif"/>
          <w:b/>
          <w:i/>
          <w:caps w:val="false"/>
          <w:smallCaps w:val="false"/>
          <w:sz w:val="20"/>
        </w:rPr>
        <w:t>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included in a registration statement on Form S-8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February 27, 2024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27, 2024</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6217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0"/>
                    <a:stretch>
                      <a:fillRect/>
                    </a:stretch>
                  </pic:blipFill>
                  <pic:spPr bwMode="auto">
                    <a:xfrm>
                      <a:off x="0" y="0"/>
                      <a:ext cx="2162175" cy="2762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Latham &amp; Watkins LLP</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7200" w:right="0" w:firstLine="720"/>
        <w:jc w:val="right"/>
        <w:rPr>
          <w:rFonts w:ascii="Times New Roman;Times;Serif" w:hAnsi="Times New Roman;Times;Serif"/>
          <w:b/>
          <w:i w:val="false"/>
          <w:caps w:val="false"/>
          <w:smallCaps w:val="false"/>
          <w:sz w:val="20"/>
        </w:rPr>
      </w:pPr>
      <w:bookmarkStart w:id="5" w:name="tm247176d1_ex23-1.htm"/>
      <w:bookmarkStart w:id="6" w:name="kstm247176d1_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2014 Equity Incentive Award Plan and the 2016 Employee Commencement Incentive Plan of Ardelyx, Inc. of our reports dated February 22, 2024, with respect to the financial statements of Ardelyx, Inc. and the effectiveness of internal control over financial reporting of Ardelyx, Inc. included in its Annual Report (Form 10-K) for the year ended December 31,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7" w:name="tm247176d1_ex-filingfees.htm"/>
      <w:bookmarkStart w:id="8" w:name="kstm247176d1_exfilingfees"/>
      <w:bookmarkEnd w:id="7"/>
      <w:bookmarkEnd w:id="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107.1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S-8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Ardelyx,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Table 1: Newly Registered Securities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40" w:type="dxa"/>
          <w:left w:w="30" w:type="dxa"/>
          <w:bottom w:w="0" w:type="dxa"/>
          <w:right w:w="0" w:type="dxa"/>
        </w:tblCellMar>
      </w:tblPr>
      <w:tblGrid>
        <w:gridCol w:w="918"/>
        <w:gridCol w:w="1815"/>
        <w:gridCol w:w="1507"/>
        <w:gridCol w:w="1041"/>
        <w:gridCol w:w="1190"/>
        <w:gridCol w:w="1187"/>
        <w:gridCol w:w="1330"/>
        <w:gridCol w:w="1217"/>
      </w:tblGrid>
      <w:tr>
        <w:trPr/>
        <w:tc>
          <w:tcPr>
            <w:tcW w:w="918"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 Type</w:t>
            </w:r>
          </w:p>
        </w:tc>
        <w:tc>
          <w:tcPr>
            <w:tcW w:w="181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 Class</w:t>
              <w:br/>
              <w:t>Title</w:t>
            </w:r>
          </w:p>
        </w:tc>
        <w:tc>
          <w:tcPr>
            <w:tcW w:w="1507"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 Calculation</w:t>
              <w:br/>
              <w:t>Rule</w:t>
            </w:r>
          </w:p>
        </w:tc>
        <w:tc>
          <w:tcPr>
            <w:tcW w:w="1041" w:type="dxa"/>
            <w:tcBorders>
              <w:top w:val="single" w:sz="8" w:space="0" w:color="000000"/>
              <w:left w:val="single" w:sz="8" w:space="0" w:color="000000"/>
            </w:tcBorders>
            <w:tcMar>
              <w:top w:w="28" w:type="dxa"/>
              <w:left w:w="47" w:type="dxa"/>
            </w:tcMar>
            <w:vAlign w:val="center"/>
          </w:tcPr>
          <w:p>
            <w:pPr>
              <w:pStyle w:val="TableContents"/>
              <w:bidi w:val="0"/>
              <w:spacing w:before="0" w:after="283"/>
              <w:jc w:val="center"/>
              <w:rPr/>
            </w:pPr>
            <w:r>
              <w:rPr>
                <w:rFonts w:ascii="Times New Roman;Times;Serif" w:hAnsi="Times New Roman;Times;Serif"/>
                <w:b/>
                <w:sz w:val="20"/>
              </w:rPr>
              <w:t>Amount</w:t>
              <w:br/>
              <w:t>Registered</w:t>
            </w:r>
            <w:r>
              <w:rPr>
                <w:sz w:val="20"/>
              </w:rPr>
              <w:t>(1)</w:t>
            </w:r>
          </w:p>
        </w:tc>
        <w:tc>
          <w:tcPr>
            <w:tcW w:w="1190" w:type="dxa"/>
            <w:tcBorders>
              <w:top w:val="single" w:sz="8" w:space="0" w:color="000000"/>
              <w:left w:val="single" w:sz="8" w:space="0" w:color="000000"/>
            </w:tcBorders>
            <w:vAlign w:val="center"/>
          </w:tcPr>
          <w:p>
            <w:pPr>
              <w:pStyle w:val="TableContents"/>
              <w:bidi w:val="0"/>
              <w:spacing w:before="0" w:after="283"/>
              <w:jc w:val="center"/>
              <w:rPr/>
            </w:pPr>
            <w:r>
              <w:rPr>
                <w:rFonts w:ascii="Times New Roman;Times;Serif" w:hAnsi="Times New Roman;Times;Serif"/>
                <w:b/>
                <w:sz w:val="20"/>
              </w:rPr>
              <w:t xml:space="preserve">Proposed </w:t>
              <w:br/>
              <w:t>Maximum Offering</w:t>
              <w:br/>
              <w:t>Price Per Unit</w:t>
            </w:r>
            <w:r>
              <w:rPr>
                <w:sz w:val="20"/>
              </w:rPr>
              <w:t>(2)</w:t>
            </w:r>
          </w:p>
        </w:tc>
        <w:tc>
          <w:tcPr>
            <w:tcW w:w="1187"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Aggregate</w:t>
              <w:br/>
              <w:t>Offering Price</w:t>
            </w:r>
          </w:p>
        </w:tc>
        <w:tc>
          <w:tcPr>
            <w:tcW w:w="133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 Rate</w:t>
            </w:r>
          </w:p>
        </w:tc>
        <w:tc>
          <w:tcPr>
            <w:tcW w:w="1217"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Registration Fee</w:t>
            </w:r>
          </w:p>
        </w:tc>
      </w:tr>
      <w:tr>
        <w:trPr/>
        <w:tc>
          <w:tcPr>
            <w:tcW w:w="918" w:type="dxa"/>
            <w:tcBorders>
              <w:top w:val="single" w:sz="8" w:space="0" w:color="000000"/>
              <w:left w:val="single" w:sz="8" w:space="0" w:color="000000"/>
            </w:tcBorders>
            <w:tcMar>
              <w:left w:w="77"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w:t>
            </w:r>
          </w:p>
        </w:tc>
        <w:tc>
          <w:tcPr>
            <w:tcW w:w="1815" w:type="dxa"/>
            <w:tcBorders>
              <w:top w:val="single" w:sz="8" w:space="0" w:color="000000"/>
              <w:left w:val="single" w:sz="8" w:space="0" w:color="000000"/>
            </w:tcBorders>
            <w:tcMar>
              <w:left w:w="77"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$0.0001 par value per share</w:t>
            </w:r>
          </w:p>
        </w:tc>
        <w:tc>
          <w:tcPr>
            <w:tcW w:w="1507"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Rule 457(c) and Rule 457(h)</w:t>
            </w:r>
          </w:p>
        </w:tc>
        <w:tc>
          <w:tcPr>
            <w:tcW w:w="1041" w:type="dxa"/>
            <w:tcBorders>
              <w:top w:val="single" w:sz="8" w:space="0" w:color="000000"/>
              <w:left w:val="single" w:sz="8" w:space="0" w:color="000000"/>
            </w:tcBorders>
            <w:tcMar>
              <w:top w:w="28" w:type="dxa"/>
              <w:left w:w="47" w:type="dxa"/>
            </w:tcMar>
            <w:vAlign w:val="center"/>
          </w:tcPr>
          <w:p>
            <w:pPr>
              <w:pStyle w:val="TableContents"/>
              <w:bidi w:val="0"/>
              <w:spacing w:before="0" w:after="283"/>
              <w:jc w:val="center"/>
              <w:rPr/>
            </w:pPr>
            <w:r>
              <w:rPr>
                <w:rFonts w:ascii="Times New Roman;Times;Serif" w:hAnsi="Times New Roman;Times;Serif"/>
                <w:sz w:val="20"/>
              </w:rPr>
              <w:t>9,298,127</w:t>
            </w:r>
            <w:r>
              <w:rPr/>
              <w:t xml:space="preserve"> </w:t>
            </w:r>
            <w:r>
              <w:rPr>
                <w:sz w:val="20"/>
              </w:rPr>
              <w:t>(3)</w:t>
            </w:r>
          </w:p>
        </w:tc>
        <w:tc>
          <w:tcPr>
            <w:tcW w:w="119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$8.50</w:t>
            </w:r>
          </w:p>
        </w:tc>
        <w:tc>
          <w:tcPr>
            <w:tcW w:w="1187"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$79,034,080</w:t>
            </w:r>
          </w:p>
        </w:tc>
        <w:tc>
          <w:tcPr>
            <w:tcW w:w="133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$147.60 per $1,000,000</w:t>
            </w:r>
          </w:p>
        </w:tc>
        <w:tc>
          <w:tcPr>
            <w:tcW w:w="1217"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$11,665.44</w:t>
            </w:r>
          </w:p>
        </w:tc>
      </w:tr>
      <w:tr>
        <w:trPr/>
        <w:tc>
          <w:tcPr>
            <w:tcW w:w="918" w:type="dxa"/>
            <w:tcBorders>
              <w:top w:val="single" w:sz="8" w:space="0" w:color="000000"/>
              <w:left w:val="single" w:sz="8" w:space="0" w:color="000000"/>
            </w:tcBorders>
            <w:tcMar>
              <w:left w:w="77"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w:t>
            </w:r>
          </w:p>
        </w:tc>
        <w:tc>
          <w:tcPr>
            <w:tcW w:w="1815" w:type="dxa"/>
            <w:tcBorders>
              <w:top w:val="single" w:sz="8" w:space="0" w:color="000000"/>
              <w:left w:val="single" w:sz="8" w:space="0" w:color="000000"/>
              <w:bottom w:val="single" w:sz="8" w:space="0" w:color="000000"/>
            </w:tcBorders>
            <w:tcMar>
              <w:left w:w="77"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$0.0001 par value per share</w:t>
            </w:r>
          </w:p>
        </w:tc>
        <w:tc>
          <w:tcPr>
            <w:tcW w:w="1507" w:type="dxa"/>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Rule 457(c) and Rule 457(h)</w:t>
            </w:r>
          </w:p>
        </w:tc>
        <w:tc>
          <w:tcPr>
            <w:tcW w:w="1041" w:type="dxa"/>
            <w:tcBorders>
              <w:top w:val="single" w:sz="8" w:space="0" w:color="000000"/>
              <w:left w:val="single" w:sz="8" w:space="0" w:color="000000"/>
              <w:bottom w:val="single" w:sz="8" w:space="0" w:color="000000"/>
            </w:tcBorders>
            <w:tcMar>
              <w:top w:w="28" w:type="dxa"/>
              <w:left w:w="47" w:type="dxa"/>
              <w:bottom w:w="28" w:type="dxa"/>
            </w:tcMar>
            <w:vAlign w:val="center"/>
          </w:tcPr>
          <w:p>
            <w:pPr>
              <w:pStyle w:val="TableContents"/>
              <w:bidi w:val="0"/>
              <w:spacing w:before="0" w:after="283"/>
              <w:jc w:val="center"/>
              <w:rPr/>
            </w:pPr>
            <w:r>
              <w:rPr>
                <w:rFonts w:ascii="Times New Roman;Times;Serif" w:hAnsi="Times New Roman;Times;Serif"/>
                <w:sz w:val="20"/>
              </w:rPr>
              <w:t>5,750,000</w:t>
            </w:r>
            <w:r>
              <w:rPr>
                <w:sz w:val="20"/>
              </w:rPr>
              <w:t>(4)</w:t>
            </w:r>
          </w:p>
        </w:tc>
        <w:tc>
          <w:tcPr>
            <w:tcW w:w="119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$8.50</w:t>
            </w:r>
          </w:p>
        </w:tc>
        <w:tc>
          <w:tcPr>
            <w:tcW w:w="1187"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$48,875,000</w:t>
            </w:r>
          </w:p>
        </w:tc>
        <w:tc>
          <w:tcPr>
            <w:tcW w:w="133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$147.60 per $1,000,000</w:t>
            </w:r>
          </w:p>
        </w:tc>
        <w:tc>
          <w:tcPr>
            <w:tcW w:w="1217"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$7,213.95</w:t>
            </w:r>
          </w:p>
        </w:tc>
      </w:tr>
      <w:tr>
        <w:trPr/>
        <w:tc>
          <w:tcPr>
            <w:tcW w:w="5281" w:type="dxa"/>
            <w:gridSpan w:val="4"/>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Offering Amounts</w:t>
            </w:r>
          </w:p>
        </w:tc>
        <w:tc>
          <w:tcPr>
            <w:tcW w:w="1190" w:type="dxa"/>
            <w:tcBorders>
              <w:top w:val="single" w:sz="8" w:space="0" w:color="000000"/>
              <w:left w:val="single" w:sz="8" w:space="0" w:color="000000"/>
            </w:tcBorders>
            <w:tcMar>
              <w:top w:w="28" w:type="dxa"/>
            </w:tcMar>
            <w:vAlign w:val="center"/>
          </w:tcPr>
          <w:p>
            <w:pPr>
              <w:pStyle w:val="TableContents"/>
              <w:bidi w:val="0"/>
              <w:spacing w:before="0" w:after="283"/>
              <w:jc w:val="left"/>
              <w:rPr/>
            </w:pPr>
            <w:r>
              <w:rPr/>
              <w:t> </w:t>
            </w:r>
          </w:p>
        </w:tc>
        <w:tc>
          <w:tcPr>
            <w:tcW w:w="1187"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$127,909,080</w:t>
            </w:r>
          </w:p>
        </w:tc>
        <w:tc>
          <w:tcPr>
            <w:tcW w:w="1330" w:type="dxa"/>
            <w:tcBorders>
              <w:top w:val="single" w:sz="8" w:space="0" w:color="000000"/>
              <w:left w:val="single" w:sz="8" w:space="0" w:color="000000"/>
            </w:tcBorders>
            <w:tcMar>
              <w:top w:w="28" w:type="dxa"/>
            </w:tcMar>
            <w:vAlign w:val="center"/>
          </w:tcPr>
          <w:p>
            <w:pPr>
              <w:pStyle w:val="TableContents"/>
              <w:bidi w:val="0"/>
              <w:spacing w:before="0" w:after="283"/>
              <w:jc w:val="left"/>
              <w:rPr/>
            </w:pPr>
            <w:r>
              <w:rPr/>
              <w:t> </w:t>
            </w:r>
          </w:p>
        </w:tc>
        <w:tc>
          <w:tcPr>
            <w:tcW w:w="1217"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$18,879.39</w:t>
            </w:r>
          </w:p>
        </w:tc>
      </w:tr>
      <w:tr>
        <w:trPr/>
        <w:tc>
          <w:tcPr>
            <w:tcW w:w="5281" w:type="dxa"/>
            <w:gridSpan w:val="4"/>
            <w:tcBorders>
              <w:left w:val="single" w:sz="8" w:space="0" w:color="000000"/>
              <w:bottom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Fee Offsets</w:t>
            </w:r>
          </w:p>
        </w:tc>
        <w:tc>
          <w:tcPr>
            <w:tcW w:w="1190" w:type="dxa"/>
            <w:tcBorders>
              <w:top w:val="single" w:sz="8" w:space="0" w:color="000000"/>
              <w:left w:val="single" w:sz="8" w:space="0" w:color="000000"/>
            </w:tcBorders>
            <w:tcMar>
              <w:top w:w="28" w:type="dxa"/>
            </w:tcMar>
            <w:vAlign w:val="center"/>
          </w:tcPr>
          <w:p>
            <w:pPr>
              <w:pStyle w:val="TableContents"/>
              <w:bidi w:val="0"/>
              <w:spacing w:before="0" w:after="283"/>
              <w:jc w:val="left"/>
              <w:rPr/>
            </w:pPr>
            <w:r>
              <w:rPr/>
              <w:t> </w:t>
            </w:r>
          </w:p>
        </w:tc>
        <w:tc>
          <w:tcPr>
            <w:tcW w:w="1187" w:type="dxa"/>
            <w:tcBorders>
              <w:top w:val="single" w:sz="8" w:space="0" w:color="000000"/>
              <w:left w:val="single" w:sz="8" w:space="0" w:color="000000"/>
            </w:tcBorders>
            <w:tcMar>
              <w:top w:w="28" w:type="dxa"/>
            </w:tcMar>
            <w:vAlign w:val="center"/>
          </w:tcPr>
          <w:p>
            <w:pPr>
              <w:pStyle w:val="TableContents"/>
              <w:bidi w:val="0"/>
              <w:spacing w:before="0" w:after="283"/>
              <w:jc w:val="left"/>
              <w:rPr/>
            </w:pPr>
            <w:r>
              <w:rPr/>
              <w:t> </w:t>
            </w:r>
          </w:p>
        </w:tc>
        <w:tc>
          <w:tcPr>
            <w:tcW w:w="1330" w:type="dxa"/>
            <w:tcBorders>
              <w:top w:val="single" w:sz="8" w:space="0" w:color="000000"/>
              <w:left w:val="single" w:sz="8" w:space="0" w:color="000000"/>
            </w:tcBorders>
            <w:tcMar>
              <w:top w:w="28" w:type="dxa"/>
            </w:tcMar>
            <w:vAlign w:val="center"/>
          </w:tcPr>
          <w:p>
            <w:pPr>
              <w:pStyle w:val="TableContents"/>
              <w:bidi w:val="0"/>
              <w:spacing w:before="0" w:after="283"/>
              <w:jc w:val="left"/>
              <w:rPr/>
            </w:pPr>
            <w:r>
              <w:rPr/>
              <w:t> </w:t>
            </w:r>
          </w:p>
        </w:tc>
        <w:tc>
          <w:tcPr>
            <w:tcW w:w="1217" w:type="dxa"/>
            <w:tcBorders>
              <w:top w:val="single" w:sz="8" w:space="0" w:color="000000"/>
              <w:left w:val="single" w:sz="8" w:space="0" w:color="000000"/>
              <w:right w:val="single" w:sz="8" w:space="0" w:color="000000"/>
            </w:tcBorders>
            <w:tcMar>
              <w:top w:w="28" w:type="dxa"/>
              <w:left w:w="47" w:type="dxa"/>
              <w:right w:w="47" w:type="dxa"/>
            </w:tcMar>
            <w:vAlign w:val="center"/>
          </w:tcPr>
          <w:p>
            <w:pPr>
              <w:pStyle w:val="TableContents"/>
              <w:bidi w:val="0"/>
              <w:spacing w:before="0" w:after="283"/>
              <w:jc w:val="center"/>
              <w:rPr/>
            </w:pPr>
            <w:r>
              <w:rPr>
                <w:rFonts w:ascii="Times New Roman;Times;Serif" w:hAnsi="Times New Roman;Times;Serif"/>
                <w:sz w:val="20"/>
              </w:rPr>
              <w:t>$-</w:t>
            </w:r>
            <w:r>
              <w:rPr>
                <w:sz w:val="20"/>
              </w:rPr>
              <w:t>(5)</w:t>
            </w:r>
          </w:p>
        </w:tc>
      </w:tr>
      <w:tr>
        <w:trPr/>
        <w:tc>
          <w:tcPr>
            <w:tcW w:w="5281" w:type="dxa"/>
            <w:gridSpan w:val="4"/>
            <w:tcBorders>
              <w:left w:val="single" w:sz="8" w:space="0" w:color="000000"/>
              <w:bottom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Fee Due</w:t>
            </w:r>
          </w:p>
        </w:tc>
        <w:tc>
          <w:tcPr>
            <w:tcW w:w="1190" w:type="dxa"/>
            <w:tcBorders>
              <w:top w:val="single" w:sz="8" w:space="0" w:color="000000"/>
              <w:left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187" w:type="dxa"/>
            <w:tcBorders>
              <w:top w:val="single" w:sz="8" w:space="0" w:color="000000"/>
              <w:left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330" w:type="dxa"/>
            <w:tcBorders>
              <w:top w:val="single" w:sz="8" w:space="0" w:color="000000"/>
              <w:left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217" w:type="dxa"/>
            <w:tcBorders>
              <w:top w:val="single" w:sz="8" w:space="0" w:color="000000"/>
              <w:left w:val="single" w:sz="8" w:space="0" w:color="000000"/>
              <w:bottom w:val="single" w:sz="8" w:space="0" w:color="000000"/>
              <w:right w:val="single" w:sz="8" w:space="0" w:color="000000"/>
            </w:tcBorders>
            <w:tcMar>
              <w:bottom w:w="40" w:type="dxa"/>
              <w:right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$18,879.39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Rule 416(a) under the Securities Act of 1933, as amended (the “Securities Act”), this registration statement shall also cover any additional shares of the Registrant’s common stock that become issuable under the 2014 Equity Incentive Award Plan (the “2014 Plan”) or the 2016 Employee Commencement Incentive Plan (the “2016 Plan”) by reason of any stock dividend, stock split, recapitalization or similar transaction effected without the Registrant’s receipt of consideration which would increase the number of outstanding shares of common stock.</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2014 Plan are based on the average of the high and the low price of Registrant’s Common Stock as reported on The Nasdaq Global Market on February 26, 2024.</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shares of the Registrant’s common stock issuable under the 2014 Plan resulting from an annual increase as of January 1, 2024.</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shares of the Registrant’s common stock issuable under the 2016 Plan resulting from an increase as of January 16, 2024.</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 does not have any fee offsets.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2"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37402/000119312514267896/d758186ds8.htm" TargetMode="External"/><Relationship Id="rId4" Type="http://schemas.openxmlformats.org/officeDocument/2006/relationships/hyperlink" Target="http://www.sec.gov/Archives/edgar/data/1437402/000119312516764653/d276142ds8.htm" TargetMode="External"/><Relationship Id="rId5" Type="http://schemas.openxmlformats.org/officeDocument/2006/relationships/hyperlink" Target="http://www.sec.gov/Archives/edgar/data/1437402/000119312515087522/d889275ds8.htm" TargetMode="External"/><Relationship Id="rId6" Type="http://schemas.openxmlformats.org/officeDocument/2006/relationships/hyperlink" Target="http://www.sec.gov/Archives/edgar/data/1437402/000119312516500176/d159520ds8.htm" TargetMode="External"/><Relationship Id="rId7" Type="http://schemas.openxmlformats.org/officeDocument/2006/relationships/hyperlink" Target="http://www.sec.gov/Archives/edgar/data/1437402/000119312517050555/d333014ds8.htm" TargetMode="External"/><Relationship Id="rId8" Type="http://schemas.openxmlformats.org/officeDocument/2006/relationships/hyperlink" Target="http://www.sec.gov/Archives/edgar/data/1437402/000119312518084334/d551566ds8.htm" TargetMode="External"/><Relationship Id="rId9" Type="http://schemas.openxmlformats.org/officeDocument/2006/relationships/hyperlink" Target="http://www.sec.gov/Archives/edgar/data/1437402/000155837019001719/s-8.htm" TargetMode="External"/><Relationship Id="rId10" Type="http://schemas.openxmlformats.org/officeDocument/2006/relationships/hyperlink" Target="http://www.sec.gov/Archives/edgar/data/1437402/000119312520068867/d896070ds8.htm" TargetMode="External"/><Relationship Id="rId11" Type="http://schemas.openxmlformats.org/officeDocument/2006/relationships/hyperlink" Target="http://www.sec.gov/Archives/edgar/data/1437402/000155837021002843/tmb-20210311xs8.htm" TargetMode="External"/><Relationship Id="rId12" Type="http://schemas.openxmlformats.org/officeDocument/2006/relationships/hyperlink" Target="http://www.sec.gov/Archives/edgar/data/1437402/000110465922028658/tm227853d1_s8.htm" TargetMode="External"/><Relationship Id="rId13" Type="http://schemas.openxmlformats.org/officeDocument/2006/relationships/hyperlink" Target="https://www.sec.gov/Archives/edgar/data/1437402/000110465923029195/tm238542d1_s8.htm" TargetMode="External"/><Relationship Id="rId14" Type="http://schemas.openxmlformats.org/officeDocument/2006/relationships/hyperlink" Target="https://www.sec.gov/ix?doc=/Archives/edgar/data/1437402/000162828024006393/ardx-20231231.htm" TargetMode="External"/><Relationship Id="rId15" Type="http://schemas.openxmlformats.org/officeDocument/2006/relationships/hyperlink" Target="https://www.sec.gov/Archives/edgar/data/1437402/000119312514230441/d740908d8a12b.htm" TargetMode="External"/><Relationship Id="rId16" Type="http://schemas.openxmlformats.org/officeDocument/2006/relationships/hyperlink" Target="https://www.sec.gov/Archives/edgar/data/1437402/000155837021002500/ardx-20201231xex4d4.htm" TargetMode="External"/><Relationship Id="rId17" Type="http://schemas.openxmlformats.org/officeDocument/2006/relationships/hyperlink" Target="https://www.sec.gov/Archives/edgar/data/1437402/000119312514247380/d748616dex31.htm" TargetMode="External"/><Relationship Id="rId18" Type="http://schemas.openxmlformats.org/officeDocument/2006/relationships/hyperlink" Target="https://www.sec.gov/Archives/edgar/data/1437402/000119312514247380/d748616dex31.htm" TargetMode="External"/><Relationship Id="rId19" Type="http://schemas.openxmlformats.org/officeDocument/2006/relationships/hyperlink" Target="https://www.sec.gov/Archives/edgar/data/1437402/000119312514247380/d748616dex31.htm" TargetMode="External"/><Relationship Id="rId20" Type="http://schemas.openxmlformats.org/officeDocument/2006/relationships/hyperlink" Target="https://www.sec.gov/Archives/edgar/data/1437402/000119312514247380/d748616dex31.htm" TargetMode="External"/><Relationship Id="rId21" Type="http://schemas.openxmlformats.org/officeDocument/2006/relationships/hyperlink" Target="https://www.sec.gov/Archives/edgar/data/1437402/000119312514247380/d748616dex31.htm" TargetMode="External"/><Relationship Id="rId22" Type="http://schemas.openxmlformats.org/officeDocument/2006/relationships/hyperlink" Target="https://www.sec.gov/Archives/edgar/data/1437402/000162828023022681/certificateofamendment6-16.htm" TargetMode="External"/><Relationship Id="rId23" Type="http://schemas.openxmlformats.org/officeDocument/2006/relationships/hyperlink" Target="https://www.sec.gov/Archives/edgar/data/1437402/000162828023022681/certificateofamendment6-16.htm" TargetMode="External"/><Relationship Id="rId24" Type="http://schemas.openxmlformats.org/officeDocument/2006/relationships/hyperlink" Target="https://www.sec.gov/Archives/edgar/data/1437402/000162828023022681/certificateofamendment6-16.htm" TargetMode="External"/><Relationship Id="rId25" Type="http://schemas.openxmlformats.org/officeDocument/2006/relationships/hyperlink" Target="https://www.sec.gov/Archives/edgar/data/1437402/000162828023022681/certificateofamendment6-16.htm" TargetMode="External"/><Relationship Id="rId26" Type="http://schemas.openxmlformats.org/officeDocument/2006/relationships/hyperlink" Target="https://www.sec.gov/Archives/edgar/data/1437402/000162828023022681/certificateofamendment6-16.htm" TargetMode="External"/><Relationship Id="rId27" Type="http://schemas.openxmlformats.org/officeDocument/2006/relationships/hyperlink" Target="https://www.sec.gov/Archives/edgar/data/1437402/000162828023022681/certificateofamendment6-16.htm" TargetMode="External"/><Relationship Id="rId28" Type="http://schemas.openxmlformats.org/officeDocument/2006/relationships/hyperlink" Target="https://www.sec.gov/Archives/edgar/data/1437402/000119312514247380/d748616dex32.htm" TargetMode="External"/><Relationship Id="rId29" Type="http://schemas.openxmlformats.org/officeDocument/2006/relationships/hyperlink" Target="https://www.sec.gov/Archives/edgar/data/1437402/000119312514247380/d748616dex32.htm" TargetMode="External"/><Relationship Id="rId30" Type="http://schemas.openxmlformats.org/officeDocument/2006/relationships/hyperlink" Target="https://www.sec.gov/Archives/edgar/data/1437402/000119312514247380/d748616dex32.htm" TargetMode="External"/><Relationship Id="rId31" Type="http://schemas.openxmlformats.org/officeDocument/2006/relationships/hyperlink" Target="https://www.sec.gov/Archives/edgar/data/1437402/000119312514247380/d748616dex32.htm" TargetMode="External"/><Relationship Id="rId32" Type="http://schemas.openxmlformats.org/officeDocument/2006/relationships/hyperlink" Target="https://www.sec.gov/Archives/edgar/data/1437402/000119312514247380/d748616dex32.htm" TargetMode="External"/><Relationship Id="rId33" Type="http://schemas.openxmlformats.org/officeDocument/2006/relationships/hyperlink" Target="https://www.sec.gov/Archives/edgar/data/1437402/000119312514240520/d704770dex42.htm" TargetMode="External"/><Relationship Id="rId34" Type="http://schemas.openxmlformats.org/officeDocument/2006/relationships/hyperlink" Target="https://www.sec.gov/Archives/edgar/data/1437402/000119312514240520/d704770dex42.htm" TargetMode="External"/><Relationship Id="rId35" Type="http://schemas.openxmlformats.org/officeDocument/2006/relationships/hyperlink" Target="https://www.sec.gov/Archives/edgar/data/1437402/000119312514240520/d704770dex42.htm" TargetMode="External"/><Relationship Id="rId36" Type="http://schemas.openxmlformats.org/officeDocument/2006/relationships/hyperlink" Target="https://www.sec.gov/Archives/edgar/data/1437402/000119312514240520/d704770dex42.htm" TargetMode="External"/><Relationship Id="rId37" Type="http://schemas.openxmlformats.org/officeDocument/2006/relationships/hyperlink" Target="https://www.sec.gov/Archives/edgar/data/1437402/000119312514240520/d704770dex42.htm" TargetMode="External"/><Relationship Id="rId38" Type="http://schemas.openxmlformats.org/officeDocument/2006/relationships/hyperlink" Target="https://www.sec.gov/Archives/edgar/data/1437402/000119312514267896/d758186dex993.htm" TargetMode="External"/><Relationship Id="rId39" Type="http://schemas.openxmlformats.org/officeDocument/2006/relationships/hyperlink" Target="https://www.sec.gov/Archives/edgar/data/1437402/000119312514267896/d758186dex993.htm" TargetMode="External"/><Relationship Id="rId40" Type="http://schemas.openxmlformats.org/officeDocument/2006/relationships/hyperlink" Target="https://www.sec.gov/Archives/edgar/data/1437402/000119312514267896/d758186dex993.htm" TargetMode="External"/><Relationship Id="rId41" Type="http://schemas.openxmlformats.org/officeDocument/2006/relationships/hyperlink" Target="https://www.sec.gov/Archives/edgar/data/1437402/000119312514267896/d758186dex993.htm" TargetMode="External"/><Relationship Id="rId42" Type="http://schemas.openxmlformats.org/officeDocument/2006/relationships/hyperlink" Target="https://www.sec.gov/Archives/edgar/data/1437402/000119312514267896/d758186dex993.htm" TargetMode="External"/><Relationship Id="rId43" Type="http://schemas.openxmlformats.org/officeDocument/2006/relationships/hyperlink" Target="https://www.sec.gov/Archives/edgar/data/1437402/000162828024006393/ardelyxinc2016employmentco.htm" TargetMode="External"/><Relationship Id="rId44" Type="http://schemas.openxmlformats.org/officeDocument/2006/relationships/hyperlink" Target="https://www.sec.gov/Archives/edgar/data/1437402/000162828024006393/ardelyxinc2016employmentco.htm" TargetMode="External"/><Relationship Id="rId45" Type="http://schemas.openxmlformats.org/officeDocument/2006/relationships/hyperlink" Target="https://www.sec.gov/Archives/edgar/data/1437402/000162828024006393/ardelyxinc2016employmentco.htm" TargetMode="External"/><Relationship Id="rId46" Type="http://schemas.openxmlformats.org/officeDocument/2006/relationships/hyperlink" Target="https://www.sec.gov/Archives/edgar/data/1437402/000162828024006393/ardelyxinc2016employmentco.htm" TargetMode="External"/><Relationship Id="rId47" Type="http://schemas.openxmlformats.org/officeDocument/2006/relationships/hyperlink" Target="https://www.sec.gov/Archives/edgar/data/1437402/000162828024006393/ardelyxinc2016employmentco.htm" TargetMode="External"/><Relationship Id="rId48" Type="http://schemas.openxmlformats.org/officeDocument/2006/relationships/hyperlink" Target="https://www.sec.gov/Archives/edgar/data/1437402/000119312514229371/d704770dex106b.htm" TargetMode="External"/><Relationship Id="rId49" Type="http://schemas.openxmlformats.org/officeDocument/2006/relationships/hyperlink" Target="https://www.sec.gov/Archives/edgar/data/1437402/000119312514229371/d704770dex106b.htm" TargetMode="External"/><Relationship Id="rId50" Type="http://schemas.openxmlformats.org/officeDocument/2006/relationships/hyperlink" Target="https://www.sec.gov/Archives/edgar/data/1437402/000119312514229371/d704770dex106b.htm" TargetMode="External"/><Relationship Id="rId51" Type="http://schemas.openxmlformats.org/officeDocument/2006/relationships/hyperlink" Target="https://www.sec.gov/Archives/edgar/data/1437402/000119312514229371/d704770dex106b.htm" TargetMode="External"/><Relationship Id="rId52" Type="http://schemas.openxmlformats.org/officeDocument/2006/relationships/hyperlink" Target="https://www.sec.gov/Archives/edgar/data/1437402/000119312514229371/d704770dex106b.htm" TargetMode="External"/><Relationship Id="rId53" Type="http://schemas.openxmlformats.org/officeDocument/2006/relationships/hyperlink" Target="https://www.sec.gov/Archives/edgar/data/1437402/000119312514229371/d704770dex106c.htm" TargetMode="External"/><Relationship Id="rId54" Type="http://schemas.openxmlformats.org/officeDocument/2006/relationships/hyperlink" Target="https://www.sec.gov/Archives/edgar/data/1437402/000119312514229371/d704770dex106c.htm" TargetMode="External"/><Relationship Id="rId55" Type="http://schemas.openxmlformats.org/officeDocument/2006/relationships/hyperlink" Target="https://www.sec.gov/Archives/edgar/data/1437402/000119312514229371/d704770dex106c.htm" TargetMode="External"/><Relationship Id="rId56" Type="http://schemas.openxmlformats.org/officeDocument/2006/relationships/hyperlink" Target="https://www.sec.gov/Archives/edgar/data/1437402/000119312514229371/d704770dex106c.htm" TargetMode="External"/><Relationship Id="rId57" Type="http://schemas.openxmlformats.org/officeDocument/2006/relationships/hyperlink" Target="https://www.sec.gov/Archives/edgar/data/1437402/000119312514229371/d704770dex106c.htm" TargetMode="External"/><Relationship Id="rId58" Type="http://schemas.openxmlformats.org/officeDocument/2006/relationships/hyperlink" Target="https://www.sec.gov/Archives/edgar/data/1437402/000119312516764653/d276142dex992.htm" TargetMode="External"/><Relationship Id="rId59" Type="http://schemas.openxmlformats.org/officeDocument/2006/relationships/hyperlink" Target="https://www.sec.gov/Archives/edgar/data/1437402/000119312516764653/d276142dex992.htm" TargetMode="External"/><Relationship Id="rId60" Type="http://schemas.openxmlformats.org/officeDocument/2006/relationships/hyperlink" Target="https://www.sec.gov/Archives/edgar/data/1437402/000119312516764653/d276142dex992.htm" TargetMode="External"/><Relationship Id="rId61" Type="http://schemas.openxmlformats.org/officeDocument/2006/relationships/hyperlink" Target="https://www.sec.gov/Archives/edgar/data/1437402/000119312516764653/d276142dex992.htm" TargetMode="External"/><Relationship Id="rId62" Type="http://schemas.openxmlformats.org/officeDocument/2006/relationships/hyperlink" Target="https://www.sec.gov/Archives/edgar/data/1437402/000119312516764653/d276142dex992.htm" TargetMode="External"/><Relationship Id="rId63" Type="http://schemas.openxmlformats.org/officeDocument/2006/relationships/hyperlink" Target="https://www.sec.gov/Archives/edgar/data/1437402/000119312516764653/d276142dex994.htm" TargetMode="External"/><Relationship Id="rId64" Type="http://schemas.openxmlformats.org/officeDocument/2006/relationships/hyperlink" Target="https://www.sec.gov/Archives/edgar/data/1437402/000119312516764653/d276142dex994.htm" TargetMode="External"/><Relationship Id="rId65" Type="http://schemas.openxmlformats.org/officeDocument/2006/relationships/hyperlink" Target="https://www.sec.gov/Archives/edgar/data/1437402/000119312516764653/d276142dex994.htm" TargetMode="External"/><Relationship Id="rId66" Type="http://schemas.openxmlformats.org/officeDocument/2006/relationships/hyperlink" Target="https://www.sec.gov/Archives/edgar/data/1437402/000119312516764653/d276142dex994.htm" TargetMode="External"/><Relationship Id="rId67" Type="http://schemas.openxmlformats.org/officeDocument/2006/relationships/hyperlink" Target="https://www.sec.gov/Archives/edgar/data/1437402/000119312516764653/d276142dex994.htm" TargetMode="External"/><Relationship Id="rId68" Type="http://schemas.openxmlformats.org/officeDocument/2006/relationships/image" Target="media/image2.jpeg"/><Relationship Id="rId69" Type="http://schemas.openxmlformats.org/officeDocument/2006/relationships/image" Target="media/image3.jpeg"/><Relationship Id="rId70" Type="http://schemas.openxmlformats.org/officeDocument/2006/relationships/image" Target="media/image4.jpe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4059</Words>
  <Characters>22122</Characters>
  <CharactersWithSpaces>26331</CharactersWithSpaces>
  <Paragraphs>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