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3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360" w:type="dxa"/>
            <w:vAlign w:val="bottom"/>
            <w:gridSpan w:val="8"/>
            <w:vMerge w:val="restart"/>
          </w:tcPr>
          <w:p>
            <w:pPr>
              <w:jc w:val="center"/>
              <w:ind w:right="11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 w:line="23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Blanks Robert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ARDELYX,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ARDX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06/23/2023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See Remarks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ARDELYX, INC.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400 FIFTH AVENUE, SUITE 210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Rule 10b5-1(c) Transaction Indication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-2449195</wp:posOffset>
            </wp:positionV>
            <wp:extent cx="7045960" cy="63011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01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200" w:right="580" w:hanging="235"/>
        <w:spacing w:after="0" w:line="180" w:lineRule="auto"/>
        <w:tabs>
          <w:tab w:leader="none" w:pos="420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33,333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299,467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33,333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3.6313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266,134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3.42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33,333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07/18/2014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07/18/2023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33,333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400" w:firstLine="3"/>
        <w:spacing w:after="0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relates an option that would have expired on July 18, 2023 and does not result in a reduction of shares held outright by the Reporting Person. The shares acquired upon the exercise of the option were sold pursuant to a Rule 10b5-1 stock trading plan adopted by the Reporting Person on March 24, 2023. accordingly, the Reporting Person had no discretion with regard to the timing of the transaction.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in prices ranging from $3.62 to $3.70,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option, which was granted on July 18, 2013, and has an expiration date of July 18, 2023, is fully vested and exercisable.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Regulatory and Quality Affairs Officer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-10795</wp:posOffset>
            </wp:positionV>
            <wp:extent cx="99187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Robert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18846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Blanks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29781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815433" TargetMode="External"/><Relationship Id="rId9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2023-06-27T17:43:42Z</dcterms:created>
  <dcterms:modified xsi:type="dcterms:W3CDTF">2023-06-27T17:43:42Z</dcterms:modified>
</cp:coreProperties>
</file>