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028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02869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526"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SANDELL SCOTT D</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ARDELYX,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ARDX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2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480" w:type="dxa"/>
            <w:vAlign w:val="bottom"/>
            <w:tcBorders>
              <w:top w:val="single" w:sz="8" w:color="0000EE"/>
            </w:tcBorders>
          </w:tcPr>
          <w:p>
            <w:pPr>
              <w:spacing w:after="0"/>
              <w:rPr>
                <w:sz w:val="8"/>
                <w:szCs w:val="8"/>
                <w:color w:val="auto"/>
              </w:rPr>
            </w:pPr>
          </w:p>
        </w:tc>
        <w:tc>
          <w:tcPr>
            <w:tcW w:w="6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1954 GREENSPRING DRIVE</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01/13/2016</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SUITE 600</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8"/>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48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5"/>
                <w:szCs w:val="5"/>
                <w:color w:val="auto"/>
              </w:rPr>
            </w:pPr>
          </w:p>
        </w:tc>
        <w:tc>
          <w:tcPr>
            <w:tcW w:w="80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TIMONIUM</w:t>
            </w:r>
          </w:p>
        </w:tc>
        <w:tc>
          <w:tcPr>
            <w:tcW w:w="1300" w:type="dxa"/>
            <w:vAlign w:val="bottom"/>
            <w:gridSpan w:val="3"/>
          </w:tcPr>
          <w:p>
            <w:pPr>
              <w:ind w:left="40"/>
              <w:spacing w:after="0"/>
              <w:rPr>
                <w:sz w:val="20"/>
                <w:szCs w:val="20"/>
                <w:color w:val="auto"/>
              </w:rPr>
            </w:pPr>
            <w:r>
              <w:rPr>
                <w:rFonts w:ascii="Arial" w:cs="Arial" w:eastAsia="Arial" w:hAnsi="Arial"/>
                <w:sz w:val="18"/>
                <w:szCs w:val="18"/>
                <w:color w:val="0000FF"/>
              </w:rPr>
              <w:t>MD</w:t>
            </w:r>
          </w:p>
        </w:tc>
        <w:tc>
          <w:tcPr>
            <w:tcW w:w="1200" w:type="dxa"/>
            <w:vAlign w:val="bottom"/>
          </w:tcPr>
          <w:p>
            <w:pPr>
              <w:spacing w:after="0"/>
              <w:rPr>
                <w:sz w:val="20"/>
                <w:szCs w:val="20"/>
                <w:color w:val="auto"/>
              </w:rPr>
            </w:pPr>
            <w:r>
              <w:rPr>
                <w:rFonts w:ascii="Arial" w:cs="Arial" w:eastAsia="Arial" w:hAnsi="Arial"/>
                <w:sz w:val="18"/>
                <w:szCs w:val="18"/>
                <w:color w:val="0000FF"/>
              </w:rPr>
              <w:t>21093</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236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640" w:type="dxa"/>
            <w:vAlign w:val="bottom"/>
            <w:tcBorders>
              <w:top w:val="single" w:sz="8" w:color="2C2C2C"/>
            </w:tcBorders>
            <w:gridSpan w:val="18"/>
          </w:tcPr>
          <w:p>
            <w:pPr>
              <w:jc w:val="center"/>
              <w:ind w:right="277"/>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4"/>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5"/>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40" w:type="dxa"/>
            <w:vAlign w:val="bottom"/>
            <w:gridSpan w:val="5"/>
            <w:vMerge w:val="restart"/>
          </w:tcPr>
          <w:p>
            <w:pPr>
              <w:ind w:left="860"/>
              <w:spacing w:after="0"/>
              <w:rPr>
                <w:sz w:val="20"/>
                <w:szCs w:val="20"/>
                <w:color w:val="auto"/>
              </w:rPr>
            </w:pPr>
            <w:r>
              <w:rPr>
                <w:rFonts w:ascii="Arial" w:cs="Arial" w:eastAsia="Arial" w:hAnsi="Arial"/>
                <w:sz w:val="18"/>
                <w:szCs w:val="18"/>
                <w:color w:val="0000FF"/>
              </w:rPr>
              <w:t>01/13/2016</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P</w:t>
            </w:r>
            <w:r>
              <w:rPr>
                <w:rFonts w:ascii="Arial" w:cs="Arial" w:eastAsia="Arial" w:hAnsi="Arial"/>
                <w:sz w:val="11"/>
                <w:szCs w:val="11"/>
                <w:color w:val="008000"/>
              </w:rPr>
              <w:t>(1)</w:t>
            </w:r>
          </w:p>
        </w:tc>
        <w:tc>
          <w:tcPr>
            <w:tcW w:w="1100" w:type="dxa"/>
            <w:vAlign w:val="bottom"/>
            <w:gridSpan w:val="2"/>
            <w:vMerge w:val="restart"/>
          </w:tcPr>
          <w:p>
            <w:pPr>
              <w:ind w:left="200"/>
              <w:spacing w:after="0"/>
              <w:rPr>
                <w:sz w:val="20"/>
                <w:szCs w:val="20"/>
                <w:color w:val="auto"/>
              </w:rPr>
            </w:pPr>
            <w:r>
              <w:rPr>
                <w:rFonts w:ascii="Arial" w:cs="Arial" w:eastAsia="Arial" w:hAnsi="Arial"/>
                <w:sz w:val="18"/>
                <w:szCs w:val="18"/>
                <w:color w:val="0000FF"/>
              </w:rPr>
              <w:t>500,000</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620" w:type="dxa"/>
            <w:vAlign w:val="bottom"/>
            <w:gridSpan w:val="3"/>
            <w:vMerge w:val="restart"/>
          </w:tcPr>
          <w:p>
            <w:pPr>
              <w:jc w:val="right"/>
              <w:ind w:right="1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10</w:t>
            </w: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7"/>
              </w:rPr>
              <w:t>7,988,893</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40" w:type="dxa"/>
            <w:vAlign w:val="bottom"/>
            <w:gridSpan w:val="5"/>
            <w:vMerge w:val="continue"/>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2</w:t>
            </w:r>
            <w:r>
              <w:rPr>
                <w:rFonts w:ascii="Arial" w:cs="Arial" w:eastAsia="Arial" w:hAnsi="Arial"/>
                <w:sz w:val="11"/>
                <w:szCs w:val="11"/>
                <w:color w:val="008000"/>
              </w:rPr>
              <w:t>(2)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40" w:type="dxa"/>
            <w:vAlign w:val="bottom"/>
            <w:gridSpan w:val="5"/>
            <w:vMerge w:val="restart"/>
          </w:tcPr>
          <w:p>
            <w:pPr>
              <w:ind w:left="860"/>
              <w:spacing w:after="0"/>
              <w:rPr>
                <w:sz w:val="20"/>
                <w:szCs w:val="20"/>
                <w:color w:val="auto"/>
              </w:rPr>
            </w:pPr>
            <w:r>
              <w:rPr>
                <w:rFonts w:ascii="Arial" w:cs="Arial" w:eastAsia="Arial" w:hAnsi="Arial"/>
                <w:sz w:val="18"/>
                <w:szCs w:val="18"/>
                <w:color w:val="0000FF"/>
              </w:rPr>
              <w:t>01/13/2016</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P</w:t>
            </w:r>
            <w:r>
              <w:rPr>
                <w:rFonts w:ascii="Arial" w:cs="Arial" w:eastAsia="Arial" w:hAnsi="Arial"/>
                <w:sz w:val="11"/>
                <w:szCs w:val="11"/>
                <w:color w:val="008000"/>
              </w:rPr>
              <w:t>(1)</w:t>
            </w:r>
          </w:p>
        </w:tc>
        <w:tc>
          <w:tcPr>
            <w:tcW w:w="1100" w:type="dxa"/>
            <w:vAlign w:val="bottom"/>
            <w:gridSpan w:val="2"/>
            <w:vMerge w:val="restart"/>
          </w:tcPr>
          <w:p>
            <w:pPr>
              <w:ind w:left="200"/>
              <w:spacing w:after="0"/>
              <w:rPr>
                <w:sz w:val="20"/>
                <w:szCs w:val="20"/>
                <w:color w:val="auto"/>
              </w:rPr>
            </w:pPr>
            <w:r>
              <w:rPr>
                <w:rFonts w:ascii="Arial" w:cs="Arial" w:eastAsia="Arial" w:hAnsi="Arial"/>
                <w:sz w:val="18"/>
                <w:szCs w:val="18"/>
                <w:color w:val="0000FF"/>
              </w:rPr>
              <w:t>500,000</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620" w:type="dxa"/>
            <w:vAlign w:val="bottom"/>
            <w:gridSpan w:val="3"/>
            <w:vMerge w:val="restart"/>
          </w:tcPr>
          <w:p>
            <w:pPr>
              <w:jc w:val="right"/>
              <w:ind w:right="1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10</w:t>
            </w: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7"/>
              </w:rPr>
              <w:t>1,901,869</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40" w:type="dxa"/>
            <w:vAlign w:val="bottom"/>
            <w:gridSpan w:val="5"/>
            <w:vMerge w:val="continue"/>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3</w:t>
            </w:r>
            <w:r>
              <w:rPr>
                <w:rFonts w:ascii="Arial" w:cs="Arial" w:eastAsia="Arial" w:hAnsi="Arial"/>
                <w:sz w:val="11"/>
                <w:szCs w:val="11"/>
                <w:color w:val="008000"/>
              </w:rPr>
              <w:t>(3)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40" w:type="dxa"/>
            <w:vAlign w:val="bottom"/>
            <w:gridSpan w:val="5"/>
            <w:vMerge w:val="restart"/>
          </w:tcPr>
          <w:p>
            <w:pPr>
              <w:ind w:left="860"/>
              <w:spacing w:after="0"/>
              <w:rPr>
                <w:sz w:val="20"/>
                <w:szCs w:val="20"/>
                <w:color w:val="auto"/>
              </w:rPr>
            </w:pPr>
            <w:r>
              <w:rPr>
                <w:rFonts w:ascii="Arial" w:cs="Arial" w:eastAsia="Arial" w:hAnsi="Arial"/>
                <w:sz w:val="18"/>
                <w:szCs w:val="18"/>
                <w:color w:val="0000FF"/>
              </w:rPr>
              <w:t>01/13/2016</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P</w:t>
            </w:r>
            <w:r>
              <w:rPr>
                <w:rFonts w:ascii="Arial" w:cs="Arial" w:eastAsia="Arial" w:hAnsi="Arial"/>
                <w:sz w:val="11"/>
                <w:szCs w:val="11"/>
                <w:color w:val="008000"/>
              </w:rPr>
              <w:t>(1)</w:t>
            </w:r>
          </w:p>
        </w:tc>
        <w:tc>
          <w:tcPr>
            <w:tcW w:w="1100" w:type="dxa"/>
            <w:vAlign w:val="bottom"/>
            <w:gridSpan w:val="2"/>
            <w:vMerge w:val="restart"/>
          </w:tcPr>
          <w:p>
            <w:pPr>
              <w:ind w:left="200"/>
              <w:spacing w:after="0"/>
              <w:rPr>
                <w:sz w:val="20"/>
                <w:szCs w:val="20"/>
                <w:color w:val="auto"/>
              </w:rPr>
            </w:pPr>
            <w:r>
              <w:rPr>
                <w:rFonts w:ascii="Arial" w:cs="Arial" w:eastAsia="Arial" w:hAnsi="Arial"/>
                <w:sz w:val="18"/>
                <w:szCs w:val="18"/>
                <w:color w:val="0000FF"/>
              </w:rPr>
              <w:t>500,000</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620" w:type="dxa"/>
            <w:vAlign w:val="bottom"/>
            <w:gridSpan w:val="3"/>
            <w:vMerge w:val="restart"/>
          </w:tcPr>
          <w:p>
            <w:pPr>
              <w:jc w:val="right"/>
              <w:ind w:right="1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10</w:t>
            </w: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7"/>
              </w:rPr>
              <w:t>1,901,869</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40" w:type="dxa"/>
            <w:vAlign w:val="bottom"/>
            <w:gridSpan w:val="5"/>
            <w:vMerge w:val="continue"/>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4</w:t>
            </w:r>
            <w:r>
              <w:rPr>
                <w:rFonts w:ascii="Arial" w:cs="Arial" w:eastAsia="Arial" w:hAnsi="Arial"/>
                <w:sz w:val="11"/>
                <w:szCs w:val="11"/>
                <w:color w:val="008000"/>
              </w:rPr>
              <w:t>(4)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vMerge w:val="restart"/>
          </w:tcPr>
          <w:p>
            <w:pPr>
              <w:jc w:val="center"/>
              <w:ind w:right="437"/>
              <w:spacing w:after="0"/>
              <w:rPr>
                <w:sz w:val="20"/>
                <w:szCs w:val="20"/>
                <w:color w:val="auto"/>
              </w:rPr>
            </w:pPr>
            <w:r>
              <w:rPr>
                <w:rFonts w:ascii="Arial" w:cs="Arial" w:eastAsia="Arial" w:hAnsi="Arial"/>
                <w:sz w:val="18"/>
                <w:szCs w:val="18"/>
                <w:color w:val="0000FF"/>
                <w:w w:val="86"/>
              </w:rPr>
              <w:t>592</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5</w:t>
            </w:r>
            <w:r>
              <w:rPr>
                <w:rFonts w:ascii="Arial" w:cs="Arial" w:eastAsia="Arial" w:hAnsi="Arial"/>
                <w:sz w:val="11"/>
                <w:szCs w:val="11"/>
                <w:color w:val="008000"/>
              </w:rPr>
              <w:t>(5)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12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9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vMerge w:val="continue"/>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6840" w:type="dxa"/>
            <w:vAlign w:val="bottom"/>
            <w:tcBorders>
              <w:top w:val="single" w:sz="8" w:color="2C2C2C"/>
            </w:tcBorders>
            <w:gridSpan w:val="17"/>
          </w:tcPr>
          <w:p>
            <w:pPr>
              <w:jc w:val="center"/>
              <w:ind w:left="3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780" w:type="dxa"/>
            <w:vAlign w:val="bottom"/>
            <w:gridSpan w:val="15"/>
          </w:tcPr>
          <w:p>
            <w:pPr>
              <w:jc w:val="center"/>
              <w:ind w:left="269"/>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gridSpan w:val="4"/>
          </w:tcPr>
          <w:p>
            <w:pPr>
              <w:ind w:left="1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60" w:type="dxa"/>
            <w:vAlign w:val="bottom"/>
            <w:gridSpan w:val="4"/>
          </w:tcPr>
          <w:p>
            <w:pPr>
              <w:ind w:left="100"/>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Reports the purchase of shares in the underwritten public offering of common stock of Ardelyx, Inc.</w:t>
      </w:r>
    </w:p>
    <w:p>
      <w:pPr>
        <w:spacing w:after="0" w:line="41" w:lineRule="exact"/>
        <w:rPr>
          <w:rFonts w:ascii="Arial" w:cs="Arial" w:eastAsia="Arial" w:hAnsi="Arial"/>
          <w:sz w:val="14"/>
          <w:szCs w:val="14"/>
          <w:color w:val="008000"/>
        </w:rPr>
      </w:pPr>
    </w:p>
    <w:p>
      <w:pPr>
        <w:ind w:left="40" w:right="8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manager of NEA 12 GP, LLC, ("NEA 12 GP") which is the sole general partner of NEA Partners 12, Limited Partnership ("NEA Partners 12"). NEA Partners 12 is the sole general partner of New Enterprise Associates 12, Limited Partnership ("NEA 12"), the direct beneficial owner of the securities. The Reporting Person disclaims beneficial ownership within the meaning of Section 16 of the Securities Exchange Act of 1934, as amended, or otherwise of such portion of the securities held by NEA 12 in which the Reporting Person has no pecuniary interest.</w:t>
      </w:r>
    </w:p>
    <w:p>
      <w:pPr>
        <w:spacing w:after="0" w:line="2" w:lineRule="exact"/>
        <w:rPr>
          <w:rFonts w:ascii="Arial" w:cs="Arial" w:eastAsia="Arial" w:hAnsi="Arial"/>
          <w:sz w:val="12"/>
          <w:szCs w:val="12"/>
          <w:color w:val="008000"/>
        </w:rPr>
      </w:pPr>
    </w:p>
    <w:p>
      <w:pPr>
        <w:jc w:val="both"/>
        <w:ind w:left="40" w:right="10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manager of NEA 15 GP, LLC, ("NEA 15 GP") which is the sole general partner of NEA Partners 15, L.P. ("NEA Partners 15"). NEA Partners 15 is the sole general partner of New Enterprise Associates 15, L. P. ("NEA 15"), the direct beneficial owner of the securities. The Reporting Person disclaims beneficial ownership within the meaning of Section 16 of the Securities Exchange Act of 1934, as amended, or otherwise of such portion of the securities held by NEA 15 in which the Reporting Person has no pecuniary interest.</w:t>
      </w:r>
    </w:p>
    <w:p>
      <w:pPr>
        <w:spacing w:after="0" w:line="2" w:lineRule="exact"/>
        <w:rPr>
          <w:rFonts w:ascii="Arial" w:cs="Arial" w:eastAsia="Arial" w:hAnsi="Arial"/>
          <w:sz w:val="12"/>
          <w:szCs w:val="12"/>
          <w:color w:val="008000"/>
        </w:rPr>
      </w:pPr>
    </w:p>
    <w:p>
      <w:pPr>
        <w:ind w:left="40" w:right="4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manager of NEA 15 GP which is the sole general partner of NEA Partners 15-OF, L.P. ("NEA Partners 15-OF"). NEA Partners 15-OF is the sole general partner of NEA 15 Opportunity Fund, L. P. ("NEA Opportunity 15"), the direct beneficial owner of the securities. The Reporting Person disclaims beneficial ownership within the meaning of Section 16 of the Securities Exchange Act of 1934, as amended, or otherwise of such portion of the securities held by NEA Opportunity 15 in which the Reporting Person has no pecuniary interest.</w:t>
      </w:r>
    </w:p>
    <w:p>
      <w:pPr>
        <w:spacing w:after="0" w:line="2" w:lineRule="exact"/>
        <w:rPr>
          <w:rFonts w:ascii="Arial" w:cs="Arial" w:eastAsia="Arial" w:hAnsi="Arial"/>
          <w:sz w:val="12"/>
          <w:szCs w:val="12"/>
          <w:color w:val="008000"/>
        </w:rPr>
      </w:pPr>
    </w:p>
    <w:p>
      <w:pPr>
        <w:ind w:left="40" w:right="1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securities are directly held by Rising River Partners, L.P. The Reporting Person disclaims beneficial ownership within the meaning of Section 16 of the Securities Exchange Act of 1934, as amended, or otherwise of such portion of the securities of the Issuer held by Rising River Partner, L.P. in which the Reporting Person has no pecuniary interest.</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Sasha Keough, attorney-in-</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01/14/2016</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52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7289"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2019-12-24T03:11:40Z</dcterms:created>
  <dcterms:modified xsi:type="dcterms:W3CDTF">2019-12-24T03:11:40Z</dcterms:modified>
</cp:coreProperties>
</file>