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right"/>
        <w:ind w:right="20"/>
        <w:spacing w:after="0"/>
        <w:rPr>
          <w:sz w:val="20"/>
          <w:szCs w:val="20"/>
          <w:color w:val="auto"/>
        </w:rPr>
      </w:pPr>
      <w:r>
        <w:rPr>
          <w:rFonts w:ascii="Arial" w:cs="Arial" w:eastAsia="Arial" w:hAnsi="Arial"/>
          <w:sz w:val="18"/>
          <w:szCs w:val="18"/>
          <w:b w:val="1"/>
          <w:bCs w:val="1"/>
          <w:color w:val="auto"/>
        </w:rPr>
        <w:t>Filed pursuant to Rule 424(b)(5)</w:t>
      </w:r>
    </w:p>
    <w:p>
      <w:pPr>
        <w:spacing w:after="0" w:line="21" w:lineRule="exact"/>
        <w:rPr>
          <w:sz w:val="24"/>
          <w:szCs w:val="24"/>
          <w:color w:val="auto"/>
        </w:rPr>
      </w:pPr>
    </w:p>
    <w:p>
      <w:pPr>
        <w:jc w:val="right"/>
        <w:ind w:right="20"/>
        <w:spacing w:after="0"/>
        <w:rPr>
          <w:sz w:val="20"/>
          <w:szCs w:val="20"/>
          <w:color w:val="auto"/>
        </w:rPr>
      </w:pPr>
      <w:r>
        <w:rPr>
          <w:rFonts w:ascii="Arial" w:cs="Arial" w:eastAsia="Arial" w:hAnsi="Arial"/>
          <w:sz w:val="18"/>
          <w:szCs w:val="18"/>
          <w:b w:val="1"/>
          <w:bCs w:val="1"/>
          <w:color w:val="auto"/>
        </w:rPr>
        <w:t>Registration Statement No. 333-217441</w:t>
      </w:r>
    </w:p>
    <w:p>
      <w:pPr>
        <w:spacing w:after="0" w:line="361" w:lineRule="exact"/>
        <w:rPr>
          <w:sz w:val="24"/>
          <w:szCs w:val="24"/>
          <w:color w:val="auto"/>
        </w:rPr>
      </w:pPr>
    </w:p>
    <w:p>
      <w:pPr>
        <w:ind w:left="200"/>
        <w:spacing w:after="0"/>
        <w:rPr>
          <w:sz w:val="20"/>
          <w:szCs w:val="20"/>
          <w:color w:val="auto"/>
        </w:rPr>
      </w:pPr>
      <w:r>
        <w:rPr>
          <w:rFonts w:ascii="Arial" w:cs="Arial" w:eastAsia="Arial" w:hAnsi="Arial"/>
          <w:sz w:val="18"/>
          <w:szCs w:val="18"/>
          <w:b w:val="1"/>
          <w:bCs w:val="1"/>
          <w:color w:val="auto"/>
        </w:rPr>
        <w:t>PROSPECTUS SUPPLEMENT</w:t>
      </w:r>
    </w:p>
    <w:p>
      <w:pPr>
        <w:spacing w:after="0" w:line="21" w:lineRule="exact"/>
        <w:rPr>
          <w:sz w:val="24"/>
          <w:szCs w:val="24"/>
          <w:color w:val="auto"/>
        </w:rPr>
      </w:pPr>
    </w:p>
    <w:p>
      <w:pPr>
        <w:ind w:left="200"/>
        <w:spacing w:after="0"/>
        <w:rPr>
          <w:sz w:val="20"/>
          <w:szCs w:val="20"/>
          <w:color w:val="auto"/>
        </w:rPr>
      </w:pPr>
      <w:r>
        <w:rPr>
          <w:rFonts w:ascii="Arial" w:cs="Arial" w:eastAsia="Arial" w:hAnsi="Arial"/>
          <w:sz w:val="18"/>
          <w:szCs w:val="18"/>
          <w:color w:val="auto"/>
        </w:rPr>
        <w:t>(To Prospectus dated May 4, 2017)</w:t>
      </w:r>
    </w:p>
    <w:p>
      <w:pPr>
        <w:spacing w:after="0" w:line="37"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20,000,000 Shares</w:t>
      </w: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Common Stock</w:t>
      </w:r>
    </w:p>
    <w:p>
      <w:pPr>
        <w:spacing w:after="0" w:line="178" w:lineRule="exact"/>
        <w:rPr>
          <w:sz w:val="24"/>
          <w:szCs w:val="24"/>
          <w:color w:val="auto"/>
        </w:rPr>
      </w:pPr>
    </w:p>
    <w:p>
      <w:pPr>
        <w:ind w:left="640"/>
        <w:spacing w:after="0"/>
        <w:rPr>
          <w:sz w:val="20"/>
          <w:szCs w:val="20"/>
          <w:color w:val="auto"/>
        </w:rPr>
      </w:pPr>
      <w:r>
        <w:rPr>
          <w:rFonts w:ascii="Arial" w:cs="Arial" w:eastAsia="Arial" w:hAnsi="Arial"/>
          <w:sz w:val="18"/>
          <w:szCs w:val="18"/>
          <w:color w:val="auto"/>
        </w:rPr>
        <w:t>We are offering 20,000,000 shares of our common stock.</w:t>
      </w:r>
    </w:p>
    <w:p>
      <w:pPr>
        <w:spacing w:after="0" w:line="158" w:lineRule="exact"/>
        <w:rPr>
          <w:sz w:val="24"/>
          <w:szCs w:val="24"/>
          <w:color w:val="auto"/>
        </w:rPr>
      </w:pPr>
    </w:p>
    <w:p>
      <w:pPr>
        <w:ind w:left="200" w:right="480" w:firstLine="441"/>
        <w:spacing w:after="0" w:line="268" w:lineRule="auto"/>
        <w:rPr>
          <w:sz w:val="20"/>
          <w:szCs w:val="20"/>
          <w:color w:val="auto"/>
        </w:rPr>
      </w:pPr>
      <w:r>
        <w:rPr>
          <w:rFonts w:ascii="Arial" w:cs="Arial" w:eastAsia="Arial" w:hAnsi="Arial"/>
          <w:sz w:val="18"/>
          <w:szCs w:val="18"/>
          <w:color w:val="auto"/>
        </w:rPr>
        <w:t>Our common stock is listed on The Nasdaq Global Market under the symbol “ARDX.” On December 4, 2019, the last reported sale price of our common stock on The Nasdaq Global Market was $6.82 per share.</w:t>
      </w:r>
    </w:p>
    <w:p>
      <w:pPr>
        <w:spacing w:after="0" w:line="99" w:lineRule="exact"/>
        <w:rPr>
          <w:sz w:val="24"/>
          <w:szCs w:val="24"/>
          <w:color w:val="auto"/>
        </w:rPr>
      </w:pPr>
    </w:p>
    <w:p>
      <w:pPr>
        <w:ind w:left="200" w:right="260" w:firstLine="441"/>
        <w:spacing w:after="0" w:line="261" w:lineRule="auto"/>
        <w:rPr>
          <w:rFonts w:ascii="Arial" w:cs="Arial" w:eastAsia="Arial" w:hAnsi="Arial"/>
          <w:sz w:val="21"/>
          <w:szCs w:val="21"/>
          <w:b w:val="1"/>
          <w:bCs w:val="1"/>
          <w:color w:val="auto"/>
        </w:rPr>
      </w:pPr>
      <w:r>
        <w:rPr>
          <w:rFonts w:ascii="Arial" w:cs="Arial" w:eastAsia="Arial" w:hAnsi="Arial"/>
          <w:sz w:val="21"/>
          <w:szCs w:val="21"/>
          <w:b w:val="1"/>
          <w:bCs w:val="1"/>
          <w:color w:val="auto"/>
        </w:rPr>
        <w:t>Investing in our common stock involves a high degree of risk. Before making an investment decision, please read the information under the heading “</w:t>
      </w:r>
      <w:hyperlink w:anchor="page9">
        <w:r>
          <w:rPr>
            <w:rFonts w:ascii="Arial" w:cs="Arial" w:eastAsia="Arial" w:hAnsi="Arial"/>
            <w:sz w:val="21"/>
            <w:szCs w:val="21"/>
            <w:b w:val="1"/>
            <w:bCs w:val="1"/>
            <w:u w:val="single" w:color="auto"/>
            <w:color w:val="0000EE"/>
          </w:rPr>
          <w:t>Risk Factors</w:t>
        </w:r>
      </w:hyperlink>
      <w:r>
        <w:rPr>
          <w:rFonts w:ascii="Arial" w:cs="Arial" w:eastAsia="Arial" w:hAnsi="Arial"/>
          <w:sz w:val="21"/>
          <w:szCs w:val="21"/>
          <w:b w:val="1"/>
          <w:bCs w:val="1"/>
          <w:color w:val="auto"/>
        </w:rPr>
        <w:t>” beginning on page S-7 of this prospectus supplement and in the documents incorporated by reference into this prospectus supplement.</w:t>
      </w:r>
    </w:p>
    <w:p>
      <w:pPr>
        <w:spacing w:after="0" w:line="24" w:lineRule="exact"/>
        <w:rPr>
          <w:sz w:val="24"/>
          <w:szCs w:val="24"/>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3480" w:type="dxa"/>
            <w:vAlign w:val="bottom"/>
            <w:gridSpan w:val="3"/>
          </w:tcPr>
          <w:p>
            <w:pPr>
              <w:jc w:val="right"/>
              <w:spacing w:after="0"/>
              <w:rPr>
                <w:sz w:val="20"/>
                <w:szCs w:val="20"/>
                <w:color w:val="auto"/>
              </w:rPr>
            </w:pPr>
            <w:r>
              <w:rPr>
                <w:rFonts w:ascii="Arial" w:cs="Arial" w:eastAsia="Arial" w:hAnsi="Arial"/>
                <w:sz w:val="14"/>
                <w:szCs w:val="14"/>
                <w:b w:val="1"/>
                <w:bCs w:val="1"/>
                <w:color w:val="auto"/>
              </w:rPr>
              <w:t>PER SHARE</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5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Public offering price</w:t>
            </w:r>
          </w:p>
        </w:tc>
        <w:tc>
          <w:tcPr>
            <w:tcW w:w="27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6.250</w:t>
            </w:r>
          </w:p>
        </w:tc>
        <w:tc>
          <w:tcPr>
            <w:tcW w:w="7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125,000,000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Underwriting discounts and commissions(1)</w:t>
            </w:r>
          </w:p>
        </w:tc>
        <w:tc>
          <w:tcPr>
            <w:tcW w:w="294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0.375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7,500,000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294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117,500,000</w:t>
            </w:r>
          </w:p>
        </w:tc>
        <w:tc>
          <w:tcPr>
            <w:tcW w:w="60" w:type="dxa"/>
            <w:vAlign w:val="bottom"/>
            <w:shd w:val="clear" w:color="auto" w:fill="CCEEFF"/>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111760</wp:posOffset>
            </wp:positionV>
            <wp:extent cx="7632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88" w:lineRule="exact"/>
        <w:rPr>
          <w:sz w:val="24"/>
          <w:szCs w:val="24"/>
          <w:color w:val="auto"/>
        </w:rPr>
      </w:pPr>
    </w:p>
    <w:p>
      <w:pPr>
        <w:ind w:left="640" w:hanging="436"/>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See “Underwriting” for additional disclosure regarding underwriting discounts and commissions and estimated offering expenses.</w:t>
      </w:r>
    </w:p>
    <w:p>
      <w:pPr>
        <w:spacing w:after="0" w:line="158" w:lineRule="exact"/>
        <w:rPr>
          <w:sz w:val="24"/>
          <w:szCs w:val="24"/>
          <w:color w:val="auto"/>
        </w:rPr>
      </w:pPr>
    </w:p>
    <w:p>
      <w:pPr>
        <w:ind w:left="200" w:right="220" w:firstLine="441"/>
        <w:spacing w:after="0" w:line="268" w:lineRule="auto"/>
        <w:rPr>
          <w:sz w:val="20"/>
          <w:szCs w:val="20"/>
          <w:color w:val="auto"/>
        </w:rPr>
      </w:pPr>
      <w:r>
        <w:rPr>
          <w:rFonts w:ascii="Arial" w:cs="Arial" w:eastAsia="Arial" w:hAnsi="Arial"/>
          <w:sz w:val="18"/>
          <w:szCs w:val="18"/>
          <w:color w:val="auto"/>
        </w:rPr>
        <w:t>We intend to grant the underwriters the right to purchase up to 3,000,000 additional shares of our common stock. The underwriters can exercise this right at any time within 30 days after the date of this prospectus supplement.</w:t>
      </w:r>
    </w:p>
    <w:p>
      <w:pPr>
        <w:spacing w:after="0" w:line="118" w:lineRule="exact"/>
        <w:rPr>
          <w:sz w:val="24"/>
          <w:szCs w:val="24"/>
          <w:color w:val="auto"/>
        </w:rPr>
      </w:pPr>
    </w:p>
    <w:p>
      <w:pPr>
        <w:ind w:left="200" w:right="80" w:firstLine="441"/>
        <w:spacing w:after="0" w:line="268" w:lineRule="auto"/>
        <w:rPr>
          <w:sz w:val="20"/>
          <w:szCs w:val="20"/>
          <w:color w:val="auto"/>
        </w:rPr>
      </w:pPr>
      <w:r>
        <w:rPr>
          <w:rFonts w:ascii="Arial" w:cs="Arial" w:eastAsia="Arial" w:hAnsi="Arial"/>
          <w:sz w:val="18"/>
          <w:szCs w:val="18"/>
          <w:color w:val="auto"/>
        </w:rPr>
        <w:t>We are an “emerging growth company,” as that term is used in the Jumpstart Our Business Startups Act of 2012, and, as such, have elected to comply with certain reduced public company reporting requirements for this prospectus and future filings.</w:t>
      </w:r>
    </w:p>
    <w:p>
      <w:pPr>
        <w:spacing w:after="0" w:line="118" w:lineRule="exact"/>
        <w:rPr>
          <w:sz w:val="24"/>
          <w:szCs w:val="24"/>
          <w:color w:val="auto"/>
        </w:rPr>
      </w:pPr>
    </w:p>
    <w:p>
      <w:pPr>
        <w:ind w:left="640"/>
        <w:spacing w:after="0"/>
        <w:rPr>
          <w:sz w:val="20"/>
          <w:szCs w:val="20"/>
          <w:color w:val="auto"/>
        </w:rPr>
      </w:pPr>
      <w:r>
        <w:rPr>
          <w:rFonts w:ascii="Arial" w:cs="Arial" w:eastAsia="Arial" w:hAnsi="Arial"/>
          <w:sz w:val="16"/>
          <w:szCs w:val="16"/>
          <w:color w:val="auto"/>
        </w:rPr>
        <w:t>The underwriters expect to deliver the shares of common stock against payment in New York, New York on or about December 9, 2019.</w:t>
      </w:r>
    </w:p>
    <w:p>
      <w:pPr>
        <w:spacing w:after="0" w:line="175" w:lineRule="exact"/>
        <w:rPr>
          <w:sz w:val="24"/>
          <w:szCs w:val="24"/>
          <w:color w:val="auto"/>
        </w:rPr>
      </w:pPr>
    </w:p>
    <w:p>
      <w:pPr>
        <w:ind w:left="200" w:right="420" w:firstLine="441"/>
        <w:spacing w:after="0" w:line="378" w:lineRule="auto"/>
        <w:rPr>
          <w:sz w:val="20"/>
          <w:szCs w:val="20"/>
          <w:color w:val="auto"/>
        </w:rPr>
      </w:pPr>
      <w:r>
        <w:rPr>
          <w:rFonts w:ascii="Arial" w:cs="Arial" w:eastAsia="Arial" w:hAnsi="Arial"/>
          <w:sz w:val="15"/>
          <w:szCs w:val="15"/>
          <w:b w:val="1"/>
          <w:bCs w:val="1"/>
          <w:color w:val="auto"/>
        </w:rPr>
        <w:t>Neither the Securities and Exchange Commission nor any state securities commission has approved or disapproved of these securities or passed upon the adequacy or accuracy of this prospectus supplement. Any representation to the contrary is a criminal offense.</w:t>
      </w:r>
    </w:p>
    <w:p>
      <w:pPr>
        <w:spacing w:after="0" w:line="30" w:lineRule="exact"/>
        <w:rPr>
          <w:sz w:val="24"/>
          <w:szCs w:val="24"/>
          <w:color w:val="auto"/>
        </w:rPr>
      </w:pPr>
    </w:p>
    <w:p>
      <w:pPr>
        <w:jc w:val="center"/>
        <w:ind w:right="-179"/>
        <w:spacing w:after="0"/>
        <w:rPr>
          <w:sz w:val="20"/>
          <w:szCs w:val="20"/>
          <w:color w:val="auto"/>
        </w:rPr>
      </w:pPr>
      <w:r>
        <w:rPr>
          <w:rFonts w:ascii="Arial" w:cs="Arial" w:eastAsia="Arial" w:hAnsi="Arial"/>
          <w:sz w:val="22"/>
          <w:szCs w:val="22"/>
          <w:i w:val="1"/>
          <w:iCs w:val="1"/>
          <w:color w:val="auto"/>
        </w:rPr>
        <w:t>Joint Book-Running Managers</w:t>
      </w:r>
    </w:p>
    <w:p>
      <w:pPr>
        <w:sectPr>
          <w:pgSz w:w="11900" w:h="16838" w:orient="portrait"/>
          <w:cols w:equalWidth="0" w:num="1">
            <w:col w:w="11240"/>
          </w:cols>
          <w:pgMar w:left="240" w:top="230" w:right="419" w:bottom="1440" w:gutter="0" w:footer="0" w:header="0"/>
        </w:sectPr>
      </w:pPr>
    </w:p>
    <w:p>
      <w:pPr>
        <w:spacing w:after="0" w:line="36" w:lineRule="exact"/>
        <w:rPr>
          <w:sz w:val="24"/>
          <w:szCs w:val="24"/>
          <w:color w:val="auto"/>
        </w:rPr>
      </w:pPr>
    </w:p>
    <w:p>
      <w:pPr>
        <w:ind w:left="200"/>
        <w:spacing w:after="0"/>
        <w:rPr>
          <w:sz w:val="20"/>
          <w:szCs w:val="20"/>
          <w:color w:val="auto"/>
        </w:rPr>
      </w:pPr>
      <w:r>
        <w:rPr>
          <w:rFonts w:ascii="Arial" w:cs="Arial" w:eastAsia="Arial" w:hAnsi="Arial"/>
          <w:sz w:val="40"/>
          <w:szCs w:val="40"/>
          <w:b w:val="1"/>
          <w:bCs w:val="1"/>
          <w:color w:val="auto"/>
        </w:rPr>
        <w:t>Citigroup</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rPr>
          <w:sz w:val="20"/>
          <w:szCs w:val="20"/>
          <w:color w:val="auto"/>
        </w:rPr>
      </w:pPr>
      <w:r>
        <w:rPr>
          <w:rFonts w:ascii="Arial" w:cs="Arial" w:eastAsia="Arial" w:hAnsi="Arial"/>
          <w:sz w:val="39"/>
          <w:szCs w:val="39"/>
          <w:b w:val="1"/>
          <w:bCs w:val="1"/>
          <w:color w:val="auto"/>
        </w:rPr>
        <w:t>Cowen</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rPr>
          <w:sz w:val="20"/>
          <w:szCs w:val="20"/>
          <w:color w:val="auto"/>
        </w:rPr>
      </w:pPr>
      <w:r>
        <w:rPr>
          <w:rFonts w:ascii="Arial" w:cs="Arial" w:eastAsia="Arial" w:hAnsi="Arial"/>
          <w:sz w:val="40"/>
          <w:szCs w:val="40"/>
          <w:b w:val="1"/>
          <w:bCs w:val="1"/>
          <w:color w:val="auto"/>
        </w:rPr>
        <w:t>SVB Leerink</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rPr>
          <w:sz w:val="20"/>
          <w:szCs w:val="20"/>
          <w:color w:val="auto"/>
        </w:rPr>
      </w:pPr>
      <w:r>
        <w:rPr>
          <w:rFonts w:ascii="Arial" w:cs="Arial" w:eastAsia="Arial" w:hAnsi="Arial"/>
          <w:sz w:val="40"/>
          <w:szCs w:val="40"/>
          <w:b w:val="1"/>
          <w:bCs w:val="1"/>
          <w:color w:val="auto"/>
        </w:rPr>
        <w:t>Piper Jaffray</w:t>
      </w:r>
    </w:p>
    <w:p>
      <w:pPr>
        <w:spacing w:after="0" w:line="200" w:lineRule="exact"/>
        <w:rPr>
          <w:sz w:val="24"/>
          <w:szCs w:val="24"/>
          <w:color w:val="auto"/>
        </w:rPr>
      </w:pPr>
    </w:p>
    <w:p>
      <w:pPr>
        <w:sectPr>
          <w:pgSz w:w="11900" w:h="16838" w:orient="portrait"/>
          <w:cols w:equalWidth="0" w:num="4">
            <w:col w:w="2440" w:space="720"/>
            <w:col w:w="1580" w:space="720"/>
            <w:col w:w="2600" w:space="720"/>
            <w:col w:w="2460"/>
          </w:cols>
          <w:pgMar w:left="240" w:top="230" w:right="419" w:bottom="1440" w:gutter="0" w:footer="0" w:header="0"/>
          <w:type w:val="continuous"/>
        </w:sectPr>
      </w:pPr>
    </w:p>
    <w:p>
      <w:pPr>
        <w:spacing w:after="0" w:line="23" w:lineRule="exact"/>
        <w:rPr>
          <w:sz w:val="24"/>
          <w:szCs w:val="24"/>
          <w:color w:val="auto"/>
        </w:rPr>
      </w:pPr>
    </w:p>
    <w:p>
      <w:pPr>
        <w:ind w:left="200"/>
        <w:spacing w:after="0"/>
        <w:rPr>
          <w:sz w:val="20"/>
          <w:szCs w:val="20"/>
          <w:color w:val="auto"/>
        </w:rPr>
      </w:pPr>
      <w:r>
        <w:rPr>
          <w:rFonts w:ascii="Arial" w:cs="Arial" w:eastAsia="Arial" w:hAnsi="Arial"/>
          <w:sz w:val="15"/>
          <w:szCs w:val="15"/>
          <w:color w:val="auto"/>
        </w:rPr>
        <w:t>Prospectus Supplement dated December 4, 2019</w:t>
      </w:r>
    </w:p>
    <w:p>
      <w:pPr>
        <w:sectPr>
          <w:pgSz w:w="11900" w:h="16838" w:orient="portrait"/>
          <w:cols w:equalWidth="0" w:num="1">
            <w:col w:w="11240"/>
          </w:cols>
          <w:pgMar w:left="240" w:top="230" w:right="41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200" w:type="dxa"/>
        <w:tblCellMar>
          <w:top w:w="0" w:type="dxa"/>
          <w:left w:w="0" w:type="dxa"/>
          <w:bottom w:w="0" w:type="dxa"/>
          <w:right w:w="0" w:type="dxa"/>
        </w:tblCellMar>
      </w:tblPr>
      <w:tr>
        <w:trPr>
          <w:trHeight w:val="228"/>
        </w:trPr>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60" w:type="dxa"/>
            <w:vAlign w:val="bottom"/>
            <w:gridSpan w:val="4"/>
          </w:tcPr>
          <w:p>
            <w:pPr>
              <w:ind w:left="860"/>
              <w:spacing w:after="0"/>
              <w:rPr>
                <w:sz w:val="20"/>
                <w:szCs w:val="20"/>
                <w:color w:val="auto"/>
              </w:rPr>
            </w:pPr>
            <w:r>
              <w:rPr>
                <w:rFonts w:ascii="Arial" w:cs="Arial" w:eastAsia="Arial" w:hAnsi="Arial"/>
                <w:sz w:val="18"/>
                <w:szCs w:val="18"/>
                <w:b w:val="1"/>
                <w:bCs w:val="1"/>
                <w:color w:val="auto"/>
              </w:rPr>
              <w:t>TABLE OF CONTENTS</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10580" w:type="dxa"/>
            <w:vAlign w:val="bottom"/>
            <w:gridSpan w:val="27"/>
          </w:tcPr>
          <w:p>
            <w:pPr>
              <w:spacing w:after="0"/>
              <w:rPr>
                <w:sz w:val="20"/>
                <w:szCs w:val="20"/>
                <w:color w:val="auto"/>
              </w:rPr>
            </w:pPr>
            <w:r>
              <w:rPr>
                <w:rFonts w:ascii="Arial" w:cs="Arial" w:eastAsia="Arial" w:hAnsi="Arial"/>
                <w:sz w:val="18"/>
                <w:szCs w:val="18"/>
                <w:b w:val="1"/>
                <w:bCs w:val="1"/>
                <w:color w:val="auto"/>
              </w:rPr>
              <w:t>Prospectus Supplement</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3360" w:type="dxa"/>
            <w:vAlign w:val="bottom"/>
            <w:gridSpan w:val="21"/>
            <w:vMerge w:val="restart"/>
          </w:tcPr>
          <w:p>
            <w:pPr>
              <w:spacing w:after="0"/>
              <w:rPr>
                <w:rFonts w:ascii="Arial" w:cs="Arial" w:eastAsia="Arial" w:hAnsi="Arial"/>
                <w:sz w:val="18"/>
                <w:szCs w:val="18"/>
                <w:color w:val="0000EE"/>
                <w:w w:val="91"/>
              </w:rPr>
            </w:pPr>
            <w:hyperlink w:anchor="page3">
              <w:r>
                <w:rPr>
                  <w:rFonts w:ascii="Arial" w:cs="Arial" w:eastAsia="Arial" w:hAnsi="Arial"/>
                  <w:sz w:val="18"/>
                  <w:szCs w:val="18"/>
                  <w:color w:val="0000EE"/>
                  <w:w w:val="91"/>
                </w:rPr>
                <w:t>ABOUT THIS PROSPECTUS SUPPLEMENT</w:t>
              </w:r>
            </w:hyperlink>
          </w:p>
        </w:tc>
        <w:tc>
          <w:tcPr>
            <w:tcW w:w="7220" w:type="dxa"/>
            <w:vAlign w:val="bottom"/>
            <w:gridSpan w:val="6"/>
            <w:vMerge w:val="restart"/>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1"/>
        </w:trPr>
        <w:tc>
          <w:tcPr>
            <w:tcW w:w="3360" w:type="dxa"/>
            <w:vAlign w:val="bottom"/>
            <w:tcBorders>
              <w:bottom w:val="single" w:sz="8" w:color="0000EE"/>
            </w:tcBorders>
            <w:gridSpan w:val="21"/>
            <w:vMerge w:val="continue"/>
          </w:tcPr>
          <w:p>
            <w:pPr>
              <w:spacing w:after="0"/>
              <w:rPr>
                <w:sz w:val="13"/>
                <w:szCs w:val="13"/>
                <w:color w:val="auto"/>
              </w:rPr>
            </w:pPr>
          </w:p>
        </w:tc>
        <w:tc>
          <w:tcPr>
            <w:tcW w:w="7220" w:type="dxa"/>
            <w:vAlign w:val="bottom"/>
            <w:gridSpan w:val="6"/>
            <w:vMerge w:val="continue"/>
          </w:tcPr>
          <w:p>
            <w:pPr>
              <w:spacing w:after="0"/>
              <w:rPr>
                <w:sz w:val="13"/>
                <w:szCs w:val="13"/>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6"/>
                <w:szCs w:val="16"/>
                <w:color w:val="auto"/>
              </w:rPr>
              <w:t>S-1</w:t>
            </w:r>
          </w:p>
        </w:tc>
        <w:tc>
          <w:tcPr>
            <w:tcW w:w="0" w:type="dxa"/>
            <w:vAlign w:val="bottom"/>
          </w:tcPr>
          <w:p>
            <w:pPr>
              <w:spacing w:after="0"/>
              <w:rPr>
                <w:sz w:val="1"/>
                <w:szCs w:val="1"/>
                <w:color w:val="auto"/>
              </w:rPr>
            </w:pPr>
          </w:p>
        </w:tc>
      </w:tr>
      <w:tr>
        <w:trPr>
          <w:trHeight w:val="210"/>
        </w:trPr>
        <w:tc>
          <w:tcPr>
            <w:tcW w:w="10580" w:type="dxa"/>
            <w:vAlign w:val="bottom"/>
            <w:gridSpan w:val="2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MARKET, INDUSTRY AND OTHER DATA</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S-2</w:t>
            </w:r>
          </w:p>
        </w:tc>
        <w:tc>
          <w:tcPr>
            <w:tcW w:w="0" w:type="dxa"/>
            <w:vAlign w:val="bottom"/>
          </w:tcPr>
          <w:p>
            <w:pPr>
              <w:spacing w:after="0"/>
              <w:rPr>
                <w:sz w:val="1"/>
                <w:szCs w:val="1"/>
                <w:color w:val="auto"/>
              </w:rPr>
            </w:pPr>
          </w:p>
        </w:tc>
      </w:tr>
      <w:tr>
        <w:trPr>
          <w:trHeight w:val="196"/>
        </w:trPr>
        <w:tc>
          <w:tcPr>
            <w:tcW w:w="322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PROSPECTUS SUPPLEMENT SUMMARY</w:t>
              </w:r>
            </w:hyperlink>
          </w:p>
        </w:tc>
        <w:tc>
          <w:tcPr>
            <w:tcW w:w="20" w:type="dxa"/>
            <w:vAlign w:val="bottom"/>
            <w:tcBorders>
              <w:top w:val="single" w:sz="8" w:color="0000EE"/>
            </w:tcBorders>
          </w:tcPr>
          <w:p>
            <w:pPr>
              <w:spacing w:after="0"/>
              <w:rPr>
                <w:sz w:val="17"/>
                <w:szCs w:val="17"/>
                <w:color w:val="auto"/>
              </w:rPr>
            </w:pPr>
          </w:p>
        </w:tc>
        <w:tc>
          <w:tcPr>
            <w:tcW w:w="7340" w:type="dxa"/>
            <w:vAlign w:val="bottom"/>
            <w:gridSpan w:val="7"/>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S-3</w:t>
            </w:r>
          </w:p>
        </w:tc>
        <w:tc>
          <w:tcPr>
            <w:tcW w:w="0" w:type="dxa"/>
            <w:vAlign w:val="bottom"/>
          </w:tcPr>
          <w:p>
            <w:pPr>
              <w:spacing w:after="0"/>
              <w:rPr>
                <w:sz w:val="1"/>
                <w:szCs w:val="1"/>
                <w:color w:val="auto"/>
              </w:rPr>
            </w:pPr>
          </w:p>
        </w:tc>
      </w:tr>
      <w:tr>
        <w:trPr>
          <w:trHeight w:val="196"/>
        </w:trPr>
        <w:tc>
          <w:tcPr>
            <w:tcW w:w="10580" w:type="dxa"/>
            <w:vAlign w:val="bottom"/>
            <w:gridSpan w:val="27"/>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THE OFFERING</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S-5</w:t>
            </w:r>
          </w:p>
        </w:tc>
        <w:tc>
          <w:tcPr>
            <w:tcW w:w="0" w:type="dxa"/>
            <w:vAlign w:val="bottom"/>
          </w:tcPr>
          <w:p>
            <w:pPr>
              <w:spacing w:after="0"/>
              <w:rPr>
                <w:sz w:val="1"/>
                <w:szCs w:val="1"/>
                <w:color w:val="auto"/>
              </w:rPr>
            </w:pPr>
          </w:p>
        </w:tc>
      </w:tr>
      <w:tr>
        <w:trPr>
          <w:trHeight w:val="196"/>
        </w:trPr>
        <w:tc>
          <w:tcPr>
            <w:tcW w:w="1240" w:type="dxa"/>
            <w:vAlign w:val="bottom"/>
            <w:tcBorders>
              <w:top w:val="single" w:sz="8" w:color="0000EE"/>
            </w:tcBorders>
            <w:gridSpan w:val="4"/>
          </w:tcPr>
          <w:p>
            <w:pPr>
              <w:spacing w:after="0" w:line="196" w:lineRule="exact"/>
              <w:rPr>
                <w:rFonts w:ascii="Arial" w:cs="Arial" w:eastAsia="Arial" w:hAnsi="Arial"/>
                <w:sz w:val="18"/>
                <w:szCs w:val="18"/>
                <w:color w:val="0000EE"/>
                <w:w w:val="91"/>
              </w:rPr>
            </w:pPr>
            <w:hyperlink w:anchor="page9">
              <w:r>
                <w:rPr>
                  <w:rFonts w:ascii="Arial" w:cs="Arial" w:eastAsia="Arial" w:hAnsi="Arial"/>
                  <w:sz w:val="18"/>
                  <w:szCs w:val="18"/>
                  <w:color w:val="0000EE"/>
                  <w:w w:val="91"/>
                </w:rPr>
                <w:t>RISK FACTORS</w:t>
              </w:r>
            </w:hyperlink>
          </w:p>
        </w:tc>
        <w:tc>
          <w:tcPr>
            <w:tcW w:w="9340" w:type="dxa"/>
            <w:vAlign w:val="bottom"/>
            <w:gridSpan w:val="2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S-7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80" w:type="dxa"/>
            <w:vAlign w:val="bottom"/>
            <w:gridSpan w:val="27"/>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SPECIAL NOTE REGARDING FORWARD-LOOKING STATEMENTS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S-10</w:t>
            </w:r>
          </w:p>
        </w:tc>
        <w:tc>
          <w:tcPr>
            <w:tcW w:w="0" w:type="dxa"/>
            <w:vAlign w:val="bottom"/>
          </w:tcPr>
          <w:p>
            <w:pPr>
              <w:spacing w:after="0"/>
              <w:rPr>
                <w:sz w:val="1"/>
                <w:szCs w:val="1"/>
                <w:color w:val="auto"/>
              </w:rPr>
            </w:pPr>
          </w:p>
        </w:tc>
      </w:tr>
      <w:tr>
        <w:trPr>
          <w:trHeight w:val="196"/>
        </w:trPr>
        <w:tc>
          <w:tcPr>
            <w:tcW w:w="520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USE OF PROCEEDS</w:t>
              </w:r>
            </w:hyperlink>
          </w:p>
        </w:tc>
        <w:tc>
          <w:tcPr>
            <w:tcW w:w="5380" w:type="dxa"/>
            <w:vAlign w:val="bottom"/>
            <w:gridSpan w:val="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S-11</w:t>
            </w:r>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7"/>
              </w:rPr>
            </w:pPr>
            <w:hyperlink w:anchor="page14">
              <w:r>
                <w:rPr>
                  <w:rFonts w:ascii="Arial" w:cs="Arial" w:eastAsia="Arial" w:hAnsi="Arial"/>
                  <w:sz w:val="18"/>
                  <w:szCs w:val="18"/>
                  <w:color w:val="0000EE"/>
                  <w:w w:val="97"/>
                </w:rPr>
                <w:t>CAPITALIZATION</w:t>
              </w:r>
            </w:hyperlink>
          </w:p>
        </w:tc>
        <w:tc>
          <w:tcPr>
            <w:tcW w:w="100" w:type="dxa"/>
            <w:vAlign w:val="bottom"/>
            <w:tcBorders>
              <w:top w:val="single" w:sz="8" w:color="0000EE"/>
            </w:tcBorders>
            <w:gridSpan w:val="2"/>
          </w:tcPr>
          <w:p>
            <w:pPr>
              <w:spacing w:after="0"/>
              <w:rPr>
                <w:sz w:val="17"/>
                <w:szCs w:val="17"/>
                <w:color w:val="auto"/>
              </w:rPr>
            </w:pPr>
          </w:p>
        </w:tc>
        <w:tc>
          <w:tcPr>
            <w:tcW w:w="9040" w:type="dxa"/>
            <w:vAlign w:val="bottom"/>
            <w:gridSpan w:val="18"/>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S-12</w:t>
            </w:r>
          </w:p>
        </w:tc>
        <w:tc>
          <w:tcPr>
            <w:tcW w:w="0" w:type="dxa"/>
            <w:vAlign w:val="bottom"/>
          </w:tcPr>
          <w:p>
            <w:pPr>
              <w:spacing w:after="0"/>
              <w:rPr>
                <w:sz w:val="1"/>
                <w:szCs w:val="1"/>
                <w:color w:val="auto"/>
              </w:rPr>
            </w:pPr>
          </w:p>
        </w:tc>
      </w:tr>
      <w:tr>
        <w:trPr>
          <w:trHeight w:val="196"/>
        </w:trPr>
        <w:tc>
          <w:tcPr>
            <w:tcW w:w="10580" w:type="dxa"/>
            <w:vAlign w:val="bottom"/>
            <w:gridSpan w:val="27"/>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DILUTION</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S-14</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80" w:type="dxa"/>
            <w:vAlign w:val="bottom"/>
            <w:gridSpan w:val="27"/>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MARKET FOR COMMON STOCK</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S-16</w:t>
            </w:r>
          </w:p>
        </w:tc>
        <w:tc>
          <w:tcPr>
            <w:tcW w:w="0" w:type="dxa"/>
            <w:vAlign w:val="bottom"/>
          </w:tcPr>
          <w:p>
            <w:pPr>
              <w:spacing w:after="0"/>
              <w:rPr>
                <w:sz w:val="1"/>
                <w:szCs w:val="1"/>
                <w:color w:val="auto"/>
              </w:rPr>
            </w:pPr>
          </w:p>
        </w:tc>
      </w:tr>
      <w:tr>
        <w:trPr>
          <w:trHeight w:val="196"/>
        </w:trPr>
        <w:tc>
          <w:tcPr>
            <w:tcW w:w="15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6"/>
              </w:rPr>
            </w:pPr>
            <w:hyperlink w:anchor="page19">
              <w:r>
                <w:rPr>
                  <w:rFonts w:ascii="Arial" w:cs="Arial" w:eastAsia="Arial" w:hAnsi="Arial"/>
                  <w:sz w:val="18"/>
                  <w:szCs w:val="18"/>
                  <w:color w:val="0000EE"/>
                  <w:w w:val="96"/>
                </w:rPr>
                <w:t>DIVIDEND POLICY</w:t>
              </w:r>
            </w:hyperlink>
          </w:p>
        </w:tc>
        <w:tc>
          <w:tcPr>
            <w:tcW w:w="1060" w:type="dxa"/>
            <w:vAlign w:val="bottom"/>
            <w:tcBorders>
              <w:top w:val="single" w:sz="8" w:color="0000EE"/>
            </w:tcBorders>
            <w:gridSpan w:val="6"/>
          </w:tcPr>
          <w:p>
            <w:pPr>
              <w:spacing w:after="0"/>
              <w:rPr>
                <w:sz w:val="17"/>
                <w:szCs w:val="17"/>
                <w:color w:val="auto"/>
              </w:rPr>
            </w:pPr>
          </w:p>
        </w:tc>
        <w:tc>
          <w:tcPr>
            <w:tcW w:w="7980" w:type="dxa"/>
            <w:vAlign w:val="bottom"/>
            <w:gridSpan w:val="1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S-17</w:t>
            </w:r>
          </w:p>
        </w:tc>
        <w:tc>
          <w:tcPr>
            <w:tcW w:w="0" w:type="dxa"/>
            <w:vAlign w:val="bottom"/>
          </w:tcPr>
          <w:p>
            <w:pPr>
              <w:spacing w:after="0"/>
              <w:rPr>
                <w:sz w:val="1"/>
                <w:szCs w:val="1"/>
                <w:color w:val="auto"/>
              </w:rPr>
            </w:pPr>
          </w:p>
        </w:tc>
      </w:tr>
      <w:tr>
        <w:trPr>
          <w:trHeight w:val="196"/>
        </w:trPr>
        <w:tc>
          <w:tcPr>
            <w:tcW w:w="10580" w:type="dxa"/>
            <w:vAlign w:val="bottom"/>
            <w:gridSpan w:val="27"/>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MATERIAL U.S. FEDERAL INCOME TAX CONSEQUENCES TO NON-U.S. HOLDERS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S-18</w:t>
            </w:r>
          </w:p>
        </w:tc>
        <w:tc>
          <w:tcPr>
            <w:tcW w:w="0" w:type="dxa"/>
            <w:vAlign w:val="bottom"/>
          </w:tcPr>
          <w:p>
            <w:pPr>
              <w:spacing w:after="0"/>
              <w:rPr>
                <w:sz w:val="1"/>
                <w:szCs w:val="1"/>
                <w:color w:val="auto"/>
              </w:rPr>
            </w:pPr>
          </w:p>
        </w:tc>
      </w:tr>
      <w:tr>
        <w:trPr>
          <w:trHeight w:val="196"/>
        </w:trPr>
        <w:tc>
          <w:tcPr>
            <w:tcW w:w="13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4"/>
              </w:rPr>
            </w:pPr>
            <w:hyperlink w:anchor="page24">
              <w:r>
                <w:rPr>
                  <w:rFonts w:ascii="Arial" w:cs="Arial" w:eastAsia="Arial" w:hAnsi="Arial"/>
                  <w:sz w:val="18"/>
                  <w:szCs w:val="18"/>
                  <w:color w:val="0000EE"/>
                  <w:w w:val="94"/>
                </w:rPr>
                <w:t>UNDERWRITING</w:t>
              </w:r>
            </w:hyperlink>
          </w:p>
        </w:tc>
        <w:tc>
          <w:tcPr>
            <w:tcW w:w="5200" w:type="dxa"/>
            <w:vAlign w:val="bottom"/>
            <w:tcBorders>
              <w:top w:val="single" w:sz="8" w:color="0000EE"/>
            </w:tcBorders>
            <w:gridSpan w:val="21"/>
          </w:tcPr>
          <w:p>
            <w:pPr>
              <w:spacing w:after="0"/>
              <w:rPr>
                <w:sz w:val="17"/>
                <w:szCs w:val="17"/>
                <w:color w:val="auto"/>
              </w:rPr>
            </w:pPr>
          </w:p>
        </w:tc>
        <w:tc>
          <w:tcPr>
            <w:tcW w:w="402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S-22</w:t>
            </w:r>
          </w:p>
        </w:tc>
        <w:tc>
          <w:tcPr>
            <w:tcW w:w="0" w:type="dxa"/>
            <w:vAlign w:val="bottom"/>
          </w:tcPr>
          <w:p>
            <w:pPr>
              <w:spacing w:after="0"/>
              <w:rPr>
                <w:sz w:val="1"/>
                <w:szCs w:val="1"/>
                <w:color w:val="auto"/>
              </w:rPr>
            </w:pPr>
          </w:p>
        </w:tc>
      </w:tr>
      <w:tr>
        <w:trPr>
          <w:trHeight w:val="196"/>
        </w:trPr>
        <w:tc>
          <w:tcPr>
            <w:tcW w:w="10580" w:type="dxa"/>
            <w:vAlign w:val="bottom"/>
            <w:gridSpan w:val="27"/>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LEGAL MATTERS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S-30</w:t>
            </w:r>
          </w:p>
        </w:tc>
        <w:tc>
          <w:tcPr>
            <w:tcW w:w="0" w:type="dxa"/>
            <w:vAlign w:val="bottom"/>
          </w:tcPr>
          <w:p>
            <w:pPr>
              <w:spacing w:after="0"/>
              <w:rPr>
                <w:sz w:val="1"/>
                <w:szCs w:val="1"/>
                <w:color w:val="auto"/>
              </w:rPr>
            </w:pPr>
          </w:p>
        </w:tc>
      </w:tr>
      <w:tr>
        <w:trPr>
          <w:trHeight w:val="196"/>
        </w:trPr>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32">
              <w:r>
                <w:rPr>
                  <w:rFonts w:ascii="Arial" w:cs="Arial" w:eastAsia="Arial" w:hAnsi="Arial"/>
                  <w:sz w:val="18"/>
                  <w:szCs w:val="18"/>
                  <w:color w:val="0000EE"/>
                  <w:w w:val="88"/>
                </w:rPr>
                <w:t>EXPERTS</w:t>
              </w:r>
            </w:hyperlink>
          </w:p>
        </w:tc>
        <w:tc>
          <w:tcPr>
            <w:tcW w:w="660" w:type="dxa"/>
            <w:vAlign w:val="bottom"/>
            <w:tcBorders>
              <w:top w:val="single" w:sz="8" w:color="0000EE"/>
            </w:tcBorders>
            <w:gridSpan w:val="5"/>
          </w:tcPr>
          <w:p>
            <w:pPr>
              <w:spacing w:after="0"/>
              <w:rPr>
                <w:sz w:val="17"/>
                <w:szCs w:val="17"/>
                <w:color w:val="auto"/>
              </w:rPr>
            </w:pPr>
          </w:p>
        </w:tc>
        <w:tc>
          <w:tcPr>
            <w:tcW w:w="9160" w:type="dxa"/>
            <w:vAlign w:val="bottom"/>
            <w:gridSpan w:val="21"/>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S-30</w:t>
            </w:r>
          </w:p>
        </w:tc>
        <w:tc>
          <w:tcPr>
            <w:tcW w:w="0" w:type="dxa"/>
            <w:vAlign w:val="bottom"/>
          </w:tcPr>
          <w:p>
            <w:pPr>
              <w:spacing w:after="0"/>
              <w:rPr>
                <w:sz w:val="1"/>
                <w:szCs w:val="1"/>
                <w:color w:val="auto"/>
              </w:rPr>
            </w:pPr>
          </w:p>
        </w:tc>
      </w:tr>
      <w:tr>
        <w:trPr>
          <w:trHeight w:val="196"/>
        </w:trPr>
        <w:tc>
          <w:tcPr>
            <w:tcW w:w="10580" w:type="dxa"/>
            <w:vAlign w:val="bottom"/>
            <w:gridSpan w:val="27"/>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WHERE YOU CAN FIND MORE INFORMATION</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S-30</w:t>
            </w:r>
          </w:p>
        </w:tc>
        <w:tc>
          <w:tcPr>
            <w:tcW w:w="0" w:type="dxa"/>
            <w:vAlign w:val="bottom"/>
          </w:tcPr>
          <w:p>
            <w:pPr>
              <w:spacing w:after="0"/>
              <w:rPr>
                <w:sz w:val="1"/>
                <w:szCs w:val="1"/>
                <w:color w:val="auto"/>
              </w:rPr>
            </w:pPr>
          </w:p>
        </w:tc>
      </w:tr>
      <w:tr>
        <w:trPr>
          <w:trHeight w:val="196"/>
        </w:trPr>
        <w:tc>
          <w:tcPr>
            <w:tcW w:w="276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2"/>
              </w:rPr>
            </w:pPr>
            <w:hyperlink w:anchor="page32">
              <w:r>
                <w:rPr>
                  <w:rFonts w:ascii="Arial" w:cs="Arial" w:eastAsia="Arial" w:hAnsi="Arial"/>
                  <w:sz w:val="18"/>
                  <w:szCs w:val="18"/>
                  <w:color w:val="0000EE"/>
                  <w:w w:val="92"/>
                </w:rPr>
                <w:t>INCORPORATION BY REFERENCE</w:t>
              </w:r>
            </w:hyperlink>
          </w:p>
        </w:tc>
        <w:tc>
          <w:tcPr>
            <w:tcW w:w="960" w:type="dxa"/>
            <w:vAlign w:val="bottom"/>
            <w:tcBorders>
              <w:top w:val="single" w:sz="8" w:color="0000EE"/>
            </w:tcBorders>
            <w:gridSpan w:val="7"/>
          </w:tcPr>
          <w:p>
            <w:pPr>
              <w:spacing w:after="0"/>
              <w:rPr>
                <w:sz w:val="17"/>
                <w:szCs w:val="17"/>
                <w:color w:val="auto"/>
              </w:rPr>
            </w:pPr>
          </w:p>
        </w:tc>
        <w:tc>
          <w:tcPr>
            <w:tcW w:w="6860" w:type="dxa"/>
            <w:vAlign w:val="bottom"/>
            <w:gridSpan w:val="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S-30</w:t>
            </w:r>
          </w:p>
        </w:tc>
        <w:tc>
          <w:tcPr>
            <w:tcW w:w="0" w:type="dxa"/>
            <w:vAlign w:val="bottom"/>
          </w:tcPr>
          <w:p>
            <w:pPr>
              <w:spacing w:after="0"/>
              <w:rPr>
                <w:sz w:val="1"/>
                <w:szCs w:val="1"/>
                <w:color w:val="auto"/>
              </w:rPr>
            </w:pPr>
          </w:p>
        </w:tc>
      </w:tr>
      <w:tr>
        <w:trPr>
          <w:trHeight w:val="451"/>
        </w:trPr>
        <w:tc>
          <w:tcPr>
            <w:tcW w:w="10580" w:type="dxa"/>
            <w:vAlign w:val="bottom"/>
            <w:gridSpan w:val="27"/>
          </w:tcPr>
          <w:p>
            <w:pPr>
              <w:spacing w:after="0"/>
              <w:rPr>
                <w:sz w:val="20"/>
                <w:szCs w:val="20"/>
                <w:color w:val="auto"/>
              </w:rPr>
            </w:pPr>
            <w:r>
              <w:rPr>
                <w:rFonts w:ascii="Arial" w:cs="Arial" w:eastAsia="Arial" w:hAnsi="Arial"/>
                <w:sz w:val="18"/>
                <w:szCs w:val="18"/>
                <w:b w:val="1"/>
                <w:bCs w:val="1"/>
                <w:color w:val="auto"/>
              </w:rPr>
              <w:t>Prospectus</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2180" w:type="dxa"/>
            <w:vAlign w:val="bottom"/>
            <w:tcBorders>
              <w:bottom w:val="single" w:sz="8" w:color="0000EE"/>
            </w:tcBorders>
            <w:gridSpan w:val="13"/>
          </w:tcPr>
          <w:p>
            <w:pPr>
              <w:spacing w:after="0"/>
              <w:rPr>
                <w:rFonts w:ascii="Arial" w:cs="Arial" w:eastAsia="Arial" w:hAnsi="Arial"/>
                <w:sz w:val="18"/>
                <w:szCs w:val="18"/>
                <w:color w:val="0000EE"/>
                <w:w w:val="91"/>
              </w:rPr>
            </w:pPr>
            <w:hyperlink w:anchor="page36">
              <w:r>
                <w:rPr>
                  <w:rFonts w:ascii="Arial" w:cs="Arial" w:eastAsia="Arial" w:hAnsi="Arial"/>
                  <w:sz w:val="18"/>
                  <w:szCs w:val="18"/>
                  <w:color w:val="0000EE"/>
                  <w:w w:val="91"/>
                </w:rPr>
                <w:t>ABOUT THIS PROSPECTUS</w:t>
              </w:r>
            </w:hyperlink>
          </w:p>
        </w:tc>
        <w:tc>
          <w:tcPr>
            <w:tcW w:w="8400" w:type="dxa"/>
            <w:vAlign w:val="bottom"/>
            <w:gridSpan w:val="14"/>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0580" w:type="dxa"/>
            <w:vAlign w:val="bottom"/>
            <w:gridSpan w:val="27"/>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WHERE YOU CAN FIND MORE INFORMATION; INCORPORATION BY REFERENCE</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4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6"/>
              </w:rPr>
            </w:pPr>
            <w:hyperlink w:anchor="page39">
              <w:r>
                <w:rPr>
                  <w:rFonts w:ascii="Arial" w:cs="Arial" w:eastAsia="Arial" w:hAnsi="Arial"/>
                  <w:sz w:val="18"/>
                  <w:szCs w:val="18"/>
                  <w:color w:val="0000EE"/>
                  <w:w w:val="96"/>
                </w:rPr>
                <w:t>ABOUT ARDELYX</w:t>
              </w:r>
            </w:hyperlink>
          </w:p>
        </w:tc>
        <w:tc>
          <w:tcPr>
            <w:tcW w:w="5080" w:type="dxa"/>
            <w:vAlign w:val="bottom"/>
            <w:tcBorders>
              <w:top w:val="single" w:sz="8" w:color="0000EE"/>
            </w:tcBorders>
            <w:gridSpan w:val="18"/>
          </w:tcPr>
          <w:p>
            <w:pPr>
              <w:spacing w:after="0"/>
              <w:rPr>
                <w:sz w:val="17"/>
                <w:szCs w:val="17"/>
                <w:color w:val="auto"/>
              </w:rPr>
            </w:pPr>
          </w:p>
        </w:tc>
        <w:tc>
          <w:tcPr>
            <w:tcW w:w="402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0580" w:type="dxa"/>
            <w:vAlign w:val="bottom"/>
            <w:gridSpan w:val="27"/>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RISK FACTORS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220" w:type="dxa"/>
            <w:vAlign w:val="bottom"/>
            <w:gridSpan w:val="3"/>
            <w:shd w:val="clear" w:color="auto" w:fill="0000EE"/>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46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80" w:type="dxa"/>
            <w:vAlign w:val="bottom"/>
            <w:gridSpan w:val="27"/>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USE OF PROCEEDS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540" w:type="dxa"/>
            <w:vAlign w:val="bottom"/>
            <w:gridSpan w:val="9"/>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46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80" w:type="dxa"/>
            <w:vAlign w:val="bottom"/>
            <w:gridSpan w:val="27"/>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RATIO OF EARNINGS TO FIXED CHARGES AND PREFERENCE DIVIDENDS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598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DESCRIPTION OF CAPITAL STOCK</w:t>
              </w:r>
            </w:hyperlink>
          </w:p>
        </w:tc>
        <w:tc>
          <w:tcPr>
            <w:tcW w:w="460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1760" w:type="dxa"/>
            <w:vAlign w:val="bottom"/>
            <w:gridSpan w:val="10"/>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712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6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w:anchor="page48">
              <w:r>
                <w:rPr>
                  <w:rFonts w:ascii="Arial" w:cs="Arial" w:eastAsia="Arial" w:hAnsi="Arial"/>
                  <w:sz w:val="18"/>
                  <w:szCs w:val="18"/>
                  <w:color w:val="0000EE"/>
                  <w:w w:val="92"/>
                </w:rPr>
                <w:t>DESCRIPTION OF DEBT SECURITIES</w:t>
              </w:r>
            </w:hyperlink>
          </w:p>
        </w:tc>
        <w:tc>
          <w:tcPr>
            <w:tcW w:w="7620" w:type="dxa"/>
            <w:vAlign w:val="bottom"/>
            <w:gridSpan w:val="9"/>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10580" w:type="dxa"/>
            <w:vAlign w:val="bottom"/>
            <w:gridSpan w:val="27"/>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DESCRIPTION OF WARRANTS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1760" w:type="dxa"/>
            <w:vAlign w:val="bottom"/>
            <w:gridSpan w:val="10"/>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40" w:type="dxa"/>
            <w:vAlign w:val="bottom"/>
            <w:gridSpan w:val="8"/>
          </w:tcPr>
          <w:p>
            <w:pPr>
              <w:spacing w:after="0" w:line="20" w:lineRule="exact"/>
              <w:rPr>
                <w:sz w:val="1"/>
                <w:szCs w:val="1"/>
                <w:color w:val="auto"/>
              </w:rPr>
            </w:pPr>
          </w:p>
        </w:tc>
        <w:tc>
          <w:tcPr>
            <w:tcW w:w="712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80" w:type="dxa"/>
            <w:vAlign w:val="bottom"/>
            <w:gridSpan w:val="27"/>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DESCRIPTION OF PURCHASE CONTRACTS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9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2"/>
              </w:rPr>
            </w:pPr>
            <w:hyperlink w:anchor="page59">
              <w:r>
                <w:rPr>
                  <w:rFonts w:ascii="Arial" w:cs="Arial" w:eastAsia="Arial" w:hAnsi="Arial"/>
                  <w:sz w:val="18"/>
                  <w:szCs w:val="18"/>
                  <w:color w:val="0000EE"/>
                  <w:w w:val="92"/>
                </w:rPr>
                <w:t>DESCRIPTION OF UNITS</w:t>
              </w:r>
            </w:hyperlink>
          </w:p>
        </w:tc>
        <w:tc>
          <w:tcPr>
            <w:tcW w:w="1480" w:type="dxa"/>
            <w:vAlign w:val="bottom"/>
            <w:tcBorders>
              <w:top w:val="single" w:sz="8" w:color="0000EE"/>
            </w:tcBorders>
            <w:gridSpan w:val="11"/>
          </w:tcPr>
          <w:p>
            <w:pPr>
              <w:spacing w:after="0"/>
              <w:rPr>
                <w:sz w:val="17"/>
                <w:szCs w:val="17"/>
                <w:color w:val="auto"/>
              </w:rPr>
            </w:pPr>
          </w:p>
        </w:tc>
        <w:tc>
          <w:tcPr>
            <w:tcW w:w="7120" w:type="dxa"/>
            <w:vAlign w:val="bottom"/>
            <w:gridSpan w:val="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76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w:anchor="page60">
              <w:r>
                <w:rPr>
                  <w:rFonts w:ascii="Arial" w:cs="Arial" w:eastAsia="Arial" w:hAnsi="Arial"/>
                  <w:sz w:val="18"/>
                  <w:szCs w:val="18"/>
                  <w:color w:val="0000EE"/>
                  <w:w w:val="93"/>
                </w:rPr>
                <w:t>GLOBAL SECURITIES</w:t>
              </w:r>
            </w:hyperlink>
          </w:p>
        </w:tc>
        <w:tc>
          <w:tcPr>
            <w:tcW w:w="8820" w:type="dxa"/>
            <w:vAlign w:val="bottom"/>
            <w:gridSpan w:val="17"/>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10580" w:type="dxa"/>
            <w:vAlign w:val="bottom"/>
            <w:gridSpan w:val="27"/>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PLAN OF DISTRIBUTION</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20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LEGAL MATTERS</w:t>
              </w:r>
            </w:hyperlink>
          </w:p>
        </w:tc>
        <w:tc>
          <w:tcPr>
            <w:tcW w:w="8580" w:type="dxa"/>
            <w:vAlign w:val="bottom"/>
            <w:gridSpan w:val="1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65">
              <w:r>
                <w:rPr>
                  <w:rFonts w:ascii="Arial" w:cs="Arial" w:eastAsia="Arial" w:hAnsi="Arial"/>
                  <w:sz w:val="18"/>
                  <w:szCs w:val="18"/>
                  <w:color w:val="0000EE"/>
                  <w:w w:val="88"/>
                </w:rPr>
                <w:t>EXPERTS</w:t>
              </w:r>
            </w:hyperlink>
          </w:p>
        </w:tc>
        <w:tc>
          <w:tcPr>
            <w:tcW w:w="660" w:type="dxa"/>
            <w:vAlign w:val="bottom"/>
            <w:tcBorders>
              <w:top w:val="single" w:sz="8" w:color="0000EE"/>
            </w:tcBorders>
            <w:gridSpan w:val="5"/>
          </w:tcPr>
          <w:p>
            <w:pPr>
              <w:spacing w:after="0"/>
              <w:rPr>
                <w:sz w:val="17"/>
                <w:szCs w:val="17"/>
                <w:color w:val="auto"/>
              </w:rPr>
            </w:pPr>
          </w:p>
        </w:tc>
        <w:tc>
          <w:tcPr>
            <w:tcW w:w="9160" w:type="dxa"/>
            <w:vAlign w:val="bottom"/>
            <w:gridSpan w:val="21"/>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80"/>
          </w:cols>
          <w:pgMar w:left="240" w:top="459" w:right="4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ABOUT THIS PROSPECTUS SUPPLEMENT</w:t>
      </w:r>
    </w:p>
    <w:p>
      <w:pPr>
        <w:spacing w:after="0" w:line="164" w:lineRule="exact"/>
        <w:rPr>
          <w:sz w:val="20"/>
          <w:szCs w:val="20"/>
          <w:color w:val="auto"/>
        </w:rPr>
      </w:pPr>
    </w:p>
    <w:p>
      <w:pPr>
        <w:ind w:left="200" w:right="80" w:firstLine="441"/>
        <w:spacing w:after="0" w:line="290" w:lineRule="auto"/>
        <w:rPr>
          <w:sz w:val="20"/>
          <w:szCs w:val="20"/>
          <w:color w:val="auto"/>
        </w:rPr>
      </w:pPr>
      <w:r>
        <w:rPr>
          <w:rFonts w:ascii="Arial" w:cs="Arial" w:eastAsia="Arial" w:hAnsi="Arial"/>
          <w:sz w:val="16"/>
          <w:szCs w:val="16"/>
          <w:color w:val="auto"/>
        </w:rPr>
        <w:t>We provide information to you about this offering of shares of our common stock in two separate documents that are bound together: (1) this prospectus supplement, which describes the specific details regarding this offering; and (2) the accompanying base prospectus, which provides general information, some of which may not apply to this offering. Generally, when we refer to this “prospectus,” we are referring to both documents combined. If information in this prospectus supplement is inconsistent with the accompanying base prospectus, you should rely on this prospectus supplement. However, if any statement in one of these documents is inconsistent with a statement in another document having a later date—for example, a document incorporated by reference in this prospectus supplement—the statement in the document having the later date modifies or supersedes the earlier statement as our business, financial condition, results of operations and prospects may have changed since the earlier dates.</w:t>
      </w:r>
    </w:p>
    <w:p>
      <w:pPr>
        <w:spacing w:after="0" w:line="105"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auto"/>
        </w:rPr>
        <w:t>We have not authorized anyone to provide you with any information or to make any representation, other than those contained or incorporated by reference in this prospectus supplement or in any free writing prospectus we have prepared. We take no responsibility for, and provide no assurance as to the reliability of, any other information that others may give you. Neither we or the underwriters are making an offer to sell or soliciting an offer to buy our securities in any jurisdiction where an offer or solicitation is not authorized or in which the person making that offer or solicitation is not qualified to do so or to anyone to whom it is unlawful to make an offer or solicitation. You should assume that the information appearing in this prospectus, the documents incorporated by reference into this prospectus, and in any free writing prospectus that we may authorize for use in connection with this offering, is accurate only as of the date of those respective documents. Our business, financial condition, results of operations and prospects may have changed since those dates. You should read this prospectus, the documents incorporated by reference into this prospectus, and any free writing prospectus that we may authorize for use in connection with this offering, in their entirety before making an investment decision. You should also read and consider the information in the documents to which we have referred you in the sections of this prospectus supplement entitled “Where You Can Find More Information” and “Information Incorporated by Reference.”</w:t>
      </w:r>
    </w:p>
    <w:p>
      <w:pPr>
        <w:spacing w:after="0" w:line="114"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We are offering to sell, and seeking offers to buy, shares of our common stock only in jurisdictions where offers and sales are permitted. The distribution of this prospectus and the offering of our common stock in certain jurisdictions may be restricted by law. Persons outside the United States who come into possession of this prospectus must inform themselves about, and observe any restrictions relating to, the offering of our common stock and the distribution of this prospectus outside the United States. This prospectus does not constitute, and may not be used in connection with, an offer to sell, or a solicitation of an offer to buy, any securities offered by this prospectus by any person in any jurisdiction in which it is unlawful for such person to make such an offer or solicitation.</w:t>
      </w:r>
    </w:p>
    <w:p>
      <w:pPr>
        <w:spacing w:after="0" w:line="131" w:lineRule="exact"/>
        <w:rPr>
          <w:sz w:val="20"/>
          <w:szCs w:val="20"/>
          <w:color w:val="auto"/>
        </w:rPr>
      </w:pPr>
    </w:p>
    <w:p>
      <w:pPr>
        <w:ind w:left="200" w:right="160" w:firstLine="441"/>
        <w:spacing w:after="0" w:line="268" w:lineRule="auto"/>
        <w:rPr>
          <w:sz w:val="20"/>
          <w:szCs w:val="20"/>
          <w:color w:val="auto"/>
        </w:rPr>
      </w:pPr>
      <w:r>
        <w:rPr>
          <w:rFonts w:ascii="Arial" w:cs="Arial" w:eastAsia="Arial" w:hAnsi="Arial"/>
          <w:sz w:val="18"/>
          <w:szCs w:val="18"/>
          <w:color w:val="auto"/>
        </w:rPr>
        <w:t>When we refer to “Ardelyx,” “we,” “our,” “us” and the “Company” in this prospectus, we mean Ardelyx, Inc., unless otherwise specified. When we refer to “you,” we mean the holders of common stock of the Company.</w:t>
      </w:r>
    </w:p>
    <w:p>
      <w:pPr>
        <w:spacing w:after="0" w:line="118" w:lineRule="exact"/>
        <w:rPr>
          <w:sz w:val="20"/>
          <w:szCs w:val="20"/>
          <w:color w:val="auto"/>
        </w:rPr>
      </w:pPr>
    </w:p>
    <w:p>
      <w:pPr>
        <w:ind w:left="200" w:firstLine="441"/>
        <w:spacing w:after="0" w:line="298" w:lineRule="auto"/>
        <w:rPr>
          <w:sz w:val="20"/>
          <w:szCs w:val="20"/>
          <w:color w:val="auto"/>
        </w:rPr>
      </w:pPr>
      <w:r>
        <w:rPr>
          <w:rFonts w:ascii="Arial" w:cs="Arial" w:eastAsia="Arial" w:hAnsi="Arial"/>
          <w:sz w:val="16"/>
          <w:szCs w:val="16"/>
          <w:color w:val="auto"/>
        </w:rPr>
        <w:t>Ardelyx</w:t>
      </w:r>
      <w:r>
        <w:rPr>
          <w:rFonts w:ascii="Arial" w:cs="Arial" w:eastAsia="Arial" w:hAnsi="Arial"/>
          <w:sz w:val="10"/>
          <w:szCs w:val="10"/>
          <w:color w:val="auto"/>
        </w:rPr>
        <w:t>®</w:t>
      </w:r>
      <w:r>
        <w:rPr>
          <w:rFonts w:ascii="Arial" w:cs="Arial" w:eastAsia="Arial" w:hAnsi="Arial"/>
          <w:sz w:val="16"/>
          <w:szCs w:val="16"/>
          <w:color w:val="auto"/>
        </w:rPr>
        <w:t>, IBSRELA</w:t>
      </w:r>
      <w:r>
        <w:rPr>
          <w:rFonts w:ascii="Arial" w:cs="Arial" w:eastAsia="Arial" w:hAnsi="Arial"/>
          <w:sz w:val="10"/>
          <w:szCs w:val="10"/>
          <w:color w:val="auto"/>
        </w:rPr>
        <w:t>®</w:t>
      </w:r>
      <w:r>
        <w:rPr>
          <w:rFonts w:ascii="Arial" w:cs="Arial" w:eastAsia="Arial" w:hAnsi="Arial"/>
          <w:sz w:val="16"/>
          <w:szCs w:val="16"/>
          <w:color w:val="auto"/>
        </w:rPr>
        <w:t xml:space="preserve"> and our logo are some of our trademarks used in this prospectus. This prospectus also includes trademarks, tradenames, and service marks that are the property of other organizations. Solely for convenience, our trademarks and tradenames referred to in this prospectus supplement appear without the </w:t>
      </w:r>
      <w:r>
        <w:rPr>
          <w:rFonts w:ascii="Arial" w:cs="Arial" w:eastAsia="Arial" w:hAnsi="Arial"/>
          <w:sz w:val="10"/>
          <w:szCs w:val="10"/>
          <w:color w:val="auto"/>
        </w:rPr>
        <w:t>®</w:t>
      </w:r>
      <w:r>
        <w:rPr>
          <w:rFonts w:ascii="Arial" w:cs="Arial" w:eastAsia="Arial" w:hAnsi="Arial"/>
          <w:sz w:val="16"/>
          <w:szCs w:val="16"/>
          <w:color w:val="auto"/>
        </w:rPr>
        <w:t xml:space="preserve"> and </w:t>
      </w:r>
      <w:r>
        <w:rPr>
          <w:rFonts w:ascii="Arial" w:cs="Arial" w:eastAsia="Arial" w:hAnsi="Arial"/>
          <w:sz w:val="10"/>
          <w:szCs w:val="10"/>
          <w:color w:val="auto"/>
        </w:rPr>
        <w:t>™</w:t>
      </w:r>
      <w:r>
        <w:rPr>
          <w:rFonts w:ascii="Arial" w:cs="Arial" w:eastAsia="Arial" w:hAnsi="Arial"/>
          <w:sz w:val="16"/>
          <w:szCs w:val="16"/>
          <w:color w:val="auto"/>
        </w:rPr>
        <w:t xml:space="preserve"> symbol, but those references are not intended to indicate, in any way, that we will not assert, to the fullest extent under applicable law, our rights, or the right of the applicable licensor to these trademarks and tradenames.</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20"/>
          </w:cols>
          <w:pgMar w:left="24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MARKET, INDUSTRY AND OTHER DATA</w:t>
      </w:r>
    </w:p>
    <w:p>
      <w:pPr>
        <w:spacing w:after="0" w:line="164"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This prospectus, including the information incorporated by reference, contains estimates, projections and other information concerning our industry, our business, and the markets for certain drugs, including data regarding the estimated size of those markets, their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third parties, industry, medical and general publications, government data and similar sources.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w:t>
      </w:r>
    </w:p>
    <w:p>
      <w:pPr>
        <w:spacing w:after="0" w:line="10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160"/>
          </w:cols>
          <w:pgMar w:left="240" w:top="459"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269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02145" cy="52698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PROSPECTUS SUPPLEMENT SUMMARY</w:t>
      </w:r>
    </w:p>
    <w:p>
      <w:pPr>
        <w:spacing w:after="0" w:line="164" w:lineRule="exact"/>
        <w:rPr>
          <w:sz w:val="20"/>
          <w:szCs w:val="20"/>
          <w:color w:val="auto"/>
        </w:rPr>
      </w:pPr>
    </w:p>
    <w:p>
      <w:pPr>
        <w:ind w:left="380" w:right="20" w:firstLine="426"/>
        <w:spacing w:after="0" w:line="253" w:lineRule="auto"/>
        <w:rPr>
          <w:sz w:val="20"/>
          <w:szCs w:val="20"/>
          <w:color w:val="auto"/>
        </w:rPr>
      </w:pPr>
      <w:r>
        <w:rPr>
          <w:rFonts w:ascii="Arial" w:cs="Arial" w:eastAsia="Arial" w:hAnsi="Arial"/>
          <w:sz w:val="18"/>
          <w:szCs w:val="18"/>
          <w:i w:val="1"/>
          <w:iCs w:val="1"/>
          <w:color w:val="auto"/>
        </w:rPr>
        <w:t>This summary provides a general overview of selected information and does not contain all of the information you should consider before buying our common stock. Therefore, you should read the entire prospectus and any free writing prospectus that we have authorized for use in connection with this offering carefully, including the information incorporated by reference, before deciding to invest in our common stock. Investors should carefully consider the information set forth under “Risk Factors” beginning on page S-7 and the “Risk Factors” section, as well as our audited financial statements and related notes thereto, included in our Annual Report on Form 10-K for the year ended December 31, 2018 as well as our Quarterly Report on Form 10-Q for the quarterly period ended September 30, 2019 and any subsequent Quarterly Report on Form 10-Q incorporated by reference herein.</w:t>
      </w:r>
    </w:p>
    <w:p>
      <w:pPr>
        <w:spacing w:after="0" w:line="128"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Ardelyx, Inc.</w:t>
      </w:r>
    </w:p>
    <w:p>
      <w:pPr>
        <w:spacing w:after="0" w:line="15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jc w:val="both"/>
        <w:ind w:left="380" w:right="160" w:firstLine="426"/>
        <w:spacing w:after="0" w:line="259" w:lineRule="auto"/>
        <w:rPr>
          <w:sz w:val="20"/>
          <w:szCs w:val="20"/>
          <w:color w:val="auto"/>
        </w:rPr>
      </w:pPr>
      <w:r>
        <w:rPr>
          <w:rFonts w:ascii="Arial" w:cs="Arial" w:eastAsia="Arial" w:hAnsi="Arial"/>
          <w:sz w:val="18"/>
          <w:szCs w:val="18"/>
          <w:color w:val="auto"/>
        </w:rPr>
        <w:t>We are a biopharmaceutical company focused on developing first-in-class medicines to improve treatment choices for people with cardiorenal diseases. This includes patients with chronic kidney disease, or CKD, suffering from elevated serum phosphorus, or hyperphosphatemia; and patients with CKD and/or heart failure patients with elevated serum potassium, or hyperkalemia.</w:t>
      </w:r>
    </w:p>
    <w:p>
      <w:pPr>
        <w:spacing w:after="0" w:line="127" w:lineRule="exact"/>
        <w:rPr>
          <w:sz w:val="20"/>
          <w:szCs w:val="20"/>
          <w:color w:val="auto"/>
        </w:rPr>
      </w:pPr>
    </w:p>
    <w:p>
      <w:pPr>
        <w:ind w:left="380" w:firstLine="426"/>
        <w:spacing w:after="0" w:line="288" w:lineRule="auto"/>
        <w:rPr>
          <w:sz w:val="20"/>
          <w:szCs w:val="20"/>
          <w:color w:val="auto"/>
        </w:rPr>
      </w:pPr>
      <w:r>
        <w:rPr>
          <w:rFonts w:ascii="Arial" w:cs="Arial" w:eastAsia="Arial" w:hAnsi="Arial"/>
          <w:sz w:val="16"/>
          <w:szCs w:val="16"/>
          <w:color w:val="auto"/>
        </w:rPr>
        <w:t>Our portfolio is led by the development of tenapanor, a first-in-class inhibitor of NHE3. On December 3, 2019, we announced positive results from our PHREEDOM trial, a Phase 3 clinical trial evaluating tenapanor as a monotherapy treatment for hyperphosphatemia in patients with CKD who are on dialysis. The PHREEDOM trial met its primary endpoint demonstrating a statistically significant difference in the change in least square mean serum phosphorus (-1.4 mg/dL, p&lt;0.0001), as compared to placebo, during the randomized withdrawal period. During the first 26-week treatment period, 77% of tenapanor-treated patients in the intent-to-treat population (n=408) had a decrease in serum phosphorus, with those patients experiencing a mean reduction from baseline of 2.0 mg/dL. The PHREEDOM monotherapy trial followed a successful first Phase 3 monotherapy trial completed in 2017, which achieved statistical significance for the primary endpoint. With the positive results from the PHREEDOM study, we expect to file a New Drug Application, or NDA, for tenapanor for the treatment of hyperphosphatemia in CKD patients on dialysis in mid-2020. Tenapanor, if successfully developed and approved, would be the first therapy for phosphate management that is not a phosphate binder.</w:t>
      </w:r>
    </w:p>
    <w:p>
      <w:pPr>
        <w:spacing w:after="0" w:line="106" w:lineRule="exact"/>
        <w:rPr>
          <w:sz w:val="20"/>
          <w:szCs w:val="20"/>
          <w:color w:val="auto"/>
        </w:rPr>
      </w:pPr>
    </w:p>
    <w:p>
      <w:pPr>
        <w:ind w:left="380" w:right="40" w:firstLine="426"/>
        <w:spacing w:after="0" w:line="290" w:lineRule="auto"/>
        <w:rPr>
          <w:sz w:val="20"/>
          <w:szCs w:val="20"/>
          <w:color w:val="auto"/>
        </w:rPr>
      </w:pPr>
      <w:r>
        <w:rPr>
          <w:rFonts w:ascii="Arial" w:cs="Arial" w:eastAsia="Arial" w:hAnsi="Arial"/>
          <w:sz w:val="16"/>
          <w:szCs w:val="16"/>
          <w:color w:val="auto"/>
        </w:rPr>
        <w:t>In September 2019, we reported positive results from the AMPLIFY trial, a Phase 3 clinical trial evaluating tenapanor’s efficacy in combination with phosphate binders. Based on results from the AMPLIFY trial, tenapanor is the only phosphate lowering therapy that has been shown to be effective at lowering serum phosphorus in combination with phosphate binders in a clinical trial. We are also conducting a long-term, open-label Phase 4 study, called NORMALIZE, to evaluate the ability of tenapanor alone or in combination with sevelamer to achieve serum phosphorus concentrations towards the normal range (&lt;4.6 mg/dL), while minimizing medication burden, in patients with CKD who are on dialysis. Of the 73 patients thus far treated for more than one month, 42% have achieved normal serum phosphorus of less than 4.6 mg/dL, and of those, 58% have accomplished this with either tenapanor alone or in combination with only one to three sevelamer tablets per day.</w:t>
      </w:r>
    </w:p>
    <w:p>
      <w:pPr>
        <w:spacing w:after="0" w:line="105" w:lineRule="exact"/>
        <w:rPr>
          <w:sz w:val="20"/>
          <w:szCs w:val="20"/>
          <w:color w:val="auto"/>
        </w:rPr>
      </w:pPr>
    </w:p>
    <w:p>
      <w:pPr>
        <w:ind w:left="380" w:right="420" w:firstLine="426"/>
        <w:spacing w:after="0" w:line="256" w:lineRule="auto"/>
        <w:rPr>
          <w:sz w:val="20"/>
          <w:szCs w:val="20"/>
          <w:color w:val="auto"/>
        </w:rPr>
      </w:pPr>
      <w:r>
        <w:rPr>
          <w:rFonts w:ascii="Arial" w:cs="Arial" w:eastAsia="Arial" w:hAnsi="Arial"/>
          <w:sz w:val="18"/>
          <w:szCs w:val="18"/>
          <w:color w:val="auto"/>
        </w:rPr>
        <w:t>We are also advancing our small molecule potassium secretagogue program, RDX013, for the potential treatment of hyperkalemia. Hyperkalemia is a common problem in patients with heart and kidney disease, particularly in patients taking common blood pressure medications known as RAAS inhibitors, which inhibit the renin-angiotensin-aldosterone system. Similar to our non-binder approach to lowering hyperphosphatemia with</w:t>
      </w:r>
    </w:p>
    <w:p>
      <w:pPr>
        <w:spacing w:after="0" w:line="14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040"/>
          </w:cols>
          <w:pgMar w:left="240" w:top="459" w:right="6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32975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02145" cy="32975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380" w:right="200"/>
        <w:spacing w:after="0" w:line="268" w:lineRule="auto"/>
        <w:rPr>
          <w:sz w:val="20"/>
          <w:szCs w:val="20"/>
          <w:color w:val="auto"/>
        </w:rPr>
      </w:pPr>
      <w:r>
        <w:rPr>
          <w:rFonts w:ascii="Arial" w:cs="Arial" w:eastAsia="Arial" w:hAnsi="Arial"/>
          <w:sz w:val="18"/>
          <w:szCs w:val="18"/>
          <w:color w:val="auto"/>
        </w:rPr>
        <w:t>tenapanor, the goal of our RDX013 program is to lower elevated potassium with a much lower pill burden than potassium binders and to potentially provide advantages as a stand-alone agent or in combination with potassium binders.</w:t>
      </w:r>
    </w:p>
    <w:p>
      <w:pPr>
        <w:spacing w:after="0" w:line="118" w:lineRule="exact"/>
        <w:rPr>
          <w:sz w:val="20"/>
          <w:szCs w:val="20"/>
          <w:color w:val="auto"/>
        </w:rPr>
      </w:pPr>
    </w:p>
    <w:p>
      <w:pPr>
        <w:ind w:left="380" w:firstLine="426"/>
        <w:spacing w:after="0" w:line="255" w:lineRule="auto"/>
        <w:rPr>
          <w:sz w:val="20"/>
          <w:szCs w:val="20"/>
          <w:color w:val="auto"/>
        </w:rPr>
      </w:pPr>
      <w:r>
        <w:rPr>
          <w:rFonts w:ascii="Arial" w:cs="Arial" w:eastAsia="Arial" w:hAnsi="Arial"/>
          <w:sz w:val="18"/>
          <w:szCs w:val="18"/>
          <w:color w:val="auto"/>
        </w:rPr>
        <w:t>In addition to the development of tenapanor for the treatment of hyperphosphatemia for CKD patients on dialysis, we have developed tenapanor for the treatment of patients with irritable bowel syndrome with constipation, or IBS-C. On September 12, 2019, the FDA approved IBSRELA (tenapanor), a 50 mg, twice daily oral pill for the treatment of IBS-C in adults. Although we received FDA approval for our NDA for tenapanor for the treatment of IBS-C in September 2019, we do not currently expect to commercialize tenapanor for IBS-C ourselves in the United States, and have not entered into a collaboration partnership for such commercialization.</w:t>
      </w:r>
    </w:p>
    <w:p>
      <w:pPr>
        <w:spacing w:after="0" w:line="129" w:lineRule="exact"/>
        <w:rPr>
          <w:sz w:val="20"/>
          <w:szCs w:val="20"/>
          <w:color w:val="auto"/>
        </w:rPr>
      </w:pPr>
    </w:p>
    <w:p>
      <w:pPr>
        <w:ind w:left="380" w:right="40" w:firstLine="426"/>
        <w:spacing w:after="0" w:line="332" w:lineRule="auto"/>
        <w:rPr>
          <w:sz w:val="20"/>
          <w:szCs w:val="20"/>
          <w:color w:val="auto"/>
        </w:rPr>
      </w:pPr>
      <w:r>
        <w:rPr>
          <w:rFonts w:ascii="Arial" w:cs="Arial" w:eastAsia="Arial" w:hAnsi="Arial"/>
          <w:sz w:val="16"/>
          <w:szCs w:val="16"/>
          <w:color w:val="auto"/>
        </w:rPr>
        <w:t>We have developed a proprietary drug discovery and design platform to discover targets found in the GI tract that regulate processes in the body and design products candidates that act upon those targets to take advantage of the gut’s ability to communicate with other organs.</w:t>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Corporate Information</w:t>
      </w:r>
    </w:p>
    <w:p>
      <w:pPr>
        <w:spacing w:after="0" w:line="83" w:lineRule="exact"/>
        <w:rPr>
          <w:sz w:val="20"/>
          <w:szCs w:val="20"/>
          <w:color w:val="auto"/>
        </w:rPr>
      </w:pPr>
    </w:p>
    <w:p>
      <w:pPr>
        <w:ind w:left="380" w:right="40" w:firstLine="426"/>
        <w:spacing w:after="0" w:line="256" w:lineRule="auto"/>
        <w:rPr>
          <w:sz w:val="20"/>
          <w:szCs w:val="20"/>
          <w:color w:val="auto"/>
        </w:rPr>
      </w:pPr>
      <w:r>
        <w:rPr>
          <w:rFonts w:ascii="Arial" w:cs="Arial" w:eastAsia="Arial" w:hAnsi="Arial"/>
          <w:sz w:val="18"/>
          <w:szCs w:val="18"/>
          <w:color w:val="auto"/>
        </w:rPr>
        <w:t>We were founded in October 2007 as a Delaware corporation under the name Nteryx, Inc. Our principal executive offices are located at 34175 Ardenwood Blvd., Suite 200, Fremont, CA 94555, and our telephone number is (510) 745-1700. Our website address is www.ardelyx.com. The information on, or that can be accessed through, our website is not part of this prospectus. We have included our website address as an inactive textual reference only.</w:t>
      </w:r>
    </w:p>
    <w:p>
      <w:pPr>
        <w:spacing w:after="0" w:line="130" w:lineRule="exact"/>
        <w:rPr>
          <w:sz w:val="20"/>
          <w:szCs w:val="20"/>
          <w:color w:val="auto"/>
        </w:rPr>
      </w:pPr>
    </w:p>
    <w:p>
      <w:pPr>
        <w:ind w:left="380" w:right="120" w:firstLine="426"/>
        <w:spacing w:after="0" w:line="291" w:lineRule="auto"/>
        <w:rPr>
          <w:sz w:val="20"/>
          <w:szCs w:val="20"/>
          <w:color w:val="auto"/>
        </w:rPr>
      </w:pPr>
      <w:r>
        <w:rPr>
          <w:rFonts w:ascii="Arial" w:cs="Arial" w:eastAsia="Arial" w:hAnsi="Arial"/>
          <w:sz w:val="16"/>
          <w:szCs w:val="16"/>
          <w:color w:val="auto"/>
        </w:rPr>
        <w:t>We are an “emerging growth company,” as defined in the Jumpstart Our Business Startups Act of 2012, and a “smaller reporting company,” as defined in the Securities and Exchange Act of 1934, as amended, or the Exchange Act. We will remain an emerging growth company until December 31, 2019, and a smaller reporting company until the last day of the fiscal year in which (1) the market value of our common stock held by non-affiliates exceeds $250 million as of the end of that year’s second fiscal quarter, and our annual revenues exceed $100 million during such fiscal year, or (2) our annual revenues do not exceed $100 million during such fiscal year, and the market value of our common stock held by non-affiliates exceeds $700 million as of the end of that year’s second fiscal quarter.</w:t>
      </w:r>
    </w:p>
    <w:p>
      <w:pPr>
        <w:spacing w:after="0" w:line="120"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0980"/>
          </w:cols>
          <w:pgMar w:left="240" w:top="459" w:right="6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4584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02145" cy="54584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399"/>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020"/>
          </w:cols>
          <w:pgMar w:left="240" w:top="459" w:right="639" w:bottom="1440" w:gutter="0" w:footer="0" w:header="0"/>
        </w:sectPr>
      </w:pPr>
    </w:p>
    <w:p>
      <w:pPr>
        <w:spacing w:after="0" w:line="187" w:lineRule="exact"/>
        <w:rPr>
          <w:sz w:val="20"/>
          <w:szCs w:val="20"/>
          <w:color w:val="auto"/>
        </w:rPr>
      </w:pPr>
    </w:p>
    <w:p>
      <w:pPr>
        <w:ind w:left="380"/>
        <w:spacing w:after="0"/>
        <w:rPr>
          <w:sz w:val="20"/>
          <w:szCs w:val="20"/>
          <w:color w:val="auto"/>
        </w:rPr>
      </w:pPr>
      <w:r>
        <w:rPr>
          <w:rFonts w:ascii="Arial" w:cs="Arial" w:eastAsia="Arial" w:hAnsi="Arial"/>
          <w:sz w:val="15"/>
          <w:szCs w:val="15"/>
          <w:color w:val="auto"/>
        </w:rPr>
        <w:t>Issuer</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Ardelyx, Inc.</w:t>
      </w:r>
    </w:p>
    <w:p>
      <w:pPr>
        <w:spacing w:after="0" w:line="194" w:lineRule="exact"/>
        <w:rPr>
          <w:sz w:val="20"/>
          <w:szCs w:val="20"/>
          <w:color w:val="auto"/>
        </w:rPr>
      </w:pPr>
    </w:p>
    <w:p>
      <w:pPr>
        <w:sectPr>
          <w:pgSz w:w="11900" w:h="16838" w:orient="portrait"/>
          <w:cols w:equalWidth="0" w:num="2">
            <w:col w:w="3700" w:space="720"/>
            <w:col w:w="6600"/>
          </w:cols>
          <w:pgMar w:left="240" w:top="459" w:right="639" w:bottom="1440" w:gutter="0" w:footer="0" w:header="0"/>
          <w:type w:val="continuous"/>
        </w:sectPr>
      </w:pPr>
    </w:p>
    <w:p>
      <w:pPr>
        <w:ind w:left="380"/>
        <w:spacing w:after="0"/>
        <w:rPr>
          <w:sz w:val="20"/>
          <w:szCs w:val="20"/>
          <w:color w:val="auto"/>
        </w:rPr>
      </w:pPr>
      <w:r>
        <w:rPr>
          <w:rFonts w:ascii="Arial" w:cs="Arial" w:eastAsia="Arial" w:hAnsi="Arial"/>
          <w:sz w:val="16"/>
          <w:szCs w:val="16"/>
          <w:color w:val="auto"/>
        </w:rPr>
        <w:t>Common stock we are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20,000,000 shares of our common stock.</w:t>
      </w:r>
    </w:p>
    <w:p>
      <w:pPr>
        <w:spacing w:after="0" w:line="205" w:lineRule="exact"/>
        <w:rPr>
          <w:sz w:val="20"/>
          <w:szCs w:val="20"/>
          <w:color w:val="auto"/>
        </w:rPr>
      </w:pPr>
    </w:p>
    <w:p>
      <w:pPr>
        <w:sectPr>
          <w:pgSz w:w="11900" w:h="16838" w:orient="portrait"/>
          <w:cols w:equalWidth="0" w:num="2">
            <w:col w:w="3700" w:space="720"/>
            <w:col w:w="6600"/>
          </w:cols>
          <w:pgMar w:left="240" w:top="459" w:right="639" w:bottom="1440" w:gutter="0" w:footer="0" w:header="0"/>
          <w:type w:val="continuous"/>
        </w:sectPr>
      </w:pPr>
    </w:p>
    <w:p>
      <w:pPr>
        <w:ind w:left="380"/>
        <w:spacing w:after="0"/>
        <w:rPr>
          <w:sz w:val="20"/>
          <w:szCs w:val="20"/>
          <w:color w:val="auto"/>
        </w:rPr>
      </w:pPr>
      <w:r>
        <w:rPr>
          <w:rFonts w:ascii="Arial" w:cs="Arial" w:eastAsia="Arial" w:hAnsi="Arial"/>
          <w:sz w:val="16"/>
          <w:szCs w:val="16"/>
          <w:color w:val="auto"/>
        </w:rPr>
        <w:t>Common stock to be outstanding after the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82,883,080 shares (or 85,883,080 shares if the underwriters exercise their option to purchase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3,000,000 additional ordinary shares in full).</w:t>
      </w:r>
    </w:p>
    <w:p>
      <w:pPr>
        <w:spacing w:after="0" w:line="151" w:lineRule="exact"/>
        <w:rPr>
          <w:sz w:val="20"/>
          <w:szCs w:val="20"/>
          <w:color w:val="auto"/>
        </w:rPr>
      </w:pPr>
    </w:p>
    <w:p>
      <w:pPr>
        <w:sectPr>
          <w:pgSz w:w="11900" w:h="16838" w:orient="portrait"/>
          <w:cols w:equalWidth="0" w:num="2">
            <w:col w:w="3940" w:space="480"/>
            <w:col w:w="6600"/>
          </w:cols>
          <w:pgMar w:left="240" w:top="459" w:right="639" w:bottom="1440" w:gutter="0" w:footer="0" w:header="0"/>
          <w:type w:val="continuous"/>
        </w:sectPr>
      </w:pPr>
    </w:p>
    <w:p>
      <w:pPr>
        <w:ind w:left="380"/>
        <w:spacing w:after="0"/>
        <w:rPr>
          <w:sz w:val="20"/>
          <w:szCs w:val="20"/>
          <w:color w:val="auto"/>
        </w:rPr>
      </w:pPr>
      <w:r>
        <w:rPr>
          <w:rFonts w:ascii="Arial" w:cs="Arial" w:eastAsia="Arial" w:hAnsi="Arial"/>
          <w:sz w:val="15"/>
          <w:szCs w:val="15"/>
          <w:color w:val="auto"/>
        </w:rPr>
        <w:t>Option to purchase additional shares</w:t>
      </w:r>
    </w:p>
    <w:p>
      <w:pPr>
        <w:spacing w:after="0" w:line="20" w:lineRule="exact"/>
        <w:rPr>
          <w:sz w:val="20"/>
          <w:szCs w:val="20"/>
          <w:color w:val="auto"/>
        </w:rPr>
      </w:pPr>
      <w:r>
        <w:rPr>
          <w:sz w:val="20"/>
          <w:szCs w:val="20"/>
          <w:color w:val="auto"/>
        </w:rPr>
        <w:br w:type="column"/>
      </w:r>
    </w:p>
    <w:p>
      <w:pPr>
        <w:ind w:right="140"/>
        <w:spacing w:after="0" w:line="268" w:lineRule="auto"/>
        <w:rPr>
          <w:sz w:val="20"/>
          <w:szCs w:val="20"/>
          <w:color w:val="auto"/>
        </w:rPr>
      </w:pPr>
      <w:r>
        <w:rPr>
          <w:rFonts w:ascii="Arial" w:cs="Arial" w:eastAsia="Arial" w:hAnsi="Arial"/>
          <w:sz w:val="18"/>
          <w:szCs w:val="18"/>
          <w:color w:val="auto"/>
        </w:rPr>
        <w:t>We have granted the underwriters a 30-day option to purchase up to an additional 3,000,000 shares of our common stock.</w:t>
      </w:r>
    </w:p>
    <w:p>
      <w:pPr>
        <w:spacing w:after="0" w:line="118" w:lineRule="exact"/>
        <w:rPr>
          <w:sz w:val="20"/>
          <w:szCs w:val="20"/>
          <w:color w:val="auto"/>
        </w:rPr>
      </w:pPr>
    </w:p>
    <w:p>
      <w:pPr>
        <w:sectPr>
          <w:pgSz w:w="11900" w:h="16838" w:orient="portrait"/>
          <w:cols w:equalWidth="0" w:num="2">
            <w:col w:w="3700" w:space="720"/>
            <w:col w:w="6600"/>
          </w:cols>
          <w:pgMar w:left="240" w:top="459" w:right="639" w:bottom="1440" w:gutter="0" w:footer="0" w:header="0"/>
          <w:type w:val="continuous"/>
        </w:sectPr>
      </w:pPr>
    </w:p>
    <w:p>
      <w:pPr>
        <w:ind w:left="38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290" w:lineRule="auto"/>
        <w:rPr>
          <w:sz w:val="20"/>
          <w:szCs w:val="20"/>
          <w:color w:val="auto"/>
        </w:rPr>
      </w:pPr>
      <w:r>
        <w:rPr>
          <w:rFonts w:ascii="Arial" w:cs="Arial" w:eastAsia="Arial" w:hAnsi="Arial"/>
          <w:sz w:val="16"/>
          <w:szCs w:val="16"/>
          <w:color w:val="auto"/>
        </w:rPr>
        <w:t>We currently expect to use our existing cash, cash equivalents and short-term investments and the net proceeds from this offering to support our activities for the clinical development and potential commercialization of tenapanor for the treatment of hyperphosphatemia in patients with CKD on dialysis, for regulatory activities to support the submission of a New Drug Application, or NDA, in such indication, as well as for clinical trials and nonclinical studies for other product candidates, and for general corporate purposes and working capital. See “Use of Proceeds” on page S-11.</w:t>
      </w:r>
    </w:p>
    <w:p>
      <w:pPr>
        <w:spacing w:after="0" w:line="105" w:lineRule="exact"/>
        <w:rPr>
          <w:sz w:val="20"/>
          <w:szCs w:val="20"/>
          <w:color w:val="auto"/>
        </w:rPr>
      </w:pPr>
    </w:p>
    <w:p>
      <w:pPr>
        <w:sectPr>
          <w:pgSz w:w="11900" w:h="16838" w:orient="portrait"/>
          <w:cols w:equalWidth="0" w:num="2">
            <w:col w:w="3700" w:space="720"/>
            <w:col w:w="6600"/>
          </w:cols>
          <w:pgMar w:left="240" w:top="459" w:right="639" w:bottom="1440" w:gutter="0" w:footer="0" w:header="0"/>
          <w:type w:val="continuous"/>
        </w:sectPr>
      </w:pPr>
    </w:p>
    <w:p>
      <w:pPr>
        <w:ind w:left="38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40"/>
        <w:spacing w:after="0" w:line="259" w:lineRule="auto"/>
        <w:rPr>
          <w:sz w:val="20"/>
          <w:szCs w:val="20"/>
          <w:color w:val="auto"/>
        </w:rPr>
      </w:pPr>
      <w:r>
        <w:rPr>
          <w:rFonts w:ascii="Arial" w:cs="Arial" w:eastAsia="Arial" w:hAnsi="Arial"/>
          <w:sz w:val="18"/>
          <w:szCs w:val="18"/>
          <w:color w:val="auto"/>
        </w:rPr>
        <w:t>You should read the “Risk Factors” section of this prospectus supplement and in the documents incorporated by reference in this prospectus for a discussion of factors to consider before deciding to purchase shares of our common stock.</w:t>
      </w:r>
    </w:p>
    <w:p>
      <w:pPr>
        <w:spacing w:after="0" w:line="127" w:lineRule="exact"/>
        <w:rPr>
          <w:sz w:val="20"/>
          <w:szCs w:val="20"/>
          <w:color w:val="auto"/>
        </w:rPr>
      </w:pPr>
    </w:p>
    <w:p>
      <w:pPr>
        <w:sectPr>
          <w:pgSz w:w="11900" w:h="16838" w:orient="portrait"/>
          <w:cols w:equalWidth="0" w:num="2">
            <w:col w:w="3700" w:space="720"/>
            <w:col w:w="6600"/>
          </w:cols>
          <w:pgMar w:left="240" w:top="459" w:right="639" w:bottom="1440" w:gutter="0" w:footer="0" w:header="0"/>
          <w:type w:val="continuous"/>
        </w:sectPr>
      </w:pPr>
    </w:p>
    <w:p>
      <w:pPr>
        <w:ind w:left="380"/>
        <w:spacing w:after="0"/>
        <w:rPr>
          <w:sz w:val="20"/>
          <w:szCs w:val="20"/>
          <w:color w:val="auto"/>
        </w:rPr>
      </w:pPr>
      <w:r>
        <w:rPr>
          <w:rFonts w:ascii="Arial" w:cs="Arial" w:eastAsia="Arial" w:hAnsi="Arial"/>
          <w:sz w:val="16"/>
          <w:szCs w:val="16"/>
          <w:color w:val="auto"/>
        </w:rPr>
        <w:t>Symbol on The Nasdaq Global Market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“ARDX”</w:t>
      </w:r>
    </w:p>
    <w:p>
      <w:pPr>
        <w:spacing w:after="0" w:line="171" w:lineRule="exact"/>
        <w:rPr>
          <w:sz w:val="20"/>
          <w:szCs w:val="20"/>
          <w:color w:val="auto"/>
        </w:rPr>
      </w:pPr>
    </w:p>
    <w:p>
      <w:pPr>
        <w:sectPr>
          <w:pgSz w:w="11900" w:h="16838" w:orient="portrait"/>
          <w:cols w:equalWidth="0" w:num="2">
            <w:col w:w="3700" w:space="720"/>
            <w:col w:w="6600"/>
          </w:cols>
          <w:pgMar w:left="240" w:top="459" w:right="639" w:bottom="1440" w:gutter="0" w:footer="0" w:header="0"/>
          <w:type w:val="continuous"/>
        </w:sectPr>
      </w:pPr>
    </w:p>
    <w:p>
      <w:pPr>
        <w:ind w:left="380" w:right="240" w:firstLine="426"/>
        <w:spacing w:after="0" w:line="306" w:lineRule="auto"/>
        <w:rPr>
          <w:sz w:val="20"/>
          <w:szCs w:val="20"/>
          <w:color w:val="auto"/>
        </w:rPr>
      </w:pPr>
      <w:r>
        <w:rPr>
          <w:rFonts w:ascii="Arial" w:cs="Arial" w:eastAsia="Arial" w:hAnsi="Arial"/>
          <w:sz w:val="16"/>
          <w:szCs w:val="16"/>
          <w:color w:val="auto"/>
        </w:rPr>
        <w:t>The number of shares of common stock to be outstanding after this offering is based on 62,883,080 shares of common stock outstanding as of September 30, 2019, and excludes (i) 2,873,563 shares of common stock that we sold in a private placement to Kyowa Kirin Co., Ltd. on November 25, 2019 for proceeds of approximately $20 million, and (ii) the following, in each case as of September 30, 2019:</w:t>
      </w:r>
    </w:p>
    <w:p>
      <w:pPr>
        <w:spacing w:after="0" w:line="12" w:lineRule="exact"/>
        <w:rPr>
          <w:sz w:val="20"/>
          <w:szCs w:val="20"/>
          <w:color w:val="auto"/>
        </w:rPr>
      </w:pPr>
    </w:p>
    <w:p>
      <w:pPr>
        <w:ind w:left="1000" w:right="80" w:hanging="195"/>
        <w:spacing w:after="0" w:line="268"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7,339,124 shares of common stock issuable upon the exercise of outstanding stock options having a weighted-average exercise price of $6.52 per share;</w:t>
      </w:r>
    </w:p>
    <w:p>
      <w:pPr>
        <w:spacing w:after="0" w:line="37" w:lineRule="exact"/>
        <w:rPr>
          <w:rFonts w:ascii="Arial" w:cs="Arial" w:eastAsia="Arial" w:hAnsi="Arial"/>
          <w:sz w:val="18"/>
          <w:szCs w:val="18"/>
          <w:color w:val="auto"/>
        </w:rPr>
      </w:pPr>
    </w:p>
    <w:p>
      <w:pPr>
        <w:ind w:left="1000" w:hanging="195"/>
        <w:spacing w:after="0"/>
        <w:tabs>
          <w:tab w:leader="none" w:pos="1000" w:val="left"/>
        </w:tabs>
        <w:numPr>
          <w:ilvl w:val="0"/>
          <w:numId w:val="2"/>
        </w:numPr>
        <w:rPr>
          <w:rFonts w:ascii="Arial" w:cs="Arial" w:eastAsia="Arial" w:hAnsi="Arial"/>
          <w:sz w:val="16"/>
          <w:szCs w:val="16"/>
          <w:color w:val="auto"/>
        </w:rPr>
      </w:pPr>
      <w:r>
        <w:rPr>
          <w:rFonts w:ascii="Arial" w:cs="Arial" w:eastAsia="Arial" w:hAnsi="Arial"/>
          <w:sz w:val="16"/>
          <w:szCs w:val="16"/>
          <w:color w:val="auto"/>
        </w:rPr>
        <w:t>2,172,899 shares of common stock issuable upon the exercise of outstanding warrants having an exercise price of $13.91 per share;</w:t>
      </w:r>
    </w:p>
    <w:p>
      <w:pPr>
        <w:spacing w:after="0" w:line="126" w:lineRule="exact"/>
        <w:rPr>
          <w:rFonts w:ascii="Arial" w:cs="Arial" w:eastAsia="Arial" w:hAnsi="Arial"/>
          <w:sz w:val="16"/>
          <w:szCs w:val="16"/>
          <w:color w:val="auto"/>
        </w:rPr>
      </w:pPr>
    </w:p>
    <w:p>
      <w:pPr>
        <w:ind w:left="1000" w:hanging="195"/>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850,309 shares of common stock issuable upon the settlement of outstanding restricted stock units;</w:t>
      </w:r>
    </w:p>
    <w:p>
      <w:pPr>
        <w:spacing w:after="0" w:line="103" w:lineRule="exact"/>
        <w:rPr>
          <w:rFonts w:ascii="Arial" w:cs="Arial" w:eastAsia="Arial" w:hAnsi="Arial"/>
          <w:sz w:val="18"/>
          <w:szCs w:val="18"/>
          <w:color w:val="auto"/>
        </w:rPr>
      </w:pPr>
    </w:p>
    <w:p>
      <w:pPr>
        <w:ind w:left="1000" w:right="80" w:hanging="195"/>
        <w:spacing w:after="0" w:line="268"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1,000,000 shares of common stock reserved for issuance pursuant to future awards under our 2016 Employment Commencement Inducement Plan;</w:t>
      </w:r>
    </w:p>
    <w:p>
      <w:pPr>
        <w:spacing w:after="0" w:line="37" w:lineRule="exact"/>
        <w:rPr>
          <w:rFonts w:ascii="Arial" w:cs="Arial" w:eastAsia="Arial" w:hAnsi="Arial"/>
          <w:sz w:val="18"/>
          <w:szCs w:val="18"/>
          <w:color w:val="auto"/>
        </w:rPr>
      </w:pPr>
    </w:p>
    <w:p>
      <w:pPr>
        <w:ind w:left="1000" w:right="260" w:hanging="195"/>
        <w:spacing w:after="0" w:line="325" w:lineRule="auto"/>
        <w:tabs>
          <w:tab w:leader="none" w:pos="1000" w:val="left"/>
        </w:tabs>
        <w:numPr>
          <w:ilvl w:val="0"/>
          <w:numId w:val="2"/>
        </w:numPr>
        <w:rPr>
          <w:rFonts w:ascii="Arial" w:cs="Arial" w:eastAsia="Arial" w:hAnsi="Arial"/>
          <w:sz w:val="16"/>
          <w:szCs w:val="16"/>
          <w:color w:val="auto"/>
        </w:rPr>
      </w:pPr>
      <w:r>
        <w:rPr>
          <w:rFonts w:ascii="Arial" w:cs="Arial" w:eastAsia="Arial" w:hAnsi="Arial"/>
          <w:sz w:val="16"/>
          <w:szCs w:val="16"/>
          <w:color w:val="auto"/>
        </w:rPr>
        <w:t>1,190,996 shares of common stock reserved for issuance pursuant to future awards under our 2014 Equity Incentive Award Plan, as well as any automatic increases in the number of shares of our common stock reserved for future issuance under this plan; and</w:t>
      </w:r>
    </w:p>
    <w:p>
      <w:pPr>
        <w:spacing w:after="0" w:line="1" w:lineRule="exact"/>
        <w:rPr>
          <w:rFonts w:ascii="Arial" w:cs="Arial" w:eastAsia="Arial" w:hAnsi="Arial"/>
          <w:sz w:val="16"/>
          <w:szCs w:val="16"/>
          <w:color w:val="auto"/>
        </w:rPr>
      </w:pPr>
    </w:p>
    <w:p>
      <w:pPr>
        <w:ind w:left="1000" w:right="100" w:hanging="195"/>
        <w:spacing w:after="0" w:line="268"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519,578 shares of common stock reserved for future issuance under our Employee Stock Purchase Plan, as well as any automatic increases in the number of shares of our common stock reserved for future issuance under this plan.</w:t>
      </w:r>
    </w:p>
    <w:p>
      <w:pPr>
        <w:spacing w:after="0" w:line="132"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020"/>
          </w:cols>
          <w:pgMar w:left="240" w:top="459" w:right="6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07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02145" cy="40703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380" w:firstLine="426"/>
        <w:spacing w:after="0" w:line="268" w:lineRule="auto"/>
        <w:rPr>
          <w:sz w:val="20"/>
          <w:szCs w:val="20"/>
          <w:color w:val="auto"/>
        </w:rPr>
      </w:pPr>
      <w:r>
        <w:rPr>
          <w:rFonts w:ascii="Arial" w:cs="Arial" w:eastAsia="Arial" w:hAnsi="Arial"/>
          <w:sz w:val="18"/>
          <w:szCs w:val="18"/>
          <w:color w:val="auto"/>
        </w:rPr>
        <w:t>Unless otherwise stated, all information contained in this prospectus supplement reflects the public offering price of $6.25 per share, and no exercise of the underwriters’ option to purchase additional shares.</w:t>
      </w:r>
    </w:p>
    <w:p>
      <w:pPr>
        <w:spacing w:after="0" w:line="13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0640"/>
          </w:cols>
          <w:pgMar w:left="240" w:top="459" w:right="10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 FACTORS</w:t>
      </w:r>
    </w:p>
    <w:p>
      <w:pPr>
        <w:spacing w:after="0" w:line="83" w:lineRule="exact"/>
        <w:rPr>
          <w:sz w:val="20"/>
          <w:szCs w:val="20"/>
          <w:color w:val="auto"/>
        </w:rPr>
      </w:pPr>
    </w:p>
    <w:p>
      <w:pPr>
        <w:ind w:left="200" w:right="40" w:firstLine="441"/>
        <w:spacing w:after="0" w:line="253" w:lineRule="auto"/>
        <w:rPr>
          <w:sz w:val="20"/>
          <w:szCs w:val="20"/>
          <w:color w:val="auto"/>
        </w:rPr>
      </w:pPr>
      <w:r>
        <w:rPr>
          <w:rFonts w:ascii="Arial" w:cs="Arial" w:eastAsia="Arial" w:hAnsi="Arial"/>
          <w:sz w:val="18"/>
          <w:szCs w:val="18"/>
          <w:i w:val="1"/>
          <w:iCs w:val="1"/>
          <w:color w:val="auto"/>
        </w:rPr>
        <w:t>Investing in our common stock involves a high degree of risk. You should consider carefully the risks described below and discussed under the section captioned “Risk Factors” contained in our Quarterly Report on Form 10-Q for the quarterly period ended September 30, 2019, incorporated by reference in this prospectus in its entirety, together with other information in this prospectus, and the information and documents incorporated by reference in this prospectus, and any free writing prospectus that we have authorized for use in connection with this offering before you make a decision to invest in our common stock. If any of the following events actually occur, our business, operating results, prospects or financial condition could be materially and adversely affected. This could cause the trading price of our common stock to decline and you may lose all or part of your investment. The risks described below are not the only ones that we face. Additional risks not presently known to us or that we currently deem immaterial may also affect our business operations.</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Additional Risks Relating to this Offering</w:t>
      </w:r>
    </w:p>
    <w:p>
      <w:pPr>
        <w:spacing w:after="0" w:line="83" w:lineRule="exact"/>
        <w:rPr>
          <w:sz w:val="20"/>
          <w:szCs w:val="20"/>
          <w:color w:val="auto"/>
        </w:rPr>
      </w:pPr>
    </w:p>
    <w:p>
      <w:pPr>
        <w:ind w:left="420" w:right="380"/>
        <w:spacing w:after="0" w:line="268" w:lineRule="auto"/>
        <w:rPr>
          <w:sz w:val="20"/>
          <w:szCs w:val="20"/>
          <w:color w:val="auto"/>
        </w:rPr>
      </w:pPr>
      <w:r>
        <w:rPr>
          <w:rFonts w:ascii="Arial" w:cs="Arial" w:eastAsia="Arial" w:hAnsi="Arial"/>
          <w:sz w:val="18"/>
          <w:szCs w:val="18"/>
          <w:b w:val="1"/>
          <w:bCs w:val="1"/>
          <w:i w:val="1"/>
          <w:iCs w:val="1"/>
          <w:color w:val="auto"/>
        </w:rPr>
        <w:t>Our management team may invest or spend the proceeds of this offering in ways with which you may not agree or in ways which may not yield a significant return.</w:t>
      </w:r>
    </w:p>
    <w:p>
      <w:pPr>
        <w:spacing w:after="0" w:line="3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Our management will have broad discretion over the use of proceeds from this offering. We currently expect to use our existing cash, cash equivalents and short-term investments and the net proceeds from this offering as described in the section captioned “Use of Proceeds.” However, our management will have considerable discretion in the application of the net proceeds, and you will not have the opportunity, as part of your investment decision, to assess whether the proceeds are being used appropriately. The net proceeds may be used for corporate purposes that do not increase our operating results or enhance the value of our common stock.</w:t>
      </w:r>
    </w:p>
    <w:p>
      <w:pPr>
        <w:spacing w:after="0" w:line="129"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You may experience immediate and substantial dilution in the net tangible book value per share of the common stock you purchase.</w:t>
      </w:r>
    </w:p>
    <w:p>
      <w:pPr>
        <w:spacing w:after="0" w:line="100" w:lineRule="exact"/>
        <w:rPr>
          <w:sz w:val="20"/>
          <w:szCs w:val="20"/>
          <w:color w:val="auto"/>
        </w:rPr>
      </w:pPr>
    </w:p>
    <w:p>
      <w:pPr>
        <w:jc w:val="both"/>
        <w:ind w:left="200" w:right="100" w:firstLine="441"/>
        <w:spacing w:after="0" w:line="256" w:lineRule="auto"/>
        <w:rPr>
          <w:sz w:val="20"/>
          <w:szCs w:val="20"/>
          <w:color w:val="auto"/>
        </w:rPr>
      </w:pPr>
      <w:r>
        <w:rPr>
          <w:rFonts w:ascii="Arial" w:cs="Arial" w:eastAsia="Arial" w:hAnsi="Arial"/>
          <w:sz w:val="18"/>
          <w:szCs w:val="18"/>
          <w:color w:val="auto"/>
        </w:rPr>
        <w:t>The price per share of our common stock being offered is higher than the net tangible book value per share of our common stock outstanding prior to this offering. As a result, investors purchasing shares of common stock in this offering will incur immediate dilution of $4.24 per share, based on the public offering price of $6.25 per share, and our as-adjusted net tangible book value as of September 30, 2019 after giving effect to this offering. For information on how the foregoing amounts were calculated, see “Dilution.”</w:t>
      </w:r>
    </w:p>
    <w:p>
      <w:pPr>
        <w:spacing w:after="0" w:line="130" w:lineRule="exact"/>
        <w:rPr>
          <w:sz w:val="20"/>
          <w:szCs w:val="20"/>
          <w:color w:val="auto"/>
        </w:rPr>
      </w:pPr>
    </w:p>
    <w:p>
      <w:pPr>
        <w:ind w:left="200" w:right="120" w:firstLine="441"/>
        <w:spacing w:after="0" w:line="306" w:lineRule="auto"/>
        <w:rPr>
          <w:sz w:val="20"/>
          <w:szCs w:val="20"/>
          <w:color w:val="auto"/>
        </w:rPr>
      </w:pPr>
      <w:r>
        <w:rPr>
          <w:rFonts w:ascii="Arial" w:cs="Arial" w:eastAsia="Arial" w:hAnsi="Arial"/>
          <w:sz w:val="16"/>
          <w:szCs w:val="16"/>
          <w:color w:val="auto"/>
        </w:rPr>
        <w:t>This dilution is due to the substantially lower price paid by our investors who purchased shares prior to this offering as compared to the price offered to the public in this offering, and the exercise of stock options granted to our employees. As a result of the dilution to investors purchasing shares in this offering, investors may receive significantly less than the purchase price paid in this offering, if anything, in the event of our liquidation.</w:t>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You may experience future dilution as a result of future equity offerings.</w:t>
      </w:r>
    </w:p>
    <w:p>
      <w:pPr>
        <w:spacing w:after="0" w:line="77"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In order to raise additional capital, we may in the future offer additional shares of our common stock or other securities convertible into or exchangeable for our common stock. We cannot assure you that we will be able to sell shares or other securities in any other offering at a price per share that is equal to or greater than the price per share paid by investors in this offering, and investors purchasing shares or other securities in the future could have rights superior to existing stockholders. The price per share at which we sell additional shares of our common stock or other securities convertible into or exchangeable for our common stock in future transactions may be higher or lower than the price per share in this offering. As of September 30, 2019, approximately 10.9 million shares of common stock that are either subject to outstanding options or restricted stock units or reserved for future issuance under our equity incentive plans are eligible for sale in the public market to the extent permitted by the provisions of various vesting schedules. Additionally, as of September 30, 2019, approximately 2.2 million shares of common stock that are subject to outstanding warrants are eligible for sale in the public market.</w:t>
      </w:r>
    </w:p>
    <w:p>
      <w:pPr>
        <w:spacing w:after="0" w:line="10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Our stock price may be volatile and our stockholders may not be able to resell shares of our common stock at or above the price they paid.</w:t>
      </w:r>
    </w:p>
    <w:p>
      <w:pPr>
        <w:spacing w:after="0" w:line="10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trading price of our common stock is highly volatile and could be subject to wide fluctuations in response to various factors, some of which are beyond our control. These factors include those discussed in this “Risk Factors” section and the “Risk Factors” section contained in our Quarterly Report on Form 10-Q for the quarterly period ended September 30, 2019, and others such as:</w:t>
      </w:r>
    </w:p>
    <w:p>
      <w:pPr>
        <w:spacing w:after="0" w:line="46" w:lineRule="exact"/>
        <w:rPr>
          <w:sz w:val="20"/>
          <w:szCs w:val="20"/>
          <w:color w:val="auto"/>
        </w:rPr>
      </w:pPr>
    </w:p>
    <w:p>
      <w:pPr>
        <w:ind w:left="860" w:right="420" w:hanging="224"/>
        <w:spacing w:after="0" w:line="268"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results from, or any delays in, clinical trial programs relating to our product candidates, including the ongoing clinical trials for tenapanor for hyperphosphatemia;</w:t>
      </w:r>
    </w:p>
    <w:p>
      <w:pPr>
        <w:spacing w:after="0" w:line="37" w:lineRule="exact"/>
        <w:rPr>
          <w:rFonts w:ascii="Arial" w:cs="Arial" w:eastAsia="Arial" w:hAnsi="Arial"/>
          <w:sz w:val="18"/>
          <w:szCs w:val="18"/>
          <w:color w:val="auto"/>
        </w:rPr>
      </w:pPr>
    </w:p>
    <w:p>
      <w:pPr>
        <w:ind w:left="860" w:hanging="224"/>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our efforts to establish a collaboration partnership for the commercialization of IBSRELA in the United States;</w:t>
      </w:r>
    </w:p>
    <w:p>
      <w:pPr>
        <w:spacing w:after="0" w:line="103" w:lineRule="exact"/>
        <w:rPr>
          <w:rFonts w:ascii="Arial" w:cs="Arial" w:eastAsia="Arial" w:hAnsi="Arial"/>
          <w:sz w:val="18"/>
          <w:szCs w:val="18"/>
          <w:color w:val="auto"/>
        </w:rPr>
      </w:pPr>
    </w:p>
    <w:p>
      <w:pPr>
        <w:ind w:left="860" w:hanging="224"/>
        <w:spacing w:after="0" w:line="268"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alone or with collaboration partners, to obtain regulatory approval for or commercialize for tenapanor for hyperphosphatemia, or delays in obtaining regulatory approval or commercializing;</w:t>
      </w:r>
    </w:p>
    <w:p>
      <w:pPr>
        <w:spacing w:after="0" w:line="37" w:lineRule="exact"/>
        <w:rPr>
          <w:rFonts w:ascii="Arial" w:cs="Arial" w:eastAsia="Arial" w:hAnsi="Arial"/>
          <w:sz w:val="18"/>
          <w:szCs w:val="18"/>
          <w:color w:val="auto"/>
        </w:rPr>
      </w:pPr>
    </w:p>
    <w:p>
      <w:pPr>
        <w:ind w:left="860" w:right="260" w:hanging="224"/>
        <w:spacing w:after="0" w:line="325" w:lineRule="auto"/>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announcements of regulatory approval, a complete response letter or a refuse to file letter to tenapanor for hyperphosphatemia, or specific label restrictions or patient populations for its use, or changes or delays in the regulatory review process;</w:t>
      </w:r>
    </w:p>
    <w:p>
      <w:pPr>
        <w:spacing w:after="0" w:line="1" w:lineRule="exact"/>
        <w:rPr>
          <w:rFonts w:ascii="Arial" w:cs="Arial" w:eastAsia="Arial" w:hAnsi="Arial"/>
          <w:sz w:val="16"/>
          <w:szCs w:val="16"/>
          <w:color w:val="auto"/>
        </w:rPr>
      </w:pPr>
    </w:p>
    <w:p>
      <w:pPr>
        <w:ind w:left="860" w:hanging="224"/>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announcements relating to our current or future collaboration partnerships;</w:t>
      </w:r>
    </w:p>
    <w:p>
      <w:pPr>
        <w:spacing w:after="0" w:line="103" w:lineRule="exact"/>
        <w:rPr>
          <w:rFonts w:ascii="Arial" w:cs="Arial" w:eastAsia="Arial" w:hAnsi="Arial"/>
          <w:sz w:val="18"/>
          <w:szCs w:val="18"/>
          <w:color w:val="auto"/>
        </w:rPr>
      </w:pPr>
    </w:p>
    <w:p>
      <w:pPr>
        <w:ind w:left="860" w:hanging="224"/>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announcements of therapeutic innovations or new products by us or our competitors;</w:t>
      </w:r>
    </w:p>
    <w:p>
      <w:pPr>
        <w:spacing w:after="0" w:line="103" w:lineRule="exact"/>
        <w:rPr>
          <w:rFonts w:ascii="Arial" w:cs="Arial" w:eastAsia="Arial" w:hAnsi="Arial"/>
          <w:sz w:val="18"/>
          <w:szCs w:val="18"/>
          <w:color w:val="auto"/>
        </w:rPr>
      </w:pPr>
    </w:p>
    <w:p>
      <w:pPr>
        <w:ind w:left="860" w:right="680" w:hanging="224"/>
        <w:spacing w:after="0" w:line="268"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actions taken by regulatory agencies with respect to our product label, our clinical trials, manufacturing supply chain or sales and marketing activities;</w:t>
      </w:r>
    </w:p>
    <w:p>
      <w:pPr>
        <w:spacing w:after="0" w:line="37" w:lineRule="exact"/>
        <w:rPr>
          <w:rFonts w:ascii="Arial" w:cs="Arial" w:eastAsia="Arial" w:hAnsi="Arial"/>
          <w:sz w:val="18"/>
          <w:szCs w:val="18"/>
          <w:color w:val="auto"/>
        </w:rPr>
      </w:pPr>
    </w:p>
    <w:p>
      <w:pPr>
        <w:ind w:left="860" w:hanging="224"/>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or developments in laws or regulations applicable to our product candidates;</w:t>
      </w:r>
    </w:p>
    <w:p>
      <w:pPr>
        <w:spacing w:after="0" w:line="103" w:lineRule="exact"/>
        <w:rPr>
          <w:rFonts w:ascii="Arial" w:cs="Arial" w:eastAsia="Arial" w:hAnsi="Arial"/>
          <w:sz w:val="18"/>
          <w:szCs w:val="18"/>
          <w:color w:val="auto"/>
        </w:rPr>
      </w:pPr>
    </w:p>
    <w:p>
      <w:pPr>
        <w:ind w:left="860" w:hanging="224"/>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our testing and clinical trials;</w:t>
      </w:r>
    </w:p>
    <w:p>
      <w:pPr>
        <w:spacing w:after="0" w:line="103" w:lineRule="exact"/>
        <w:rPr>
          <w:rFonts w:ascii="Arial" w:cs="Arial" w:eastAsia="Arial" w:hAnsi="Arial"/>
          <w:sz w:val="18"/>
          <w:szCs w:val="18"/>
          <w:color w:val="auto"/>
        </w:rPr>
      </w:pPr>
    </w:p>
    <w:p>
      <w:pPr>
        <w:ind w:left="860" w:right="420" w:hanging="224"/>
        <w:spacing w:after="0" w:line="268"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meet any of our projected timelines or goals with regard to the clinical development of any of our product candidates, including the ongoing Phase 3 clinical trials for tenapanor for hyperphosphatemia;</w:t>
      </w:r>
    </w:p>
    <w:p>
      <w:pPr>
        <w:spacing w:after="0" w:line="37" w:lineRule="exact"/>
        <w:rPr>
          <w:rFonts w:ascii="Arial" w:cs="Arial" w:eastAsia="Arial" w:hAnsi="Arial"/>
          <w:sz w:val="18"/>
          <w:szCs w:val="18"/>
          <w:color w:val="auto"/>
        </w:rPr>
      </w:pPr>
    </w:p>
    <w:p>
      <w:pPr>
        <w:ind w:left="860" w:hanging="224"/>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our efforts to acquire or license or discover additional product candidates;</w:t>
      </w:r>
    </w:p>
    <w:p>
      <w:pPr>
        <w:spacing w:after="0" w:line="103" w:lineRule="exact"/>
        <w:rPr>
          <w:rFonts w:ascii="Arial" w:cs="Arial" w:eastAsia="Arial" w:hAnsi="Arial"/>
          <w:sz w:val="18"/>
          <w:szCs w:val="18"/>
          <w:color w:val="auto"/>
        </w:rPr>
      </w:pPr>
    </w:p>
    <w:p>
      <w:pPr>
        <w:ind w:left="860" w:hanging="224"/>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intellectual property infringement actions in which we may become involved;</w:t>
      </w:r>
    </w:p>
    <w:p>
      <w:pPr>
        <w:spacing w:after="0" w:line="103" w:lineRule="exact"/>
        <w:rPr>
          <w:rFonts w:ascii="Arial" w:cs="Arial" w:eastAsia="Arial" w:hAnsi="Arial"/>
          <w:sz w:val="18"/>
          <w:szCs w:val="18"/>
          <w:color w:val="auto"/>
        </w:rPr>
      </w:pPr>
    </w:p>
    <w:p>
      <w:pPr>
        <w:ind w:left="860" w:hanging="224"/>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our efforts to obtain adequate intellectual property protection for our product candidates;</w:t>
      </w:r>
    </w:p>
    <w:p>
      <w:pPr>
        <w:spacing w:after="0" w:line="103" w:lineRule="exact"/>
        <w:rPr>
          <w:rFonts w:ascii="Arial" w:cs="Arial" w:eastAsia="Arial" w:hAnsi="Arial"/>
          <w:sz w:val="18"/>
          <w:szCs w:val="18"/>
          <w:color w:val="auto"/>
        </w:rPr>
      </w:pPr>
    </w:p>
    <w:p>
      <w:pPr>
        <w:ind w:left="860" w:hanging="224"/>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announcements concerning our competitors or the pharmaceutical industry in general;</w:t>
      </w:r>
    </w:p>
    <w:p>
      <w:pPr>
        <w:spacing w:after="0" w:line="103" w:lineRule="exact"/>
        <w:rPr>
          <w:rFonts w:ascii="Arial" w:cs="Arial" w:eastAsia="Arial" w:hAnsi="Arial"/>
          <w:sz w:val="18"/>
          <w:szCs w:val="18"/>
          <w:color w:val="auto"/>
        </w:rPr>
      </w:pPr>
    </w:p>
    <w:p>
      <w:pPr>
        <w:ind w:left="860" w:hanging="224"/>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achievement of expected product sales and profitability;</w:t>
      </w:r>
    </w:p>
    <w:p>
      <w:pPr>
        <w:spacing w:after="0" w:line="103" w:lineRule="exact"/>
        <w:rPr>
          <w:rFonts w:ascii="Arial" w:cs="Arial" w:eastAsia="Arial" w:hAnsi="Arial"/>
          <w:sz w:val="18"/>
          <w:szCs w:val="18"/>
          <w:color w:val="auto"/>
        </w:rPr>
      </w:pPr>
    </w:p>
    <w:p>
      <w:pPr>
        <w:ind w:left="860" w:hanging="224"/>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manufacture, supply or distribution shortages;</w:t>
      </w:r>
    </w:p>
    <w:p>
      <w:pPr>
        <w:spacing w:after="0" w:line="103" w:lineRule="exact"/>
        <w:rPr>
          <w:rFonts w:ascii="Arial" w:cs="Arial" w:eastAsia="Arial" w:hAnsi="Arial"/>
          <w:sz w:val="18"/>
          <w:szCs w:val="18"/>
          <w:color w:val="auto"/>
        </w:rPr>
      </w:pPr>
    </w:p>
    <w:p>
      <w:pPr>
        <w:ind w:left="860" w:hanging="224"/>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103" w:lineRule="exact"/>
        <w:rPr>
          <w:rFonts w:ascii="Arial" w:cs="Arial" w:eastAsia="Arial" w:hAnsi="Arial"/>
          <w:sz w:val="18"/>
          <w:szCs w:val="18"/>
          <w:color w:val="auto"/>
        </w:rPr>
      </w:pPr>
    </w:p>
    <w:p>
      <w:pPr>
        <w:ind w:left="860" w:hanging="224"/>
        <w:spacing w:after="0"/>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auto"/>
        </w:rPr>
        <w:t>FDA or other U.S. or foreign regulatory actions affecting us or our industry or other healthcare reform measures in the United States;</w:t>
      </w:r>
    </w:p>
    <w:p>
      <w:pPr>
        <w:spacing w:after="0" w:line="126" w:lineRule="exact"/>
        <w:rPr>
          <w:rFonts w:ascii="Arial" w:cs="Arial" w:eastAsia="Arial" w:hAnsi="Arial"/>
          <w:sz w:val="16"/>
          <w:szCs w:val="16"/>
          <w:color w:val="auto"/>
        </w:rPr>
      </w:pPr>
    </w:p>
    <w:p>
      <w:pPr>
        <w:ind w:left="860" w:hanging="224"/>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w:t>
      </w:r>
    </w:p>
    <w:p>
      <w:pPr>
        <w:spacing w:after="0" w:line="103" w:lineRule="exact"/>
        <w:rPr>
          <w:rFonts w:ascii="Arial" w:cs="Arial" w:eastAsia="Arial" w:hAnsi="Arial"/>
          <w:sz w:val="18"/>
          <w:szCs w:val="18"/>
          <w:color w:val="auto"/>
        </w:rPr>
      </w:pPr>
    </w:p>
    <w:p>
      <w:pPr>
        <w:ind w:left="860" w:hanging="224"/>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03" w:lineRule="exact"/>
        <w:rPr>
          <w:rFonts w:ascii="Arial" w:cs="Arial" w:eastAsia="Arial" w:hAnsi="Arial"/>
          <w:sz w:val="18"/>
          <w:szCs w:val="18"/>
          <w:color w:val="auto"/>
        </w:rPr>
      </w:pPr>
    </w:p>
    <w:p>
      <w:pPr>
        <w:ind w:left="860" w:hanging="224"/>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sales of our common stock by us, our executive officers and directors or our stockholders in the future;</w:t>
      </w:r>
    </w:p>
    <w:p>
      <w:pPr>
        <w:spacing w:after="0" w:line="103" w:lineRule="exact"/>
        <w:rPr>
          <w:rFonts w:ascii="Arial" w:cs="Arial" w:eastAsia="Arial" w:hAnsi="Arial"/>
          <w:sz w:val="18"/>
          <w:szCs w:val="18"/>
          <w:color w:val="auto"/>
        </w:rPr>
      </w:pPr>
    </w:p>
    <w:p>
      <w:pPr>
        <w:ind w:left="860" w:hanging="224"/>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sales of debt securities or sales or licensing of assets;</w:t>
      </w:r>
    </w:p>
    <w:p>
      <w:pPr>
        <w:spacing w:after="0" w:line="103" w:lineRule="exact"/>
        <w:rPr>
          <w:rFonts w:ascii="Arial" w:cs="Arial" w:eastAsia="Arial" w:hAnsi="Arial"/>
          <w:sz w:val="18"/>
          <w:szCs w:val="18"/>
          <w:color w:val="auto"/>
        </w:rPr>
      </w:pPr>
    </w:p>
    <w:p>
      <w:pPr>
        <w:ind w:left="860" w:hanging="224"/>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and market conditions and overall fluctuations in the United States equity markets; and</w:t>
      </w:r>
    </w:p>
    <w:p>
      <w:pPr>
        <w:spacing w:after="0" w:line="103" w:lineRule="exact"/>
        <w:rPr>
          <w:rFonts w:ascii="Arial" w:cs="Arial" w:eastAsia="Arial" w:hAnsi="Arial"/>
          <w:sz w:val="18"/>
          <w:szCs w:val="18"/>
          <w:color w:val="auto"/>
        </w:rPr>
      </w:pPr>
    </w:p>
    <w:p>
      <w:pPr>
        <w:ind w:left="860" w:hanging="224"/>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any of our key scientific or management personnel.</w:t>
      </w:r>
    </w:p>
    <w:p>
      <w:pPr>
        <w:spacing w:after="0" w:line="18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180"/>
          </w:cols>
          <w:pgMar w:left="240" w:top="459" w:right="4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220" w:firstLine="441"/>
        <w:spacing w:after="0" w:line="291" w:lineRule="auto"/>
        <w:rPr>
          <w:sz w:val="20"/>
          <w:szCs w:val="20"/>
          <w:color w:val="auto"/>
        </w:rPr>
      </w:pPr>
      <w:r>
        <w:rPr>
          <w:rFonts w:ascii="Arial" w:cs="Arial" w:eastAsia="Arial" w:hAnsi="Arial"/>
          <w:sz w:val="16"/>
          <w:szCs w:val="16"/>
          <w:color w:val="auto"/>
        </w:rPr>
        <w:t>In addition, the stock markets in general, and the markets for pharmaceutical, biopharmaceutical and biotechnology stocks in particular, have experienced extreme volatility that may have been unrelated to the operating performance of the issuer. These broad market fluctuations may adversely affect the trading price or liquidity of our common stock. In the past, when the market price of a stock has been volatile, holders of that stock have sometimes instituted securities class action litigation against the issuer. If any of our stockholders were to bring such a lawsuit against us, we could incur substantial costs defending the lawsuit and the attention of our management would be diverted from the operation of our business, which could seriously harm our financial position. Any adverse determination in litigation could also subject us to significant liabilities.</w:t>
      </w:r>
    </w:p>
    <w:p>
      <w:pPr>
        <w:spacing w:after="0" w:line="107" w:lineRule="exact"/>
        <w:rPr>
          <w:sz w:val="20"/>
          <w:szCs w:val="20"/>
          <w:color w:val="auto"/>
        </w:rPr>
      </w:pPr>
    </w:p>
    <w:p>
      <w:pPr>
        <w:ind w:left="420" w:right="240"/>
        <w:spacing w:after="0" w:line="268" w:lineRule="auto"/>
        <w:rPr>
          <w:sz w:val="20"/>
          <w:szCs w:val="20"/>
          <w:color w:val="auto"/>
        </w:rPr>
      </w:pPr>
      <w:r>
        <w:rPr>
          <w:rFonts w:ascii="Arial" w:cs="Arial" w:eastAsia="Arial" w:hAnsi="Arial"/>
          <w:sz w:val="18"/>
          <w:szCs w:val="18"/>
          <w:b w:val="1"/>
          <w:bCs w:val="1"/>
          <w:i w:val="1"/>
          <w:iCs w:val="1"/>
          <w:color w:val="auto"/>
        </w:rPr>
        <w:t>If securities or industry analysts cease to publish research, or publish inaccurate or unfavorable research about our business, our stock price and trading volume could decline.</w:t>
      </w:r>
    </w:p>
    <w:p>
      <w:pPr>
        <w:spacing w:after="0" w:line="3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If one or more of the analysts who cover us downgrade our stock or publish inaccurate or unfavorable research about our business, our stock price would likely decline. In addition, if our operating results fail to meet the forecasts of analysts, our stock price would likely decline. If one or more of these analysts cease coverage of our company or fail to publish reports on us regularly, demand for our stock could decrease, which might cause our stock price and trading volume to decline.</w:t>
      </w:r>
    </w:p>
    <w:p>
      <w:pPr>
        <w:spacing w:after="0" w:line="12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160"/>
          </w:cols>
          <w:pgMar w:left="240" w:top="459" w:right="4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64"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This prospectus, including the documents incorporated by reference herein and therein, and any free writing prospectus that we have authorized for use in connection with this offering, contain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terminology such as “aim,” “anticipate,” “assume,” “believe,”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w:t>
      </w:r>
    </w:p>
    <w:p>
      <w:pPr>
        <w:spacing w:after="0" w:line="24" w:lineRule="exact"/>
        <w:rPr>
          <w:sz w:val="20"/>
          <w:szCs w:val="20"/>
          <w:color w:val="auto"/>
        </w:rPr>
      </w:pPr>
    </w:p>
    <w:p>
      <w:pPr>
        <w:jc w:val="both"/>
        <w:ind w:left="860" w:right="320" w:hanging="224"/>
        <w:spacing w:after="0" w:line="259"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our plans for and our participation in the commercialization of tenapanor for the treatment of hyperphosphatemia in CKD patients on dialysis, including our expectations regarding our plans to build our own sales and marketing organization to market and sell tenapanor for such indication;</w:t>
      </w:r>
    </w:p>
    <w:p>
      <w:pPr>
        <w:spacing w:after="0" w:line="45" w:lineRule="exact"/>
        <w:rPr>
          <w:rFonts w:ascii="Arial" w:cs="Arial" w:eastAsia="Arial" w:hAnsi="Arial"/>
          <w:sz w:val="18"/>
          <w:szCs w:val="18"/>
          <w:color w:val="auto"/>
        </w:rPr>
      </w:pPr>
    </w:p>
    <w:p>
      <w:pPr>
        <w:ind w:left="860" w:right="500" w:hanging="224"/>
        <w:spacing w:after="0" w:line="268"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 regarding our plans for the submission of a NDA with the FDA requesting approval to market tenapanor for the treatment of hyperphosphatemia in CKD patients on dialysis, if our Phase 3 clinical program is successful;</w:t>
      </w:r>
    </w:p>
    <w:p>
      <w:pPr>
        <w:spacing w:after="0" w:line="37" w:lineRule="exact"/>
        <w:rPr>
          <w:rFonts w:ascii="Arial" w:cs="Arial" w:eastAsia="Arial" w:hAnsi="Arial"/>
          <w:sz w:val="18"/>
          <w:szCs w:val="18"/>
          <w:color w:val="auto"/>
        </w:rPr>
      </w:pPr>
    </w:p>
    <w:p>
      <w:pPr>
        <w:ind w:left="860" w:hanging="224"/>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to seek one or more collaboration partners to commercialize IBSRELA in the United States;</w:t>
      </w:r>
    </w:p>
    <w:p>
      <w:pPr>
        <w:spacing w:after="0" w:line="103" w:lineRule="exact"/>
        <w:rPr>
          <w:rFonts w:ascii="Arial" w:cs="Arial" w:eastAsia="Arial" w:hAnsi="Arial"/>
          <w:sz w:val="18"/>
          <w:szCs w:val="18"/>
          <w:color w:val="auto"/>
        </w:rPr>
      </w:pPr>
    </w:p>
    <w:p>
      <w:pPr>
        <w:ind w:left="860" w:hanging="224"/>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potential market size and the size of the patient populations for our product candidates;</w:t>
      </w:r>
    </w:p>
    <w:p>
      <w:pPr>
        <w:spacing w:after="0" w:line="103" w:lineRule="exact"/>
        <w:rPr>
          <w:rFonts w:ascii="Arial" w:cs="Arial" w:eastAsia="Arial" w:hAnsi="Arial"/>
          <w:sz w:val="18"/>
          <w:szCs w:val="18"/>
          <w:color w:val="auto"/>
        </w:rPr>
      </w:pPr>
    </w:p>
    <w:p>
      <w:pPr>
        <w:ind w:left="860" w:hanging="224"/>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with respect to our pre-clinical programs;</w:t>
      </w:r>
    </w:p>
    <w:p>
      <w:pPr>
        <w:spacing w:after="0" w:line="103" w:lineRule="exact"/>
        <w:rPr>
          <w:rFonts w:ascii="Arial" w:cs="Arial" w:eastAsia="Arial" w:hAnsi="Arial"/>
          <w:sz w:val="18"/>
          <w:szCs w:val="18"/>
          <w:color w:val="auto"/>
        </w:rPr>
      </w:pPr>
    </w:p>
    <w:p>
      <w:pPr>
        <w:ind w:left="860" w:right="440" w:hanging="224"/>
        <w:spacing w:after="0" w:line="306" w:lineRule="auto"/>
        <w:tabs>
          <w:tab w:leader="none" w:pos="8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identify and validate targets and novel drug candidates using our proprietary drug discovery and design platform including the Ardelyx Primary Enterocyte and Colonocyte Culture System, or any other proprietary drug discovery and design platform we develop for the identification, screening, testing, design and development of new product candidates for the treatment of renal diseases;</w:t>
      </w:r>
    </w:p>
    <w:p>
      <w:pPr>
        <w:spacing w:after="0" w:line="12" w:lineRule="exact"/>
        <w:rPr>
          <w:rFonts w:ascii="Arial" w:cs="Arial" w:eastAsia="Arial" w:hAnsi="Arial"/>
          <w:sz w:val="16"/>
          <w:szCs w:val="16"/>
          <w:color w:val="auto"/>
        </w:rPr>
      </w:pPr>
    </w:p>
    <w:p>
      <w:pPr>
        <w:ind w:left="860" w:hanging="224"/>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product candidates and technology;</w:t>
      </w:r>
    </w:p>
    <w:p>
      <w:pPr>
        <w:spacing w:after="0" w:line="103" w:lineRule="exact"/>
        <w:rPr>
          <w:rFonts w:ascii="Arial" w:cs="Arial" w:eastAsia="Arial" w:hAnsi="Arial"/>
          <w:sz w:val="18"/>
          <w:szCs w:val="18"/>
          <w:color w:val="auto"/>
        </w:rPr>
      </w:pPr>
    </w:p>
    <w:p>
      <w:pPr>
        <w:ind w:left="860" w:hanging="224"/>
        <w:spacing w:after="0"/>
        <w:tabs>
          <w:tab w:leader="none" w:pos="860" w:val="left"/>
        </w:tabs>
        <w:numPr>
          <w:ilvl w:val="0"/>
          <w:numId w:val="4"/>
        </w:numPr>
        <w:rPr>
          <w:rFonts w:ascii="Arial" w:cs="Arial" w:eastAsia="Arial" w:hAnsi="Arial"/>
          <w:sz w:val="16"/>
          <w:szCs w:val="16"/>
          <w:color w:val="auto"/>
        </w:rPr>
      </w:pPr>
      <w:r>
        <w:rPr>
          <w:rFonts w:ascii="Arial" w:cs="Arial" w:eastAsia="Arial" w:hAnsi="Arial"/>
          <w:sz w:val="16"/>
          <w:szCs w:val="16"/>
          <w:color w:val="auto"/>
        </w:rPr>
        <w:t>estimates of our expenses, future revenue, capital requirements, our needs for additional financing and our ability to obtain additional capital;</w:t>
      </w:r>
    </w:p>
    <w:p>
      <w:pPr>
        <w:spacing w:after="0" w:line="126" w:lineRule="exact"/>
        <w:rPr>
          <w:rFonts w:ascii="Arial" w:cs="Arial" w:eastAsia="Arial" w:hAnsi="Arial"/>
          <w:sz w:val="16"/>
          <w:szCs w:val="16"/>
          <w:color w:val="auto"/>
        </w:rPr>
      </w:pPr>
    </w:p>
    <w:p>
      <w:pPr>
        <w:ind w:left="860" w:hanging="224"/>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 and</w:t>
      </w:r>
    </w:p>
    <w:p>
      <w:pPr>
        <w:spacing w:after="0" w:line="103" w:lineRule="exact"/>
        <w:rPr>
          <w:rFonts w:ascii="Arial" w:cs="Arial" w:eastAsia="Arial" w:hAnsi="Arial"/>
          <w:sz w:val="18"/>
          <w:szCs w:val="18"/>
          <w:color w:val="auto"/>
        </w:rPr>
      </w:pPr>
    </w:p>
    <w:p>
      <w:pPr>
        <w:ind w:left="860" w:hanging="224"/>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our industry.</w:t>
      </w:r>
    </w:p>
    <w:p>
      <w:pPr>
        <w:spacing w:after="0" w:line="185"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You should read this prospectus and the documents incorporated by reference herein completely and with the understanding that our actual results may differ materially from what we expect as expressed or implied by our forward-looking statements. In light of the significant risks and uncertainties to which our forward-looking statements are subject, you should not place undue reliance on or regard these statements as a representation or warranty by us or any other person that we will achieve our objectives and plans in any specified timeframe, or at all. We discuss many of these risks in greater detail in the documents incorporated by reference herein, including under the heading “Risk Factors.” These forward-looking statements represent our estimates and assumptions only as of the dates of this prospectus and the documents incorporated by reference herein and therein, regardless of the time of delivery of this prospectus or any sale of our common stock and, except as required by law, we undertake no obligation to update or revise publicly any forward-looking statements, whether as a result of new information, future events or otherwise after the date of this prospectus. For all forward-looking statements, we claim the protection of the safe harbor for forward-looking statements contained in the Private Securities Litigation Reform Act of 1995.</w:t>
      </w:r>
    </w:p>
    <w:p>
      <w:pPr>
        <w:spacing w:after="0" w:line="10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220"/>
          </w:cols>
          <w:pgMar w:left="24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ind w:left="200" w:firstLine="441"/>
        <w:spacing w:after="0" w:line="306" w:lineRule="auto"/>
        <w:rPr>
          <w:sz w:val="20"/>
          <w:szCs w:val="20"/>
          <w:color w:val="auto"/>
        </w:rPr>
      </w:pPr>
      <w:r>
        <w:rPr>
          <w:rFonts w:ascii="Arial" w:cs="Arial" w:eastAsia="Arial" w:hAnsi="Arial"/>
          <w:sz w:val="16"/>
          <w:szCs w:val="16"/>
          <w:color w:val="auto"/>
        </w:rPr>
        <w:t>We estimate that the net proceeds from this offering will be approximately $117.1 million after deducting the underwriting discounts and commissions and estimated offering expenses payable by us. If the underwriters exercise their option to purchase additional shares in full, we estimate that the net proceeds will be approximately $134.7 million after deducting the underwriting discounts and commissions and estimated offering expenses payable by us.</w:t>
      </w:r>
    </w:p>
    <w:p>
      <w:pPr>
        <w:spacing w:after="0" w:line="93" w:lineRule="exact"/>
        <w:rPr>
          <w:sz w:val="20"/>
          <w:szCs w:val="20"/>
          <w:color w:val="auto"/>
        </w:rPr>
      </w:pPr>
    </w:p>
    <w:p>
      <w:pPr>
        <w:jc w:val="both"/>
        <w:ind w:left="200" w:right="480" w:firstLine="441"/>
        <w:spacing w:after="0" w:line="298" w:lineRule="auto"/>
        <w:rPr>
          <w:sz w:val="20"/>
          <w:szCs w:val="20"/>
          <w:color w:val="auto"/>
        </w:rPr>
      </w:pPr>
      <w:r>
        <w:rPr>
          <w:rFonts w:ascii="Arial" w:cs="Arial" w:eastAsia="Arial" w:hAnsi="Arial"/>
          <w:sz w:val="16"/>
          <w:szCs w:val="16"/>
          <w:color w:val="auto"/>
        </w:rPr>
        <w:t>We currently expect to use our existing cash, cash equivalents and short-term investments and the net proceeds from this offering to support our activities for the clinical development and potential commercialization of tenapanor for the treatment of hyperphosphatemia in patients with CKD on dialysis, for regulatory activities to support the submission of an NDA in such indication, as well as for clinical trials and nonclinical studies for other product candidates, and for general corporate purposes and working capital.</w:t>
      </w:r>
    </w:p>
    <w:p>
      <w:pPr>
        <w:spacing w:after="0" w:line="99"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The amounts and timing of our actual expenditures will depend on numerous factors, including our clinical and pre-commercial activities with respect to tenapanor for the treatment of hyperphosphatemia in patients with CKD on dialysis, our regulatory activities for tenapanor in such indication, our ability to establish one or more new collaborations for the commercialization of IBSRELA, the timing of potential future milestone payments from our current and future collaboration partners, as well as the amount of cash used in our operations and the amount of payments under our loan and security agreement with Solar Capital Ltd. and Western Alliance Bank. We therefore cannot estimate with certainty the amount of net proceeds to be used for the purposes described above. We may find it necessary or advisable to use the net proceeds for other purposes, and we will have broad discretion in the application of the net proceeds. Pending the uses described above, we plan to invest the net proceeds from this offering in interest-bearing investment-grade securities, certificates of deposit or government securities.</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220"/>
          </w:cols>
          <w:pgMar w:left="24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CAPITALIZATION</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cash, cash equivalents and short-term investments and capitalization as of September 30, 2019:</w:t>
      </w:r>
    </w:p>
    <w:p>
      <w:pPr>
        <w:spacing w:after="0" w:line="77" w:lineRule="exact"/>
        <w:rPr>
          <w:sz w:val="20"/>
          <w:szCs w:val="20"/>
          <w:color w:val="auto"/>
        </w:rPr>
      </w:pPr>
    </w:p>
    <w:p>
      <w:pPr>
        <w:ind w:left="860" w:hanging="224"/>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03" w:lineRule="exact"/>
        <w:rPr>
          <w:rFonts w:ascii="Arial" w:cs="Arial" w:eastAsia="Arial" w:hAnsi="Arial"/>
          <w:sz w:val="18"/>
          <w:szCs w:val="18"/>
          <w:color w:val="auto"/>
        </w:rPr>
      </w:pPr>
    </w:p>
    <w:p>
      <w:pPr>
        <w:ind w:left="860" w:right="140" w:hanging="224"/>
        <w:spacing w:after="0" w:line="268" w:lineRule="auto"/>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a pro forma basis to give effect to our issuance and sale on November 25, 2019 of 2,873,563 shares of our common stock to Kyowa Kirin Co., Ltd. in a private placement, for gross proceeds to us of approximately $20.0 million; and</w:t>
      </w:r>
    </w:p>
    <w:p>
      <w:pPr>
        <w:spacing w:after="0" w:line="37" w:lineRule="exact"/>
        <w:rPr>
          <w:rFonts w:ascii="Arial" w:cs="Arial" w:eastAsia="Arial" w:hAnsi="Arial"/>
          <w:sz w:val="18"/>
          <w:szCs w:val="18"/>
          <w:color w:val="auto"/>
        </w:rPr>
      </w:pPr>
    </w:p>
    <w:p>
      <w:pPr>
        <w:ind w:left="860" w:right="60" w:hanging="224"/>
        <w:spacing w:after="0" w:line="370" w:lineRule="auto"/>
        <w:tabs>
          <w:tab w:leader="none" w:pos="860" w:val="left"/>
        </w:tabs>
        <w:numPr>
          <w:ilvl w:val="0"/>
          <w:numId w:val="5"/>
        </w:numPr>
        <w:rPr>
          <w:rFonts w:ascii="Arial" w:cs="Arial" w:eastAsia="Arial" w:hAnsi="Arial"/>
          <w:sz w:val="15"/>
          <w:szCs w:val="15"/>
          <w:color w:val="auto"/>
        </w:rPr>
      </w:pPr>
      <w:r>
        <w:rPr>
          <w:rFonts w:ascii="Arial" w:cs="Arial" w:eastAsia="Arial" w:hAnsi="Arial"/>
          <w:sz w:val="15"/>
          <w:szCs w:val="15"/>
          <w:color w:val="auto"/>
        </w:rPr>
        <w:t>on a pro forma as adjusted basis to give further effect to the issuance and sale by us of 20,000,000 shares of our common stock in this offering at the public offering price of $6.25, and after deducting the underwriting discounts and commissions and estimated offering expenses payable by us.</w:t>
      </w:r>
    </w:p>
    <w:p>
      <w:pPr>
        <w:spacing w:after="0" w:line="49"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You should read this information together with our audited financial statements and related notes incorporated by reference in this prospectus. For more details on how you can obtain our SEC reports and other information, you should read the section of the prospectus supplement entitled “Where You Can Find More Information.”</w:t>
      </w:r>
    </w:p>
    <w:p>
      <w:pPr>
        <w:spacing w:after="0" w:line="122"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86"/>
              </w:rPr>
              <w:t>As of September 30, 2019</w:t>
            </w:r>
          </w:p>
        </w:tc>
        <w:tc>
          <w:tcPr>
            <w:tcW w:w="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1"/>
              </w:rPr>
              <w:t>Pro Forma</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As</w:t>
            </w:r>
          </w:p>
        </w:tc>
        <w:tc>
          <w:tcPr>
            <w:tcW w:w="0" w:type="dxa"/>
            <w:vAlign w:val="bottom"/>
          </w:tcPr>
          <w:p>
            <w:pPr>
              <w:spacing w:after="0"/>
              <w:rPr>
                <w:sz w:val="1"/>
                <w:szCs w:val="1"/>
                <w:color w:val="auto"/>
              </w:rPr>
            </w:pPr>
          </w:p>
        </w:tc>
      </w:tr>
      <w:tr>
        <w:trPr>
          <w:trHeight w:val="161"/>
        </w:trPr>
        <w:tc>
          <w:tcPr>
            <w:tcW w:w="6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Actual</w:t>
            </w:r>
          </w:p>
        </w:tc>
        <w:tc>
          <w:tcPr>
            <w:tcW w:w="440" w:type="dxa"/>
            <w:vAlign w:val="bottom"/>
          </w:tcPr>
          <w:p>
            <w:pPr>
              <w:spacing w:after="0"/>
              <w:rPr>
                <w:sz w:val="14"/>
                <w:szCs w:val="14"/>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Pro Forma</w:t>
            </w:r>
          </w:p>
        </w:tc>
        <w:tc>
          <w:tcPr>
            <w:tcW w:w="40" w:type="dxa"/>
            <w:vAlign w:val="bottom"/>
          </w:tcPr>
          <w:p>
            <w:pPr>
              <w:spacing w:after="0"/>
              <w:rPr>
                <w:sz w:val="14"/>
                <w:szCs w:val="14"/>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Adjusted</w:t>
            </w:r>
          </w:p>
        </w:tc>
        <w:tc>
          <w:tcPr>
            <w:tcW w:w="0" w:type="dxa"/>
            <w:vAlign w:val="bottom"/>
          </w:tcPr>
          <w:p>
            <w:pPr>
              <w:spacing w:after="0"/>
              <w:rPr>
                <w:sz w:val="1"/>
                <w:szCs w:val="1"/>
                <w:color w:val="auto"/>
              </w:rPr>
            </w:pPr>
          </w:p>
        </w:tc>
      </w:tr>
      <w:tr>
        <w:trPr>
          <w:trHeight w:val="129"/>
        </w:trPr>
        <w:tc>
          <w:tcPr>
            <w:tcW w:w="66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620" w:type="dxa"/>
            <w:vAlign w:val="bottom"/>
            <w:tcBorders>
              <w:top w:val="single" w:sz="8" w:color="auto"/>
            </w:tcBorders>
            <w:gridSpan w:val="3"/>
          </w:tcPr>
          <w:p>
            <w:pPr>
              <w:jc w:val="center"/>
              <w:ind w:right="60"/>
              <w:spacing w:after="0" w:line="129" w:lineRule="exact"/>
              <w:rPr>
                <w:sz w:val="20"/>
                <w:szCs w:val="20"/>
                <w:color w:val="auto"/>
              </w:rPr>
            </w:pPr>
            <w:r>
              <w:rPr>
                <w:rFonts w:ascii="Arial" w:cs="Arial" w:eastAsia="Arial" w:hAnsi="Arial"/>
                <w:sz w:val="14"/>
                <w:szCs w:val="14"/>
                <w:b w:val="1"/>
                <w:bCs w:val="1"/>
                <w:color w:val="auto"/>
                <w:w w:val="84"/>
              </w:rPr>
              <w:t>(in thousands, except share</w:t>
            </w:r>
          </w:p>
        </w:tc>
        <w:tc>
          <w:tcPr>
            <w:tcW w:w="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8"/>
              </w:rPr>
              <w:t>and per share data)</w:t>
            </w: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short-term investments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103,543</w:t>
            </w:r>
          </w:p>
        </w:tc>
        <w:tc>
          <w:tcPr>
            <w:tcW w:w="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$ 123,543</w:t>
            </w: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$ 240,648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Arial" w:cs="Arial" w:eastAsia="Arial" w:hAnsi="Arial"/>
                <w:sz w:val="18"/>
                <w:szCs w:val="18"/>
                <w:color w:val="auto"/>
              </w:rPr>
              <w:t>Loan payable, long term</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49,803</w:t>
            </w:r>
          </w:p>
        </w:tc>
        <w:tc>
          <w:tcPr>
            <w:tcW w:w="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49,803</w:t>
            </w:r>
          </w:p>
        </w:tc>
        <w:tc>
          <w:tcPr>
            <w:tcW w:w="4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49,803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620" w:type="dxa"/>
            <w:vAlign w:val="bottom"/>
          </w:tcPr>
          <w:p>
            <w:pPr>
              <w:ind w:left="420"/>
              <w:spacing w:after="0"/>
              <w:rPr>
                <w:sz w:val="20"/>
                <w:szCs w:val="20"/>
                <w:color w:val="auto"/>
              </w:rPr>
            </w:pPr>
            <w:r>
              <w:rPr>
                <w:rFonts w:ascii="Arial" w:cs="Arial" w:eastAsia="Arial" w:hAnsi="Arial"/>
                <w:sz w:val="18"/>
                <w:szCs w:val="18"/>
                <w:color w:val="auto"/>
                <w:w w:val="95"/>
              </w:rPr>
              <w:t>Preferred stock—$0.0001 par value—5,000,000 shares authorized, actual and as</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640"/>
              <w:spacing w:after="0"/>
              <w:rPr>
                <w:sz w:val="20"/>
                <w:szCs w:val="20"/>
                <w:color w:val="auto"/>
              </w:rPr>
            </w:pPr>
            <w:r>
              <w:rPr>
                <w:rFonts w:ascii="Arial" w:cs="Arial" w:eastAsia="Arial" w:hAnsi="Arial"/>
                <w:sz w:val="18"/>
                <w:szCs w:val="18"/>
                <w:color w:val="auto"/>
                <w:w w:val="96"/>
              </w:rPr>
              <w:t>adjusted; no shares issued or outstanding, actual, pro forma and pro forma as</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20" w:type="dxa"/>
            <w:vAlign w:val="bottom"/>
          </w:tcPr>
          <w:p>
            <w:pPr>
              <w:ind w:left="640"/>
              <w:spacing w:after="0"/>
              <w:rPr>
                <w:sz w:val="20"/>
                <w:szCs w:val="20"/>
                <w:color w:val="auto"/>
              </w:rPr>
            </w:pPr>
            <w:r>
              <w:rPr>
                <w:rFonts w:ascii="Arial" w:cs="Arial" w:eastAsia="Arial" w:hAnsi="Arial"/>
                <w:sz w:val="18"/>
                <w:szCs w:val="18"/>
                <w:color w:val="auto"/>
              </w:rPr>
              <w:t>adjusted</w:t>
            </w:r>
          </w:p>
        </w:tc>
        <w:tc>
          <w:tcPr>
            <w:tcW w:w="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stock—$0.0001 par value—authorized, 300,000,000 actual and as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8"/>
              </w:rPr>
              <w:t>adjusted; issued and outstanding, 62,883,080 actual, 65,756,643 pro forma,</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6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and 85,756,643 pro forma as adjusted</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489,810</w:t>
            </w:r>
          </w:p>
        </w:tc>
        <w:tc>
          <w:tcPr>
            <w:tcW w:w="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509,810</w:t>
            </w:r>
          </w:p>
        </w:tc>
        <w:tc>
          <w:tcPr>
            <w:tcW w:w="4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626,913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(440,662)</w:t>
            </w:r>
          </w:p>
        </w:tc>
        <w:tc>
          <w:tcPr>
            <w:tcW w:w="16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(440,662)</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(440,662)</w:t>
            </w:r>
          </w:p>
        </w:tc>
        <w:tc>
          <w:tcPr>
            <w:tcW w:w="0" w:type="dxa"/>
            <w:vAlign w:val="bottom"/>
          </w:tcPr>
          <w:p>
            <w:pPr>
              <w:spacing w:after="0"/>
              <w:rPr>
                <w:sz w:val="1"/>
                <w:szCs w:val="1"/>
                <w:color w:val="auto"/>
              </w:rPr>
            </w:pPr>
          </w:p>
        </w:tc>
      </w:tr>
      <w:tr>
        <w:trPr>
          <w:trHeight w:val="223"/>
        </w:trPr>
        <w:tc>
          <w:tcPr>
            <w:tcW w:w="6620" w:type="dxa"/>
            <w:vAlign w:val="bottom"/>
          </w:tcPr>
          <w:p>
            <w:pPr>
              <w:ind w:left="420"/>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49,158</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69,158</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186,263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20" w:type="dxa"/>
            <w:vAlign w:val="bottom"/>
          </w:tcPr>
          <w:p>
            <w:pPr>
              <w:ind w:left="1300"/>
              <w:spacing w:after="0"/>
              <w:rPr>
                <w:sz w:val="20"/>
                <w:szCs w:val="20"/>
                <w:color w:val="auto"/>
              </w:rPr>
            </w:pPr>
            <w:r>
              <w:rPr>
                <w:rFonts w:ascii="Arial" w:cs="Arial" w:eastAsia="Arial" w:hAnsi="Arial"/>
                <w:sz w:val="18"/>
                <w:szCs w:val="18"/>
                <w:color w:val="auto"/>
              </w:rPr>
              <w:t>Total capitalization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98,961</w:t>
            </w:r>
          </w:p>
        </w:tc>
        <w:tc>
          <w:tcPr>
            <w:tcW w:w="6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$ 118,961</w:t>
            </w:r>
          </w:p>
        </w:tc>
        <w:tc>
          <w:tcPr>
            <w:tcW w:w="46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2"/>
              </w:rPr>
              <w:t>$ 236,066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outstanding share information in the table above is based on 62,883,080 shares of common stock outstanding as of September 30, 2019 and excludes (i) in the “Actual” column, 2,873,563 shares of common stock that we sold in a private placement to Kyowa Kirin Co., Ltd. on November 25, 2019 for proceeds of approximately $20 million and (ii) the following, in each case as of September 30, 2019:</w:t>
      </w:r>
    </w:p>
    <w:p>
      <w:pPr>
        <w:spacing w:after="0" w:line="46" w:lineRule="exact"/>
        <w:rPr>
          <w:sz w:val="20"/>
          <w:szCs w:val="20"/>
          <w:color w:val="auto"/>
        </w:rPr>
      </w:pPr>
    </w:p>
    <w:p>
      <w:pPr>
        <w:ind w:left="860" w:right="140" w:hanging="224"/>
        <w:spacing w:after="0" w:line="268" w:lineRule="auto"/>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7,339,124 shares of common stock issuable upon the exercise of outstanding stock options having a weighted-average exercise price of $6.52 per share;</w:t>
      </w:r>
    </w:p>
    <w:p>
      <w:pPr>
        <w:spacing w:after="0" w:line="37" w:lineRule="exact"/>
        <w:rPr>
          <w:rFonts w:ascii="Arial" w:cs="Arial" w:eastAsia="Arial" w:hAnsi="Arial"/>
          <w:sz w:val="18"/>
          <w:szCs w:val="18"/>
          <w:color w:val="auto"/>
        </w:rPr>
      </w:pPr>
    </w:p>
    <w:p>
      <w:pPr>
        <w:ind w:left="860" w:hanging="224"/>
        <w:spacing w:after="0"/>
        <w:tabs>
          <w:tab w:leader="none" w:pos="860" w:val="left"/>
        </w:tabs>
        <w:numPr>
          <w:ilvl w:val="0"/>
          <w:numId w:val="6"/>
        </w:numPr>
        <w:rPr>
          <w:rFonts w:ascii="Arial" w:cs="Arial" w:eastAsia="Arial" w:hAnsi="Arial"/>
          <w:sz w:val="16"/>
          <w:szCs w:val="16"/>
          <w:color w:val="auto"/>
        </w:rPr>
      </w:pPr>
      <w:r>
        <w:rPr>
          <w:rFonts w:ascii="Arial" w:cs="Arial" w:eastAsia="Arial" w:hAnsi="Arial"/>
          <w:sz w:val="16"/>
          <w:szCs w:val="16"/>
          <w:color w:val="auto"/>
        </w:rPr>
        <w:t>2,172,899 shares of common stock issuable upon the exercise of outstanding warrants having an exercise price of $13.91 per share;</w:t>
      </w:r>
    </w:p>
    <w:p>
      <w:pPr>
        <w:spacing w:after="0" w:line="126" w:lineRule="exact"/>
        <w:rPr>
          <w:rFonts w:ascii="Arial" w:cs="Arial" w:eastAsia="Arial" w:hAnsi="Arial"/>
          <w:sz w:val="16"/>
          <w:szCs w:val="16"/>
          <w:color w:val="auto"/>
        </w:rPr>
      </w:pPr>
    </w:p>
    <w:p>
      <w:pPr>
        <w:ind w:left="860" w:hanging="224"/>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850,309 shares of common stock issuable upon the settlement of outstanding restricted stock units;</w:t>
      </w:r>
    </w:p>
    <w:p>
      <w:pPr>
        <w:spacing w:after="0" w:line="18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200"/>
          </w:cols>
          <w:pgMar w:left="24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60" w:hanging="224"/>
        <w:spacing w:after="0"/>
        <w:tabs>
          <w:tab w:leader="none" w:pos="860" w:val="left"/>
        </w:tabs>
        <w:numPr>
          <w:ilvl w:val="0"/>
          <w:numId w:val="7"/>
        </w:numPr>
        <w:rPr>
          <w:rFonts w:ascii="Arial" w:cs="Arial" w:eastAsia="Arial" w:hAnsi="Arial"/>
          <w:sz w:val="15"/>
          <w:szCs w:val="15"/>
          <w:color w:val="auto"/>
        </w:rPr>
      </w:pPr>
      <w:r>
        <w:rPr>
          <w:rFonts w:ascii="Arial" w:cs="Arial" w:eastAsia="Arial" w:hAnsi="Arial"/>
          <w:sz w:val="15"/>
          <w:szCs w:val="15"/>
          <w:color w:val="auto"/>
        </w:rPr>
        <w:t>1,000,000 shares of common stock reserved for issuance pursuant to future awards under our 2016 Employment Commencement Inducement Plan;</w:t>
      </w:r>
    </w:p>
    <w:p>
      <w:pPr>
        <w:spacing w:after="0" w:line="138" w:lineRule="exact"/>
        <w:rPr>
          <w:rFonts w:ascii="Arial" w:cs="Arial" w:eastAsia="Arial" w:hAnsi="Arial"/>
          <w:sz w:val="15"/>
          <w:szCs w:val="15"/>
          <w:color w:val="auto"/>
        </w:rPr>
      </w:pPr>
    </w:p>
    <w:p>
      <w:pPr>
        <w:ind w:left="860" w:right="280" w:hanging="224"/>
        <w:spacing w:after="0" w:line="325" w:lineRule="auto"/>
        <w:tabs>
          <w:tab w:leader="none" w:pos="860" w:val="left"/>
        </w:tabs>
        <w:numPr>
          <w:ilvl w:val="0"/>
          <w:numId w:val="7"/>
        </w:numPr>
        <w:rPr>
          <w:rFonts w:ascii="Arial" w:cs="Arial" w:eastAsia="Arial" w:hAnsi="Arial"/>
          <w:sz w:val="16"/>
          <w:szCs w:val="16"/>
          <w:color w:val="auto"/>
        </w:rPr>
      </w:pPr>
      <w:r>
        <w:rPr>
          <w:rFonts w:ascii="Arial" w:cs="Arial" w:eastAsia="Arial" w:hAnsi="Arial"/>
          <w:sz w:val="16"/>
          <w:szCs w:val="16"/>
          <w:color w:val="auto"/>
        </w:rPr>
        <w:t>1,190,996 shares of common stock reserved for issuance pursuant to future awards under our 2014 Equity Incentive Award Plan, as well as any automatic increases in the number of shares of our common stock reserved for future issuance under this plan; and</w:t>
      </w:r>
    </w:p>
    <w:p>
      <w:pPr>
        <w:spacing w:after="0" w:line="1" w:lineRule="exact"/>
        <w:rPr>
          <w:rFonts w:ascii="Arial" w:cs="Arial" w:eastAsia="Arial" w:hAnsi="Arial"/>
          <w:sz w:val="16"/>
          <w:szCs w:val="16"/>
          <w:color w:val="auto"/>
        </w:rPr>
      </w:pPr>
    </w:p>
    <w:p>
      <w:pPr>
        <w:ind w:left="860" w:right="160" w:hanging="224"/>
        <w:spacing w:after="0" w:line="268"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519,578 shares of common stock reserved for future issuance under our Employee Stock Purchase Plan, as well as any automatic increases in the number of shares of our common stock reserved for future issuance under this plan.</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200"/>
          </w:cols>
          <w:pgMar w:left="24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DILUTION</w:t>
      </w:r>
    </w:p>
    <w:p>
      <w:pPr>
        <w:spacing w:after="0" w:line="164" w:lineRule="exact"/>
        <w:rPr>
          <w:sz w:val="20"/>
          <w:szCs w:val="20"/>
          <w:color w:val="auto"/>
        </w:rPr>
      </w:pPr>
    </w:p>
    <w:p>
      <w:pPr>
        <w:jc w:val="both"/>
        <w:ind w:left="200" w:firstLine="441"/>
        <w:spacing w:after="0" w:line="323" w:lineRule="auto"/>
        <w:rPr>
          <w:sz w:val="20"/>
          <w:szCs w:val="20"/>
          <w:color w:val="auto"/>
        </w:rPr>
      </w:pPr>
      <w:r>
        <w:rPr>
          <w:rFonts w:ascii="Arial" w:cs="Arial" w:eastAsia="Arial" w:hAnsi="Arial"/>
          <w:sz w:val="15"/>
          <w:szCs w:val="15"/>
          <w:color w:val="auto"/>
        </w:rPr>
        <w:t>If you invest in our common stock in this offering, your interest will be immediately diluted to the extent of the difference between the public offering price per share of our common stock in this offering and the net tangible book value per share of our common stock after this offering. As of September 30, 2019, we had a historical net tangible book value of $49.2 million, or $0.78 per share of common stock. Our net tangible book value represents total tangible assets less total liabilities and convertible preferred stock, all divided by the number of shares of common stock outstanding on September 30, 2019.</w:t>
      </w:r>
    </w:p>
    <w:p>
      <w:pPr>
        <w:spacing w:after="0" w:line="84" w:lineRule="exact"/>
        <w:rPr>
          <w:sz w:val="20"/>
          <w:szCs w:val="20"/>
          <w:color w:val="auto"/>
        </w:rPr>
      </w:pPr>
    </w:p>
    <w:p>
      <w:pPr>
        <w:ind w:left="200" w:firstLine="441"/>
        <w:spacing w:after="0" w:line="298" w:lineRule="auto"/>
        <w:rPr>
          <w:sz w:val="20"/>
          <w:szCs w:val="20"/>
          <w:color w:val="auto"/>
        </w:rPr>
      </w:pPr>
      <w:r>
        <w:rPr>
          <w:rFonts w:ascii="Arial" w:cs="Arial" w:eastAsia="Arial" w:hAnsi="Arial"/>
          <w:sz w:val="16"/>
          <w:szCs w:val="16"/>
          <w:color w:val="auto"/>
        </w:rPr>
        <w:t>After giving effect to the sale of 20,000,000 shares of common stock in this offering at the public offering price of $6.25 per share, and after deducting the underwriting discounts and commissions and estimated offering expenses, our as adjusted net tangible book value at September 30, 2019 would have been approximately $166.3 million, or $2.01 per share. This represents an immediate increase in as adjusted net tangible book value of $1.23 per share to existing stockholders and an immediate dilution of $4.24 per share to new investors. The following table illustrates this per share dilution:</w:t>
      </w:r>
    </w:p>
    <w:p>
      <w:pPr>
        <w:spacing w:after="0" w:line="107" w:lineRule="exact"/>
        <w:rPr>
          <w:sz w:val="20"/>
          <w:szCs w:val="20"/>
          <w:color w:val="auto"/>
        </w:rPr>
      </w:pPr>
    </w:p>
    <w:tbl>
      <w:tblPr>
        <w:tblLayout w:type="fixed"/>
        <w:tblInd w:w="7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 per share</w:t>
            </w:r>
          </w:p>
        </w:tc>
        <w:tc>
          <w:tcPr>
            <w:tcW w:w="19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400"/>
              <w:spacing w:after="0"/>
              <w:rPr>
                <w:sz w:val="20"/>
                <w:szCs w:val="20"/>
                <w:color w:val="auto"/>
              </w:rPr>
            </w:pPr>
            <w:r>
              <w:rPr>
                <w:rFonts w:ascii="Arial" w:cs="Arial" w:eastAsia="Arial" w:hAnsi="Arial"/>
                <w:sz w:val="18"/>
                <w:szCs w:val="18"/>
                <w:color w:val="auto"/>
              </w:rPr>
              <w:t>Net tangible book value per share as of September 30, 2019</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$0.78</w:t>
            </w: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Increase per share attributable to new investors</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40" w:type="dxa"/>
            <w:vAlign w:val="bottom"/>
            <w:gridSpan w:val="2"/>
          </w:tcPr>
          <w:p>
            <w:pPr>
              <w:spacing w:after="0"/>
              <w:rPr>
                <w:sz w:val="20"/>
                <w:szCs w:val="20"/>
                <w:color w:val="auto"/>
              </w:rPr>
            </w:pPr>
            <w:r>
              <w:rPr>
                <w:rFonts w:ascii="Arial" w:cs="Arial" w:eastAsia="Arial" w:hAnsi="Arial"/>
                <w:sz w:val="18"/>
                <w:szCs w:val="18"/>
                <w:color w:val="auto"/>
                <w:w w:val="94"/>
              </w:rPr>
              <w:t>As adjusted net tangible book value per share as of September 30, 2019, after giving effect to this offering</w:t>
            </w:r>
          </w:p>
        </w:tc>
        <w:tc>
          <w:tcPr>
            <w:tcW w:w="48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 purchasing our common stock in this offering</w:t>
            </w:r>
          </w:p>
        </w:tc>
        <w:tc>
          <w:tcPr>
            <w:tcW w:w="19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200" w:right="240" w:firstLine="441"/>
        <w:spacing w:after="0" w:line="332" w:lineRule="auto"/>
        <w:rPr>
          <w:sz w:val="20"/>
          <w:szCs w:val="20"/>
          <w:color w:val="auto"/>
        </w:rPr>
      </w:pPr>
      <w:r>
        <w:rPr>
          <w:rFonts w:ascii="Arial" w:cs="Arial" w:eastAsia="Arial" w:hAnsi="Arial"/>
          <w:sz w:val="16"/>
          <w:szCs w:val="16"/>
          <w:color w:val="auto"/>
        </w:rPr>
        <w:t>If the underwriters fully exercise their option to purchase additional shares, as adjusted net tangible book value after this offering would increase to approximately $2.14 per share, and there would be an immediate dilution of approximately $4.11 per share to new investors.</w:t>
      </w:r>
    </w:p>
    <w:p>
      <w:pPr>
        <w:spacing w:after="0" w:line="72" w:lineRule="exact"/>
        <w:rPr>
          <w:sz w:val="20"/>
          <w:szCs w:val="20"/>
          <w:color w:val="auto"/>
        </w:rPr>
      </w:pPr>
    </w:p>
    <w:p>
      <w:pPr>
        <w:ind w:left="200" w:right="300" w:firstLine="441"/>
        <w:spacing w:after="0" w:line="298" w:lineRule="auto"/>
        <w:rPr>
          <w:sz w:val="20"/>
          <w:szCs w:val="20"/>
          <w:color w:val="auto"/>
        </w:rPr>
      </w:pPr>
      <w:r>
        <w:rPr>
          <w:rFonts w:ascii="Arial" w:cs="Arial" w:eastAsia="Arial" w:hAnsi="Arial"/>
          <w:sz w:val="16"/>
          <w:szCs w:val="16"/>
          <w:color w:val="auto"/>
        </w:rPr>
        <w:t>To the extent that outstanding options or warrants are exercised, investors purchasing our common stock in this offering will experience further dilution. In addition, we may choose to raise additional capital due to market conditions or strategic considerations even if we believe we have sufficient funds for our current or future operating plans. To the extent that we raise additional capital through the sale of equity or convertible debt securities, the issuance of these securities could result in further dilution to our stockholders.</w:t>
      </w:r>
    </w:p>
    <w:p>
      <w:pPr>
        <w:spacing w:after="0" w:line="99" w:lineRule="exact"/>
        <w:rPr>
          <w:sz w:val="20"/>
          <w:szCs w:val="20"/>
          <w:color w:val="auto"/>
        </w:rPr>
      </w:pPr>
    </w:p>
    <w:p>
      <w:pPr>
        <w:ind w:left="200" w:right="620" w:firstLine="441"/>
        <w:spacing w:after="0" w:line="268" w:lineRule="auto"/>
        <w:rPr>
          <w:sz w:val="20"/>
          <w:szCs w:val="20"/>
          <w:color w:val="auto"/>
        </w:rPr>
      </w:pPr>
      <w:r>
        <w:rPr>
          <w:rFonts w:ascii="Arial" w:cs="Arial" w:eastAsia="Arial" w:hAnsi="Arial"/>
          <w:sz w:val="18"/>
          <w:szCs w:val="18"/>
          <w:color w:val="auto"/>
        </w:rPr>
        <w:t>The number of shares of common stock to be outstanding after this offering is based on 62,883,080 shares of common stock outstanding as of September 30, 2019, and excludes (i) 2,873,563 shares of common stock that</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220"/>
        <w:spacing w:after="0" w:line="268" w:lineRule="auto"/>
        <w:rPr>
          <w:sz w:val="20"/>
          <w:szCs w:val="20"/>
          <w:color w:val="auto"/>
        </w:rPr>
      </w:pPr>
      <w:r>
        <w:rPr>
          <w:rFonts w:ascii="Arial" w:cs="Arial" w:eastAsia="Arial" w:hAnsi="Arial"/>
          <w:sz w:val="18"/>
          <w:szCs w:val="18"/>
          <w:color w:val="auto"/>
        </w:rPr>
        <w:t>we sold in a private placement to Kyowa Kirin Co., Ltd. on November 25, 2019 for proceeds of approximately $20 million and (ii) the following, in each case as of September 30, 2019:</w:t>
      </w:r>
    </w:p>
    <w:p>
      <w:pPr>
        <w:spacing w:after="0" w:line="37" w:lineRule="exact"/>
        <w:rPr>
          <w:sz w:val="20"/>
          <w:szCs w:val="20"/>
          <w:color w:val="auto"/>
        </w:rPr>
      </w:pPr>
    </w:p>
    <w:p>
      <w:pPr>
        <w:ind w:left="860" w:right="140" w:hanging="224"/>
        <w:spacing w:after="0" w:line="268" w:lineRule="auto"/>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7,339,124 shares of common stock issuable upon the exercise of outstanding stock options having a weighted-average exercise price of $6.52 per share;</w:t>
      </w:r>
    </w:p>
    <w:p>
      <w:pPr>
        <w:spacing w:after="0" w:line="37" w:lineRule="exact"/>
        <w:rPr>
          <w:rFonts w:ascii="Arial" w:cs="Arial" w:eastAsia="Arial" w:hAnsi="Arial"/>
          <w:sz w:val="18"/>
          <w:szCs w:val="18"/>
          <w:color w:val="auto"/>
        </w:rPr>
      </w:pPr>
    </w:p>
    <w:p>
      <w:pPr>
        <w:ind w:left="860" w:hanging="224"/>
        <w:spacing w:after="0"/>
        <w:tabs>
          <w:tab w:leader="none" w:pos="860" w:val="left"/>
        </w:tabs>
        <w:numPr>
          <w:ilvl w:val="0"/>
          <w:numId w:val="8"/>
        </w:numPr>
        <w:rPr>
          <w:rFonts w:ascii="Arial" w:cs="Arial" w:eastAsia="Arial" w:hAnsi="Arial"/>
          <w:sz w:val="16"/>
          <w:szCs w:val="16"/>
          <w:color w:val="auto"/>
        </w:rPr>
      </w:pPr>
      <w:r>
        <w:rPr>
          <w:rFonts w:ascii="Arial" w:cs="Arial" w:eastAsia="Arial" w:hAnsi="Arial"/>
          <w:sz w:val="16"/>
          <w:szCs w:val="16"/>
          <w:color w:val="auto"/>
        </w:rPr>
        <w:t>2,172,899 shares of common stock issuable upon the exercise of outstanding warrants having an exercise price of $13.91 per share;</w:t>
      </w:r>
    </w:p>
    <w:p>
      <w:pPr>
        <w:spacing w:after="0" w:line="126" w:lineRule="exact"/>
        <w:rPr>
          <w:rFonts w:ascii="Arial" w:cs="Arial" w:eastAsia="Arial" w:hAnsi="Arial"/>
          <w:sz w:val="16"/>
          <w:szCs w:val="16"/>
          <w:color w:val="auto"/>
        </w:rPr>
      </w:pPr>
    </w:p>
    <w:p>
      <w:pPr>
        <w:ind w:left="860" w:hanging="224"/>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850,309 shares of common stock issuable upon the settlement of outstanding restricted stock units;</w:t>
      </w:r>
    </w:p>
    <w:p>
      <w:pPr>
        <w:spacing w:after="0" w:line="103" w:lineRule="exact"/>
        <w:rPr>
          <w:rFonts w:ascii="Arial" w:cs="Arial" w:eastAsia="Arial" w:hAnsi="Arial"/>
          <w:sz w:val="18"/>
          <w:szCs w:val="18"/>
          <w:color w:val="auto"/>
        </w:rPr>
      </w:pPr>
    </w:p>
    <w:p>
      <w:pPr>
        <w:ind w:left="860" w:hanging="224"/>
        <w:spacing w:after="0"/>
        <w:tabs>
          <w:tab w:leader="none" w:pos="860" w:val="left"/>
        </w:tabs>
        <w:numPr>
          <w:ilvl w:val="0"/>
          <w:numId w:val="8"/>
        </w:numPr>
        <w:rPr>
          <w:rFonts w:ascii="Arial" w:cs="Arial" w:eastAsia="Arial" w:hAnsi="Arial"/>
          <w:sz w:val="15"/>
          <w:szCs w:val="15"/>
          <w:color w:val="auto"/>
        </w:rPr>
      </w:pPr>
      <w:r>
        <w:rPr>
          <w:rFonts w:ascii="Arial" w:cs="Arial" w:eastAsia="Arial" w:hAnsi="Arial"/>
          <w:sz w:val="15"/>
          <w:szCs w:val="15"/>
          <w:color w:val="auto"/>
        </w:rPr>
        <w:t>1,000,000 shares of common stock reserved for issuance pursuant to future awards under our 2016 Employment Commencement Inducement Plan;</w:t>
      </w:r>
    </w:p>
    <w:p>
      <w:pPr>
        <w:spacing w:after="0" w:line="138" w:lineRule="exact"/>
        <w:rPr>
          <w:rFonts w:ascii="Arial" w:cs="Arial" w:eastAsia="Arial" w:hAnsi="Arial"/>
          <w:sz w:val="15"/>
          <w:szCs w:val="15"/>
          <w:color w:val="auto"/>
        </w:rPr>
      </w:pPr>
    </w:p>
    <w:p>
      <w:pPr>
        <w:ind w:left="860" w:right="280" w:hanging="224"/>
        <w:spacing w:after="0" w:line="325" w:lineRule="auto"/>
        <w:tabs>
          <w:tab w:leader="none" w:pos="860" w:val="left"/>
        </w:tabs>
        <w:numPr>
          <w:ilvl w:val="0"/>
          <w:numId w:val="8"/>
        </w:numPr>
        <w:rPr>
          <w:rFonts w:ascii="Arial" w:cs="Arial" w:eastAsia="Arial" w:hAnsi="Arial"/>
          <w:sz w:val="16"/>
          <w:szCs w:val="16"/>
          <w:color w:val="auto"/>
        </w:rPr>
      </w:pPr>
      <w:r>
        <w:rPr>
          <w:rFonts w:ascii="Arial" w:cs="Arial" w:eastAsia="Arial" w:hAnsi="Arial"/>
          <w:sz w:val="16"/>
          <w:szCs w:val="16"/>
          <w:color w:val="auto"/>
        </w:rPr>
        <w:t>1,190,996 shares of common stock reserved for issuance pursuant to future awards under our 2014 Equity Incentive Award Plan, as well as any automatic increases in the number of shares of our common stock reserved for future issuance under this plan; and</w:t>
      </w:r>
    </w:p>
    <w:p>
      <w:pPr>
        <w:spacing w:after="0" w:line="1" w:lineRule="exact"/>
        <w:rPr>
          <w:rFonts w:ascii="Arial" w:cs="Arial" w:eastAsia="Arial" w:hAnsi="Arial"/>
          <w:sz w:val="16"/>
          <w:szCs w:val="16"/>
          <w:color w:val="auto"/>
        </w:rPr>
      </w:pPr>
    </w:p>
    <w:p>
      <w:pPr>
        <w:ind w:left="860" w:right="160" w:hanging="224"/>
        <w:spacing w:after="0" w:line="268" w:lineRule="auto"/>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519,578 shares of common stock reserved for future issuance under our Employee Stock Purchase Plan, as well as any automatic increases in the number of shares of our common stock reserved for future issuance under this plan.</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200"/>
          </w:cols>
          <w:pgMar w:left="24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MARKET FOR COMMON STOCK</w:t>
      </w:r>
    </w:p>
    <w:p>
      <w:pPr>
        <w:spacing w:after="0" w:line="164"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Our common stock is traded on The Nasdaq Global Market under the symbol “ARDX.” As of December 4, 2019, there were 65,807,433 shares of our common stock outstanding held by 35 holders of record. On December 4, 2019, the closing price for the common stock as reported on The Nasdaq Global Market was $6.82.</w:t>
      </w:r>
    </w:p>
    <w:p>
      <w:pPr>
        <w:spacing w:after="0" w:line="12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200"/>
          </w:cols>
          <w:pgMar w:left="24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DIVIDEND POLICY</w:t>
      </w:r>
    </w:p>
    <w:p>
      <w:pPr>
        <w:spacing w:after="0" w:line="164" w:lineRule="exact"/>
        <w:rPr>
          <w:sz w:val="20"/>
          <w:szCs w:val="20"/>
          <w:color w:val="auto"/>
        </w:rPr>
      </w:pPr>
    </w:p>
    <w:p>
      <w:pPr>
        <w:ind w:left="200" w:firstLine="441"/>
        <w:spacing w:after="0" w:line="298" w:lineRule="auto"/>
        <w:rPr>
          <w:sz w:val="20"/>
          <w:szCs w:val="20"/>
          <w:color w:val="auto"/>
        </w:rPr>
      </w:pPr>
      <w:r>
        <w:rPr>
          <w:rFonts w:ascii="Arial" w:cs="Arial" w:eastAsia="Arial" w:hAnsi="Arial"/>
          <w:sz w:val="16"/>
          <w:szCs w:val="16"/>
          <w:color w:val="auto"/>
        </w:rPr>
        <w:t>We have never declared or paid cash dividends on our capital stock. We intend to retain all available funds and any future earnings, if any, to fund the development and expansion of our business and we do not anticipate paying any cash dividends in the foreseeable future. In addition, unless waived, the terms of our loan and security agreement with Solar Capital Ltd. and Western Alliance Bank generally prohibit us from declaring or paying any cash dividends and other distributions. Any future determination related to dividend policy will be made at the discretion of our board of directors.</w:t>
      </w:r>
    </w:p>
    <w:p>
      <w:pPr>
        <w:spacing w:after="0" w:line="9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140"/>
          </w:cols>
          <w:pgMar w:left="240" w:top="459" w:right="5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MATERIAL U.S. FEDERAL INCOME TAX CONSEQUENCES TO NON-U.S. HOLDERS</w:t>
      </w:r>
    </w:p>
    <w:p>
      <w:pPr>
        <w:spacing w:after="0" w:line="164"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The following discussion is a summary of the material U.S. federal income tax consequences to Non-U.S. Holders (as defined below) of the purchase, ownership and disposition of our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(the “Code”), Treasury Regulations promulgated thereunder,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Non-U.S. Holder.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common stock.</w:t>
      </w:r>
    </w:p>
    <w:p>
      <w:pPr>
        <w:spacing w:after="0" w:line="106" w:lineRule="exact"/>
        <w:rPr>
          <w:sz w:val="20"/>
          <w:szCs w:val="20"/>
          <w:color w:val="auto"/>
        </w:rPr>
      </w:pPr>
    </w:p>
    <w:p>
      <w:pPr>
        <w:ind w:left="200" w:right="340" w:firstLine="441"/>
        <w:spacing w:after="0" w:line="298" w:lineRule="auto"/>
        <w:rPr>
          <w:sz w:val="20"/>
          <w:szCs w:val="20"/>
          <w:color w:val="auto"/>
        </w:rPr>
      </w:pPr>
      <w:r>
        <w:rPr>
          <w:rFonts w:ascii="Arial" w:cs="Arial" w:eastAsia="Arial" w:hAnsi="Arial"/>
          <w:sz w:val="16"/>
          <w:szCs w:val="16"/>
          <w:color w:val="auto"/>
        </w:rPr>
        <w:t>This discussion is limited to Non-U.S. Holders that hold our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In addition, it does not address consequences relevant to Non-U.S. Holders subject to special rules, including, without limitation:</w:t>
      </w:r>
    </w:p>
    <w:p>
      <w:pPr>
        <w:spacing w:after="0" w:line="18" w:lineRule="exact"/>
        <w:rPr>
          <w:sz w:val="20"/>
          <w:szCs w:val="20"/>
          <w:color w:val="auto"/>
        </w:rPr>
      </w:pPr>
    </w:p>
    <w:p>
      <w:pPr>
        <w:ind w:left="860" w:hanging="224"/>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103" w:lineRule="exact"/>
        <w:rPr>
          <w:rFonts w:ascii="Arial" w:cs="Arial" w:eastAsia="Arial" w:hAnsi="Arial"/>
          <w:sz w:val="18"/>
          <w:szCs w:val="18"/>
          <w:color w:val="auto"/>
        </w:rPr>
      </w:pPr>
    </w:p>
    <w:p>
      <w:pPr>
        <w:ind w:left="860" w:hanging="224"/>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03" w:lineRule="exact"/>
        <w:rPr>
          <w:rFonts w:ascii="Arial" w:cs="Arial" w:eastAsia="Arial" w:hAnsi="Arial"/>
          <w:sz w:val="18"/>
          <w:szCs w:val="18"/>
          <w:color w:val="auto"/>
        </w:rPr>
      </w:pPr>
    </w:p>
    <w:p>
      <w:pPr>
        <w:ind w:left="860" w:right="520" w:hanging="224"/>
        <w:spacing w:after="0" w:line="268" w:lineRule="auto"/>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persons holding our common stock as part of a hedge, straddle or other risk reduction strategy or as part of a conversion transaction or other integrated investment;</w:t>
      </w:r>
    </w:p>
    <w:p>
      <w:pPr>
        <w:spacing w:after="0" w:line="37" w:lineRule="exact"/>
        <w:rPr>
          <w:rFonts w:ascii="Arial" w:cs="Arial" w:eastAsia="Arial" w:hAnsi="Arial"/>
          <w:sz w:val="18"/>
          <w:szCs w:val="18"/>
          <w:color w:val="auto"/>
        </w:rPr>
      </w:pPr>
    </w:p>
    <w:p>
      <w:pPr>
        <w:ind w:left="860" w:hanging="224"/>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103" w:lineRule="exact"/>
        <w:rPr>
          <w:rFonts w:ascii="Arial" w:cs="Arial" w:eastAsia="Arial" w:hAnsi="Arial"/>
          <w:sz w:val="18"/>
          <w:szCs w:val="18"/>
          <w:color w:val="auto"/>
        </w:rPr>
      </w:pPr>
    </w:p>
    <w:p>
      <w:pPr>
        <w:ind w:left="860" w:hanging="224"/>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brokers, dealers or traders in securities;</w:t>
      </w:r>
    </w:p>
    <w:p>
      <w:pPr>
        <w:spacing w:after="0" w:line="103" w:lineRule="exact"/>
        <w:rPr>
          <w:rFonts w:ascii="Arial" w:cs="Arial" w:eastAsia="Arial" w:hAnsi="Arial"/>
          <w:sz w:val="18"/>
          <w:szCs w:val="18"/>
          <w:color w:val="auto"/>
        </w:rPr>
      </w:pPr>
    </w:p>
    <w:p>
      <w:pPr>
        <w:ind w:left="860" w:right="540" w:hanging="224"/>
        <w:spacing w:after="0" w:line="268" w:lineRule="auto"/>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37" w:lineRule="exact"/>
        <w:rPr>
          <w:rFonts w:ascii="Arial" w:cs="Arial" w:eastAsia="Arial" w:hAnsi="Arial"/>
          <w:sz w:val="18"/>
          <w:szCs w:val="18"/>
          <w:color w:val="auto"/>
        </w:rPr>
      </w:pPr>
    </w:p>
    <w:p>
      <w:pPr>
        <w:ind w:left="860" w:hanging="224"/>
        <w:spacing w:after="0"/>
        <w:tabs>
          <w:tab w:leader="none" w:pos="860" w:val="left"/>
        </w:tabs>
        <w:numPr>
          <w:ilvl w:val="0"/>
          <w:numId w:val="9"/>
        </w:numPr>
        <w:rPr>
          <w:rFonts w:ascii="Arial" w:cs="Arial" w:eastAsia="Arial" w:hAnsi="Arial"/>
          <w:sz w:val="16"/>
          <w:szCs w:val="16"/>
          <w:color w:val="auto"/>
        </w:rPr>
      </w:pPr>
      <w:r>
        <w:rPr>
          <w:rFonts w:ascii="Arial" w:cs="Arial" w:eastAsia="Arial" w:hAnsi="Arial"/>
          <w:sz w:val="16"/>
          <w:szCs w:val="16"/>
          <w:color w:val="auto"/>
        </w:rPr>
        <w:t>partnerships or other entities or arrangements treated as partnerships for U.S. federal income tax purposes (and investors therein);</w:t>
      </w:r>
    </w:p>
    <w:p>
      <w:pPr>
        <w:spacing w:after="0" w:line="126" w:lineRule="exact"/>
        <w:rPr>
          <w:rFonts w:ascii="Arial" w:cs="Arial" w:eastAsia="Arial" w:hAnsi="Arial"/>
          <w:sz w:val="16"/>
          <w:szCs w:val="16"/>
          <w:color w:val="auto"/>
        </w:rPr>
      </w:pPr>
    </w:p>
    <w:p>
      <w:pPr>
        <w:ind w:left="860" w:hanging="224"/>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03" w:lineRule="exact"/>
        <w:rPr>
          <w:rFonts w:ascii="Arial" w:cs="Arial" w:eastAsia="Arial" w:hAnsi="Arial"/>
          <w:sz w:val="18"/>
          <w:szCs w:val="18"/>
          <w:color w:val="auto"/>
        </w:rPr>
      </w:pPr>
    </w:p>
    <w:p>
      <w:pPr>
        <w:ind w:left="860" w:hanging="224"/>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 and</w:t>
      </w:r>
    </w:p>
    <w:p>
      <w:pPr>
        <w:spacing w:after="0" w:line="103" w:lineRule="exact"/>
        <w:rPr>
          <w:rFonts w:ascii="Arial" w:cs="Arial" w:eastAsia="Arial" w:hAnsi="Arial"/>
          <w:sz w:val="18"/>
          <w:szCs w:val="18"/>
          <w:color w:val="auto"/>
        </w:rPr>
      </w:pPr>
    </w:p>
    <w:p>
      <w:pPr>
        <w:ind w:left="860" w:hanging="224"/>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85" w:lineRule="exact"/>
        <w:rPr>
          <w:sz w:val="20"/>
          <w:szCs w:val="20"/>
          <w:color w:val="auto"/>
        </w:rPr>
      </w:pPr>
    </w:p>
    <w:p>
      <w:pPr>
        <w:ind w:left="200" w:firstLine="441"/>
        <w:spacing w:after="0" w:line="335" w:lineRule="auto"/>
        <w:rPr>
          <w:sz w:val="20"/>
          <w:szCs w:val="20"/>
          <w:color w:val="auto"/>
        </w:rPr>
      </w:pPr>
      <w:r>
        <w:rPr>
          <w:rFonts w:ascii="Arial" w:cs="Arial" w:eastAsia="Arial" w:hAnsi="Arial"/>
          <w:sz w:val="15"/>
          <w:szCs w:val="15"/>
          <w:color w:val="auto"/>
        </w:rPr>
        <w:t>If an entity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spacing w:after="0" w:line="69" w:lineRule="exact"/>
        <w:rPr>
          <w:sz w:val="20"/>
          <w:szCs w:val="20"/>
          <w:color w:val="auto"/>
        </w:rPr>
      </w:pPr>
    </w:p>
    <w:p>
      <w:pPr>
        <w:ind w:left="200" w:right="140" w:firstLine="441"/>
        <w:spacing w:after="0" w:line="256" w:lineRule="auto"/>
        <w:rPr>
          <w:sz w:val="20"/>
          <w:szCs w:val="20"/>
          <w:color w:val="auto"/>
        </w:rPr>
      </w:pPr>
      <w:r>
        <w:rPr>
          <w:rFonts w:ascii="Arial" w:cs="Arial" w:eastAsia="Arial" w:hAnsi="Arial"/>
          <w:sz w:val="18"/>
          <w:szCs w:val="18"/>
          <w:b w:val="1"/>
          <w:bCs w:val="1"/>
          <w:color w:val="auto"/>
        </w:rPr>
        <w:t>INVESTORS SHOULD CONSULT THEIR TAX ADVISORS WITH RESPECT TO THE APPLICATION OF THE U.S. FEDERAL INCOME TAX LAWS TO THEIR PARTICULAR SITUATIONS AS WELL AS ANY TAX CONSEQUENCES OF THE PURCHASE, OWNERSHIP AND DISPOSITION OF OUR COMMON STOCK ARISING UNDER THE U.S. FEDERAL ESTATE OR GIFT TAX LAWS OR UNDER THE LAWS OF ANY STATE, LOCAL OR NON-U.S. TAXING JURISDICTION OR UNDER ANY APPLICABLE INCOME TAX TREATY.</w:t>
      </w:r>
    </w:p>
    <w:p>
      <w:pPr>
        <w:spacing w:after="0" w:line="13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200"/>
          </w:cols>
          <w:pgMar w:left="24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Definition of a Non-U.S. Holder</w:t>
      </w:r>
    </w:p>
    <w:p>
      <w:pPr>
        <w:spacing w:after="0" w:line="83"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For purposes of this discussion, a “Non-U.S. Holder” is any beneficial owner of our common stock that is neither a “U.S. person” nor an entity treated as a partnership for U.S. federal income tax purposes. A U.S. person is any person that, for U.S. federal income tax purposes, is or is treated as any of the following:</w:t>
      </w:r>
    </w:p>
    <w:p>
      <w:pPr>
        <w:spacing w:after="0" w:line="46" w:lineRule="exact"/>
        <w:rPr>
          <w:sz w:val="20"/>
          <w:szCs w:val="20"/>
          <w:color w:val="auto"/>
        </w:rPr>
      </w:pPr>
    </w:p>
    <w:p>
      <w:pPr>
        <w:ind w:left="860" w:hanging="224"/>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03" w:lineRule="exact"/>
        <w:rPr>
          <w:rFonts w:ascii="Arial" w:cs="Arial" w:eastAsia="Arial" w:hAnsi="Arial"/>
          <w:sz w:val="18"/>
          <w:szCs w:val="18"/>
          <w:color w:val="auto"/>
        </w:rPr>
      </w:pPr>
    </w:p>
    <w:p>
      <w:pPr>
        <w:ind w:left="860" w:hanging="224"/>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corporation created or organized under the laws of the United States, any state thereof or the District of Columbia;</w:t>
      </w:r>
    </w:p>
    <w:p>
      <w:pPr>
        <w:spacing w:after="0" w:line="103" w:lineRule="exact"/>
        <w:rPr>
          <w:rFonts w:ascii="Arial" w:cs="Arial" w:eastAsia="Arial" w:hAnsi="Arial"/>
          <w:sz w:val="18"/>
          <w:szCs w:val="18"/>
          <w:color w:val="auto"/>
        </w:rPr>
      </w:pPr>
    </w:p>
    <w:p>
      <w:pPr>
        <w:ind w:left="860" w:hanging="224"/>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03" w:lineRule="exact"/>
        <w:rPr>
          <w:rFonts w:ascii="Arial" w:cs="Arial" w:eastAsia="Arial" w:hAnsi="Arial"/>
          <w:sz w:val="18"/>
          <w:szCs w:val="18"/>
          <w:color w:val="auto"/>
        </w:rPr>
      </w:pPr>
    </w:p>
    <w:p>
      <w:pPr>
        <w:ind w:left="860" w:right="160" w:hanging="224"/>
        <w:spacing w:after="0" w:line="259" w:lineRule="auto"/>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trust that (1) is subject to the primary supervision of a U.S. court and all substantial decisions of which are subject to the control of one or more “United States persons” (within the meaning of Section 7701(a)(30) of the Code), or (2) has a valid election in effect to be treated as a United States person for U.S. federal income tax purposes.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Distributions</w:t>
      </w:r>
    </w:p>
    <w:p>
      <w:pPr>
        <w:spacing w:after="0" w:line="83" w:lineRule="exact"/>
        <w:rPr>
          <w:sz w:val="20"/>
          <w:szCs w:val="20"/>
          <w:color w:val="auto"/>
        </w:rPr>
      </w:pPr>
    </w:p>
    <w:p>
      <w:pPr>
        <w:ind w:left="200" w:right="60" w:firstLine="441"/>
        <w:spacing w:after="0" w:line="254" w:lineRule="auto"/>
        <w:rPr>
          <w:sz w:val="20"/>
          <w:szCs w:val="20"/>
          <w:color w:val="auto"/>
        </w:rPr>
      </w:pPr>
      <w:r>
        <w:rPr>
          <w:rFonts w:ascii="Arial" w:cs="Arial" w:eastAsia="Arial" w:hAnsi="Arial"/>
          <w:sz w:val="18"/>
          <w:szCs w:val="18"/>
          <w:color w:val="auto"/>
        </w:rPr>
        <w:t>As described above in the section entitled “Dividend Policy,” we do not anticipate paying any cash dividends in the foreseeable future. However, if we do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“—Sale or Other Taxable Disposition.”</w:t>
      </w:r>
    </w:p>
    <w:p>
      <w:pPr>
        <w:spacing w:after="0" w:line="131" w:lineRule="exact"/>
        <w:rPr>
          <w:sz w:val="20"/>
          <w:szCs w:val="20"/>
          <w:color w:val="auto"/>
        </w:rPr>
      </w:pPr>
    </w:p>
    <w:p>
      <w:pPr>
        <w:ind w:left="200" w:right="60" w:firstLine="441"/>
        <w:spacing w:after="0" w:line="254" w:lineRule="auto"/>
        <w:rPr>
          <w:sz w:val="20"/>
          <w:szCs w:val="20"/>
          <w:color w:val="auto"/>
        </w:rPr>
      </w:pPr>
      <w:r>
        <w:rPr>
          <w:rFonts w:ascii="Arial" w:cs="Arial" w:eastAsia="Arial" w:hAnsi="Arial"/>
          <w:sz w:val="18"/>
          <w:szCs w:val="18"/>
          <w:color w:val="auto"/>
        </w:rPr>
        <w:t>Subject to the discussion below on effectively connected income, dividends paid to a Non-U.S. Holder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31" w:lineRule="exact"/>
        <w:rPr>
          <w:sz w:val="20"/>
          <w:szCs w:val="20"/>
          <w:color w:val="auto"/>
        </w:rPr>
      </w:pPr>
    </w:p>
    <w:p>
      <w:pPr>
        <w:ind w:left="200" w:right="60" w:firstLine="441"/>
        <w:spacing w:after="0" w:line="294" w:lineRule="auto"/>
        <w:rPr>
          <w:sz w:val="20"/>
          <w:szCs w:val="20"/>
          <w:color w:val="auto"/>
        </w:rPr>
      </w:pPr>
      <w:r>
        <w:rPr>
          <w:rFonts w:ascii="Arial" w:cs="Arial" w:eastAsia="Arial" w:hAnsi="Arial"/>
          <w:sz w:val="16"/>
          <w:szCs w:val="16"/>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02" w:lineRule="exact"/>
        <w:rPr>
          <w:sz w:val="20"/>
          <w:szCs w:val="20"/>
          <w:color w:val="auto"/>
        </w:rPr>
      </w:pPr>
    </w:p>
    <w:p>
      <w:pPr>
        <w:jc w:val="both"/>
        <w:ind w:left="200" w:right="80" w:firstLine="441"/>
        <w:spacing w:after="0" w:line="256" w:lineRule="auto"/>
        <w:rPr>
          <w:sz w:val="20"/>
          <w:szCs w:val="20"/>
          <w:color w:val="auto"/>
        </w:rPr>
      </w:pPr>
      <w:r>
        <w:rPr>
          <w:rFonts w:ascii="Arial" w:cs="Arial" w:eastAsia="Arial" w:hAnsi="Arial"/>
          <w:sz w:val="18"/>
          <w:szCs w:val="18"/>
          <w:color w:val="auto"/>
        </w:rPr>
        <w:t>Any such effectively connected dividends will be subject to U.S. federal income tax on a net income basis at the regular graduated rates.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200"/>
          </w:cols>
          <w:pgMar w:left="24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Sale or Other Taxable Disposition</w:t>
      </w:r>
    </w:p>
    <w:p>
      <w:pPr>
        <w:spacing w:after="0" w:line="83" w:lineRule="exact"/>
        <w:rPr>
          <w:sz w:val="20"/>
          <w:szCs w:val="20"/>
          <w:color w:val="auto"/>
        </w:rPr>
      </w:pPr>
    </w:p>
    <w:p>
      <w:pPr>
        <w:ind w:left="200" w:right="160" w:firstLine="441"/>
        <w:spacing w:after="0" w:line="268" w:lineRule="auto"/>
        <w:rPr>
          <w:sz w:val="20"/>
          <w:szCs w:val="20"/>
          <w:color w:val="auto"/>
        </w:rPr>
      </w:pPr>
      <w:r>
        <w:rPr>
          <w:rFonts w:ascii="Arial" w:cs="Arial" w:eastAsia="Arial" w:hAnsi="Arial"/>
          <w:sz w:val="18"/>
          <w:szCs w:val="18"/>
          <w:color w:val="auto"/>
        </w:rPr>
        <w:t>Subject to the discussions below under “—Information Reporting and Backup Withholding,” a Non-U.S. Holder will not be subject to U.S. federal income tax on any gain realized upon the sale or other taxable disposition of our common stock unless:</w:t>
      </w:r>
    </w:p>
    <w:p>
      <w:pPr>
        <w:spacing w:after="0" w:line="37" w:lineRule="exact"/>
        <w:rPr>
          <w:sz w:val="20"/>
          <w:szCs w:val="20"/>
          <w:color w:val="auto"/>
        </w:rPr>
      </w:pPr>
    </w:p>
    <w:p>
      <w:pPr>
        <w:ind w:left="860" w:right="200" w:hanging="224"/>
        <w:spacing w:after="0" w:line="347" w:lineRule="auto"/>
        <w:tabs>
          <w:tab w:leader="none" w:pos="8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ind w:left="860" w:right="100" w:hanging="224"/>
        <w:spacing w:after="0" w:line="268" w:lineRule="auto"/>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37" w:lineRule="exact"/>
        <w:rPr>
          <w:rFonts w:ascii="Arial" w:cs="Arial" w:eastAsia="Arial" w:hAnsi="Arial"/>
          <w:sz w:val="18"/>
          <w:szCs w:val="18"/>
          <w:color w:val="auto"/>
        </w:rPr>
      </w:pPr>
    </w:p>
    <w:p>
      <w:pPr>
        <w:ind w:left="860" w:right="440" w:hanging="224"/>
        <w:spacing w:after="0" w:line="268" w:lineRule="auto"/>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common stock constitutes a U.S. real property interest, or USRPI, by reason of our status as a U.S. real property holding corporation, or USRPHC, for U.S. federal income tax purposes.</w:t>
      </w:r>
    </w:p>
    <w:p>
      <w:pPr>
        <w:spacing w:after="0" w:line="118"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graduated rates. A Non-U.S. Holder that is a corporation also may be subject to a branch profits tax at a rate of 30% (or such lower rate specified by an applicable income tax treaty) on such effectively connected gain, as adjusted for certain items.</w:t>
      </w:r>
    </w:p>
    <w:p>
      <w:pPr>
        <w:spacing w:after="0" w:line="127" w:lineRule="exact"/>
        <w:rPr>
          <w:sz w:val="20"/>
          <w:szCs w:val="20"/>
          <w:color w:val="auto"/>
        </w:rPr>
      </w:pPr>
    </w:p>
    <w:p>
      <w:pPr>
        <w:ind w:left="200" w:right="400" w:firstLine="441"/>
        <w:spacing w:after="0" w:line="335" w:lineRule="auto"/>
        <w:rPr>
          <w:sz w:val="20"/>
          <w:szCs w:val="20"/>
          <w:color w:val="auto"/>
        </w:rPr>
      </w:pPr>
      <w:r>
        <w:rPr>
          <w:rFonts w:ascii="Arial" w:cs="Arial" w:eastAsia="Arial" w:hAnsi="Arial"/>
          <w:sz w:val="15"/>
          <w:szCs w:val="15"/>
          <w:color w:val="auto"/>
        </w:rPr>
        <w:t>Gain described in the second bullet point above will be subject to U.S. federal income tax at a rate of 30% (or such lower rate specified by an applicable income tax treaty), which may be offset by certain U.S. source capital losses of the Non-U.S. Holder (even though the individual is not considered a resident of the United States), provided the Non-U.S. Holder has timely filed U.S. federal income tax returns with respect to such losses.</w:t>
      </w:r>
    </w:p>
    <w:p>
      <w:pPr>
        <w:spacing w:after="0" w:line="75"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by a Non-U.S. Holder of our common stock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or the Non-U.S. Holder’s holding period.</w:t>
      </w:r>
    </w:p>
    <w:p>
      <w:pPr>
        <w:spacing w:after="0" w:line="105" w:lineRule="exact"/>
        <w:rPr>
          <w:sz w:val="20"/>
          <w:szCs w:val="20"/>
          <w:color w:val="auto"/>
        </w:rPr>
      </w:pPr>
    </w:p>
    <w:p>
      <w:pPr>
        <w:ind w:left="200" w:right="1740" w:firstLine="441"/>
        <w:spacing w:after="0" w:line="375" w:lineRule="auto"/>
        <w:rPr>
          <w:sz w:val="20"/>
          <w:szCs w:val="20"/>
          <w:color w:val="auto"/>
        </w:rPr>
      </w:pPr>
      <w:r>
        <w:rPr>
          <w:rFonts w:ascii="Arial" w:cs="Arial" w:eastAsia="Arial" w:hAnsi="Arial"/>
          <w:sz w:val="18"/>
          <w:szCs w:val="18"/>
          <w:color w:val="auto"/>
        </w:rPr>
        <w:t xml:space="preserve">Non-U.S. Holders should consult their tax advisors regarding any applicable tax treaties that may provide for different rules. </w:t>
      </w:r>
      <w:r>
        <w:rPr>
          <w:rFonts w:ascii="Arial" w:cs="Arial" w:eastAsia="Arial" w:hAnsi="Arial"/>
          <w:sz w:val="18"/>
          <w:szCs w:val="18"/>
          <w:b w:val="1"/>
          <w:bCs w:val="1"/>
          <w:color w:val="auto"/>
        </w:rPr>
        <w:t>Information Reporting and Backup Withholding</w:t>
      </w:r>
    </w:p>
    <w:p>
      <w:pPr>
        <w:spacing w:after="0" w:line="1"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Payments of dividends on our common stock will not be subject to 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dividends on our common stock paid to the Non-U.S. Holder, regardless of whether any tax was actually withheld.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common stock conducted through a non-U.S. office of a non-U.S. broker that does not have certain enumerated relationships with the United States generally will not be subject to backup withholding or information reporting.</w:t>
      </w:r>
    </w:p>
    <w:p>
      <w:pPr>
        <w:spacing w:after="0" w:line="10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120"/>
          </w:cols>
          <w:pgMar w:left="240" w:top="459" w:right="5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140" w:firstLine="441"/>
        <w:spacing w:after="0" w:line="268" w:lineRule="auto"/>
        <w:rPr>
          <w:sz w:val="20"/>
          <w:szCs w:val="20"/>
          <w:color w:val="auto"/>
        </w:rPr>
      </w:pPr>
      <w:r>
        <w:rPr>
          <w:rFonts w:ascii="Arial" w:cs="Arial" w:eastAsia="Arial" w:hAnsi="Arial"/>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18" w:lineRule="exact"/>
        <w:rPr>
          <w:sz w:val="20"/>
          <w:szCs w:val="20"/>
          <w:color w:val="auto"/>
        </w:rPr>
      </w:pPr>
    </w:p>
    <w:p>
      <w:pPr>
        <w:ind w:left="200" w:firstLine="441"/>
        <w:spacing w:after="0" w:line="268"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Additional Withholding Tax on Payments Made to Foreign Accounts</w:t>
      </w:r>
    </w:p>
    <w:p>
      <w:pPr>
        <w:spacing w:after="0" w:line="83"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6"/>
          <w:szCs w:val="16"/>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obligations in (1) 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11" w:lineRule="exact"/>
        <w:rPr>
          <w:sz w:val="20"/>
          <w:szCs w:val="20"/>
          <w:color w:val="auto"/>
        </w:rPr>
      </w:pPr>
    </w:p>
    <w:p>
      <w:pPr>
        <w:ind w:left="200" w:firstLine="441"/>
        <w:spacing w:after="0" w:line="298" w:lineRule="auto"/>
        <w:rPr>
          <w:sz w:val="20"/>
          <w:szCs w:val="20"/>
          <w:color w:val="auto"/>
        </w:rPr>
      </w:pPr>
      <w:r>
        <w:rPr>
          <w:rFonts w:ascii="Arial" w:cs="Arial" w:eastAsia="Arial" w:hAnsi="Arial"/>
          <w:sz w:val="16"/>
          <w:szCs w:val="16"/>
          <w:color w:val="auto"/>
        </w:rPr>
        <w:t>Under the applicable Treasury Regulations and administrative guidance, withholding under FATCA generally applies to payments of dividends on our common stock. While withholding under FATCA would have applied also to payments of gross proceeds from the sale or other disposition of our common stock beginning on January 1, 2019, recently proposed Treasury Regulations eliminate FATCA withholding on payments of gross proceeds entirely. Taxpayers generally may rely on these proposed Treasury Regulations until final Treasury Regulations are issued.</w:t>
      </w:r>
    </w:p>
    <w:p>
      <w:pPr>
        <w:spacing w:after="0" w:line="99" w:lineRule="exact"/>
        <w:rPr>
          <w:sz w:val="20"/>
          <w:szCs w:val="20"/>
          <w:color w:val="auto"/>
        </w:rPr>
      </w:pPr>
    </w:p>
    <w:p>
      <w:pPr>
        <w:ind w:left="200" w:right="360" w:firstLine="441"/>
        <w:spacing w:after="0" w:line="268"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their investment in our common stock.</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200"/>
          </w:cols>
          <w:pgMar w:left="24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UNDERWRITING</w:t>
      </w:r>
    </w:p>
    <w:p>
      <w:pPr>
        <w:spacing w:after="0" w:line="164" w:lineRule="exact"/>
        <w:rPr>
          <w:sz w:val="20"/>
          <w:szCs w:val="20"/>
          <w:color w:val="auto"/>
        </w:rPr>
      </w:pPr>
    </w:p>
    <w:p>
      <w:pPr>
        <w:ind w:left="200" w:right="60" w:firstLine="441"/>
        <w:spacing w:after="0" w:line="256" w:lineRule="auto"/>
        <w:rPr>
          <w:sz w:val="20"/>
          <w:szCs w:val="20"/>
          <w:color w:val="auto"/>
        </w:rPr>
      </w:pPr>
      <w:r>
        <w:rPr>
          <w:rFonts w:ascii="Arial" w:cs="Arial" w:eastAsia="Arial" w:hAnsi="Arial"/>
          <w:sz w:val="18"/>
          <w:szCs w:val="18"/>
          <w:color w:val="auto"/>
        </w:rPr>
        <w:t>Subject to the terms and conditions set forth in the underwriting agreement entered into among us and Citigroup Global Markets Inc., Cowen and Company LLC, SVB Leerink LLC and Piper Jaffray &amp; Co., as the representatives of the underwriters named below and the joint book-running managers of this offering, we have agreed to sell to the underwriters, and each of the underwriters has agreed, severally and not jointly, to purchase from us the respective number of shares of common stock shown opposite its name below:</w:t>
      </w:r>
    </w:p>
    <w:p>
      <w:pPr>
        <w:spacing w:after="0" w:line="113"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6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w:t>
            </w: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68"/>
        </w:trPr>
        <w:tc>
          <w:tcPr>
            <w:tcW w:w="6340" w:type="dxa"/>
            <w:vAlign w:val="bottom"/>
            <w:gridSpan w:val="2"/>
            <w:vMerge w:val="continue"/>
          </w:tcPr>
          <w:p>
            <w:pPr>
              <w:spacing w:after="0"/>
              <w:rPr>
                <w:sz w:val="14"/>
                <w:szCs w:val="14"/>
                <w:color w:val="auto"/>
              </w:rPr>
            </w:pPr>
          </w:p>
        </w:tc>
        <w:tc>
          <w:tcPr>
            <w:tcW w:w="114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81"/>
              </w:rPr>
              <w:t>Shares</w:t>
            </w:r>
          </w:p>
        </w:tc>
        <w:tc>
          <w:tcPr>
            <w:tcW w:w="0" w:type="dxa"/>
            <w:vAlign w:val="bottom"/>
          </w:tcPr>
          <w:p>
            <w:pPr>
              <w:spacing w:after="0"/>
              <w:rPr>
                <w:sz w:val="1"/>
                <w:szCs w:val="1"/>
                <w:color w:val="auto"/>
              </w:rPr>
            </w:pPr>
          </w:p>
        </w:tc>
      </w:tr>
      <w:tr>
        <w:trPr>
          <w:trHeight w:val="203"/>
        </w:trPr>
        <w:tc>
          <w:tcPr>
            <w:tcW w:w="72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97"/>
              </w:rPr>
              <w:t>Citigroup</w:t>
            </w:r>
          </w:p>
        </w:tc>
        <w:tc>
          <w:tcPr>
            <w:tcW w:w="56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5,800,000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Cowen and Company LLC</w:t>
            </w:r>
          </w:p>
        </w:tc>
        <w:tc>
          <w:tcPr>
            <w:tcW w:w="1060" w:type="dxa"/>
            <w:vAlign w:val="bottom"/>
          </w:tcPr>
          <w:p>
            <w:pPr>
              <w:jc w:val="right"/>
              <w:spacing w:after="0"/>
              <w:rPr>
                <w:sz w:val="20"/>
                <w:szCs w:val="20"/>
                <w:color w:val="auto"/>
              </w:rPr>
            </w:pPr>
            <w:r>
              <w:rPr>
                <w:rFonts w:ascii="Arial" w:cs="Arial" w:eastAsia="Arial" w:hAnsi="Arial"/>
                <w:sz w:val="18"/>
                <w:szCs w:val="18"/>
                <w:color w:val="auto"/>
              </w:rPr>
              <w:t>4,900,000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SVB Leerink LLC</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40" w:type="dxa"/>
            <w:vAlign w:val="bottom"/>
            <w:gridSpan w:val="2"/>
          </w:tcPr>
          <w:p>
            <w:pPr>
              <w:spacing w:after="0"/>
              <w:rPr>
                <w:sz w:val="20"/>
                <w:szCs w:val="20"/>
                <w:color w:val="auto"/>
              </w:rPr>
            </w:pPr>
            <w:r>
              <w:rPr>
                <w:rFonts w:ascii="Arial" w:cs="Arial" w:eastAsia="Arial" w:hAnsi="Arial"/>
                <w:sz w:val="18"/>
                <w:szCs w:val="18"/>
                <w:color w:val="auto"/>
              </w:rPr>
              <w:t>Piper Jaffray &amp; Co.</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shares of common stock if any of them are purchased. If an underwriter defaults, the underwriting agreement provides that the purchase commitments of the nondefaulting underwriters may be increased or the underwriting agreement may be terminated. 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10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underwriters have advised us that, following the completion of this offering, they currently intend to make a market in the common stock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the common stock, that you will be able to sell any of the common stock held by you at a particular time or that the prices that you receive when you sell will be favorable.</w:t>
      </w:r>
    </w:p>
    <w:p>
      <w:pPr>
        <w:spacing w:after="0" w:line="129"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underwriters are offering the shares of common stock subject to their acceptance of the shares of common stock from us and subject to prior sale.</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underwriters reserve the right to withdraw, cancel or modify offers to the public and to reject orders in whole or in part.</w:t>
      </w:r>
    </w:p>
    <w:p>
      <w:pPr>
        <w:spacing w:after="0" w:line="14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Commission and Expenses</w:t>
      </w:r>
    </w:p>
    <w:p>
      <w:pPr>
        <w:spacing w:after="0" w:line="83" w:lineRule="exact"/>
        <w:rPr>
          <w:sz w:val="20"/>
          <w:szCs w:val="20"/>
          <w:color w:val="auto"/>
        </w:rPr>
      </w:pPr>
    </w:p>
    <w:p>
      <w:pPr>
        <w:ind w:left="200" w:firstLine="441"/>
        <w:spacing w:after="0" w:line="298" w:lineRule="auto"/>
        <w:rPr>
          <w:sz w:val="20"/>
          <w:szCs w:val="20"/>
          <w:color w:val="auto"/>
        </w:rPr>
      </w:pPr>
      <w:r>
        <w:rPr>
          <w:rFonts w:ascii="Arial" w:cs="Arial" w:eastAsia="Arial" w:hAnsi="Arial"/>
          <w:sz w:val="16"/>
          <w:szCs w:val="16"/>
          <w:color w:val="auto"/>
        </w:rPr>
        <w:t>The underwriters have advised us that they propose to offer the shares of common stock to the public at the initial public offering price set forth on the cover page of this prospectus and to certain dealers, which may include the underwriters, at that price less a concession not in excess of $0.225 per share of common stock. After the offering, the initial public offering price, concession and reallowance to dealers may be reduced by the representatives. No such reduction will change the amount of proceeds to be received by us as set forth on the cover page of this prospectus supplement.</w:t>
      </w:r>
    </w:p>
    <w:p>
      <w:pPr>
        <w:spacing w:after="0" w:line="99" w:lineRule="exact"/>
        <w:rPr>
          <w:sz w:val="20"/>
          <w:szCs w:val="20"/>
          <w:color w:val="auto"/>
        </w:rPr>
      </w:pPr>
    </w:p>
    <w:p>
      <w:pPr>
        <w:ind w:left="200" w:firstLine="441"/>
        <w:spacing w:after="0" w:line="268" w:lineRule="auto"/>
        <w:rPr>
          <w:sz w:val="20"/>
          <w:szCs w:val="20"/>
          <w:color w:val="auto"/>
        </w:rPr>
      </w:pPr>
      <w:r>
        <w:rPr>
          <w:rFonts w:ascii="Arial" w:cs="Arial" w:eastAsia="Arial" w:hAnsi="Arial"/>
          <w:sz w:val="18"/>
          <w:szCs w:val="18"/>
          <w:color w:val="auto"/>
        </w:rPr>
        <w:t>The following table shows the public offering price, the underwriting discounts and commissions that we are to pay the underwriters and the proceeds, before expenses, to us in connection with this offering.</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Such amounts are shown assuming both no exercise and full exercise of the underwriters’ option to purchase additional shares.</w:t>
      </w:r>
    </w:p>
    <w:p>
      <w:pPr>
        <w:spacing w:after="0" w:line="153"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w w:val="97"/>
              </w:rPr>
              <w:t>Per Share</w:t>
            </w:r>
          </w:p>
        </w:tc>
        <w:tc>
          <w:tcPr>
            <w:tcW w:w="52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143"/>
              <w:spacing w:after="0"/>
              <w:rPr>
                <w:sz w:val="20"/>
                <w:szCs w:val="20"/>
                <w:color w:val="auto"/>
              </w:rPr>
            </w:pPr>
            <w:r>
              <w:rPr>
                <w:rFonts w:ascii="Arial" w:cs="Arial" w:eastAsia="Arial" w:hAnsi="Arial"/>
                <w:sz w:val="14"/>
                <w:szCs w:val="14"/>
                <w:b w:val="1"/>
                <w:bCs w:val="1"/>
                <w:color w:val="auto"/>
              </w:rPr>
              <w:t>Total</w:t>
            </w: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29"/>
        </w:trPr>
        <w:tc>
          <w:tcPr>
            <w:tcW w:w="4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2"/>
              </w:rPr>
              <w:t>Without</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center"/>
              <w:ind w:right="20"/>
              <w:spacing w:after="0" w:line="129" w:lineRule="exact"/>
              <w:rPr>
                <w:sz w:val="20"/>
                <w:szCs w:val="20"/>
                <w:color w:val="auto"/>
              </w:rPr>
            </w:pPr>
            <w:r>
              <w:rPr>
                <w:rFonts w:ascii="Arial" w:cs="Arial" w:eastAsia="Arial" w:hAnsi="Arial"/>
                <w:sz w:val="14"/>
                <w:szCs w:val="14"/>
                <w:b w:val="1"/>
                <w:bCs w:val="1"/>
                <w:color w:val="auto"/>
                <w:w w:val="98"/>
              </w:rPr>
              <w:t>With</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center"/>
              <w:ind w:right="25"/>
              <w:spacing w:after="0" w:line="129" w:lineRule="exact"/>
              <w:rPr>
                <w:sz w:val="20"/>
                <w:szCs w:val="20"/>
                <w:color w:val="auto"/>
              </w:rPr>
            </w:pPr>
            <w:r>
              <w:rPr>
                <w:rFonts w:ascii="Arial" w:cs="Arial" w:eastAsia="Arial" w:hAnsi="Arial"/>
                <w:sz w:val="14"/>
                <w:szCs w:val="14"/>
                <w:b w:val="1"/>
                <w:bCs w:val="1"/>
                <w:color w:val="auto"/>
                <w:w w:val="92"/>
              </w:rPr>
              <w:t>Without</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center"/>
              <w:ind w:right="5"/>
              <w:spacing w:after="0" w:line="129" w:lineRule="exact"/>
              <w:rPr>
                <w:sz w:val="20"/>
                <w:szCs w:val="20"/>
                <w:color w:val="auto"/>
              </w:rPr>
            </w:pPr>
            <w:r>
              <w:rPr>
                <w:rFonts w:ascii="Arial" w:cs="Arial" w:eastAsia="Arial" w:hAnsi="Arial"/>
                <w:sz w:val="14"/>
                <w:szCs w:val="14"/>
                <w:b w:val="1"/>
                <w:bCs w:val="1"/>
                <w:color w:val="auto"/>
                <w:w w:val="92"/>
              </w:rPr>
              <w:t>With</w:t>
            </w:r>
          </w:p>
        </w:tc>
        <w:tc>
          <w:tcPr>
            <w:tcW w:w="80" w:type="dxa"/>
            <w:vAlign w:val="bottom"/>
          </w:tcPr>
          <w:p>
            <w:pPr>
              <w:spacing w:after="0"/>
              <w:rPr>
                <w:sz w:val="11"/>
                <w:szCs w:val="11"/>
                <w:color w:val="auto"/>
              </w:rPr>
            </w:pPr>
          </w:p>
        </w:tc>
      </w:tr>
      <w:tr>
        <w:trPr>
          <w:trHeight w:val="149"/>
        </w:trPr>
        <w:tc>
          <w:tcPr>
            <w:tcW w:w="4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Option to</w:t>
            </w:r>
          </w:p>
        </w:tc>
        <w:tc>
          <w:tcPr>
            <w:tcW w:w="54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Option to</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89"/>
              </w:rPr>
              <w:t>Option to</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Option to</w:t>
            </w:r>
          </w:p>
        </w:tc>
      </w:tr>
      <w:tr>
        <w:trPr>
          <w:trHeight w:val="149"/>
        </w:trPr>
        <w:tc>
          <w:tcPr>
            <w:tcW w:w="4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Purchase</w:t>
            </w:r>
          </w:p>
        </w:tc>
        <w:tc>
          <w:tcPr>
            <w:tcW w:w="54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Purchase</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82"/>
              </w:rPr>
              <w:t>Purchase</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2"/>
              </w:rPr>
              <w:t>Purchase</w:t>
            </w:r>
          </w:p>
        </w:tc>
      </w:tr>
      <w:tr>
        <w:trPr>
          <w:trHeight w:val="149"/>
        </w:trPr>
        <w:tc>
          <w:tcPr>
            <w:tcW w:w="4360" w:type="dxa"/>
            <w:vAlign w:val="bottom"/>
          </w:tcPr>
          <w:p>
            <w:pPr>
              <w:spacing w:after="0"/>
              <w:rPr>
                <w:sz w:val="12"/>
                <w:szCs w:val="12"/>
                <w:color w:val="auto"/>
              </w:rPr>
            </w:pPr>
          </w:p>
        </w:tc>
        <w:tc>
          <w:tcPr>
            <w:tcW w:w="1300" w:type="dxa"/>
            <w:vAlign w:val="bottom"/>
            <w:gridSpan w:val="3"/>
          </w:tcPr>
          <w:p>
            <w:pPr>
              <w:ind w:left="680"/>
              <w:spacing w:after="0" w:line="149" w:lineRule="exact"/>
              <w:rPr>
                <w:sz w:val="20"/>
                <w:szCs w:val="20"/>
                <w:color w:val="auto"/>
              </w:rPr>
            </w:pPr>
            <w:r>
              <w:rPr>
                <w:rFonts w:ascii="Arial" w:cs="Arial" w:eastAsia="Arial" w:hAnsi="Arial"/>
                <w:sz w:val="14"/>
                <w:szCs w:val="14"/>
                <w:b w:val="1"/>
                <w:bCs w:val="1"/>
                <w:color w:val="auto"/>
                <w:w w:val="87"/>
              </w:rPr>
              <w:t>Additional</w:t>
            </w:r>
          </w:p>
        </w:tc>
        <w:tc>
          <w:tcPr>
            <w:tcW w:w="1160" w:type="dxa"/>
            <w:vAlign w:val="bottom"/>
            <w:gridSpan w:val="3"/>
          </w:tcPr>
          <w:p>
            <w:pPr>
              <w:ind w:left="540"/>
              <w:spacing w:after="0" w:line="149" w:lineRule="exact"/>
              <w:rPr>
                <w:sz w:val="20"/>
                <w:szCs w:val="20"/>
                <w:color w:val="auto"/>
              </w:rPr>
            </w:pPr>
            <w:r>
              <w:rPr>
                <w:rFonts w:ascii="Arial" w:cs="Arial" w:eastAsia="Arial" w:hAnsi="Arial"/>
                <w:sz w:val="14"/>
                <w:szCs w:val="14"/>
                <w:b w:val="1"/>
                <w:bCs w:val="1"/>
                <w:color w:val="auto"/>
                <w:w w:val="87"/>
              </w:rPr>
              <w:t>Additional</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ind w:right="5"/>
              <w:spacing w:after="0" w:line="149" w:lineRule="exact"/>
              <w:rPr>
                <w:sz w:val="20"/>
                <w:szCs w:val="20"/>
                <w:color w:val="auto"/>
              </w:rPr>
            </w:pPr>
            <w:r>
              <w:rPr>
                <w:rFonts w:ascii="Arial" w:cs="Arial" w:eastAsia="Arial" w:hAnsi="Arial"/>
                <w:sz w:val="14"/>
                <w:szCs w:val="14"/>
                <w:b w:val="1"/>
                <w:bCs w:val="1"/>
                <w:color w:val="auto"/>
                <w:w w:val="90"/>
              </w:rPr>
              <w:t>Additional</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Additional</w:t>
            </w:r>
          </w:p>
        </w:tc>
      </w:tr>
      <w:tr>
        <w:trPr>
          <w:trHeight w:val="161"/>
        </w:trPr>
        <w:tc>
          <w:tcPr>
            <w:tcW w:w="4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center"/>
              <w:ind w:right="20"/>
              <w:spacing w:after="0"/>
              <w:rPr>
                <w:sz w:val="20"/>
                <w:szCs w:val="20"/>
                <w:color w:val="auto"/>
              </w:rPr>
            </w:pPr>
            <w:r>
              <w:rPr>
                <w:rFonts w:ascii="Arial" w:cs="Arial" w:eastAsia="Arial" w:hAnsi="Arial"/>
                <w:sz w:val="14"/>
                <w:szCs w:val="14"/>
                <w:b w:val="1"/>
                <w:bCs w:val="1"/>
                <w:color w:val="auto"/>
                <w:w w:val="81"/>
              </w:rPr>
              <w:t>Shares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center"/>
              <w:ind w:right="20"/>
              <w:spacing w:after="0"/>
              <w:rPr>
                <w:sz w:val="20"/>
                <w:szCs w:val="20"/>
                <w:color w:val="auto"/>
              </w:rPr>
            </w:pPr>
            <w:r>
              <w:rPr>
                <w:rFonts w:ascii="Arial" w:cs="Arial" w:eastAsia="Arial" w:hAnsi="Arial"/>
                <w:sz w:val="14"/>
                <w:szCs w:val="14"/>
                <w:b w:val="1"/>
                <w:bCs w:val="1"/>
                <w:color w:val="auto"/>
                <w:w w:val="81"/>
              </w:rPr>
              <w:t>Shares</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center"/>
              <w:ind w:right="5"/>
              <w:spacing w:after="0"/>
              <w:rPr>
                <w:sz w:val="20"/>
                <w:szCs w:val="20"/>
                <w:color w:val="auto"/>
              </w:rPr>
            </w:pPr>
            <w:r>
              <w:rPr>
                <w:rFonts w:ascii="Arial" w:cs="Arial" w:eastAsia="Arial" w:hAnsi="Arial"/>
                <w:sz w:val="14"/>
                <w:szCs w:val="14"/>
                <w:b w:val="1"/>
                <w:bCs w:val="1"/>
                <w:color w:val="auto"/>
                <w:w w:val="81"/>
              </w:rPr>
              <w:t>Shares</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Shares</w:t>
            </w:r>
          </w:p>
        </w:tc>
      </w:tr>
      <w:tr>
        <w:trPr>
          <w:trHeight w:val="210"/>
        </w:trPr>
        <w:tc>
          <w:tcPr>
            <w:tcW w:w="43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Public offering price</w:t>
            </w: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6.250</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6.250</w:t>
            </w: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125,000,000</w:t>
            </w: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143,750,000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Underwriting discounts and commissions paid by us</w:t>
            </w:r>
          </w:p>
        </w:tc>
        <w:tc>
          <w:tcPr>
            <w:tcW w:w="780" w:type="dxa"/>
            <w:vAlign w:val="bottom"/>
            <w:gridSpan w:val="2"/>
          </w:tcPr>
          <w:p>
            <w:pPr>
              <w:ind w:left="68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0.375</w:t>
            </w: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0.375</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7,500,000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8,625,000</w:t>
            </w:r>
          </w:p>
        </w:tc>
        <w:tc>
          <w:tcPr>
            <w:tcW w:w="8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7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5.875</w:t>
            </w: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117,500,000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135,125,000</w:t>
            </w:r>
          </w:p>
        </w:tc>
        <w:tc>
          <w:tcPr>
            <w:tcW w:w="80" w:type="dxa"/>
            <w:vAlign w:val="bottom"/>
            <w:shd w:val="clear" w:color="auto" w:fill="CCEEFF"/>
          </w:tcPr>
          <w:p>
            <w:pPr>
              <w:spacing w:after="0"/>
              <w:rPr>
                <w:sz w:val="18"/>
                <w:szCs w:val="18"/>
                <w:color w:val="auto"/>
              </w:rPr>
            </w:pPr>
          </w:p>
        </w:tc>
      </w:tr>
    </w:tbl>
    <w:p>
      <w:pPr>
        <w:spacing w:after="0" w:line="140" w:lineRule="exact"/>
        <w:rPr>
          <w:sz w:val="20"/>
          <w:szCs w:val="20"/>
          <w:color w:val="auto"/>
        </w:rPr>
      </w:pPr>
    </w:p>
    <w:p>
      <w:pPr>
        <w:ind w:left="200" w:right="180" w:firstLine="441"/>
        <w:spacing w:after="0" w:line="268" w:lineRule="auto"/>
        <w:rPr>
          <w:sz w:val="20"/>
          <w:szCs w:val="20"/>
          <w:color w:val="auto"/>
        </w:rPr>
      </w:pPr>
      <w:r>
        <w:rPr>
          <w:rFonts w:ascii="Arial" w:cs="Arial" w:eastAsia="Arial" w:hAnsi="Arial"/>
          <w:sz w:val="18"/>
          <w:szCs w:val="18"/>
          <w:color w:val="auto"/>
        </w:rPr>
        <w:t>We estimate expenses payable by us in connection with this offering, other than the underwriting discounts and commissions referred to above, will be approximately $395,000.</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Listing</w:t>
      </w:r>
    </w:p>
    <w:p>
      <w:pPr>
        <w:spacing w:after="0" w:line="8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common stock is listed on The Nasdaq Global Market under the trading symbol “ARDX.”</w:t>
      </w:r>
    </w:p>
    <w:p>
      <w:pPr>
        <w:spacing w:after="0" w:line="1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Option to Purchase Additional Shares</w:t>
      </w:r>
    </w:p>
    <w:p>
      <w:pPr>
        <w:spacing w:after="0" w:line="83" w:lineRule="exact"/>
        <w:rPr>
          <w:sz w:val="20"/>
          <w:szCs w:val="20"/>
          <w:color w:val="auto"/>
        </w:rPr>
      </w:pPr>
    </w:p>
    <w:p>
      <w:pPr>
        <w:ind w:left="200" w:right="60" w:firstLine="441"/>
        <w:spacing w:after="0" w:line="298" w:lineRule="auto"/>
        <w:rPr>
          <w:sz w:val="20"/>
          <w:szCs w:val="20"/>
          <w:color w:val="auto"/>
        </w:rPr>
      </w:pPr>
      <w:r>
        <w:rPr>
          <w:rFonts w:ascii="Arial" w:cs="Arial" w:eastAsia="Arial" w:hAnsi="Arial"/>
          <w:sz w:val="16"/>
          <w:szCs w:val="16"/>
          <w:color w:val="auto"/>
        </w:rPr>
        <w:t>We have granted to the underwriters an option, exercisable for 30 days from the date of this prospectus, to purchase, from time to time, in whole or in part, up to an aggregate of 3,000,000 shares from us at the public offering price set forth on the cover page of this prospectus, less underwriting discounts and commissions. If the underwriters exercise this option, each underwriter will be obligated, subject to specified conditions, to purchase a number of additional shares proportionate to that underwriter’s initial purchase commitment as indicated in the table above.</w:t>
      </w:r>
    </w:p>
    <w:p>
      <w:pPr>
        <w:spacing w:after="0" w:line="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Sales of Similar Securities</w:t>
      </w:r>
    </w:p>
    <w:p>
      <w:pPr>
        <w:spacing w:after="0" w:line="83" w:lineRule="exact"/>
        <w:rPr>
          <w:sz w:val="20"/>
          <w:szCs w:val="20"/>
          <w:color w:val="auto"/>
        </w:rPr>
      </w:pPr>
    </w:p>
    <w:p>
      <w:pPr>
        <w:ind w:left="200" w:right="160" w:firstLine="441"/>
        <w:spacing w:after="0" w:line="268" w:lineRule="auto"/>
        <w:rPr>
          <w:sz w:val="20"/>
          <w:szCs w:val="20"/>
          <w:color w:val="auto"/>
        </w:rPr>
      </w:pPr>
      <w:r>
        <w:rPr>
          <w:rFonts w:ascii="Arial" w:cs="Arial" w:eastAsia="Arial" w:hAnsi="Arial"/>
          <w:sz w:val="18"/>
          <w:szCs w:val="18"/>
          <w:color w:val="auto"/>
        </w:rPr>
        <w:t>We, our officers and directors (for the avoidance of doubt, not including any entities affiliated with New Enterprise Associates) have agreed, subject to specified exceptions, not to directly or indirectly:</w:t>
      </w:r>
    </w:p>
    <w:p>
      <w:pPr>
        <w:spacing w:after="0" w:line="37" w:lineRule="exact"/>
        <w:rPr>
          <w:sz w:val="20"/>
          <w:szCs w:val="20"/>
          <w:color w:val="auto"/>
        </w:rPr>
      </w:pPr>
    </w:p>
    <w:p>
      <w:pPr>
        <w:ind w:left="860" w:right="20" w:hanging="224"/>
        <w:spacing w:after="0" w:line="298" w:lineRule="auto"/>
        <w:tabs>
          <w:tab w:leader="none" w:pos="8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offer, pledge, sell, contract to sell, sell any option or contract to purchase, purchase any option or contract to sell, grant any option, right or warrant to purchase, or otherwise transfer or dispose of, directly or indirectly, or file with the Securities and Exchange Commission a registration statement under the Securities Act relating to, any shares of our common stock or any securities convertible into or exercisable or exchangeable for our common stock, or publicly disclose the intention to make any offer, sale, pledge, disposition or filing, or</w:t>
      </w:r>
    </w:p>
    <w:p>
      <w:pPr>
        <w:spacing w:after="0" w:line="18" w:lineRule="exact"/>
        <w:rPr>
          <w:rFonts w:ascii="Arial" w:cs="Arial" w:eastAsia="Arial" w:hAnsi="Arial"/>
          <w:sz w:val="16"/>
          <w:szCs w:val="16"/>
          <w:color w:val="auto"/>
        </w:rPr>
      </w:pPr>
    </w:p>
    <w:p>
      <w:pPr>
        <w:ind w:left="860" w:right="20" w:hanging="224"/>
        <w:spacing w:after="0" w:line="268" w:lineRule="auto"/>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enter into any swap or other agreement that transfers, in whole or in part, any of the economic consequences of ownership of common stock or any such other securities, or</w:t>
      </w:r>
    </w:p>
    <w:p>
      <w:pPr>
        <w:spacing w:after="0" w:line="37" w:lineRule="exact"/>
        <w:rPr>
          <w:rFonts w:ascii="Arial" w:cs="Arial" w:eastAsia="Arial" w:hAnsi="Arial"/>
          <w:sz w:val="18"/>
          <w:szCs w:val="18"/>
          <w:color w:val="auto"/>
        </w:rPr>
      </w:pPr>
    </w:p>
    <w:p>
      <w:pPr>
        <w:ind w:left="860" w:hanging="224"/>
        <w:spacing w:after="0" w:line="256" w:lineRule="auto"/>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 any demand for, or exercise any right with respect to, the registration under the Securities Act of the offer and sale of any shares or any of the economic consequences of ownership of common stock or any such other securities currently or hereafter owned either of record or beneficially by the undersigned or such family member, or cause to be filed a registration statement, prospectus or prospectus supplement (or an amendment or supplement thereto) with respect to any such registration, or</w:t>
      </w:r>
    </w:p>
    <w:p>
      <w:pPr>
        <w:spacing w:after="0" w:line="48" w:lineRule="exact"/>
        <w:rPr>
          <w:rFonts w:ascii="Arial" w:cs="Arial" w:eastAsia="Arial" w:hAnsi="Arial"/>
          <w:sz w:val="18"/>
          <w:szCs w:val="18"/>
          <w:color w:val="auto"/>
        </w:rPr>
      </w:pPr>
    </w:p>
    <w:p>
      <w:pPr>
        <w:ind w:left="860" w:right="340" w:hanging="224"/>
        <w:spacing w:after="0" w:line="268" w:lineRule="auto"/>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publicly announce an intention to do any of the foregoing for a period of 60 days after the date of this prospectus supplement without the prior written consent of the representatives.</w:t>
      </w:r>
    </w:p>
    <w:p>
      <w:pPr>
        <w:spacing w:after="0" w:line="118" w:lineRule="exact"/>
        <w:rPr>
          <w:sz w:val="20"/>
          <w:szCs w:val="20"/>
          <w:color w:val="auto"/>
        </w:rPr>
      </w:pPr>
    </w:p>
    <w:p>
      <w:pPr>
        <w:jc w:val="center"/>
        <w:ind w:left="720" w:right="160"/>
        <w:spacing w:after="0" w:line="440" w:lineRule="auto"/>
        <w:rPr>
          <w:sz w:val="20"/>
          <w:szCs w:val="20"/>
          <w:color w:val="auto"/>
        </w:rPr>
      </w:pPr>
      <w:r>
        <w:rPr>
          <w:rFonts w:ascii="Arial" w:cs="Arial" w:eastAsia="Arial" w:hAnsi="Arial"/>
          <w:sz w:val="18"/>
          <w:szCs w:val="18"/>
          <w:color w:val="auto"/>
        </w:rPr>
        <w:t>This restriction terminates after the close of trading of the common stock on and including the 60th day after the date of this prospectus supplement. S-23</w:t>
      </w:r>
    </w:p>
    <w:p>
      <w:pPr>
        <w:sectPr>
          <w:pgSz w:w="11900" w:h="16838" w:orient="portrait"/>
          <w:cols w:equalWidth="0" w:num="1">
            <w:col w:w="11200"/>
          </w:cols>
          <w:pgMar w:left="24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firstLine="441"/>
        <w:spacing w:after="0" w:line="307" w:lineRule="auto"/>
        <w:rPr>
          <w:sz w:val="20"/>
          <w:szCs w:val="20"/>
          <w:color w:val="auto"/>
        </w:rPr>
      </w:pPr>
      <w:r>
        <w:rPr>
          <w:rFonts w:ascii="Arial" w:cs="Arial" w:eastAsia="Arial" w:hAnsi="Arial"/>
          <w:sz w:val="15"/>
          <w:szCs w:val="15"/>
          <w:color w:val="auto"/>
        </w:rPr>
        <w:t>The foregoing restrictions shall not apply to us with respect to (a) the shares of our common stock to be sold hereunder, (b) the issuance by us of shares of common stock upon the exercise of an option or warrant (whether by cash exercise or “net” or “cashless exercise”) or the conversion of outstanding securities, in each case that is described in or issued pursuant to our equity incentive award plans, (c) the issuance of equity-based awards pursuant to the our equity incentive award plans, (d) the filing of a registration statement on Form S-8 relating to the shares of common stock granted, or options to purchase, pursuant to or reserved for issuance under our equity incentive award plans and (e) the sale or issuance of or entry into an agreement to sell or issue shares of common stock or securities convertible into or exercisable or exchangeable for common stock in connection with (1) an equipment leasing arrangement or debt financing facility, (2) mergers, (3) acquisition of securities, businesses, proper or other assets, (4) joint ventures or (5) strategic alliances; provided, that the aggregate number of shares of common stock or securities convertible into or exercisable for common stock (on an as-converted or as-exercised basis, as the case may be) that we may sell or issue or agree to sell or issue pursuant to this clause (e) shall not exceed 5.0% of the total number of shares of common stock issued and outstanding immediately following the completion of this offering; and provided further, that each recipient of shares of common stock or securities convertible into or exercisable for common stock pursuant to this clause (e) shall execute a lock-up agreement.</w:t>
      </w:r>
    </w:p>
    <w:p>
      <w:pPr>
        <w:spacing w:after="0" w:line="98"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The foregoing restrictions shall not apply to our officers and directors with respect to (a) the shares of our common stock to be sold hereunder; (b) the transfer of shares or related securities (i) by bona fide gift or gifts, will or intestacy, (ii) to a family member or any trust or entity formed for estate planning purposes, (iii) where the stockholder is a corporation, partnership or other business entity, as a distribution to partners, members or stockholders or a transfer to affiliates, or (iv) where the stockholder is a trust, to a trustor or beneficiary of the trust; (c) the transfer of shares or related securities upon a vesting event or upon the exercise or conversion of options or warrants to purchase the Company’s securities, in each case, on a “cashless” or “net exercise” basis or to cover tax withholding obligations of the undersigned in connection with such vesting or exercise; (d) the transfer of shares or related securities by operation of law; (e) the transfer of shares or related securities pursuant to agreements under which the Company has either the option to repurchase or a right of first refusal with respect to such shares or related securities of the Company; (f) the transfer of shares or related securities pursuant to a bona fide third party tender offer, merger, consolidation or other similar transaction made to all holders of shares or related securities involving a change of control of the Company; (g) selling shares or related securities pursuant to an existing 10b5-1 trading plan; and (h) establishing a 10b5-1 trading plan, provided that such plan does not allow for the sale of any shares or related securities during the lock-up period.</w:t>
      </w:r>
    </w:p>
    <w:p>
      <w:pPr>
        <w:spacing w:after="0" w:line="114" w:lineRule="exact"/>
        <w:rPr>
          <w:sz w:val="20"/>
          <w:szCs w:val="20"/>
          <w:color w:val="auto"/>
        </w:rPr>
      </w:pPr>
    </w:p>
    <w:p>
      <w:pPr>
        <w:jc w:val="both"/>
        <w:ind w:left="200" w:right="80" w:firstLine="441"/>
        <w:spacing w:after="0" w:line="306" w:lineRule="auto"/>
        <w:rPr>
          <w:sz w:val="20"/>
          <w:szCs w:val="20"/>
          <w:color w:val="auto"/>
        </w:rPr>
      </w:pPr>
      <w:r>
        <w:rPr>
          <w:rFonts w:ascii="Arial" w:cs="Arial" w:eastAsia="Arial" w:hAnsi="Arial"/>
          <w:sz w:val="16"/>
          <w:szCs w:val="16"/>
          <w:color w:val="auto"/>
        </w:rPr>
        <w:t>The representatives may, in their discretion and at any time or from time to time before the termination of the 60-day period release all or any portion of the securities subject to lock-up agreements. There are no existing agreements between the underwriters and any of our shareholders who will execute a lock-up agreement, providing consent to the sale of shares prior to the expiration of the lock-up period.</w:t>
      </w:r>
    </w:p>
    <w:p>
      <w:pPr>
        <w:spacing w:after="0" w:line="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Stabilization</w:t>
      </w:r>
    </w:p>
    <w:p>
      <w:pPr>
        <w:spacing w:after="0" w:line="83" w:lineRule="exact"/>
        <w:rPr>
          <w:sz w:val="20"/>
          <w:szCs w:val="20"/>
          <w:color w:val="auto"/>
        </w:rPr>
      </w:pPr>
    </w:p>
    <w:p>
      <w:pPr>
        <w:ind w:left="200" w:right="60" w:firstLine="441"/>
        <w:spacing w:after="0" w:line="256" w:lineRule="auto"/>
        <w:rPr>
          <w:sz w:val="20"/>
          <w:szCs w:val="20"/>
          <w:color w:val="auto"/>
        </w:rPr>
      </w:pPr>
      <w:r>
        <w:rPr>
          <w:rFonts w:ascii="Arial" w:cs="Arial" w:eastAsia="Arial" w:hAnsi="Arial"/>
          <w:sz w:val="18"/>
          <w:szCs w:val="18"/>
          <w:color w:val="auto"/>
        </w:rPr>
        <w:t>The underwriters have advised us that they may engage in short sale transactions, stabilizing transactions, syndicate covering transactions or the imposition of penalty bids in connection with this offering. These activities may have the effect of stabilizing or maintaining the market price of the common stock at a level above that which might otherwise prevail in the open market. Establishing short sales positions may involve either “covered” short sales or “naked” short sales.</w:t>
      </w:r>
    </w:p>
    <w:p>
      <w:pPr>
        <w:spacing w:after="0" w:line="130" w:lineRule="exact"/>
        <w:rPr>
          <w:sz w:val="20"/>
          <w:szCs w:val="20"/>
          <w:color w:val="auto"/>
        </w:rPr>
      </w:pPr>
    </w:p>
    <w:p>
      <w:pPr>
        <w:ind w:left="200" w:right="20" w:firstLine="441"/>
        <w:spacing w:after="0" w:line="294" w:lineRule="auto"/>
        <w:rPr>
          <w:sz w:val="20"/>
          <w:szCs w:val="20"/>
          <w:color w:val="auto"/>
        </w:rPr>
      </w:pPr>
      <w:r>
        <w:rPr>
          <w:rFonts w:ascii="Arial" w:cs="Arial" w:eastAsia="Arial" w:hAnsi="Arial"/>
          <w:sz w:val="16"/>
          <w:szCs w:val="16"/>
          <w:color w:val="auto"/>
        </w:rPr>
        <w:t>“Covered” short sales are sales made in an amount not greater than the underwriters’ option to purchase additional shares of our common stock in this offering. The underwriters may close out any covered short position by either exercising their option to purchase additional shares of our common stock or purchasing shares of our common stock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to purchase additional shares.</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200"/>
          </w:cols>
          <w:pgMar w:left="24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200" w:right="60" w:firstLine="441"/>
        <w:spacing w:after="0" w:line="256" w:lineRule="auto"/>
        <w:rPr>
          <w:sz w:val="20"/>
          <w:szCs w:val="20"/>
          <w:color w:val="auto"/>
        </w:rPr>
      </w:pPr>
      <w:r>
        <w:rPr>
          <w:rFonts w:ascii="Arial" w:cs="Arial" w:eastAsia="Arial" w:hAnsi="Arial"/>
          <w:sz w:val="18"/>
          <w:szCs w:val="18"/>
          <w:color w:val="auto"/>
        </w:rPr>
        <w:t>“Naked” short sales are sales in excess of the option to purchase additional shares of our common stock. The underwriters must close out any naked short position by purchasing shares in the open market. A naked short position is more likely to be created if the underwriters are concerned that there may be downward pressure on the price of the shares of our common stock in the open market after pricing that could adversely affect investors who purchase in this offering.</w:t>
      </w:r>
    </w:p>
    <w:p>
      <w:pPr>
        <w:spacing w:after="0" w:line="130"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A stabilizing bid is a bid for the purchase of shares of common stock on behalf of the underwriters for the purpose of fixing or maintaining the price of the common stock. A syndicate covering transaction is the bid for or the purchase of shares of common stock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A penalty bid is an arrangement permitting the underwriters to reclaim the selling concession otherwise accruing to a syndicate member in connection with the offering if the common stock originally sold by such syndicate member are purchased in a syndicate covering transaction and therefore have not been effectively placed by such syndicate member.</w:t>
      </w:r>
    </w:p>
    <w:p>
      <w:pPr>
        <w:spacing w:after="0" w:line="105"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None of the underwriters make any representation or prediction as to the direction or magnitude of any effect that the transactions described above may have on the price of our common stock. The underwriters are not obligated to engage in these activities and, if commenced, any of the activities may be discontinued at any time.</w:t>
      </w:r>
    </w:p>
    <w:p>
      <w:pPr>
        <w:spacing w:after="0" w:line="127" w:lineRule="exact"/>
        <w:rPr>
          <w:sz w:val="20"/>
          <w:szCs w:val="20"/>
          <w:color w:val="auto"/>
        </w:rPr>
      </w:pPr>
    </w:p>
    <w:p>
      <w:pPr>
        <w:ind w:left="200" w:right="20" w:firstLine="441"/>
        <w:spacing w:after="0" w:line="323" w:lineRule="auto"/>
        <w:rPr>
          <w:sz w:val="20"/>
          <w:szCs w:val="20"/>
          <w:color w:val="auto"/>
        </w:rPr>
      </w:pPr>
      <w:r>
        <w:rPr>
          <w:rFonts w:ascii="Arial" w:cs="Arial" w:eastAsia="Arial" w:hAnsi="Arial"/>
          <w:sz w:val="15"/>
          <w:szCs w:val="15"/>
          <w:color w:val="auto"/>
        </w:rPr>
        <w:t>The underwriters may also engage in passive market making transactions in our common stock on The Nasdaq Global Market in accordance with Rule 103 of Regulation M during a period before the commencement of offers or sales of shares of our common stock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7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Electronic Distribution</w:t>
      </w:r>
    </w:p>
    <w:p>
      <w:pPr>
        <w:spacing w:after="0" w:line="83"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A prospectus in electronic format may be made available by e-mail or through online services maintained by one or more of the underwriters or their affiliates. In those cases, prospective investors may view offering terms online and may be allowed to place orders online. The underwriters may agree with us to allocate a specific number of shares of common stock for sale to online brokerage account holders. Any such allocation for online distributions will be made by the underwriters on the same basis as other allocations. Other than the prospectus in electronic format, the information on the underwriters’ web sites and any information contained in any other web site maintained by any of the underwriters is not part of this prospectus, has not been approved and/or endorsed by us or the underwriters and should not be relied upon by investors.</w:t>
      </w:r>
    </w:p>
    <w:p>
      <w:pPr>
        <w:spacing w:after="0" w:line="1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Activities and Relationships</w:t>
      </w:r>
    </w:p>
    <w:p>
      <w:pPr>
        <w:spacing w:after="0" w:line="83" w:lineRule="exact"/>
        <w:rPr>
          <w:sz w:val="20"/>
          <w:szCs w:val="20"/>
          <w:color w:val="auto"/>
        </w:rPr>
      </w:pPr>
    </w:p>
    <w:p>
      <w:pPr>
        <w:ind w:left="200" w:right="40" w:firstLine="441"/>
        <w:spacing w:after="0" w:line="298" w:lineRule="auto"/>
        <w:rPr>
          <w:sz w:val="20"/>
          <w:szCs w:val="20"/>
          <w:color w:val="auto"/>
        </w:rPr>
      </w:pPr>
      <w:r>
        <w:rPr>
          <w:rFonts w:ascii="Arial" w:cs="Arial" w:eastAsia="Arial" w:hAnsi="Arial"/>
          <w:sz w:val="16"/>
          <w:szCs w:val="16"/>
          <w:color w:val="auto"/>
        </w:rPr>
        <w:t>The underwriter and certain of its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 and certain of its affiliates have, from time to time, performed, and may in the future perform, various commercial and investment banking and financial advisory services for us and our affiliates, for which they received or will receive customary fees and expenses.</w:t>
      </w:r>
    </w:p>
    <w:p>
      <w:pPr>
        <w:spacing w:after="0" w:line="99" w:lineRule="exact"/>
        <w:rPr>
          <w:sz w:val="20"/>
          <w:szCs w:val="20"/>
          <w:color w:val="auto"/>
        </w:rPr>
      </w:pPr>
    </w:p>
    <w:p>
      <w:pPr>
        <w:jc w:val="both"/>
        <w:ind w:left="200" w:right="120" w:firstLine="441"/>
        <w:spacing w:after="0" w:line="259" w:lineRule="auto"/>
        <w:rPr>
          <w:sz w:val="20"/>
          <w:szCs w:val="20"/>
          <w:color w:val="auto"/>
        </w:rPr>
      </w:pPr>
      <w:r>
        <w:rPr>
          <w:rFonts w:ascii="Arial" w:cs="Arial" w:eastAsia="Arial" w:hAnsi="Arial"/>
          <w:sz w:val="18"/>
          <w:szCs w:val="18"/>
          <w:color w:val="auto"/>
        </w:rPr>
        <w:t>In the ordinary course of their various business activities, the underwriter and certain of its affiliates may make or hold a broad array of investments and actively trade debt and equity securities (or related derivative securities) and financial instruments (including bank loans) for their own account and for the accounts of their</w:t>
      </w:r>
    </w:p>
    <w:p>
      <w:pPr>
        <w:spacing w:after="0" w:line="1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80"/>
        <w:spacing w:after="0" w:line="289" w:lineRule="auto"/>
        <w:rPr>
          <w:sz w:val="20"/>
          <w:szCs w:val="20"/>
          <w:color w:val="auto"/>
        </w:rPr>
      </w:pPr>
      <w:r>
        <w:rPr>
          <w:rFonts w:ascii="Arial" w:cs="Arial" w:eastAsia="Arial" w:hAnsi="Arial"/>
          <w:sz w:val="16"/>
          <w:szCs w:val="16"/>
          <w:color w:val="auto"/>
        </w:rPr>
        <w:t>customers, and such investment and securities activities may involve securities and/or instruments issued by us and our affiliates. If the underwriters or their respective affiliates have a lending relationship with us, they routinely hedge their credit exposure to us consistent with their customary risk management policies. The underwriters and their respective affiliates may hedge such exposure by entering into transactions which consist of either the purchase of credit default swaps or the creation of short positions in our securities or the securities of our affiliates, including potentially the common stock offered hereby. Any such short positions could adversely affect future trading prices of the common stock offered hereby.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9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Disclaimers About Non-U.S. Jurisdictions</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Other than in the United States, no action has been taken by us or the underwriters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in any jurisdiction in which such an offer or a solicitation is unlawful.</w:t>
      </w:r>
    </w:p>
    <w:p>
      <w:pPr>
        <w:spacing w:after="0" w:line="9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77" w:lineRule="exact"/>
        <w:rPr>
          <w:sz w:val="20"/>
          <w:szCs w:val="20"/>
          <w:color w:val="auto"/>
        </w:rPr>
      </w:pPr>
    </w:p>
    <w:p>
      <w:pPr>
        <w:ind w:left="200" w:firstLine="441"/>
        <w:spacing w:after="0" w:line="262"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w:t>
      </w:r>
      <w:r>
        <w:rPr>
          <w:rFonts w:ascii="Arial" w:cs="Arial" w:eastAsia="Arial" w:hAnsi="Arial"/>
          <w:sz w:val="18"/>
          <w:szCs w:val="18"/>
          <w:b w:val="1"/>
          <w:bCs w:val="1"/>
          <w:color w:val="auto"/>
        </w:rPr>
        <w:t>Relevant Member</w:t>
      </w:r>
      <w:r>
        <w:rPr>
          <w:rFonts w:ascii="Arial" w:cs="Arial" w:eastAsia="Arial" w:hAnsi="Arial"/>
          <w:sz w:val="18"/>
          <w:szCs w:val="18"/>
          <w:color w:val="auto"/>
        </w:rPr>
        <w:t xml:space="preserve"> </w:t>
      </w:r>
      <w:r>
        <w:rPr>
          <w:rFonts w:ascii="Arial" w:cs="Arial" w:eastAsia="Arial" w:hAnsi="Arial"/>
          <w:sz w:val="18"/>
          <w:szCs w:val="18"/>
          <w:b w:val="1"/>
          <w:bCs w:val="1"/>
          <w:color w:val="auto"/>
        </w:rPr>
        <w:t>State</w:t>
      </w:r>
      <w:r>
        <w:rPr>
          <w:rFonts w:ascii="Arial" w:cs="Arial" w:eastAsia="Arial" w:hAnsi="Arial"/>
          <w:sz w:val="18"/>
          <w:szCs w:val="18"/>
          <w:color w:val="auto"/>
        </w:rPr>
        <w:t>”), with effect from and including the date on which the Prospectus Directive is implemented in that Relevant Member State, no offer of shares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made to the public in that Relevant Member State other than:</w:t>
      </w:r>
    </w:p>
    <w:p>
      <w:pPr>
        <w:spacing w:after="0" w:line="44" w:lineRule="exact"/>
        <w:rPr>
          <w:sz w:val="20"/>
          <w:szCs w:val="20"/>
          <w:color w:val="auto"/>
        </w:rPr>
      </w:pPr>
    </w:p>
    <w:p>
      <w:pPr>
        <w:ind w:left="1180" w:hanging="544"/>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76" w:lineRule="exact"/>
        <w:rPr>
          <w:rFonts w:ascii="Arial" w:cs="Arial" w:eastAsia="Arial" w:hAnsi="Arial"/>
          <w:sz w:val="18"/>
          <w:szCs w:val="18"/>
          <w:color w:val="auto"/>
        </w:rPr>
      </w:pPr>
    </w:p>
    <w:p>
      <w:pPr>
        <w:ind w:left="1180" w:right="60" w:hanging="544"/>
        <w:spacing w:after="0" w:line="268" w:lineRule="auto"/>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underwriters; or</w:t>
      </w:r>
    </w:p>
    <w:p>
      <w:pPr>
        <w:spacing w:after="0" w:line="37" w:lineRule="exact"/>
        <w:rPr>
          <w:rFonts w:ascii="Arial" w:cs="Arial" w:eastAsia="Arial" w:hAnsi="Arial"/>
          <w:sz w:val="18"/>
          <w:szCs w:val="18"/>
          <w:color w:val="auto"/>
        </w:rPr>
      </w:pPr>
    </w:p>
    <w:p>
      <w:pPr>
        <w:ind w:left="1180" w:hanging="544"/>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58" w:lineRule="exact"/>
        <w:rPr>
          <w:sz w:val="20"/>
          <w:szCs w:val="20"/>
          <w:color w:val="auto"/>
        </w:rPr>
      </w:pPr>
    </w:p>
    <w:p>
      <w:pPr>
        <w:ind w:left="200" w:right="60"/>
        <w:spacing w:after="0" w:line="298" w:lineRule="auto"/>
        <w:rPr>
          <w:sz w:val="20"/>
          <w:szCs w:val="20"/>
          <w:color w:val="auto"/>
        </w:rPr>
      </w:pPr>
      <w:r>
        <w:rPr>
          <w:rFonts w:ascii="Arial" w:cs="Arial" w:eastAsia="Arial" w:hAnsi="Arial"/>
          <w:sz w:val="16"/>
          <w:szCs w:val="16"/>
          <w:color w:val="auto"/>
        </w:rPr>
        <w:t>provided that no such offer of shares shall require the Company or any underwriter to publish a prospectus pursuant to Article 3 of the Prospectus Directive or supplement a prospectus pursuant to Article 16 of the Prospectus Directive and each person who initially acquires any shares or to whom any offer is made will be deemed to have represented, acknowledged and agreed to and with each of the underwriters and the Company that it is a “qualified investor” within the meaning of the law in that Relevant Member State implementing Article 2(1)(e) of the Prospectus Directive.</w:t>
      </w:r>
    </w:p>
    <w:p>
      <w:pPr>
        <w:spacing w:after="0" w:line="99" w:lineRule="exact"/>
        <w:rPr>
          <w:sz w:val="20"/>
          <w:szCs w:val="20"/>
          <w:color w:val="auto"/>
        </w:rPr>
      </w:pPr>
    </w:p>
    <w:p>
      <w:pPr>
        <w:ind w:left="200" w:right="60" w:firstLine="441"/>
        <w:spacing w:after="0" w:line="294" w:lineRule="auto"/>
        <w:rPr>
          <w:sz w:val="20"/>
          <w:szCs w:val="20"/>
          <w:color w:val="auto"/>
        </w:rPr>
      </w:pPr>
      <w:r>
        <w:rPr>
          <w:rFonts w:ascii="Arial" w:cs="Arial" w:eastAsia="Arial" w:hAnsi="Arial"/>
          <w:sz w:val="16"/>
          <w:szCs w:val="16"/>
          <w:color w:val="auto"/>
        </w:rPr>
        <w:t>In the case of any shares being offered to a financial intermediary as that term is used in Article 3(2) of the Prospectus Directive,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Member State to qualified investors as so defined or in circumstances in which the prior consent of the representatives has been obtained to each such proposed offer or resale.</w:t>
      </w:r>
    </w:p>
    <w:p>
      <w:pPr>
        <w:spacing w:after="0" w:line="10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180"/>
          </w:cols>
          <w:pgMar w:left="240" w:top="459" w:right="4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6" w:lineRule="auto"/>
        <w:rPr>
          <w:sz w:val="20"/>
          <w:szCs w:val="20"/>
          <w:color w:val="auto"/>
        </w:rPr>
      </w:pPr>
      <w:r>
        <w:rPr>
          <w:rFonts w:ascii="Arial" w:cs="Arial" w:eastAsia="Arial" w:hAnsi="Arial"/>
          <w:sz w:val="18"/>
          <w:szCs w:val="18"/>
          <w:color w:val="auto"/>
        </w:rPr>
        <w:t>For the purposes of this provision, the expression an “</w:t>
      </w:r>
      <w:r>
        <w:rPr>
          <w:rFonts w:ascii="Arial" w:cs="Arial" w:eastAsia="Arial" w:hAnsi="Arial"/>
          <w:sz w:val="18"/>
          <w:szCs w:val="18"/>
          <w:b w:val="1"/>
          <w:bCs w:val="1"/>
          <w:color w:val="auto"/>
        </w:rPr>
        <w:t>offer of shares to the public</w:t>
      </w:r>
      <w:r>
        <w:rPr>
          <w:rFonts w:ascii="Arial" w:cs="Arial" w:eastAsia="Arial" w:hAnsi="Arial"/>
          <w:sz w:val="18"/>
          <w:szCs w:val="18"/>
          <w:color w:val="auto"/>
        </w:rPr>
        <w:t>” in relation to any shares in any Relevant Member State means the communication in any form and by means of sufficient information on the terms of the offer and the shares to be offered so as to enable an investor to decide to purchase shares, as the same may be varied in that Member State by any measure implementing the Prospectus Directive in that Member State, the expression “Prospectus Directive” means Directive 2003/71/EC (as amended, including by Directive 2010/73/EU), and includes any relevant implementing measure in the Relevant Member State.</w:t>
      </w:r>
    </w:p>
    <w:p>
      <w:pPr>
        <w:spacing w:after="0" w:line="1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83" w:lineRule="exact"/>
        <w:rPr>
          <w:sz w:val="20"/>
          <w:szCs w:val="20"/>
          <w:color w:val="auto"/>
        </w:rPr>
      </w:pPr>
    </w:p>
    <w:p>
      <w:pPr>
        <w:ind w:left="200" w:firstLine="441"/>
        <w:spacing w:after="0" w:line="284" w:lineRule="auto"/>
        <w:rPr>
          <w:sz w:val="20"/>
          <w:szCs w:val="20"/>
          <w:color w:val="auto"/>
        </w:rPr>
      </w:pPr>
      <w:r>
        <w:rPr>
          <w:rFonts w:ascii="Arial" w:cs="Arial" w:eastAsia="Arial" w:hAnsi="Arial"/>
          <w:sz w:val="16"/>
          <w:szCs w:val="16"/>
          <w:color w:val="auto"/>
        </w:rPr>
        <w:t>In addition, 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19(5) of the Financial Services and Markets Act 2000 (Financial Promotion) Order 2005, as amended (the “Order”) and/or</w:t>
      </w:r>
    </w:p>
    <w:p>
      <w:pPr>
        <w:spacing w:after="0" w:line="1" w:lineRule="exact"/>
        <w:rPr>
          <w:sz w:val="20"/>
          <w:szCs w:val="20"/>
          <w:color w:val="auto"/>
        </w:rPr>
      </w:pPr>
    </w:p>
    <w:p>
      <w:pPr>
        <w:ind w:left="200" w:right="40" w:firstLine="4"/>
        <w:spacing w:after="0" w:line="302" w:lineRule="auto"/>
        <w:tabs>
          <w:tab w:leader="none" w:pos="459" w:val="left"/>
        </w:tabs>
        <w:numPr>
          <w:ilvl w:val="0"/>
          <w:numId w:val="14"/>
        </w:numPr>
        <w:rPr>
          <w:rFonts w:ascii="Arial" w:cs="Arial" w:eastAsia="Arial" w:hAnsi="Arial"/>
          <w:sz w:val="16"/>
          <w:szCs w:val="16"/>
          <w:color w:val="auto"/>
        </w:rPr>
      </w:pPr>
      <w:r>
        <w:rPr>
          <w:rFonts w:ascii="Arial" w:cs="Arial" w:eastAsia="Arial" w:hAnsi="Arial"/>
          <w:sz w:val="16"/>
          <w:szCs w:val="16"/>
          <w:color w:val="auto"/>
        </w:rPr>
        <w:t>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Financial Services and Markets Act 2000.</w:t>
      </w:r>
    </w:p>
    <w:p>
      <w:pPr>
        <w:spacing w:after="0" w:line="96"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83" w:lineRule="exact"/>
        <w:rPr>
          <w:sz w:val="20"/>
          <w:szCs w:val="20"/>
          <w:color w:val="auto"/>
        </w:rPr>
      </w:pPr>
    </w:p>
    <w:p>
      <w:pPr>
        <w:ind w:left="200" w:right="120" w:firstLine="441"/>
        <w:spacing w:after="0" w:line="298" w:lineRule="auto"/>
        <w:rPr>
          <w:sz w:val="20"/>
          <w:szCs w:val="20"/>
          <w:color w:val="auto"/>
        </w:rPr>
      </w:pPr>
      <w:r>
        <w:rPr>
          <w:rFonts w:ascii="Arial" w:cs="Arial" w:eastAsia="Arial" w:hAnsi="Arial"/>
          <w:sz w:val="16"/>
          <w:szCs w:val="16"/>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99" w:lineRule="exact"/>
        <w:rPr>
          <w:sz w:val="20"/>
          <w:szCs w:val="20"/>
          <w:color w:val="auto"/>
        </w:rPr>
      </w:pPr>
    </w:p>
    <w:p>
      <w:pPr>
        <w:jc w:val="both"/>
        <w:ind w:left="200" w:right="60" w:firstLine="441"/>
        <w:spacing w:after="0" w:line="298"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99" w:lineRule="exact"/>
        <w:rPr>
          <w:sz w:val="20"/>
          <w:szCs w:val="20"/>
          <w:color w:val="auto"/>
        </w:rPr>
      </w:pPr>
    </w:p>
    <w:p>
      <w:pPr>
        <w:ind w:left="200" w:right="340" w:firstLine="441"/>
        <w:spacing w:after="0" w:line="268"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64" w:lineRule="exact"/>
        <w:rPr>
          <w:sz w:val="20"/>
          <w:szCs w:val="20"/>
          <w:color w:val="auto"/>
        </w:rPr>
      </w:pPr>
    </w:p>
    <w:p>
      <w:pPr>
        <w:ind w:left="200" w:right="40" w:firstLine="441"/>
        <w:spacing w:after="0" w:line="254" w:lineRule="auto"/>
        <w:rPr>
          <w:sz w:val="20"/>
          <w:szCs w:val="20"/>
          <w:color w:val="auto"/>
        </w:rPr>
      </w:pPr>
      <w:r>
        <w:rPr>
          <w:rFonts w:ascii="Arial" w:cs="Arial" w:eastAsia="Arial" w:hAnsi="Arial"/>
          <w:sz w:val="18"/>
          <w:szCs w:val="18"/>
          <w:color w:val="auto"/>
        </w:rPr>
        <w:t>The shares may not be publicly offered in Switzerland and will not be listed on the SIX Swiss Exchange, or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or FINMA, and the offer of shares has not been and will not be authorized under the Swiss Federal Act on Collective Investment Schemes, or CISA. The investor protection afforded to acquirers of interests in collective investment schemes under the CISA does not extend to acquirers of shares.</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8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This document:</w:t>
      </w:r>
    </w:p>
    <w:p>
      <w:pPr>
        <w:spacing w:after="0" w:line="77" w:lineRule="exact"/>
        <w:rPr>
          <w:sz w:val="20"/>
          <w:szCs w:val="20"/>
          <w:color w:val="auto"/>
        </w:rPr>
      </w:pPr>
    </w:p>
    <w:p>
      <w:pPr>
        <w:ind w:left="860" w:right="420" w:hanging="224"/>
        <w:spacing w:after="0" w:line="268" w:lineRule="auto"/>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does not constitute a product disclosure document or a prospectus under Chapter 6D.2 of the Corporations Act 2001 (Cth) (the “Corporations Act”);</w:t>
      </w:r>
    </w:p>
    <w:p>
      <w:pPr>
        <w:spacing w:after="0" w:line="37" w:lineRule="exact"/>
        <w:rPr>
          <w:rFonts w:ascii="Arial" w:cs="Arial" w:eastAsia="Arial" w:hAnsi="Arial"/>
          <w:sz w:val="18"/>
          <w:szCs w:val="18"/>
          <w:color w:val="auto"/>
        </w:rPr>
      </w:pPr>
    </w:p>
    <w:p>
      <w:pPr>
        <w:ind w:left="860" w:right="340" w:hanging="224"/>
        <w:spacing w:after="0" w:line="259" w:lineRule="auto"/>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or ASIC, as a disclosure document for the purposes of the Corporations Act and does not purport to include the information required of a disclosure document under Chapter 6D.2 of the Corporations Act;</w:t>
      </w:r>
    </w:p>
    <w:p>
      <w:pPr>
        <w:spacing w:after="0" w:line="45" w:lineRule="exact"/>
        <w:rPr>
          <w:rFonts w:ascii="Arial" w:cs="Arial" w:eastAsia="Arial" w:hAnsi="Arial"/>
          <w:sz w:val="18"/>
          <w:szCs w:val="18"/>
          <w:color w:val="auto"/>
        </w:rPr>
      </w:pPr>
    </w:p>
    <w:p>
      <w:pPr>
        <w:ind w:left="860" w:hanging="224"/>
        <w:spacing w:after="0" w:line="347" w:lineRule="auto"/>
        <w:tabs>
          <w:tab w:leader="none" w:pos="8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does not constitute or involve a recommendation to acquire, an offer or invitation for issue or sale, an offer or invitation to arrange the issue or sale, or an issue or sale, of interests to a “retail client” (as defined in section 761G of the Corporations Act and applicable regulations) in Australia; and</w:t>
      </w:r>
    </w:p>
    <w:p>
      <w:pPr>
        <w:ind w:left="860" w:hanging="224"/>
        <w:spacing w:after="0" w:line="268" w:lineRule="auto"/>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or Exempt Investors, available under section 708 of the Corporations Act.</w:t>
      </w:r>
    </w:p>
    <w:p>
      <w:pPr>
        <w:spacing w:after="0" w:line="118" w:lineRule="exact"/>
        <w:rPr>
          <w:sz w:val="20"/>
          <w:szCs w:val="20"/>
          <w:color w:val="auto"/>
        </w:rPr>
      </w:pPr>
    </w:p>
    <w:p>
      <w:pPr>
        <w:ind w:left="200" w:right="40" w:firstLine="441"/>
        <w:spacing w:after="0" w:line="298" w:lineRule="auto"/>
        <w:rPr>
          <w:sz w:val="20"/>
          <w:szCs w:val="20"/>
          <w:color w:val="auto"/>
        </w:rPr>
      </w:pPr>
      <w:r>
        <w:rPr>
          <w:rFonts w:ascii="Arial" w:cs="Arial" w:eastAsia="Arial" w:hAnsi="Arial"/>
          <w:sz w:val="16"/>
          <w:szCs w:val="16"/>
          <w:color w:val="auto"/>
        </w:rPr>
        <w:t>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99" w:lineRule="exact"/>
        <w:rPr>
          <w:sz w:val="20"/>
          <w:szCs w:val="20"/>
          <w:color w:val="auto"/>
        </w:rPr>
      </w:pPr>
    </w:p>
    <w:p>
      <w:pPr>
        <w:ind w:left="200" w:right="60" w:firstLine="441"/>
        <w:spacing w:after="0" w:line="254" w:lineRule="auto"/>
        <w:rPr>
          <w:sz w:val="20"/>
          <w:szCs w:val="20"/>
          <w:color w:val="auto"/>
        </w:rPr>
      </w:pPr>
      <w:r>
        <w:rPr>
          <w:rFonts w:ascii="Arial" w:cs="Arial" w:eastAsia="Arial" w:hAnsi="Arial"/>
          <w:sz w:val="18"/>
          <w:szCs w:val="18"/>
          <w:color w:val="auto"/>
        </w:rPr>
        <w:t>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issue of the shares, offer, transfer, assign or otherwise alienate those securities to investors in Australia except in circumstances where disclosure to investors is not required under Chapter 6D.2 of the Corporations Act or where a compliant disclosure document is prepared and lodged with ASIC.</w:t>
      </w:r>
    </w:p>
    <w:p>
      <w:pPr>
        <w:spacing w:after="0" w:line="1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83" w:lineRule="exact"/>
        <w:rPr>
          <w:sz w:val="20"/>
          <w:szCs w:val="20"/>
          <w:color w:val="auto"/>
        </w:rPr>
      </w:pPr>
    </w:p>
    <w:p>
      <w:pPr>
        <w:ind w:left="200" w:right="140" w:firstLine="441"/>
        <w:spacing w:after="0" w:line="291" w:lineRule="auto"/>
        <w:rPr>
          <w:sz w:val="20"/>
          <w:szCs w:val="20"/>
          <w:color w:val="auto"/>
        </w:rPr>
      </w:pPr>
      <w:r>
        <w:rPr>
          <w:rFonts w:ascii="Arial" w:cs="Arial" w:eastAsia="Arial" w:hAnsi="Arial"/>
          <w:sz w:val="16"/>
          <w:szCs w:val="16"/>
          <w:color w:val="auto"/>
        </w:rPr>
        <w:t>The shares have not been and will not be registered pursuant to Article 4, Paragraph 1 of the Financial Instruments and Exchange Act.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83" w:lineRule="exact"/>
        <w:rPr>
          <w:sz w:val="20"/>
          <w:szCs w:val="20"/>
          <w:color w:val="auto"/>
        </w:rPr>
      </w:pPr>
    </w:p>
    <w:p>
      <w:pPr>
        <w:ind w:left="200" w:right="320" w:firstLine="441"/>
        <w:spacing w:after="0" w:line="268" w:lineRule="auto"/>
        <w:rPr>
          <w:sz w:val="20"/>
          <w:szCs w:val="20"/>
          <w:color w:val="auto"/>
        </w:rPr>
      </w:pPr>
      <w:r>
        <w:rPr>
          <w:rFonts w:ascii="Arial" w:cs="Arial" w:eastAsia="Arial" w:hAnsi="Arial"/>
          <w:sz w:val="18"/>
          <w:szCs w:val="18"/>
          <w:color w:val="auto"/>
        </w:rPr>
        <w:t>The shares have not been offered or sold and will not be offered or sold in Hong Kong, by means of any document, other than (a) to “professional investors” as defined in the Securities and Futures Ordinance (Cap.</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200"/>
          </w:cols>
          <w:pgMar w:left="24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80" w:firstLine="4"/>
        <w:spacing w:after="0" w:line="290" w:lineRule="auto"/>
        <w:tabs>
          <w:tab w:leader="none" w:pos="566" w:val="left"/>
        </w:tabs>
        <w:numPr>
          <w:ilvl w:val="0"/>
          <w:numId w:val="16"/>
        </w:numPr>
        <w:rPr>
          <w:rFonts w:ascii="Arial" w:cs="Arial" w:eastAsia="Arial" w:hAnsi="Arial"/>
          <w:sz w:val="16"/>
          <w:szCs w:val="16"/>
          <w:color w:val="auto"/>
        </w:rPr>
      </w:pPr>
      <w:r>
        <w:rPr>
          <w:rFonts w:ascii="Arial" w:cs="Arial" w:eastAsia="Arial" w:hAnsi="Arial"/>
          <w:sz w:val="16"/>
          <w:szCs w:val="16"/>
          <w:color w:val="auto"/>
        </w:rPr>
        <w:t>of Hong Kong and any rules made under that Ordinance; or (b) in other circumstances which do not result in the document being a “prospectus” as defined in the Companies (Winding Up and Miscellaneous Provisions)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9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83"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77" w:lineRule="exact"/>
        <w:rPr>
          <w:sz w:val="20"/>
          <w:szCs w:val="20"/>
          <w:color w:val="auto"/>
        </w:rPr>
      </w:pPr>
    </w:p>
    <w:p>
      <w:pPr>
        <w:ind w:left="1180" w:right="20" w:hanging="544"/>
        <w:spacing w:after="0" w:line="325" w:lineRule="auto"/>
        <w:tabs>
          <w:tab w:leader="none" w:pos="11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 w:lineRule="exact"/>
        <w:rPr>
          <w:rFonts w:ascii="Arial" w:cs="Arial" w:eastAsia="Arial" w:hAnsi="Arial"/>
          <w:sz w:val="16"/>
          <w:szCs w:val="16"/>
          <w:color w:val="auto"/>
        </w:rPr>
      </w:pPr>
    </w:p>
    <w:p>
      <w:pPr>
        <w:ind w:left="1180" w:right="520" w:hanging="544"/>
        <w:spacing w:after="0" w:line="268" w:lineRule="auto"/>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18" w:lineRule="exact"/>
        <w:rPr>
          <w:sz w:val="20"/>
          <w:szCs w:val="20"/>
          <w:color w:val="auto"/>
        </w:rPr>
      </w:pPr>
    </w:p>
    <w:p>
      <w:pPr>
        <w:jc w:val="both"/>
        <w:ind w:left="200" w:right="140"/>
        <w:spacing w:after="0" w:line="347" w:lineRule="auto"/>
        <w:rPr>
          <w:sz w:val="20"/>
          <w:szCs w:val="20"/>
          <w:color w:val="auto"/>
        </w:rPr>
      </w:pPr>
      <w:r>
        <w:rPr>
          <w:rFonts w:ascii="Arial" w:cs="Arial" w:eastAsia="Arial" w:hAnsi="Arial"/>
          <w:sz w:val="15"/>
          <w:szCs w:val="15"/>
          <w:color w:val="auto"/>
        </w:rPr>
        <w:t>securities (as defined in Section 239(1)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 w:lineRule="exact"/>
        <w:rPr>
          <w:sz w:val="20"/>
          <w:szCs w:val="20"/>
          <w:color w:val="auto"/>
        </w:rPr>
      </w:pPr>
    </w:p>
    <w:p>
      <w:pPr>
        <w:ind w:left="1180" w:right="240" w:hanging="544"/>
        <w:spacing w:after="0" w:line="268" w:lineRule="auto"/>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37" w:lineRule="exact"/>
        <w:rPr>
          <w:rFonts w:ascii="Arial" w:cs="Arial" w:eastAsia="Arial" w:hAnsi="Arial"/>
          <w:sz w:val="18"/>
          <w:szCs w:val="18"/>
          <w:color w:val="auto"/>
        </w:rPr>
      </w:pPr>
    </w:p>
    <w:p>
      <w:pPr>
        <w:ind w:left="1180" w:hanging="544"/>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76" w:lineRule="exact"/>
        <w:rPr>
          <w:rFonts w:ascii="Arial" w:cs="Arial" w:eastAsia="Arial" w:hAnsi="Arial"/>
          <w:sz w:val="18"/>
          <w:szCs w:val="18"/>
          <w:color w:val="auto"/>
        </w:rPr>
      </w:pPr>
    </w:p>
    <w:p>
      <w:pPr>
        <w:ind w:left="1180" w:hanging="544"/>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76" w:lineRule="exact"/>
        <w:rPr>
          <w:rFonts w:ascii="Arial" w:cs="Arial" w:eastAsia="Arial" w:hAnsi="Arial"/>
          <w:sz w:val="18"/>
          <w:szCs w:val="18"/>
          <w:color w:val="auto"/>
        </w:rPr>
      </w:pPr>
    </w:p>
    <w:p>
      <w:pPr>
        <w:ind w:left="1180" w:hanging="544"/>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76" w:lineRule="exact"/>
        <w:rPr>
          <w:rFonts w:ascii="Arial" w:cs="Arial" w:eastAsia="Arial" w:hAnsi="Arial"/>
          <w:sz w:val="18"/>
          <w:szCs w:val="18"/>
          <w:color w:val="auto"/>
        </w:rPr>
      </w:pPr>
    </w:p>
    <w:p>
      <w:pPr>
        <w:ind w:left="1180" w:hanging="544"/>
        <w:spacing w:after="0"/>
        <w:tabs>
          <w:tab w:leader="none" w:pos="11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as specified in Regulation 32 of the Securities and Futures (Offers of Investments) (Shares and Debentures) Regulations 2005 of Singapore.</w:t>
      </w:r>
    </w:p>
    <w:p>
      <w:pPr>
        <w:spacing w:after="0" w:line="18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180"/>
          </w:cols>
          <w:pgMar w:left="240" w:top="459" w:right="4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LEGAL MATTERS</w:t>
      </w:r>
    </w:p>
    <w:p>
      <w:pPr>
        <w:spacing w:after="0" w:line="164" w:lineRule="exact"/>
        <w:rPr>
          <w:sz w:val="20"/>
          <w:szCs w:val="20"/>
          <w:color w:val="auto"/>
        </w:rPr>
      </w:pPr>
    </w:p>
    <w:p>
      <w:pPr>
        <w:ind w:left="200" w:firstLine="441"/>
        <w:spacing w:after="0" w:line="268" w:lineRule="auto"/>
        <w:rPr>
          <w:sz w:val="20"/>
          <w:szCs w:val="20"/>
          <w:color w:val="auto"/>
        </w:rPr>
      </w:pPr>
      <w:r>
        <w:rPr>
          <w:rFonts w:ascii="Arial" w:cs="Arial" w:eastAsia="Arial" w:hAnsi="Arial"/>
          <w:sz w:val="18"/>
          <w:szCs w:val="18"/>
          <w:color w:val="auto"/>
        </w:rPr>
        <w:t>The validity of the issuance of our common stock offered hereby will be passed upon for us by Latham &amp; Watkins LLP, Menlo Park, California. Davis Polk &amp; Wardwell LLP, Menlo Park, California, is acting as counsel for the underwriters in connection with this offering.</w:t>
      </w:r>
    </w:p>
    <w:p>
      <w:pPr>
        <w:spacing w:after="0" w:line="11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ind w:left="200" w:right="140" w:firstLine="441"/>
        <w:spacing w:after="0" w:line="256" w:lineRule="auto"/>
        <w:rPr>
          <w:sz w:val="20"/>
          <w:szCs w:val="20"/>
          <w:color w:val="auto"/>
        </w:rPr>
      </w:pPr>
      <w:r>
        <w:rPr>
          <w:rFonts w:ascii="Arial" w:cs="Arial" w:eastAsia="Arial" w:hAnsi="Arial"/>
          <w:sz w:val="18"/>
          <w:szCs w:val="18"/>
          <w:color w:val="auto"/>
        </w:rPr>
        <w:t>Ernst &amp; Young LLP, independent registered public accounting firm, has audited our consolidated financial statements included in our Annual Report on Form 10-K for the year ended December 31, 2018, as set forth in their report, which is incorporated by reference in this prospectus supplement and elsewhere in the registration statement. Our financial statements are incorporated by reference in reliance on Ernst &amp; Young LLP’s report, given on their authority as experts in accounting and auditing.</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4" w:lineRule="exact"/>
        <w:rPr>
          <w:sz w:val="20"/>
          <w:szCs w:val="20"/>
          <w:color w:val="auto"/>
        </w:rPr>
      </w:pPr>
    </w:p>
    <w:p>
      <w:pPr>
        <w:ind w:left="200" w:right="60" w:firstLine="441"/>
        <w:spacing w:after="0" w:line="254" w:lineRule="auto"/>
        <w:rPr>
          <w:sz w:val="20"/>
          <w:szCs w:val="20"/>
          <w:color w:val="auto"/>
        </w:rPr>
      </w:pPr>
      <w:r>
        <w:rPr>
          <w:rFonts w:ascii="Arial" w:cs="Arial" w:eastAsia="Arial" w:hAnsi="Arial"/>
          <w:sz w:val="18"/>
          <w:szCs w:val="18"/>
          <w:color w:val="auto"/>
        </w:rPr>
        <w:t>We have filed with the SEC a registration statement on Form S-3 under the Securities Act, of which this prospectus forms a part. The rules and regulations of the SEC allow us to omit from this prospectus certain information included in the registration statement. For further information about us and the securities we are offering under this prospectus, you should refer to the registration statement and the exhibits and schedules filed with the registration statement. With respect to the statements contained in this prospectus regarding the contents of any agreement or any other document, in each instance, the statement is qualified in all respects by the complete text of the agreement or document, a copy of which has been filed as an exhibit to the registration statement.</w:t>
      </w:r>
    </w:p>
    <w:p>
      <w:pPr>
        <w:spacing w:after="0" w:line="131" w:lineRule="exact"/>
        <w:rPr>
          <w:sz w:val="20"/>
          <w:szCs w:val="20"/>
          <w:color w:val="auto"/>
        </w:rPr>
      </w:pPr>
    </w:p>
    <w:p>
      <w:pPr>
        <w:ind w:left="200" w:right="500" w:firstLine="441"/>
        <w:spacing w:after="0" w:line="259" w:lineRule="auto"/>
        <w:rPr>
          <w:sz w:val="20"/>
          <w:szCs w:val="20"/>
          <w:color w:val="auto"/>
        </w:rPr>
      </w:pPr>
      <w:r>
        <w:rPr>
          <w:rFonts w:ascii="Arial" w:cs="Arial" w:eastAsia="Arial" w:hAnsi="Arial"/>
          <w:sz w:val="18"/>
          <w:szCs w:val="18"/>
          <w:color w:val="auto"/>
        </w:rPr>
        <w:t xml:space="preserve">We file reports, proxy statements and other information with the SEC under the Exchange Act. The SEC also maintains an Internet website that contains reports, proxy statements and other information about issuers, like us, that file electronically with the SEC. The address of that website is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164"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The SEC allows us to “incorporate by reference” the information we file with them which means that we can disclose important information to you by referring you to those documents instead of having to repeat the information in this prospectus. The information incorporated by reference is considered to be part of this prospectus, and later information that we file with the SEC will automatically update and supersede this information. We incorporate by reference the documents listed below and any future information filed (rather than furnished) with the SEC under Sections 13(a), 13(c), 14, or 15(d) of the Exchange Act between the date of this prospectus and the termination of this offering, provided, however, that we are not incorporating any information furnished under Item 2.02 or Item 7.01 of any current report on Form 8-K:</w:t>
      </w:r>
    </w:p>
    <w:p>
      <w:pPr>
        <w:spacing w:after="0" w:line="26" w:lineRule="exact"/>
        <w:rPr>
          <w:sz w:val="20"/>
          <w:szCs w:val="20"/>
          <w:color w:val="auto"/>
        </w:rPr>
      </w:pPr>
    </w:p>
    <w:p>
      <w:pPr>
        <w:ind w:left="860" w:right="120" w:hanging="224"/>
        <w:spacing w:after="0" w:line="259" w:lineRule="auto"/>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44">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year ended December 31, 2018, filed with the SEC on March 6, 2019, including the information specifically incorporated by reference into our Annual Report on Form 10-K from our </w:t>
      </w:r>
      <w:hyperlink r:id="rId45">
        <w:r>
          <w:rPr>
            <w:rFonts w:ascii="Arial" w:cs="Arial" w:eastAsia="Arial" w:hAnsi="Arial"/>
            <w:sz w:val="18"/>
            <w:szCs w:val="18"/>
            <w:u w:val="single" w:color="auto"/>
            <w:color w:val="0000EE"/>
          </w:rPr>
          <w:t>Definitive Proxy Statement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on Schedule 14A filed with the SEC on April 26, 2019;</w:t>
      </w:r>
    </w:p>
    <w:p>
      <w:pPr>
        <w:spacing w:after="0" w:line="45" w:lineRule="exact"/>
        <w:rPr>
          <w:rFonts w:ascii="Arial" w:cs="Arial" w:eastAsia="Arial" w:hAnsi="Arial"/>
          <w:sz w:val="18"/>
          <w:szCs w:val="18"/>
          <w:color w:val="auto"/>
        </w:rPr>
      </w:pPr>
    </w:p>
    <w:p>
      <w:pPr>
        <w:ind w:left="860" w:right="20" w:hanging="224"/>
        <w:spacing w:after="0" w:line="268" w:lineRule="auto"/>
        <w:tabs>
          <w:tab w:leader="none" w:pos="860" w:val="left"/>
        </w:tabs>
        <w:numPr>
          <w:ilvl w:val="0"/>
          <w:numId w:val="19"/>
        </w:numPr>
        <w:rPr>
          <w:rFonts w:ascii="Arial" w:cs="Arial" w:eastAsia="Arial" w:hAnsi="Arial"/>
          <w:sz w:val="18"/>
          <w:szCs w:val="18"/>
          <w:color w:val="0000EE"/>
        </w:rPr>
      </w:pPr>
      <w:hyperlink r:id="rId46">
        <w:r>
          <w:rPr>
            <w:rFonts w:ascii="Arial" w:cs="Arial" w:eastAsia="Arial" w:hAnsi="Arial"/>
            <w:sz w:val="18"/>
            <w:szCs w:val="18"/>
            <w:color w:val="auto"/>
          </w:rPr>
          <w:t xml:space="preserve">our Quarterly Reports on Form 10-Q for the quarters ended March 31, 2019, June 30, 2019 and September 30, 2019, filed with the SEC on </w:t>
        </w:r>
        <w:r>
          <w:rPr>
            <w:rFonts w:ascii="Arial" w:cs="Arial" w:eastAsia="Arial" w:hAnsi="Arial"/>
            <w:sz w:val="18"/>
            <w:szCs w:val="18"/>
            <w:u w:val="single" w:color="auto"/>
            <w:color w:val="0000EE"/>
          </w:rPr>
          <w:t>May 7,</w:t>
        </w:r>
      </w:hyperlink>
      <w:r>
        <w:rPr>
          <w:rFonts w:ascii="Arial" w:cs="Arial" w:eastAsia="Arial" w:hAnsi="Arial"/>
          <w:sz w:val="18"/>
          <w:szCs w:val="18"/>
          <w:color w:val="auto"/>
        </w:rPr>
        <w:t xml:space="preserve"> </w:t>
      </w:r>
      <w:hyperlink r:id="rId46">
        <w:r>
          <w:rPr>
            <w:rFonts w:ascii="Arial" w:cs="Arial" w:eastAsia="Arial" w:hAnsi="Arial"/>
            <w:sz w:val="18"/>
            <w:szCs w:val="18"/>
            <w:u w:val="single" w:color="auto"/>
            <w:color w:val="0000EE"/>
          </w:rPr>
          <w:t>2019</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47">
        <w:r>
          <w:rPr>
            <w:rFonts w:ascii="Arial" w:cs="Arial" w:eastAsia="Arial" w:hAnsi="Arial"/>
            <w:sz w:val="18"/>
            <w:szCs w:val="18"/>
            <w:u w:val="single" w:color="auto"/>
            <w:color w:val="0000EE"/>
          </w:rPr>
          <w:t xml:space="preserve">August 9, 2019 </w:t>
        </w:r>
      </w:hyperlink>
      <w:hyperlink r:id="rId46">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48">
        <w:r>
          <w:rPr>
            <w:rFonts w:ascii="Arial" w:cs="Arial" w:eastAsia="Arial" w:hAnsi="Arial"/>
            <w:sz w:val="18"/>
            <w:szCs w:val="18"/>
            <w:u w:val="single" w:color="auto"/>
            <w:color w:val="0000EE"/>
          </w:rPr>
          <w:t>November 6, 2019</w:t>
        </w:r>
      </w:hyperlink>
      <w:hyperlink r:id="rId46">
        <w:r>
          <w:rPr>
            <w:rFonts w:ascii="Arial" w:cs="Arial" w:eastAsia="Arial" w:hAnsi="Arial"/>
            <w:sz w:val="18"/>
            <w:szCs w:val="18"/>
            <w:color w:val="000000"/>
          </w:rPr>
          <w:t>, respectively;</w:t>
        </w:r>
      </w:hyperlink>
    </w:p>
    <w:p>
      <w:pPr>
        <w:spacing w:after="0" w:line="37" w:lineRule="exact"/>
        <w:rPr>
          <w:rFonts w:ascii="Arial" w:cs="Arial" w:eastAsia="Arial" w:hAnsi="Arial"/>
          <w:sz w:val="18"/>
          <w:szCs w:val="18"/>
          <w:color w:val="0000EE"/>
        </w:rPr>
      </w:pPr>
    </w:p>
    <w:p>
      <w:pPr>
        <w:ind w:left="860" w:right="200" w:hanging="224"/>
        <w:spacing w:after="0" w:line="268" w:lineRule="auto"/>
        <w:tabs>
          <w:tab w:leader="none" w:pos="860" w:val="left"/>
        </w:tabs>
        <w:numPr>
          <w:ilvl w:val="0"/>
          <w:numId w:val="19"/>
        </w:numPr>
        <w:rPr>
          <w:rFonts w:ascii="Arial" w:cs="Arial" w:eastAsia="Arial" w:hAnsi="Arial"/>
          <w:sz w:val="18"/>
          <w:szCs w:val="18"/>
          <w:color w:val="0000EE"/>
        </w:rPr>
      </w:pPr>
      <w:r>
        <w:rPr>
          <w:rFonts w:ascii="Arial" w:cs="Arial" w:eastAsia="Arial" w:hAnsi="Arial"/>
          <w:sz w:val="18"/>
          <w:szCs w:val="18"/>
          <w:color w:val="auto"/>
        </w:rPr>
        <w:t xml:space="preserve">our Current Reports on Form 8-K filed with the SEC on </w:t>
      </w:r>
      <w:hyperlink r:id="rId49">
        <w:r>
          <w:rPr>
            <w:rFonts w:ascii="Arial" w:cs="Arial" w:eastAsia="Arial" w:hAnsi="Arial"/>
            <w:sz w:val="18"/>
            <w:szCs w:val="18"/>
            <w:u w:val="single" w:color="auto"/>
            <w:color w:val="0000EE"/>
          </w:rPr>
          <w:t>March 18, 2019</w:t>
        </w:r>
      </w:hyperlink>
      <w:r>
        <w:rPr>
          <w:rFonts w:ascii="Arial" w:cs="Arial" w:eastAsia="Arial" w:hAnsi="Arial"/>
          <w:sz w:val="18"/>
          <w:szCs w:val="18"/>
          <w:color w:val="auto"/>
        </w:rPr>
        <w:t xml:space="preserve">, </w:t>
      </w:r>
      <w:hyperlink r:id="rId50">
        <w:r>
          <w:rPr>
            <w:rFonts w:ascii="Arial" w:cs="Arial" w:eastAsia="Arial" w:hAnsi="Arial"/>
            <w:sz w:val="18"/>
            <w:szCs w:val="18"/>
            <w:u w:val="single" w:color="auto"/>
            <w:color w:val="0000EE"/>
          </w:rPr>
          <w:t>June 5, 2019</w:t>
        </w:r>
      </w:hyperlink>
      <w:r>
        <w:rPr>
          <w:rFonts w:ascii="Arial" w:cs="Arial" w:eastAsia="Arial" w:hAnsi="Arial"/>
          <w:sz w:val="18"/>
          <w:szCs w:val="18"/>
          <w:color w:val="auto"/>
        </w:rPr>
        <w:t xml:space="preserve">, </w:t>
      </w:r>
      <w:hyperlink r:id="rId51">
        <w:r>
          <w:rPr>
            <w:rFonts w:ascii="Arial" w:cs="Arial" w:eastAsia="Arial" w:hAnsi="Arial"/>
            <w:sz w:val="18"/>
            <w:szCs w:val="18"/>
            <w:u w:val="single" w:color="auto"/>
            <w:color w:val="0000EE"/>
          </w:rPr>
          <w:t>June 14, 2019</w:t>
        </w:r>
      </w:hyperlink>
      <w:r>
        <w:rPr>
          <w:rFonts w:ascii="Arial" w:cs="Arial" w:eastAsia="Arial" w:hAnsi="Arial"/>
          <w:sz w:val="18"/>
          <w:szCs w:val="18"/>
          <w:color w:val="auto"/>
        </w:rPr>
        <w:t xml:space="preserve">, </w:t>
      </w:r>
      <w:hyperlink r:id="rId52">
        <w:r>
          <w:rPr>
            <w:rFonts w:ascii="Arial" w:cs="Arial" w:eastAsia="Arial" w:hAnsi="Arial"/>
            <w:sz w:val="18"/>
            <w:szCs w:val="18"/>
            <w:u w:val="single" w:color="auto"/>
            <w:color w:val="0000EE"/>
          </w:rPr>
          <w:t>September 3, 2019</w:t>
        </w:r>
      </w:hyperlink>
      <w:r>
        <w:rPr>
          <w:rFonts w:ascii="Arial" w:cs="Arial" w:eastAsia="Arial" w:hAnsi="Arial"/>
          <w:sz w:val="18"/>
          <w:szCs w:val="18"/>
          <w:color w:val="auto"/>
        </w:rPr>
        <w:t xml:space="preserve">, </w:t>
      </w:r>
      <w:hyperlink r:id="rId53">
        <w:r>
          <w:rPr>
            <w:rFonts w:ascii="Arial" w:cs="Arial" w:eastAsia="Arial" w:hAnsi="Arial"/>
            <w:sz w:val="18"/>
            <w:szCs w:val="18"/>
            <w:u w:val="single" w:color="auto"/>
            <w:color w:val="0000EE"/>
          </w:rPr>
          <w:t>September 13, 2019</w:t>
        </w:r>
      </w:hyperlink>
      <w:r>
        <w:rPr>
          <w:rFonts w:ascii="Arial" w:cs="Arial" w:eastAsia="Arial" w:hAnsi="Arial"/>
          <w:sz w:val="18"/>
          <w:szCs w:val="18"/>
          <w:color w:val="auto"/>
        </w:rPr>
        <w:t xml:space="preserve">, </w:t>
      </w:r>
      <w:hyperlink r:id="rId54">
        <w:r>
          <w:rPr>
            <w:rFonts w:ascii="Arial" w:cs="Arial" w:eastAsia="Arial" w:hAnsi="Arial"/>
            <w:sz w:val="18"/>
            <w:szCs w:val="18"/>
            <w:u w:val="single" w:color="auto"/>
            <w:color w:val="0000EE"/>
          </w:rPr>
          <w:t>November 26, 2019</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55">
        <w:r>
          <w:rPr>
            <w:rFonts w:ascii="Arial" w:cs="Arial" w:eastAsia="Arial" w:hAnsi="Arial"/>
            <w:sz w:val="18"/>
            <w:szCs w:val="18"/>
            <w:u w:val="single" w:color="auto"/>
            <w:color w:val="0000EE"/>
          </w:rPr>
          <w:t xml:space="preserve">December 2, 2019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56">
        <w:r>
          <w:rPr>
            <w:rFonts w:ascii="Arial" w:cs="Arial" w:eastAsia="Arial" w:hAnsi="Arial"/>
            <w:sz w:val="18"/>
            <w:szCs w:val="18"/>
            <w:u w:val="single" w:color="auto"/>
            <w:color w:val="0000EE"/>
          </w:rPr>
          <w:t>December 3, 2019</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and</w:t>
      </w:r>
    </w:p>
    <w:p>
      <w:pPr>
        <w:spacing w:after="0" w:line="118" w:lineRule="exact"/>
        <w:rPr>
          <w:rFonts w:ascii="Arial" w:cs="Arial" w:eastAsia="Arial" w:hAnsi="Arial"/>
          <w:sz w:val="18"/>
          <w:szCs w:val="18"/>
          <w:color w:val="0000EE"/>
        </w:rPr>
      </w:pPr>
    </w:p>
    <w:p>
      <w:pPr>
        <w:jc w:val="center"/>
        <w:ind w:right="-21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60" w:hanging="224"/>
        <w:spacing w:after="0" w:line="268" w:lineRule="auto"/>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w:t>
      </w:r>
      <w:hyperlink r:id="rId58">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June 9, 2014, including any amendments or reports filed for the purpose of updating such description.</w:t>
      </w:r>
    </w:p>
    <w:p>
      <w:pPr>
        <w:spacing w:after="0" w:line="118" w:lineRule="exact"/>
        <w:rPr>
          <w:sz w:val="20"/>
          <w:szCs w:val="20"/>
          <w:color w:val="auto"/>
        </w:rPr>
      </w:pPr>
    </w:p>
    <w:p>
      <w:pPr>
        <w:ind w:left="200" w:right="60" w:firstLine="441"/>
        <w:spacing w:after="0" w:line="268" w:lineRule="auto"/>
        <w:rPr>
          <w:sz w:val="20"/>
          <w:szCs w:val="20"/>
          <w:color w:val="auto"/>
        </w:rPr>
      </w:pPr>
      <w:r>
        <w:rPr>
          <w:rFonts w:ascii="Arial" w:cs="Arial" w:eastAsia="Arial" w:hAnsi="Arial"/>
          <w:sz w:val="18"/>
          <w:szCs w:val="18"/>
          <w:color w:val="auto"/>
        </w:rPr>
        <w:t xml:space="preserve">These documents may also be accessed on our website at </w:t>
      </w:r>
      <w:r>
        <w:rPr>
          <w:rFonts w:ascii="Arial" w:cs="Arial" w:eastAsia="Arial" w:hAnsi="Arial"/>
          <w:sz w:val="18"/>
          <w:szCs w:val="18"/>
          <w:i w:val="1"/>
          <w:iCs w:val="1"/>
          <w:color w:val="auto"/>
        </w:rPr>
        <w:t>www.ardelyx.com</w:t>
      </w:r>
      <w:r>
        <w:rPr>
          <w:rFonts w:ascii="Arial" w:cs="Arial" w:eastAsia="Arial" w:hAnsi="Arial"/>
          <w:sz w:val="18"/>
          <w:szCs w:val="18"/>
          <w:color w:val="auto"/>
        </w:rPr>
        <w:t>. Except as otherwise specifically incorporated by reference in this prospectus, information contained in, or accessible through, our website is not a part of this prospectus.</w:t>
      </w:r>
    </w:p>
    <w:p>
      <w:pPr>
        <w:spacing w:after="0" w:line="118" w:lineRule="exact"/>
        <w:rPr>
          <w:sz w:val="20"/>
          <w:szCs w:val="20"/>
          <w:color w:val="auto"/>
        </w:rPr>
      </w:pPr>
    </w:p>
    <w:p>
      <w:pPr>
        <w:ind w:left="200" w:right="40" w:firstLine="441"/>
        <w:spacing w:after="0" w:line="268" w:lineRule="auto"/>
        <w:rPr>
          <w:sz w:val="20"/>
          <w:szCs w:val="20"/>
          <w:color w:val="auto"/>
        </w:rPr>
      </w:pPr>
      <w:r>
        <w:rPr>
          <w:rFonts w:ascii="Arial" w:cs="Arial" w:eastAsia="Arial" w:hAnsi="Arial"/>
          <w:sz w:val="18"/>
          <w:szCs w:val="18"/>
          <w:color w:val="auto"/>
        </w:rPr>
        <w:t>We will furnish without charge to you, upon written or oral request, a copy of any or all of the documents incorporated by reference, including exhibits to these documents by writing or telephoning us at the following address:</w:t>
      </w:r>
    </w:p>
    <w:p>
      <w:pPr>
        <w:spacing w:after="0" w:line="118" w:lineRule="exact"/>
        <w:rPr>
          <w:sz w:val="20"/>
          <w:szCs w:val="20"/>
          <w:color w:val="auto"/>
        </w:rPr>
      </w:pPr>
    </w:p>
    <w:p>
      <w:pPr>
        <w:jc w:val="center"/>
        <w:ind w:right="-739"/>
        <w:spacing w:after="0"/>
        <w:rPr>
          <w:sz w:val="20"/>
          <w:szCs w:val="20"/>
          <w:color w:val="auto"/>
        </w:rPr>
      </w:pPr>
      <w:r>
        <w:rPr>
          <w:rFonts w:ascii="Arial" w:cs="Arial" w:eastAsia="Arial" w:hAnsi="Arial"/>
          <w:sz w:val="18"/>
          <w:szCs w:val="18"/>
          <w:color w:val="auto"/>
        </w:rPr>
        <w:t>Ardelyx, Inc.</w:t>
      </w:r>
    </w:p>
    <w:p>
      <w:pPr>
        <w:spacing w:after="0" w:line="15" w:lineRule="exact"/>
        <w:rPr>
          <w:sz w:val="20"/>
          <w:szCs w:val="20"/>
          <w:color w:val="auto"/>
        </w:rPr>
      </w:pPr>
    </w:p>
    <w:p>
      <w:pPr>
        <w:jc w:val="center"/>
        <w:ind w:right="-739"/>
        <w:spacing w:after="0"/>
        <w:rPr>
          <w:sz w:val="20"/>
          <w:szCs w:val="20"/>
          <w:color w:val="auto"/>
        </w:rPr>
      </w:pPr>
      <w:r>
        <w:rPr>
          <w:rFonts w:ascii="Arial" w:cs="Arial" w:eastAsia="Arial" w:hAnsi="Arial"/>
          <w:sz w:val="18"/>
          <w:szCs w:val="18"/>
          <w:color w:val="auto"/>
        </w:rPr>
        <w:t>34175 Ardenwood Blvd., Suite 200</w:t>
      </w:r>
    </w:p>
    <w:p>
      <w:pPr>
        <w:spacing w:after="0" w:line="9" w:lineRule="exact"/>
        <w:rPr>
          <w:sz w:val="20"/>
          <w:szCs w:val="20"/>
          <w:color w:val="auto"/>
        </w:rPr>
      </w:pPr>
    </w:p>
    <w:p>
      <w:pPr>
        <w:jc w:val="center"/>
        <w:ind w:right="-739"/>
        <w:spacing w:after="0"/>
        <w:rPr>
          <w:sz w:val="20"/>
          <w:szCs w:val="20"/>
          <w:color w:val="auto"/>
        </w:rPr>
      </w:pPr>
      <w:r>
        <w:rPr>
          <w:rFonts w:ascii="Arial" w:cs="Arial" w:eastAsia="Arial" w:hAnsi="Arial"/>
          <w:sz w:val="18"/>
          <w:szCs w:val="18"/>
          <w:color w:val="auto"/>
        </w:rPr>
        <w:t>Fremont, CA 94555</w:t>
      </w:r>
    </w:p>
    <w:p>
      <w:pPr>
        <w:spacing w:after="0" w:line="9" w:lineRule="exact"/>
        <w:rPr>
          <w:sz w:val="20"/>
          <w:szCs w:val="20"/>
          <w:color w:val="auto"/>
        </w:rPr>
      </w:pPr>
    </w:p>
    <w:p>
      <w:pPr>
        <w:jc w:val="center"/>
        <w:ind w:right="-739"/>
        <w:spacing w:after="0"/>
        <w:rPr>
          <w:sz w:val="20"/>
          <w:szCs w:val="20"/>
          <w:color w:val="auto"/>
        </w:rPr>
      </w:pPr>
      <w:r>
        <w:rPr>
          <w:rFonts w:ascii="Arial" w:cs="Arial" w:eastAsia="Arial" w:hAnsi="Arial"/>
          <w:sz w:val="18"/>
          <w:szCs w:val="18"/>
          <w:color w:val="auto"/>
        </w:rPr>
        <w:t>(510) 745-1700</w:t>
      </w:r>
    </w:p>
    <w:p>
      <w:pPr>
        <w:spacing w:after="0" w:line="9" w:lineRule="exact"/>
        <w:rPr>
          <w:sz w:val="20"/>
          <w:szCs w:val="20"/>
          <w:color w:val="auto"/>
        </w:rPr>
      </w:pPr>
    </w:p>
    <w:p>
      <w:pPr>
        <w:jc w:val="center"/>
        <w:ind w:right="-739"/>
        <w:spacing w:after="0"/>
        <w:rPr>
          <w:sz w:val="20"/>
          <w:szCs w:val="20"/>
          <w:color w:val="auto"/>
        </w:rPr>
      </w:pPr>
      <w:r>
        <w:rPr>
          <w:rFonts w:ascii="Arial" w:cs="Arial" w:eastAsia="Arial" w:hAnsi="Arial"/>
          <w:sz w:val="18"/>
          <w:szCs w:val="18"/>
          <w:color w:val="auto"/>
        </w:rPr>
        <w:t>Attention: General Counsel</w:t>
      </w:r>
    </w:p>
    <w:p>
      <w:pPr>
        <w:spacing w:after="0" w:line="15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0680"/>
          </w:cols>
          <w:pgMar w:left="240" w:top="459" w:right="9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PROSPECTUS</w:t>
      </w:r>
    </w:p>
    <w:p>
      <w:pPr>
        <w:spacing w:after="0" w:line="202" w:lineRule="exact"/>
        <w:rPr>
          <w:sz w:val="20"/>
          <w:szCs w:val="20"/>
          <w:color w:val="auto"/>
        </w:rPr>
      </w:pPr>
    </w:p>
    <w:p>
      <w:pPr>
        <w:jc w:val="center"/>
        <w:ind w:right="-219"/>
        <w:spacing w:after="0"/>
        <w:rPr>
          <w:sz w:val="20"/>
          <w:szCs w:val="20"/>
          <w:color w:val="auto"/>
        </w:rPr>
      </w:pPr>
      <w:r>
        <w:rPr>
          <w:rFonts w:ascii="Arial" w:cs="Arial" w:eastAsia="Arial" w:hAnsi="Arial"/>
          <w:sz w:val="32"/>
          <w:szCs w:val="32"/>
          <w:b w:val="1"/>
          <w:bCs w:val="1"/>
          <w:color w:val="auto"/>
        </w:rPr>
        <w:t>$250,000,000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Common Stock, Preferred Stock, Debt Securities,</w:t>
      </w:r>
    </w:p>
    <w:p>
      <w:pPr>
        <w:spacing w:after="0" w:line="38"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Warrants, Purchase Contracts,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234315</wp:posOffset>
            </wp:positionV>
            <wp:extent cx="146621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We may offer and sell up to $250,000,000 in the aggregate of the securities identified above from time to time in one or more offerings. This prospectus provides you with a general description of the securities.</w:t>
      </w:r>
    </w:p>
    <w:p>
      <w:pPr>
        <w:spacing w:after="0" w:line="170" w:lineRule="exact"/>
        <w:rPr>
          <w:sz w:val="20"/>
          <w:szCs w:val="20"/>
          <w:color w:val="auto"/>
        </w:rPr>
      </w:pPr>
    </w:p>
    <w:p>
      <w:pPr>
        <w:ind w:left="200"/>
        <w:spacing w:after="0" w:line="312" w:lineRule="auto"/>
        <w:rPr>
          <w:sz w:val="20"/>
          <w:szCs w:val="20"/>
          <w:color w:val="auto"/>
        </w:rPr>
      </w:pPr>
      <w:r>
        <w:rPr>
          <w:rFonts w:ascii="Arial" w:cs="Arial" w:eastAsia="Arial" w:hAnsi="Arial"/>
          <w:sz w:val="16"/>
          <w:szCs w:val="16"/>
          <w:color w:val="auto"/>
        </w:rPr>
        <w:t>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before you invest in any of our securities.</w:t>
      </w:r>
    </w:p>
    <w:p>
      <w:pPr>
        <w:spacing w:after="0" w:line="147"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208280</wp:posOffset>
            </wp:positionV>
            <wp:extent cx="146621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ind w:left="200" w:right="740"/>
        <w:spacing w:after="0" w:line="239"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RISKS. SEE THE “</w:t>
      </w:r>
      <w:hyperlink w:anchor="page40">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PAGE 5 OF THIS PROSPECTUS AND ANY SIMILAR SECTION CONTAINED IN THE APPLICABLE PROSPECTUS SUPPLEMENT CONCERNING FACTORS YOU SHOULD CONSIDER BEFORE INVESTING IN OUR SECURITIES.</w:t>
      </w:r>
    </w:p>
    <w:p>
      <w:pPr>
        <w:spacing w:after="0" w:line="194"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Our common stock is listed on The NASDAQ Global Market under the symbol “ARDX.” On April 21, 2017, the last reported sale price of our common stock on The NASDAQ Global Market was $12.50 per share.</w:t>
      </w:r>
    </w:p>
    <w:p>
      <w:pPr>
        <w:spacing w:after="0" w:line="166" w:lineRule="exact"/>
        <w:rPr>
          <w:sz w:val="20"/>
          <w:szCs w:val="20"/>
          <w:color w:val="auto"/>
        </w:rPr>
      </w:pPr>
    </w:p>
    <w:p>
      <w:pPr>
        <w:ind w:left="200"/>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200025</wp:posOffset>
            </wp:positionV>
            <wp:extent cx="146621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date of this prospectus is May 4, 2017.</w:t>
      </w:r>
    </w:p>
    <w:p>
      <w:pPr>
        <w:sectPr>
          <w:pgSz w:w="11900" w:h="16838" w:orient="portrait"/>
          <w:cols w:equalWidth="0" w:num="1">
            <w:col w:w="11200"/>
          </w:cols>
          <w:pgMar w:left="240" w:top="459" w:right="45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6940" w:type="dxa"/>
            <w:vAlign w:val="bottom"/>
            <w:gridSpan w:val="17"/>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4300" w:type="dxa"/>
            <w:vAlign w:val="bottom"/>
          </w:tcPr>
          <w:p>
            <w:pPr>
              <w:spacing w:after="0"/>
              <w:rPr>
                <w:sz w:val="17"/>
                <w:szCs w:val="17"/>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0" w:type="dxa"/>
            <w:vAlign w:val="bottom"/>
            <w:gridSpan w:val="2"/>
          </w:tcPr>
          <w:p>
            <w:pPr>
              <w:ind w:left="1020"/>
              <w:spacing w:after="0"/>
              <w:rPr>
                <w:sz w:val="20"/>
                <w:szCs w:val="20"/>
                <w:color w:val="auto"/>
              </w:rPr>
            </w:pPr>
            <w:r>
              <w:rPr>
                <w:rFonts w:ascii="Arial" w:cs="Arial" w:eastAsia="Arial" w:hAnsi="Arial"/>
                <w:sz w:val="18"/>
                <w:szCs w:val="18"/>
                <w:b w:val="1"/>
                <w:bCs w:val="1"/>
                <w:color w:val="auto"/>
              </w:rPr>
              <w:t>TABLE OF CONTENTS</w:t>
            </w:r>
          </w:p>
        </w:tc>
        <w:tc>
          <w:tcPr>
            <w:tcW w:w="4300" w:type="dxa"/>
            <w:vAlign w:val="bottom"/>
          </w:tcPr>
          <w:p>
            <w:pPr>
              <w:spacing w:after="0"/>
              <w:rPr>
                <w:sz w:val="24"/>
                <w:szCs w:val="24"/>
                <w:color w:val="auto"/>
              </w:rPr>
            </w:pPr>
          </w:p>
        </w:tc>
      </w:tr>
      <w:tr>
        <w:trPr>
          <w:trHeight w:val="419"/>
        </w:trPr>
        <w:tc>
          <w:tcPr>
            <w:tcW w:w="200" w:type="dxa"/>
            <w:vAlign w:val="bottom"/>
          </w:tcPr>
          <w:p>
            <w:pPr>
              <w:spacing w:after="0"/>
              <w:rPr>
                <w:sz w:val="24"/>
                <w:szCs w:val="24"/>
                <w:color w:val="auto"/>
              </w:rPr>
            </w:pPr>
          </w:p>
        </w:tc>
        <w:tc>
          <w:tcPr>
            <w:tcW w:w="2240" w:type="dxa"/>
            <w:vAlign w:val="bottom"/>
            <w:tcBorders>
              <w:bottom w:val="single" w:sz="8" w:color="0000EE"/>
            </w:tcBorders>
            <w:gridSpan w:val="10"/>
          </w:tcPr>
          <w:p>
            <w:pPr>
              <w:spacing w:after="0"/>
              <w:rPr>
                <w:rFonts w:ascii="Arial" w:cs="Arial" w:eastAsia="Arial" w:hAnsi="Arial"/>
                <w:sz w:val="18"/>
                <w:szCs w:val="18"/>
                <w:color w:val="0000EE"/>
                <w:w w:val="93"/>
              </w:rPr>
            </w:pPr>
            <w:hyperlink w:anchor="page36">
              <w:r>
                <w:rPr>
                  <w:rFonts w:ascii="Arial" w:cs="Arial" w:eastAsia="Arial" w:hAnsi="Arial"/>
                  <w:sz w:val="18"/>
                  <w:szCs w:val="18"/>
                  <w:color w:val="0000EE"/>
                  <w:w w:val="93"/>
                </w:rPr>
                <w:t>ABOUT THIS PROSPECTUS</w:t>
              </w:r>
            </w:hyperlink>
          </w:p>
        </w:tc>
        <w:tc>
          <w:tcPr>
            <w:tcW w:w="4500" w:type="dxa"/>
            <w:vAlign w:val="bottom"/>
            <w:gridSpan w:val="6"/>
          </w:tcPr>
          <w:p>
            <w:pPr>
              <w:spacing w:after="0"/>
              <w:rPr>
                <w:sz w:val="24"/>
                <w:szCs w:val="24"/>
                <w:color w:val="auto"/>
              </w:rPr>
            </w:pPr>
          </w:p>
        </w:tc>
        <w:tc>
          <w:tcPr>
            <w:tcW w:w="4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200" w:type="dxa"/>
            <w:vAlign w:val="bottom"/>
          </w:tcPr>
          <w:p>
            <w:pPr>
              <w:spacing w:after="0"/>
              <w:rPr>
                <w:sz w:val="17"/>
                <w:szCs w:val="17"/>
                <w:color w:val="auto"/>
              </w:rPr>
            </w:pPr>
          </w:p>
        </w:tc>
        <w:tc>
          <w:tcPr>
            <w:tcW w:w="6740" w:type="dxa"/>
            <w:vAlign w:val="bottom"/>
            <w:tcBorders>
              <w:bottom w:val="single" w:sz="8" w:color="0000EE"/>
            </w:tcBorders>
            <w:gridSpan w:val="16"/>
          </w:tcPr>
          <w:p>
            <w:pPr>
              <w:spacing w:after="0" w:line="196" w:lineRule="exact"/>
              <w:rPr>
                <w:rFonts w:ascii="Arial" w:cs="Arial" w:eastAsia="Arial" w:hAnsi="Arial"/>
                <w:sz w:val="18"/>
                <w:szCs w:val="18"/>
                <w:color w:val="0000EE"/>
                <w:w w:val="96"/>
              </w:rPr>
            </w:pPr>
            <w:hyperlink w:anchor="page37">
              <w:r>
                <w:rPr>
                  <w:rFonts w:ascii="Arial" w:cs="Arial" w:eastAsia="Arial" w:hAnsi="Arial"/>
                  <w:sz w:val="18"/>
                  <w:szCs w:val="18"/>
                  <w:color w:val="0000EE"/>
                  <w:w w:val="96"/>
                </w:rPr>
                <w:t>WHERE YOU CAN FIND MORE INFORMATION; INCORPORATION BY REFERENCE</w:t>
              </w:r>
            </w:hyperlink>
          </w:p>
        </w:tc>
        <w:tc>
          <w:tcPr>
            <w:tcW w:w="43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200" w:type="dxa"/>
            <w:vAlign w:val="bottom"/>
          </w:tcPr>
          <w:p>
            <w:pPr>
              <w:spacing w:after="0"/>
              <w:rPr>
                <w:sz w:val="17"/>
                <w:szCs w:val="17"/>
                <w:color w:val="auto"/>
              </w:rPr>
            </w:pPr>
          </w:p>
        </w:tc>
        <w:tc>
          <w:tcPr>
            <w:tcW w:w="1520" w:type="dxa"/>
            <w:vAlign w:val="bottom"/>
            <w:tcBorders>
              <w:bottom w:val="single" w:sz="8" w:color="0000EE"/>
            </w:tcBorders>
            <w:gridSpan w:val="5"/>
          </w:tcPr>
          <w:p>
            <w:pPr>
              <w:spacing w:after="0" w:line="196" w:lineRule="exact"/>
              <w:rPr>
                <w:rFonts w:ascii="Arial" w:cs="Arial" w:eastAsia="Arial" w:hAnsi="Arial"/>
                <w:sz w:val="18"/>
                <w:szCs w:val="18"/>
                <w:color w:val="0000EE"/>
                <w:w w:val="99"/>
              </w:rPr>
            </w:pPr>
            <w:hyperlink w:anchor="page39">
              <w:r>
                <w:rPr>
                  <w:rFonts w:ascii="Arial" w:cs="Arial" w:eastAsia="Arial" w:hAnsi="Arial"/>
                  <w:sz w:val="18"/>
                  <w:szCs w:val="18"/>
                  <w:color w:val="0000EE"/>
                  <w:w w:val="99"/>
                </w:rPr>
                <w:t>ABOUT ARDELYX</w:t>
              </w:r>
            </w:hyperlink>
          </w:p>
        </w:tc>
        <w:tc>
          <w:tcPr>
            <w:tcW w:w="5220" w:type="dxa"/>
            <w:vAlign w:val="bottom"/>
            <w:gridSpan w:val="11"/>
          </w:tcPr>
          <w:p>
            <w:pPr>
              <w:spacing w:after="0"/>
              <w:rPr>
                <w:sz w:val="17"/>
                <w:szCs w:val="17"/>
                <w:color w:val="auto"/>
              </w:rPr>
            </w:pPr>
          </w:p>
        </w:tc>
        <w:tc>
          <w:tcPr>
            <w:tcW w:w="43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00" w:type="dxa"/>
            <w:vAlign w:val="bottom"/>
          </w:tcPr>
          <w:p>
            <w:pPr>
              <w:spacing w:after="0"/>
              <w:rPr>
                <w:sz w:val="17"/>
                <w:szCs w:val="17"/>
                <w:color w:val="auto"/>
              </w:rPr>
            </w:pPr>
          </w:p>
        </w:tc>
        <w:tc>
          <w:tcPr>
            <w:tcW w:w="126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40">
              <w:r>
                <w:rPr>
                  <w:rFonts w:ascii="Arial" w:cs="Arial" w:eastAsia="Arial" w:hAnsi="Arial"/>
                  <w:sz w:val="18"/>
                  <w:szCs w:val="18"/>
                  <w:color w:val="0000EE"/>
                  <w:w w:val="93"/>
                </w:rPr>
                <w:t>RISK FACTORS</w:t>
              </w:r>
            </w:hyperlink>
          </w:p>
        </w:tc>
        <w:tc>
          <w:tcPr>
            <w:tcW w:w="5480" w:type="dxa"/>
            <w:vAlign w:val="bottom"/>
            <w:gridSpan w:val="13"/>
          </w:tcPr>
          <w:p>
            <w:pPr>
              <w:spacing w:after="0"/>
              <w:rPr>
                <w:sz w:val="17"/>
                <w:szCs w:val="17"/>
                <w:color w:val="auto"/>
              </w:rPr>
            </w:pPr>
          </w:p>
        </w:tc>
        <w:tc>
          <w:tcPr>
            <w:tcW w:w="43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00" w:type="dxa"/>
            <w:vAlign w:val="bottom"/>
          </w:tcPr>
          <w:p>
            <w:pPr>
              <w:spacing w:after="0"/>
              <w:rPr>
                <w:sz w:val="17"/>
                <w:szCs w:val="17"/>
                <w:color w:val="auto"/>
              </w:rPr>
            </w:pPr>
          </w:p>
        </w:tc>
        <w:tc>
          <w:tcPr>
            <w:tcW w:w="6740" w:type="dxa"/>
            <w:vAlign w:val="bottom"/>
            <w:gridSpan w:val="16"/>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USE OF PROCEEDS</w:t>
              </w:r>
            </w:hyperlink>
          </w:p>
        </w:tc>
        <w:tc>
          <w:tcPr>
            <w:tcW w:w="43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2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6740" w:type="dxa"/>
            <w:vAlign w:val="bottom"/>
            <w:gridSpan w:val="16"/>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RATIO OF EARNINGS TO FIXED CHARGES AND PREFERENCE DIVIDENDS</w:t>
              </w:r>
            </w:hyperlink>
          </w:p>
        </w:tc>
        <w:tc>
          <w:tcPr>
            <w:tcW w:w="43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20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5"/>
              </w:rPr>
            </w:pPr>
            <w:hyperlink w:anchor="page43">
              <w:r>
                <w:rPr>
                  <w:rFonts w:ascii="Arial" w:cs="Arial" w:eastAsia="Arial" w:hAnsi="Arial"/>
                  <w:sz w:val="18"/>
                  <w:szCs w:val="18"/>
                  <w:color w:val="0000EE"/>
                  <w:w w:val="95"/>
                </w:rPr>
                <w:t>DESCRIPTION OF CAPITAL STOCK</w:t>
              </w:r>
            </w:hyperlink>
          </w:p>
        </w:tc>
        <w:tc>
          <w:tcPr>
            <w:tcW w:w="3260" w:type="dxa"/>
            <w:vAlign w:val="bottom"/>
            <w:tcBorders>
              <w:top w:val="single" w:sz="8" w:color="0000EE"/>
            </w:tcBorders>
            <w:gridSpan w:val="3"/>
          </w:tcPr>
          <w:p>
            <w:pPr>
              <w:spacing w:after="0"/>
              <w:rPr>
                <w:sz w:val="17"/>
                <w:szCs w:val="17"/>
                <w:color w:val="auto"/>
              </w:rPr>
            </w:pPr>
          </w:p>
        </w:tc>
        <w:tc>
          <w:tcPr>
            <w:tcW w:w="600" w:type="dxa"/>
            <w:vAlign w:val="bottom"/>
          </w:tcPr>
          <w:p>
            <w:pPr>
              <w:spacing w:after="0"/>
              <w:rPr>
                <w:sz w:val="17"/>
                <w:szCs w:val="17"/>
                <w:color w:val="auto"/>
              </w:rPr>
            </w:pPr>
          </w:p>
        </w:tc>
        <w:tc>
          <w:tcPr>
            <w:tcW w:w="430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200" w:type="dxa"/>
            <w:vAlign w:val="bottom"/>
          </w:tcPr>
          <w:p>
            <w:pPr>
              <w:spacing w:after="0"/>
              <w:rPr>
                <w:sz w:val="17"/>
                <w:szCs w:val="17"/>
                <w:color w:val="auto"/>
              </w:rPr>
            </w:pPr>
          </w:p>
        </w:tc>
        <w:tc>
          <w:tcPr>
            <w:tcW w:w="6740" w:type="dxa"/>
            <w:vAlign w:val="bottom"/>
            <w:gridSpan w:val="16"/>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DESCRIPTION OF DEBT SECURITIES</w:t>
              </w:r>
            </w:hyperlink>
          </w:p>
        </w:tc>
        <w:tc>
          <w:tcPr>
            <w:tcW w:w="43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200" w:type="dxa"/>
            <w:vAlign w:val="bottom"/>
          </w:tcPr>
          <w:p>
            <w:pPr>
              <w:spacing w:after="0"/>
              <w:rPr>
                <w:sz w:val="17"/>
                <w:szCs w:val="17"/>
                <w:color w:val="auto"/>
              </w:rPr>
            </w:pPr>
          </w:p>
        </w:tc>
        <w:tc>
          <w:tcPr>
            <w:tcW w:w="302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DESCRIPTION OF WARRANTS</w:t>
              </w:r>
            </w:hyperlink>
          </w:p>
        </w:tc>
        <w:tc>
          <w:tcPr>
            <w:tcW w:w="3720" w:type="dxa"/>
            <w:vAlign w:val="bottom"/>
            <w:gridSpan w:val="3"/>
          </w:tcPr>
          <w:p>
            <w:pPr>
              <w:spacing w:after="0"/>
              <w:rPr>
                <w:sz w:val="17"/>
                <w:szCs w:val="17"/>
                <w:color w:val="auto"/>
              </w:rPr>
            </w:pPr>
          </w:p>
        </w:tc>
        <w:tc>
          <w:tcPr>
            <w:tcW w:w="43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2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6740" w:type="dxa"/>
            <w:vAlign w:val="bottom"/>
            <w:gridSpan w:val="16"/>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DESCRIPTION OF PURCHASE CONTRACTS</w:t>
              </w:r>
            </w:hyperlink>
          </w:p>
        </w:tc>
        <w:tc>
          <w:tcPr>
            <w:tcW w:w="43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200" w:type="dxa"/>
            <w:vAlign w:val="bottom"/>
          </w:tcPr>
          <w:p>
            <w:pPr>
              <w:spacing w:after="0"/>
              <w:rPr>
                <w:sz w:val="17"/>
                <w:szCs w:val="17"/>
                <w:color w:val="auto"/>
              </w:rPr>
            </w:pPr>
          </w:p>
        </w:tc>
        <w:tc>
          <w:tcPr>
            <w:tcW w:w="35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DESCRIPTION OF UNITS</w:t>
              </w:r>
            </w:hyperlink>
          </w:p>
        </w:tc>
        <w:tc>
          <w:tcPr>
            <w:tcW w:w="3200" w:type="dxa"/>
            <w:vAlign w:val="bottom"/>
            <w:gridSpan w:val="2"/>
          </w:tcPr>
          <w:p>
            <w:pPr>
              <w:spacing w:after="0"/>
              <w:rPr>
                <w:sz w:val="17"/>
                <w:szCs w:val="17"/>
                <w:color w:val="auto"/>
              </w:rPr>
            </w:pPr>
          </w:p>
        </w:tc>
        <w:tc>
          <w:tcPr>
            <w:tcW w:w="43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200" w:type="dxa"/>
            <w:vAlign w:val="bottom"/>
          </w:tcPr>
          <w:p>
            <w:pPr>
              <w:spacing w:after="0"/>
              <w:rPr>
                <w:sz w:val="17"/>
                <w:szCs w:val="17"/>
                <w:color w:val="auto"/>
              </w:rPr>
            </w:pPr>
          </w:p>
        </w:tc>
        <w:tc>
          <w:tcPr>
            <w:tcW w:w="18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6"/>
              </w:rPr>
            </w:pPr>
            <w:hyperlink w:anchor="page60">
              <w:r>
                <w:rPr>
                  <w:rFonts w:ascii="Arial" w:cs="Arial" w:eastAsia="Arial" w:hAnsi="Arial"/>
                  <w:sz w:val="18"/>
                  <w:szCs w:val="18"/>
                  <w:color w:val="0000EE"/>
                  <w:w w:val="96"/>
                </w:rPr>
                <w:t>GLOBAL SECURITIES</w:t>
              </w:r>
            </w:hyperlink>
          </w:p>
        </w:tc>
        <w:tc>
          <w:tcPr>
            <w:tcW w:w="220" w:type="dxa"/>
            <w:vAlign w:val="bottom"/>
            <w:tcBorders>
              <w:top w:val="single" w:sz="8" w:color="0000EE"/>
            </w:tcBorders>
          </w:tcPr>
          <w:p>
            <w:pPr>
              <w:spacing w:after="0"/>
              <w:rPr>
                <w:sz w:val="17"/>
                <w:szCs w:val="17"/>
                <w:color w:val="auto"/>
              </w:rPr>
            </w:pPr>
          </w:p>
        </w:tc>
        <w:tc>
          <w:tcPr>
            <w:tcW w:w="4720" w:type="dxa"/>
            <w:vAlign w:val="bottom"/>
            <w:gridSpan w:val="8"/>
          </w:tcPr>
          <w:p>
            <w:pPr>
              <w:spacing w:after="0"/>
              <w:rPr>
                <w:sz w:val="17"/>
                <w:szCs w:val="17"/>
                <w:color w:val="auto"/>
              </w:rPr>
            </w:pPr>
          </w:p>
        </w:tc>
        <w:tc>
          <w:tcPr>
            <w:tcW w:w="43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200" w:type="dxa"/>
            <w:vAlign w:val="bottom"/>
          </w:tcPr>
          <w:p>
            <w:pPr>
              <w:spacing w:after="0"/>
              <w:rPr>
                <w:sz w:val="17"/>
                <w:szCs w:val="17"/>
                <w:color w:val="auto"/>
              </w:rPr>
            </w:pPr>
          </w:p>
        </w:tc>
        <w:tc>
          <w:tcPr>
            <w:tcW w:w="2060" w:type="dxa"/>
            <w:vAlign w:val="bottom"/>
            <w:tcBorders>
              <w:bottom w:val="single" w:sz="8" w:color="0000EE"/>
            </w:tcBorders>
            <w:gridSpan w:val="9"/>
          </w:tcPr>
          <w:p>
            <w:pPr>
              <w:spacing w:after="0" w:line="196" w:lineRule="exact"/>
              <w:rPr>
                <w:rFonts w:ascii="Arial" w:cs="Arial" w:eastAsia="Arial" w:hAnsi="Arial"/>
                <w:sz w:val="18"/>
                <w:szCs w:val="18"/>
                <w:color w:val="0000EE"/>
                <w:w w:val="97"/>
              </w:rPr>
            </w:pPr>
            <w:hyperlink w:anchor="page63">
              <w:r>
                <w:rPr>
                  <w:rFonts w:ascii="Arial" w:cs="Arial" w:eastAsia="Arial" w:hAnsi="Arial"/>
                  <w:sz w:val="18"/>
                  <w:szCs w:val="18"/>
                  <w:color w:val="0000EE"/>
                  <w:w w:val="97"/>
                </w:rPr>
                <w:t>PLAN OF DISTRIBUTION</w:t>
              </w:r>
            </w:hyperlink>
          </w:p>
        </w:tc>
        <w:tc>
          <w:tcPr>
            <w:tcW w:w="4680" w:type="dxa"/>
            <w:vAlign w:val="bottom"/>
            <w:gridSpan w:val="7"/>
          </w:tcPr>
          <w:p>
            <w:pPr>
              <w:spacing w:after="0"/>
              <w:rPr>
                <w:sz w:val="17"/>
                <w:szCs w:val="17"/>
                <w:color w:val="auto"/>
              </w:rPr>
            </w:pPr>
          </w:p>
        </w:tc>
        <w:tc>
          <w:tcPr>
            <w:tcW w:w="43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200" w:type="dxa"/>
            <w:vAlign w:val="bottom"/>
          </w:tcPr>
          <w:p>
            <w:pPr>
              <w:spacing w:after="0"/>
              <w:rPr>
                <w:sz w:val="17"/>
                <w:szCs w:val="17"/>
                <w:color w:val="auto"/>
              </w:rPr>
            </w:pPr>
          </w:p>
        </w:tc>
        <w:tc>
          <w:tcPr>
            <w:tcW w:w="1460" w:type="dxa"/>
            <w:vAlign w:val="bottom"/>
            <w:tcBorders>
              <w:bottom w:val="single" w:sz="8" w:color="0000EE"/>
            </w:tcBorders>
            <w:gridSpan w:val="4"/>
          </w:tcPr>
          <w:p>
            <w:pPr>
              <w:spacing w:after="0" w:line="196" w:lineRule="exact"/>
              <w:rPr>
                <w:rFonts w:ascii="Arial" w:cs="Arial" w:eastAsia="Arial" w:hAnsi="Arial"/>
                <w:sz w:val="18"/>
                <w:szCs w:val="18"/>
                <w:color w:val="0000EE"/>
                <w:w w:val="96"/>
              </w:rPr>
            </w:pPr>
            <w:hyperlink w:anchor="page65">
              <w:r>
                <w:rPr>
                  <w:rFonts w:ascii="Arial" w:cs="Arial" w:eastAsia="Arial" w:hAnsi="Arial"/>
                  <w:sz w:val="18"/>
                  <w:szCs w:val="18"/>
                  <w:color w:val="0000EE"/>
                  <w:w w:val="96"/>
                </w:rPr>
                <w:t>LEGAL MATTERS</w:t>
              </w:r>
            </w:hyperlink>
          </w:p>
        </w:tc>
        <w:tc>
          <w:tcPr>
            <w:tcW w:w="5280" w:type="dxa"/>
            <w:vAlign w:val="bottom"/>
            <w:gridSpan w:val="12"/>
          </w:tcPr>
          <w:p>
            <w:pPr>
              <w:spacing w:after="0"/>
              <w:rPr>
                <w:sz w:val="17"/>
                <w:szCs w:val="17"/>
                <w:color w:val="auto"/>
              </w:rPr>
            </w:pPr>
          </w:p>
        </w:tc>
        <w:tc>
          <w:tcPr>
            <w:tcW w:w="43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200" w:type="dxa"/>
            <w:vAlign w:val="bottom"/>
          </w:tcPr>
          <w:p>
            <w:pPr>
              <w:spacing w:after="0"/>
              <w:rPr>
                <w:sz w:val="17"/>
                <w:szCs w:val="17"/>
                <w:color w:val="auto"/>
              </w:rPr>
            </w:pPr>
          </w:p>
        </w:tc>
        <w:tc>
          <w:tcPr>
            <w:tcW w:w="6740" w:type="dxa"/>
            <w:vAlign w:val="bottom"/>
            <w:gridSpan w:val="16"/>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EXPERTS</w:t>
              </w:r>
            </w:hyperlink>
          </w:p>
        </w:tc>
        <w:tc>
          <w:tcPr>
            <w:tcW w:w="43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91"/>
        </w:trPr>
        <w:tc>
          <w:tcPr>
            <w:tcW w:w="200" w:type="dxa"/>
            <w:vAlign w:val="bottom"/>
          </w:tcPr>
          <w:p>
            <w:pPr>
              <w:spacing w:after="0"/>
              <w:rPr>
                <w:sz w:val="24"/>
                <w:szCs w:val="24"/>
                <w:color w:val="auto"/>
              </w:rPr>
            </w:pPr>
          </w:p>
        </w:tc>
        <w:tc>
          <w:tcPr>
            <w:tcW w:w="780" w:type="dxa"/>
            <w:vAlign w:val="bottom"/>
            <w:tcBorders>
              <w:top w:val="single" w:sz="8" w:color="0000EE"/>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r>
    </w:tbl>
    <w:p>
      <w:pPr>
        <w:spacing w:after="0"/>
        <w:rPr>
          <w:sz w:val="20"/>
          <w:szCs w:val="20"/>
          <w:color w:val="auto"/>
        </w:rPr>
        <w:sectPr>
          <w:pgSz w:w="11900" w:h="16838" w:orient="portrait"/>
          <w:cols w:equalWidth="0" w:num="1">
            <w:col w:w="11240"/>
          </w:cols>
          <w:pgMar w:left="240" w:top="446"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200" w:right="140"/>
        <w:spacing w:after="0" w:line="290" w:lineRule="auto"/>
        <w:rPr>
          <w:sz w:val="20"/>
          <w:szCs w:val="20"/>
          <w:color w:val="auto"/>
        </w:rPr>
      </w:pPr>
      <w:r>
        <w:rPr>
          <w:rFonts w:ascii="Arial" w:cs="Arial" w:eastAsia="Arial" w:hAnsi="Arial"/>
          <w:sz w:val="16"/>
          <w:szCs w:val="16"/>
          <w:color w:val="auto"/>
        </w:rPr>
        <w:t>This prospectus is part of a registration statement that we filed with the U.S. Securities and Exchange Commission, or the SEC, using a “shelf” registration process. By using a shelf registration statement, we may sell securities from time to time and in one or more offerings up to a total dollar amount of $250,000,000 as described in this prospectus. Each time that we offer and sell securities, we will provide a prospectus supplement to this prospectus that contains specific information about the securities being offered and sold and the specific terms of that offering. The prospectus supplement may also add, update or change information contained in this prospectus with respect to that offering. If there is any inconsistency between the information in this prospectus and the applicable prospectus supplement, you should rely on the prospectus supplement. Before purchasing any securities, you should carefully read both this prospectus and the applicable prospectus supplement, together with the additional information described under the heading “Where You Can Find More Information; Incorporation by Reference.”</w:t>
      </w:r>
    </w:p>
    <w:p>
      <w:pPr>
        <w:spacing w:after="0" w:line="166" w:lineRule="exact"/>
        <w:rPr>
          <w:sz w:val="20"/>
          <w:szCs w:val="20"/>
          <w:color w:val="auto"/>
        </w:rPr>
      </w:pPr>
    </w:p>
    <w:p>
      <w:pPr>
        <w:ind w:left="200" w:right="40"/>
        <w:spacing w:after="0" w:line="286" w:lineRule="auto"/>
        <w:rPr>
          <w:sz w:val="20"/>
          <w:szCs w:val="20"/>
          <w:color w:val="auto"/>
        </w:rPr>
      </w:pPr>
      <w:r>
        <w:rPr>
          <w:rFonts w:ascii="Arial" w:cs="Arial" w:eastAsia="Arial" w:hAnsi="Arial"/>
          <w:sz w:val="16"/>
          <w:szCs w:val="16"/>
          <w:color w:val="auto"/>
        </w:rPr>
        <w:t>Neither we nor any underwriter has authorized any other person to provide you with any information or to make any representations other than those contained in this prospectus, any applicable prospectus supplement or any free writing prospectus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as of the date on its respective cover,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contained in this prospectus, the applicable prospectus supplement and any related free writing prospectus, and under similar headings in the other documents that are incorporated by reference into this prospectus. Accordingly, investors should not place undue reliance on this information.</w:t>
      </w:r>
    </w:p>
    <w:p>
      <w:pPr>
        <w:spacing w:after="0" w:line="172" w:lineRule="exact"/>
        <w:rPr>
          <w:sz w:val="20"/>
          <w:szCs w:val="20"/>
          <w:color w:val="auto"/>
        </w:rPr>
      </w:pPr>
    </w:p>
    <w:p>
      <w:pPr>
        <w:ind w:left="200" w:right="340"/>
        <w:spacing w:after="0" w:line="277" w:lineRule="auto"/>
        <w:rPr>
          <w:sz w:val="20"/>
          <w:szCs w:val="20"/>
          <w:color w:val="auto"/>
        </w:rPr>
      </w:pPr>
      <w:r>
        <w:rPr>
          <w:rFonts w:ascii="Arial" w:cs="Arial" w:eastAsia="Arial" w:hAnsi="Arial"/>
          <w:sz w:val="18"/>
          <w:szCs w:val="18"/>
          <w:color w:val="auto"/>
        </w:rPr>
        <w:t>When we refer to “Ardelyx,” “we,” “our,” “us” and the “Company” in this prospectus, we mean Ardelyx, Inc., unless otherwise specified. When we refer to “you,” we mean the holders of the applicable series of securities.</w:t>
      </w:r>
    </w:p>
    <w:p>
      <w:pPr>
        <w:spacing w:after="0" w:line="170"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Ardelxy</w:t>
      </w:r>
      <w:r>
        <w:rPr>
          <w:rFonts w:ascii="Arial" w:cs="Arial" w:eastAsia="Arial" w:hAnsi="Arial"/>
          <w:sz w:val="13"/>
          <w:szCs w:val="13"/>
          <w:color w:val="auto"/>
        </w:rPr>
        <w:t>®</w:t>
      </w:r>
      <w:r>
        <w:rPr>
          <w:rFonts w:ascii="Arial" w:cs="Arial" w:eastAsia="Arial" w:hAnsi="Arial"/>
          <w:sz w:val="16"/>
          <w:szCs w:val="16"/>
          <w:color w:val="auto"/>
        </w:rPr>
        <w:t xml:space="preserve"> and our logo are some of our trademarks used in this prospectus. This prospectus also includes trademarks, tradenames, and service marks that are the property of other organizations. Solely for convenience, our trademarks and tradenames referred to in this prospectus appear without the </w:t>
      </w:r>
      <w:r>
        <w:rPr>
          <w:rFonts w:ascii="Arial" w:cs="Arial" w:eastAsia="Arial" w:hAnsi="Arial"/>
          <w:sz w:val="13"/>
          <w:szCs w:val="13"/>
          <w:color w:val="auto"/>
        </w:rPr>
        <w:t>®</w:t>
      </w:r>
      <w:r>
        <w:rPr>
          <w:rFonts w:ascii="Arial" w:cs="Arial" w:eastAsia="Arial" w:hAnsi="Arial"/>
          <w:sz w:val="16"/>
          <w:szCs w:val="16"/>
          <w:color w:val="auto"/>
        </w:rPr>
        <w:t xml:space="preserve"> and</w:t>
      </w:r>
    </w:p>
    <w:p>
      <w:pPr>
        <w:ind w:left="200" w:right="160" w:firstLine="4"/>
        <w:spacing w:after="0" w:line="261" w:lineRule="auto"/>
        <w:tabs>
          <w:tab w:leader="none" w:pos="421" w:val="left"/>
        </w:tabs>
        <w:numPr>
          <w:ilvl w:val="0"/>
          <w:numId w:val="21"/>
        </w:numPr>
        <w:rPr>
          <w:rFonts w:ascii="Arial" w:cs="Arial" w:eastAsia="Arial" w:hAnsi="Arial"/>
          <w:sz w:val="18"/>
          <w:szCs w:val="18"/>
          <w:color w:val="auto"/>
        </w:rPr>
      </w:pPr>
      <w:r>
        <w:rPr>
          <w:rFonts w:ascii="Arial" w:cs="Arial" w:eastAsia="Arial" w:hAnsi="Arial"/>
          <w:sz w:val="18"/>
          <w:szCs w:val="18"/>
          <w:color w:val="auto"/>
        </w:rPr>
        <w:t>symbol, but those references are not intended to indicate, in any way, that we will not assert, to the fullest extent under applicable law, our rights, or the right of the applicable licensor to these trademarks and tradenames.</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24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WHERE YOU CAN FIND MORE INFORMATION; INCORPORATION BY REFERENCE</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jc w:val="both"/>
        <w:ind w:left="200" w:right="60"/>
        <w:spacing w:after="0" w:line="297" w:lineRule="auto"/>
        <w:rPr>
          <w:sz w:val="20"/>
          <w:szCs w:val="20"/>
          <w:color w:val="auto"/>
        </w:rPr>
      </w:pPr>
      <w:r>
        <w:rPr>
          <w:rFonts w:ascii="Arial" w:cs="Arial" w:eastAsia="Arial" w:hAnsi="Arial"/>
          <w:sz w:val="16"/>
          <w:szCs w:val="16"/>
          <w:color w:val="auto"/>
        </w:rPr>
        <w:t xml:space="preserve">We file reports, proxy statements and other information with the SEC. Information filed with the SEC by us can be inspected and copied at the Public Reference Room maintained by the SEC at 100 F Street, N.E., Washington, D.C. 20549. You may also obtain copies of this information by mail from the Public Reference Section of the SEC at prescribed rates. Further information on the operation of the SEC’s Public Reference Room in Washington, D.C. can be obtained by calling the SEC at 1-800-SEC-0330. The SEC also maintains a website that contains reports, proxy and information statements and other information about issuers, such as us, who file electronically with the SEC. The address of that website is </w:t>
      </w:r>
      <w:r>
        <w:rPr>
          <w:rFonts w:ascii="Arial" w:cs="Arial" w:eastAsia="Arial" w:hAnsi="Arial"/>
          <w:sz w:val="16"/>
          <w:szCs w:val="16"/>
          <w:i w:val="1"/>
          <w:iCs w:val="1"/>
          <w:color w:val="auto"/>
        </w:rPr>
        <w:t>http://www.sec.gov</w:t>
      </w:r>
      <w:r>
        <w:rPr>
          <w:rFonts w:ascii="Arial" w:cs="Arial" w:eastAsia="Arial" w:hAnsi="Arial"/>
          <w:sz w:val="16"/>
          <w:szCs w:val="16"/>
          <w:color w:val="auto"/>
        </w:rPr>
        <w:t>.</w:t>
      </w:r>
    </w:p>
    <w:p>
      <w:pPr>
        <w:spacing w:after="0" w:line="158"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 xml:space="preserve">Our website address is </w:t>
      </w:r>
      <w:r>
        <w:rPr>
          <w:rFonts w:ascii="Arial" w:cs="Arial" w:eastAsia="Arial" w:hAnsi="Arial"/>
          <w:sz w:val="18"/>
          <w:szCs w:val="18"/>
          <w:i w:val="1"/>
          <w:iCs w:val="1"/>
          <w:color w:val="auto"/>
        </w:rPr>
        <w:t>www.ardelyx.com</w:t>
      </w:r>
      <w:r>
        <w:rPr>
          <w:rFonts w:ascii="Arial" w:cs="Arial" w:eastAsia="Arial" w:hAnsi="Arial"/>
          <w:sz w:val="18"/>
          <w:szCs w:val="18"/>
          <w:color w:val="auto"/>
        </w:rPr>
        <w:t>. The information on our website, however, is not, and should not be deemed to be, a part of this prospectus. We have included our website address as an inactive textual reference only.</w:t>
      </w:r>
    </w:p>
    <w:p>
      <w:pPr>
        <w:spacing w:after="0" w:line="170" w:lineRule="exact"/>
        <w:rPr>
          <w:sz w:val="20"/>
          <w:szCs w:val="20"/>
          <w:color w:val="auto"/>
        </w:rPr>
      </w:pPr>
    </w:p>
    <w:p>
      <w:pPr>
        <w:ind w:left="200" w:right="20"/>
        <w:spacing w:after="0" w:line="293" w:lineRule="auto"/>
        <w:rPr>
          <w:sz w:val="20"/>
          <w:szCs w:val="20"/>
          <w:color w:val="auto"/>
        </w:rPr>
      </w:pPr>
      <w:r>
        <w:rPr>
          <w:rFonts w:ascii="Arial" w:cs="Arial" w:eastAsia="Arial" w:hAnsi="Arial"/>
          <w:sz w:val="16"/>
          <w:szCs w:val="16"/>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at the SEC’s Public Reference Room in Washington, D.C. or through the SEC’s website, as provided above.</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Incorporation by Reference</w:t>
      </w:r>
    </w:p>
    <w:p>
      <w:pPr>
        <w:spacing w:after="0" w:line="121"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a previously filed document incorporated by reference will be deemed to be modified or superseded for purposes of this prospectus to the extent that a statement contained in this prospectus modifies or replaces that statement.</w:t>
      </w:r>
    </w:p>
    <w:p>
      <w:pPr>
        <w:spacing w:after="0" w:line="173"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We incorporate by reference our documents listed below and any future filings made by us with the SEC under Sections 13(a), 13(c), 14 or 15(d) of the Securities Exchange Act of 1934, as amended, which we refer to as the “Exchange Act” in this prospectus, between the date of this prospectus and the termination of the offering of the securities described in this prospectus. We are not, however, incorporating by reference any documents or portions thereof, whether specifically listed below or filed in the future, that are not deemed “filed” with the SEC, including any Compensation Committee report and performance graph or any information furnished pursuant to Items 2.02 or 7.01 of Form 8-K or related exhibits furnished pursuant to Item 9.01 of Form 8-K.</w:t>
      </w:r>
    </w:p>
    <w:p>
      <w:pPr>
        <w:spacing w:after="0" w:line="193"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This prospectus and any accompanying prospectus supplement incorporate by reference the documents set forth below that have previously been filed with the SEC:</w:t>
      </w:r>
    </w:p>
    <w:p>
      <w:pPr>
        <w:spacing w:after="0" w:line="76" w:lineRule="exact"/>
        <w:rPr>
          <w:sz w:val="20"/>
          <w:szCs w:val="20"/>
          <w:color w:val="auto"/>
        </w:rPr>
      </w:pPr>
    </w:p>
    <w:p>
      <w:pPr>
        <w:ind w:left="1180" w:hanging="436"/>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66">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2016, filed with the SEC on February 17, 2017;</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with the SEC on </w:t>
      </w:r>
      <w:hyperlink r:id="rId67">
        <w:r>
          <w:rPr>
            <w:rFonts w:ascii="Arial" w:cs="Arial" w:eastAsia="Arial" w:hAnsi="Arial"/>
            <w:sz w:val="18"/>
            <w:szCs w:val="18"/>
            <w:u w:val="single" w:color="auto"/>
            <w:color w:val="0000EE"/>
          </w:rPr>
          <w:t>February 15, 2017</w:t>
        </w:r>
      </w:hyperlink>
      <w:r>
        <w:rPr>
          <w:rFonts w:ascii="Arial" w:cs="Arial" w:eastAsia="Arial" w:hAnsi="Arial"/>
          <w:sz w:val="18"/>
          <w:szCs w:val="18"/>
          <w:color w:val="auto"/>
        </w:rPr>
        <w:t xml:space="preserve">, </w:t>
      </w:r>
      <w:hyperlink r:id="rId68">
        <w:r>
          <w:rPr>
            <w:rFonts w:ascii="Arial" w:cs="Arial" w:eastAsia="Arial" w:hAnsi="Arial"/>
            <w:sz w:val="18"/>
            <w:szCs w:val="18"/>
            <w:u w:val="single" w:color="auto"/>
            <w:color w:val="0000EE"/>
          </w:rPr>
          <w:t>March 9, 2017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69">
        <w:r>
          <w:rPr>
            <w:rFonts w:ascii="Arial" w:cs="Arial" w:eastAsia="Arial" w:hAnsi="Arial"/>
            <w:sz w:val="18"/>
            <w:szCs w:val="18"/>
            <w:u w:val="single" w:color="auto"/>
            <w:color w:val="0000EE"/>
          </w:rPr>
          <w:t>March 21, 2017</w:t>
        </w:r>
      </w:hyperlink>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1180" w:right="240" w:hanging="436"/>
        <w:spacing w:after="0" w:line="277" w:lineRule="auto"/>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w:t>
      </w:r>
      <w:hyperlink r:id="rId58">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June 9, 2014, including any amendments or reports filed for the purpose of updating such description.</w:t>
      </w:r>
    </w:p>
    <w:p>
      <w:pPr>
        <w:spacing w:after="0" w:line="103" w:lineRule="exact"/>
        <w:rPr>
          <w:rFonts w:ascii="Arial" w:cs="Arial" w:eastAsia="Arial" w:hAnsi="Arial"/>
          <w:sz w:val="18"/>
          <w:szCs w:val="18"/>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24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All reports and other documents we subsequently file pursuant to Section 13(a), 13(c), 14 or 15(d) of the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171" w:lineRule="exact"/>
        <w:rPr>
          <w:sz w:val="20"/>
          <w:szCs w:val="20"/>
          <w:color w:val="auto"/>
        </w:rPr>
      </w:pPr>
    </w:p>
    <w:p>
      <w:pPr>
        <w:ind w:left="200" w:right="300"/>
        <w:spacing w:after="0" w:line="277" w:lineRule="auto"/>
        <w:rPr>
          <w:sz w:val="20"/>
          <w:szCs w:val="20"/>
          <w:color w:val="auto"/>
        </w:rPr>
      </w:pPr>
      <w:r>
        <w:rPr>
          <w:rFonts w:ascii="Arial" w:cs="Arial" w:eastAsia="Arial" w:hAnsi="Arial"/>
          <w:sz w:val="18"/>
          <w:szCs w:val="18"/>
          <w:color w:val="auto"/>
        </w:rPr>
        <w:t>You may request a free copy of any of the documents incorporated by reference in this prospectus (other than exhibits, unless they are specifically incorporated by reference in the documents) by writing or telephoning us at the following address:</w:t>
      </w:r>
    </w:p>
    <w:p>
      <w:pPr>
        <w:spacing w:after="0" w:line="170"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Ardelyx, Inc.</w:t>
      </w:r>
    </w:p>
    <w:p>
      <w:pPr>
        <w:spacing w:after="0" w:line="2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34175 Ardenwood Blvd., Suite 200</w:t>
      </w:r>
    </w:p>
    <w:p>
      <w:pPr>
        <w:spacing w:after="0" w:line="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Fremont, CA 94555</w:t>
      </w:r>
    </w:p>
    <w:p>
      <w:pPr>
        <w:spacing w:after="0" w:line="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(510)745-1700</w:t>
      </w:r>
    </w:p>
    <w:p>
      <w:pPr>
        <w:spacing w:after="0" w:line="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color w:val="auto"/>
        </w:rPr>
        <w:t>Exhibits to the filings will not be sent, however, unless those exhibits have specifically been incorporated by reference in this prospectus and any accompanying prospectus supplement.</w:t>
      </w:r>
    </w:p>
    <w:p>
      <w:pPr>
        <w:spacing w:after="0" w:line="10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240" w:top="459" w:right="6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ABOUT ARDELYX</w:t>
      </w:r>
    </w:p>
    <w:p>
      <w:pPr>
        <w:spacing w:after="0" w:line="229"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We are a clinical-stage biopharmaceutical company focused on enhancing the way patients with cardiorenal and gastrointestinal, or GI, diseases are treated by using the gut as the gateway to delivering medicines that matter. We have pioneered the development of small molecule therapeutics that act predominantly in the GI tract, thereby avoiding potentially negative side effects on the rest of the body.</w:t>
      </w:r>
    </w:p>
    <w:p>
      <w:pPr>
        <w:spacing w:after="0" w:line="181" w:lineRule="exact"/>
        <w:rPr>
          <w:sz w:val="20"/>
          <w:szCs w:val="20"/>
          <w:color w:val="auto"/>
        </w:rPr>
      </w:pPr>
    </w:p>
    <w:p>
      <w:pPr>
        <w:ind w:left="200" w:right="60"/>
        <w:spacing w:after="0" w:line="279" w:lineRule="auto"/>
        <w:rPr>
          <w:sz w:val="20"/>
          <w:szCs w:val="20"/>
          <w:color w:val="auto"/>
        </w:rPr>
      </w:pPr>
      <w:r>
        <w:rPr>
          <w:rFonts w:ascii="Arial" w:cs="Arial" w:eastAsia="Arial" w:hAnsi="Arial"/>
          <w:sz w:val="17"/>
          <w:szCs w:val="17"/>
          <w:color w:val="auto"/>
        </w:rPr>
        <w:t>We were founded in October 2007 as a Delaware corporation under the name Nteryx, Inc. Our principal executive offices are located at 34175 Ardenwood Blvd., Suite 200, Fremont, CA 94555, and our telephone number is (510) 745-1700. Our website address is www.ardelyx.com. The information on, or that can be accessed through, our website is not part of this prospectus. We have included our website address as an inactive textual reference only. References in this prospectus to “we,” “us,” “our,” “our company” or “Ardelyx” refer to Ardelyx, Inc.</w:t>
      </w:r>
    </w:p>
    <w:p>
      <w:pPr>
        <w:spacing w:after="0" w:line="171"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We are an “emerging growth company,” as defined in the Jumpstart Our Business Startups Act of 2012. We will remain an emerging growth company until the earlier of (1) the last day of the fiscal year following the fifth anniversary of the completion of our initial public offering of common stock (December 31, 2019), (2) the last day of the fiscal year in which we have total annual gross revenue of at least $1.0 billion, (3) the last day of the fiscal year in which we are deemed to be a large accelerated filer, which means the market value of our common stock that is held by non-affiliates exceeds $700 million as of the prior June 30th, and (4) the date on which we have issued more than $1.0 billion in non-convertible debt during the prior three-year period.</w:t>
      </w:r>
    </w:p>
    <w:p>
      <w:pPr>
        <w:spacing w:after="0" w:line="12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80"/>
          </w:cols>
          <w:pgMar w:left="240" w:top="459" w:right="5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Investment in any securities offered pursuant to this prospectus and the applicable prospectus supplement involves risks. You should carefully consider the risk factors incorporated by reference to our most recent Annual Report on Form 10-K and any subsequent Quarterly Reports on Form 10-Q or Current Reports on Form 8-K we file after the date of this prospectus, and all other information contained or incorporated by reference into this prospectus, as updated by our subsequent filings under the Exchange Act, and the risk factors and other information contained in the applicable prospectus supplement before acquiring any of such securities. The occurrence of any of these risks might cause you to lose all or part of your investment in the offered securities.</w:t>
      </w:r>
    </w:p>
    <w:p>
      <w:pPr>
        <w:spacing w:after="0" w:line="12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80"/>
          </w:cols>
          <w:pgMar w:left="240" w:top="459" w:right="5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We intend to use the net proceeds from the sale of the securities as set forth in the applicable prospectus supplement.</w:t>
      </w:r>
    </w:p>
    <w:p>
      <w:pPr>
        <w:spacing w:after="0" w:line="18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219"/>
          </w:cols>
          <w:pgMar w:left="240" w:top="459" w:right="1440"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RATIO OF EARNINGS TO FIXED CHARGES AND PREFERENCE DIVIDENDS</w:t>
      </w:r>
    </w:p>
    <w:p>
      <w:pPr>
        <w:spacing w:after="0" w:line="229" w:lineRule="exact"/>
        <w:rPr>
          <w:sz w:val="20"/>
          <w:szCs w:val="20"/>
          <w:color w:val="auto"/>
        </w:rPr>
      </w:pPr>
    </w:p>
    <w:p>
      <w:pPr>
        <w:ind w:left="200" w:right="100"/>
        <w:spacing w:after="0" w:line="270" w:lineRule="auto"/>
        <w:rPr>
          <w:sz w:val="20"/>
          <w:szCs w:val="20"/>
          <w:color w:val="auto"/>
        </w:rPr>
      </w:pPr>
      <w:r>
        <w:rPr>
          <w:rFonts w:ascii="Arial" w:cs="Arial" w:eastAsia="Arial" w:hAnsi="Arial"/>
          <w:sz w:val="17"/>
          <w:szCs w:val="17"/>
          <w:color w:val="auto"/>
        </w:rPr>
        <w:t>The following table sets forth our ratio of earnings to fixed charges for the periods indicated (in thousands). The ratio of earnings to fixed charges is computed by dividing fixed charges into earnings before income taxes plus fixed charges. Fixed charges consist of interest expense and that portion of rental expense deemed representative of interest. We do not have any shares of preferred stock outstanding, so our ratio of earnings to fixed charges and preferred stock dividends for any given period is equivalent to our ratio of earnings to fixed charges. Our earnings have been inadequate to cover fixed charges and preference dividends. The following table sets forth the dollar amount of the deficiency to cover fixed charges for each of the years ended December 31, 2016, 2015, 2014, 2013 and 2012. We have derived the deficiency of earnings to cover fixed charges from our historical financial statements. The following should be read in conjunction with our financial statements, including the notes thereto, and the other financial information included or incorporated by reference herein. See Exhibit 12.1 hereto for additional detail regarding the computation of the deficiency of earnings to cover fixed charges.</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6"/>
          </w:tcPr>
          <w:p>
            <w:pPr>
              <w:ind w:left="32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40" w:type="dxa"/>
            <w:vAlign w:val="bottom"/>
          </w:tcPr>
          <w:p>
            <w:pPr>
              <w:jc w:val="right"/>
              <w:ind w:right="139"/>
              <w:spacing w:after="0" w:line="142" w:lineRule="exact"/>
              <w:rPr>
                <w:sz w:val="20"/>
                <w:szCs w:val="20"/>
                <w:color w:val="auto"/>
              </w:rPr>
            </w:pPr>
            <w:r>
              <w:rPr>
                <w:rFonts w:ascii="Arial" w:cs="Arial" w:eastAsia="Arial" w:hAnsi="Arial"/>
                <w:sz w:val="14"/>
                <w:szCs w:val="14"/>
                <w:b w:val="1"/>
                <w:bCs w:val="1"/>
                <w:color w:val="auto"/>
              </w:rPr>
              <w:t>2016</w:t>
            </w:r>
          </w:p>
        </w:tc>
        <w:tc>
          <w:tcPr>
            <w:tcW w:w="1000" w:type="dxa"/>
            <w:vAlign w:val="bottom"/>
            <w:gridSpan w:val="2"/>
          </w:tcPr>
          <w:p>
            <w:pPr>
              <w:jc w:val="right"/>
              <w:ind w:right="119"/>
              <w:spacing w:after="0" w:line="142" w:lineRule="exact"/>
              <w:rPr>
                <w:sz w:val="20"/>
                <w:szCs w:val="20"/>
                <w:color w:val="auto"/>
              </w:rPr>
            </w:pPr>
            <w:r>
              <w:rPr>
                <w:rFonts w:ascii="Arial" w:cs="Arial" w:eastAsia="Arial" w:hAnsi="Arial"/>
                <w:sz w:val="14"/>
                <w:szCs w:val="14"/>
                <w:b w:val="1"/>
                <w:bCs w:val="1"/>
                <w:color w:val="auto"/>
              </w:rPr>
              <w:t>2015</w:t>
            </w:r>
          </w:p>
        </w:tc>
        <w:tc>
          <w:tcPr>
            <w:tcW w:w="880" w:type="dxa"/>
            <w:vAlign w:val="bottom"/>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2014</w:t>
            </w:r>
          </w:p>
        </w:tc>
        <w:tc>
          <w:tcPr>
            <w:tcW w:w="900" w:type="dxa"/>
            <w:vAlign w:val="bottom"/>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2"/>
                <w:szCs w:val="12"/>
                <w:color w:val="auto"/>
              </w:rPr>
            </w:pPr>
          </w:p>
        </w:tc>
        <w:tc>
          <w:tcPr>
            <w:tcW w:w="700" w:type="dxa"/>
            <w:vAlign w:val="bottom"/>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Deficiency of earnings available to cover fixed charges</w:t>
            </w:r>
          </w:p>
        </w:tc>
        <w:tc>
          <w:tcPr>
            <w:tcW w:w="12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$(112,387)</w:t>
            </w:r>
          </w:p>
        </w:tc>
        <w:tc>
          <w:tcPr>
            <w:tcW w:w="3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$(29,650)</w:t>
            </w:r>
          </w:p>
        </w:tc>
        <w:tc>
          <w:tcPr>
            <w:tcW w:w="3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$(3,147)</w:t>
            </w:r>
          </w:p>
        </w:tc>
        <w:tc>
          <w:tcPr>
            <w:tcW w:w="3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$(6,423)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$(9,785)</w:t>
            </w:r>
          </w:p>
        </w:tc>
        <w:tc>
          <w:tcPr>
            <w:tcW w:w="14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 the periods indicated above, we had no outstanding shares of preferred stock with required dividend payments.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459" w:right="4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200" w:right="100"/>
        <w:spacing w:after="0" w:line="255" w:lineRule="auto"/>
        <w:rPr>
          <w:sz w:val="20"/>
          <w:szCs w:val="20"/>
          <w:color w:val="auto"/>
        </w:rPr>
      </w:pPr>
      <w:r>
        <w:rPr>
          <w:rFonts w:ascii="Arial" w:cs="Arial" w:eastAsia="Arial" w:hAnsi="Arial"/>
          <w:sz w:val="18"/>
          <w:szCs w:val="18"/>
          <w:i w:val="1"/>
          <w:iCs w:val="1"/>
          <w:color w:val="auto"/>
        </w:rPr>
        <w:t>The following summary describes our capital stock and the material provisions of our amended and restated certificate of incorporation and our amended and restated bylaws, our investor rights agreement and registration rights agreement to which we and certain of our stockholders are parties and of the Delaware General Corporation Law. Because the following is only a summary, it does not contain all of the information that may be important to you. For a complete description, you should refer to our amended and restated certificate of incorporation, amended and restated bylaws, amended and restated investor rights agreement, and registration rights agreement, copies of which are incorporated by reference as exhibits to the registration statement of which this prospectus is a part.</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color w:val="auto"/>
        </w:rPr>
        <w:t>Our amended and restated certificate of incorporation authorizes 300,000,000 shares of common stock, $0.0001 par value per share, and 5,000,000 shares of preferred stock, $0.0001 par value per share.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left="200" w:right="100"/>
        <w:spacing w:after="0" w:line="276" w:lineRule="auto"/>
        <w:rPr>
          <w:sz w:val="20"/>
          <w:szCs w:val="20"/>
          <w:color w:val="auto"/>
        </w:rPr>
      </w:pPr>
      <w:r>
        <w:rPr>
          <w:rFonts w:ascii="Arial" w:cs="Arial" w:eastAsia="Arial" w:hAnsi="Arial"/>
          <w:sz w:val="17"/>
          <w:szCs w:val="17"/>
          <w:color w:val="auto"/>
        </w:rPr>
        <w:t>Each holder of our common stock is entitled to one vote for each share on all matters submitted to a vote of the stockholders, including the election of directors. Our stockholders do not have cumulative voting rights in the election of directors. Accordingly, holders of a majority of the voting shares are able to elect all of the directors. In addition, the affirmative vote of holders of 66 2/3% of the voting power of all of the then outstanding voting stock will be required to take certain actions, including amending certain provisions of our amended and restated certificate of incorporation, such as the provisions relating to amending our amended and restated bylaws, the classified board and director liability.</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Subject to preferences that may be applicable to any then outstanding preferred stock, holders of our common stock are entitled to receive dividends, if any, as may be declared from time to time by our board of directors out of legally available funds.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Liquidation</w:t>
      </w:r>
    </w:p>
    <w:p>
      <w:pPr>
        <w:spacing w:after="0" w:line="117"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 outstanding shares of preferred stock.</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117"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All of our outstanding shares of common stock are, and the shares of common stock to be issued in this offering will be, fully paid and nonassessable.</w:t>
      </w:r>
    </w:p>
    <w:p>
      <w:pPr>
        <w:spacing w:after="0" w:line="18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80"/>
          </w:cols>
          <w:pgMar w:left="240" w:top="459" w:right="4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200" w:right="100"/>
        <w:spacing w:after="0" w:line="291" w:lineRule="auto"/>
        <w:rPr>
          <w:sz w:val="20"/>
          <w:szCs w:val="20"/>
          <w:color w:val="auto"/>
        </w:rPr>
      </w:pPr>
      <w:r>
        <w:rPr>
          <w:rFonts w:ascii="Arial" w:cs="Arial" w:eastAsia="Arial" w:hAnsi="Arial"/>
          <w:sz w:val="16"/>
          <w:szCs w:val="16"/>
          <w:color w:val="auto"/>
        </w:rPr>
        <w:t>Our board of directors has the authority, without further action by our stockholders, to issue up to 5,000,000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No shares of preferred stock are outstanding, and we have no present plan to issue any shares of preferred stock.</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200" w:right="260"/>
        <w:spacing w:after="0" w:line="259" w:lineRule="auto"/>
        <w:rPr>
          <w:sz w:val="20"/>
          <w:szCs w:val="20"/>
          <w:color w:val="auto"/>
        </w:rPr>
      </w:pPr>
      <w:r>
        <w:rPr>
          <w:rFonts w:ascii="Arial" w:cs="Arial" w:eastAsia="Arial" w:hAnsi="Arial"/>
          <w:sz w:val="18"/>
          <w:szCs w:val="18"/>
          <w:color w:val="auto"/>
        </w:rPr>
        <w:t>Based on the number of shares outstanding as of December 31, 2016, under our amended and restated investor rights agreement, the holders of approximately 5.6 million shares of common stock, or their transferees have the right to require us to register their shares under the Securities Act of 1933, as amended, or the Securities Act, so that those shares may be publicly resold, or to include their shares in any registration statement we file, in each case as described below.</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ind w:left="200" w:right="380"/>
        <w:spacing w:after="0" w:line="264" w:lineRule="auto"/>
        <w:rPr>
          <w:sz w:val="20"/>
          <w:szCs w:val="20"/>
          <w:color w:val="auto"/>
        </w:rPr>
      </w:pPr>
      <w:r>
        <w:rPr>
          <w:rFonts w:ascii="Arial" w:cs="Arial" w:eastAsia="Arial" w:hAnsi="Arial"/>
          <w:sz w:val="18"/>
          <w:szCs w:val="18"/>
          <w:color w:val="auto"/>
        </w:rPr>
        <w:t>Based on the number of shares outstanding as of December 31, 2016, the holders of approximately 5.6 million shares of our common stock, or their transferees, will be entitled to certain demand registration rights. The holders of at least 25% of these shares can, on not more than two occasions, request that we register all or a portion of their shares.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Based on the number of shares outstanding as of December 31, 2016, in the event that we determine to register any of our securities under the Securities Act (subject to certain exceptions), either for our own account or for the account of other security holders, the holders of approximately 5.6 million shares of our common stock, or their transferees, will be entitled to certain “piggyback” registration rights allowing the holders to include their shares in such registration, subject to certain marketing and other limitations. As a result, whenever we propose to file a registration statement under the Securities Act, other than with respect to a registration related to employee benefit plans, the offer and sale of debt securities, or corporate reorganizations or certain other transactions, the holders of these shares are entitled to notice of the registration and have the right, subject to limitations that the underwriters may impose on the number of shares included in the registration, to include their shares in the registration. In an underwritten offering, the managing underwriter, if any, has the right, subject to specified conditions, to limit the number of shares such holders may include.</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17" w:lineRule="exact"/>
        <w:rPr>
          <w:sz w:val="20"/>
          <w:szCs w:val="20"/>
          <w:color w:val="auto"/>
        </w:rPr>
      </w:pPr>
    </w:p>
    <w:p>
      <w:pPr>
        <w:jc w:val="both"/>
        <w:ind w:left="200" w:right="300"/>
        <w:spacing w:after="0" w:line="288" w:lineRule="auto"/>
        <w:rPr>
          <w:sz w:val="20"/>
          <w:szCs w:val="20"/>
          <w:color w:val="auto"/>
        </w:rPr>
      </w:pPr>
      <w:r>
        <w:rPr>
          <w:rFonts w:ascii="Arial" w:cs="Arial" w:eastAsia="Arial" w:hAnsi="Arial"/>
          <w:sz w:val="16"/>
          <w:szCs w:val="16"/>
          <w:color w:val="auto"/>
        </w:rPr>
        <w:t>Based on the number of shares outstanding as of December 31, 2016, the holders of approximately 5.6 million shares of our common stock, or their transferees, are entitled to certain Form S-3 registration rights. The holders of these shares can make a written request that we register their shares on Form S-3 if we are eligible to file a registration statement on Form S-3 and if the aggregate price to the public of the shares offered is at least</w:t>
      </w:r>
    </w:p>
    <w:p>
      <w:pPr>
        <w:jc w:val="both"/>
        <w:ind w:left="200" w:right="140"/>
        <w:spacing w:after="0" w:line="254" w:lineRule="auto"/>
        <w:rPr>
          <w:sz w:val="20"/>
          <w:szCs w:val="20"/>
          <w:color w:val="auto"/>
        </w:rPr>
      </w:pPr>
      <w:r>
        <w:rPr>
          <w:rFonts w:ascii="Arial" w:cs="Arial" w:eastAsia="Arial" w:hAnsi="Arial"/>
          <w:sz w:val="18"/>
          <w:szCs w:val="18"/>
          <w:color w:val="auto"/>
        </w:rPr>
        <w:t>$1.0 million. These stockholders may make an unlimited number of requests for registration on Form S-3. In addition, to fulfill our obligation to file a Form S-3 registration statement on behalf of the holders of 22,016,121 million shares of our common stock, including shares issuable upon exercise of warrants, on July 13, 2015 and August 11, 2016, we filed registration statements on Form S-3 (File Nos. 333-205630 and 333-213085) for the resale of an aggregate of 22,016,121 shares of our common stock.</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117" w:lineRule="exact"/>
        <w:rPr>
          <w:sz w:val="20"/>
          <w:szCs w:val="20"/>
          <w:color w:val="auto"/>
        </w:rPr>
      </w:pPr>
    </w:p>
    <w:p>
      <w:pPr>
        <w:ind w:left="200" w:right="540"/>
        <w:spacing w:after="0" w:line="308" w:lineRule="auto"/>
        <w:rPr>
          <w:sz w:val="20"/>
          <w:szCs w:val="20"/>
          <w:color w:val="auto"/>
        </w:rPr>
      </w:pPr>
      <w:r>
        <w:rPr>
          <w:rFonts w:ascii="Arial" w:cs="Arial" w:eastAsia="Arial" w:hAnsi="Arial"/>
          <w:sz w:val="17"/>
          <w:szCs w:val="17"/>
          <w:color w:val="auto"/>
        </w:rPr>
        <w:t>We will pay the registration expenses of the holders of the shares registered pursuant to the demand, piggyback and Form S-3 registration rights described above including reasonable fees (up to a maximum of $35,000) for one counsel for the selling shareholders.</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Expiration of Registration Rights</w:t>
      </w:r>
    </w:p>
    <w:p>
      <w:pPr>
        <w:spacing w:after="0" w:line="117" w:lineRule="exact"/>
        <w:rPr>
          <w:sz w:val="20"/>
          <w:szCs w:val="20"/>
          <w:color w:val="auto"/>
        </w:rPr>
      </w:pPr>
    </w:p>
    <w:p>
      <w:pPr>
        <w:ind w:left="200" w:right="60"/>
        <w:spacing w:after="0" w:line="312" w:lineRule="auto"/>
        <w:rPr>
          <w:sz w:val="20"/>
          <w:szCs w:val="20"/>
          <w:color w:val="auto"/>
        </w:rPr>
      </w:pPr>
      <w:r>
        <w:rPr>
          <w:rFonts w:ascii="Arial" w:cs="Arial" w:eastAsia="Arial" w:hAnsi="Arial"/>
          <w:sz w:val="16"/>
          <w:szCs w:val="16"/>
          <w:color w:val="auto"/>
        </w:rPr>
        <w:t>The demand, piggyback and Form S-3 registration rights described above (other than with respect to the Form S-3 registration statements filed on July 13, 2015 and August 11, 2016) will expire, with respect to any particular stockholder, upon the earlier of five years after the consummation of our initial public offering in June 2014 or when that stockholder can sell all of its shares under Rule 144 of the Securities Act during any 90 day period.</w:t>
      </w:r>
    </w:p>
    <w:p>
      <w:pPr>
        <w:spacing w:after="0" w:line="251" w:lineRule="exact"/>
        <w:rPr>
          <w:sz w:val="20"/>
          <w:szCs w:val="20"/>
          <w:color w:val="auto"/>
        </w:rPr>
      </w:pPr>
    </w:p>
    <w:p>
      <w:pPr>
        <w:ind w:left="200" w:right="520"/>
        <w:spacing w:after="0" w:line="282" w:lineRule="auto"/>
        <w:rPr>
          <w:sz w:val="20"/>
          <w:szCs w:val="20"/>
          <w:color w:val="auto"/>
        </w:rPr>
      </w:pPr>
      <w:r>
        <w:rPr>
          <w:rFonts w:ascii="Arial" w:cs="Arial" w:eastAsia="Arial" w:hAnsi="Arial"/>
          <w:sz w:val="18"/>
          <w:szCs w:val="18"/>
          <w:b w:val="1"/>
          <w:bCs w:val="1"/>
          <w:color w:val="auto"/>
        </w:rPr>
        <w:t>Anti-Takeover Effects of Provisions of our Amended and Restated Certificate of Incorporation, our Amended and Restated Bylaws and Delaware Law</w:t>
      </w:r>
    </w:p>
    <w:p>
      <w:pPr>
        <w:spacing w:after="0" w:line="58" w:lineRule="exact"/>
        <w:rPr>
          <w:sz w:val="20"/>
          <w:szCs w:val="20"/>
          <w:color w:val="auto"/>
        </w:rPr>
      </w:pPr>
    </w:p>
    <w:p>
      <w:pPr>
        <w:ind w:left="200" w:right="280"/>
        <w:spacing w:after="0" w:line="257" w:lineRule="auto"/>
        <w:rPr>
          <w:sz w:val="20"/>
          <w:szCs w:val="20"/>
          <w:color w:val="auto"/>
        </w:rPr>
      </w:pPr>
      <w:r>
        <w:rPr>
          <w:rFonts w:ascii="Arial" w:cs="Arial" w:eastAsia="Arial" w:hAnsi="Arial"/>
          <w:sz w:val="18"/>
          <w:szCs w:val="18"/>
          <w:color w:val="auto"/>
        </w:rPr>
        <w:t>Some provisions of Delaware law and our amended and restated certificate of incorporation and our amended and restated bylaws could make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188" w:lineRule="exact"/>
        <w:rPr>
          <w:sz w:val="20"/>
          <w:szCs w:val="20"/>
          <w:color w:val="auto"/>
        </w:rPr>
      </w:pPr>
    </w:p>
    <w:p>
      <w:pPr>
        <w:ind w:left="200" w:right="180"/>
        <w:spacing w:after="0" w:line="302" w:lineRule="auto"/>
        <w:rPr>
          <w:sz w:val="20"/>
          <w:szCs w:val="20"/>
          <w:color w:val="auto"/>
        </w:rPr>
      </w:pPr>
      <w:r>
        <w:rPr>
          <w:rFonts w:ascii="Arial" w:cs="Arial" w:eastAsia="Arial" w:hAnsi="Arial"/>
          <w:sz w:val="16"/>
          <w:szCs w:val="16"/>
          <w:color w:val="auto"/>
        </w:rPr>
        <w:t>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117"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We are subject to Section 203 of the Delaware General Corporation Law, which prohibits persons deemed “interested stockholders” from engaging in a “business combination” with a publicly-held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 such as discouraging takeover attempts that might result in a premium over the market price of our common stock.</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117"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color w:val="auto"/>
        </w:rPr>
        <w:t>The ability to authorize undesignated preferred stock makes it possible for our board of directors to issue preferred stock with voting or other rights or preferences that could impede the success of any attempt to change control of us. These and other provisions may have the effect of deterring hostile takeovers or delaying changes in control or management of our company.</w:t>
      </w:r>
    </w:p>
    <w:p>
      <w:pPr>
        <w:spacing w:after="0" w:line="11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00"/>
          </w:cols>
          <w:pgMar w:left="240" w:top="459" w:right="5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117" w:lineRule="exact"/>
        <w:rPr>
          <w:sz w:val="20"/>
          <w:szCs w:val="20"/>
          <w:color w:val="auto"/>
        </w:rPr>
      </w:pPr>
    </w:p>
    <w:p>
      <w:pPr>
        <w:ind w:left="200" w:right="300"/>
        <w:spacing w:after="0" w:line="277" w:lineRule="auto"/>
        <w:rPr>
          <w:sz w:val="20"/>
          <w:szCs w:val="20"/>
          <w:color w:val="auto"/>
        </w:rPr>
      </w:pPr>
      <w:r>
        <w:rPr>
          <w:rFonts w:ascii="Arial" w:cs="Arial" w:eastAsia="Arial" w:hAnsi="Arial"/>
          <w:sz w:val="18"/>
          <w:szCs w:val="18"/>
          <w:color w:val="auto"/>
        </w:rPr>
        <w:t>Our amended and restated bylaws provide that a special meeting of stockholders may be called only by our chairman of the board of directors, Chief Executive Officer or President, or by a resolution adopted by a majority of our board of directors.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Requirements for Advance Notification of Stockholder Nominations and Proposals</w:t>
      </w:r>
    </w:p>
    <w:p>
      <w:pPr>
        <w:spacing w:after="0" w:line="117" w:lineRule="exact"/>
        <w:rPr>
          <w:sz w:val="20"/>
          <w:szCs w:val="20"/>
          <w:color w:val="auto"/>
        </w:rPr>
      </w:pPr>
    </w:p>
    <w:p>
      <w:pPr>
        <w:ind w:left="200" w:right="520"/>
        <w:spacing w:after="0" w:line="342" w:lineRule="auto"/>
        <w:rPr>
          <w:sz w:val="20"/>
          <w:szCs w:val="20"/>
          <w:color w:val="auto"/>
        </w:rPr>
      </w:pPr>
      <w:r>
        <w:rPr>
          <w:rFonts w:ascii="Arial" w:cs="Arial" w:eastAsia="Arial" w:hAnsi="Arial"/>
          <w:sz w:val="16"/>
          <w:szCs w:val="16"/>
          <w:color w:val="auto"/>
        </w:rPr>
        <w:t>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Elimination of Stockholder Action by Written Consent</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amended and restated certificate of incorporation eliminates the right of stockholders to act by written consent without a meeting.</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Classified Board; Election and Removal of Directors; Filling Vacancies</w:t>
      </w:r>
    </w:p>
    <w:p>
      <w:pPr>
        <w:spacing w:after="0" w:line="117"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Our board of directors is divided into three classes. The directors in each class will serve for a three-year term, one class being elected each year by our stockholders, with staggered three-year terms. Only one class of directors will be elected at each annual meeting of our stockholders, with the other classes continuing for the remainder of their respective three-year terms. Because our stockholders do not have cumulative voting rights, our stockholders holding a majority of the shares of common stock outstanding will be able to elect all of our directors. Our amended and restated certificate of incorporation provides for the removal of any of our directors only for cause and requires at least a 66 2/3% stockholder vote. Furthermore, any vacancy on our board of directors, however occurring, including a vacancy resulting from an increase in the size of our board, may only be filled by a resolution of the board of directors unless the board of directors determines that such vacancies shall be filled by the stockholders. This system of electing and removing directors and filling vacancies may tend to discourage a third party from making a tender offer or otherwise attempting to obtain control of us, because it generally makes it more difficult for stockholders to replace a majority of the directors.</w:t>
      </w:r>
    </w:p>
    <w:p>
      <w:pPr>
        <w:spacing w:after="0" w:line="2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Choice of Forum</w:t>
      </w:r>
    </w:p>
    <w:p>
      <w:pPr>
        <w:spacing w:after="0" w:line="117" w:lineRule="exact"/>
        <w:rPr>
          <w:sz w:val="20"/>
          <w:szCs w:val="20"/>
          <w:color w:val="auto"/>
        </w:rPr>
      </w:pPr>
    </w:p>
    <w:p>
      <w:pPr>
        <w:ind w:left="200" w:right="100"/>
        <w:spacing w:after="0" w:line="271" w:lineRule="auto"/>
        <w:rPr>
          <w:sz w:val="20"/>
          <w:szCs w:val="20"/>
          <w:color w:val="auto"/>
        </w:rPr>
      </w:pPr>
      <w:r>
        <w:rPr>
          <w:rFonts w:ascii="Arial" w:cs="Arial" w:eastAsia="Arial" w:hAnsi="Arial"/>
          <w:sz w:val="17"/>
          <w:szCs w:val="17"/>
          <w:color w:val="auto"/>
        </w:rPr>
        <w:t>Our amended and restated certificate of incorporation provides that the Court of Chancery of the State of Delaware will be the exclusive forum for any derivative action or proceeding brought on our behalf; any action asserting a breach of fiduciary duty, or other wrongdoing by, any of our directors, officers, employees or stockholders; any action asserting a claim against us or any of our directors, officers or employees arising pursuant to the Delaware General Corporation Law, our amended and restated certificate of incorporation or our amended and restated bylaws; any action to interpret, apply, enforce or determine the validity of our amended and restated certificate of incorporation or our amended and restated bylaws; or any action asserting a claim against us or any of our directors, officers or employees that is governed by the internal affairs doctrine. Although our amended and restated certificate of incorporation contains the choice of forum provision described above, it is possible that a court could find that such a provision is inapplicable for a particular claim or action or that such provision is unenforceable.</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Amendment of Charter Provisions</w:t>
      </w:r>
    </w:p>
    <w:p>
      <w:pPr>
        <w:spacing w:after="0" w:line="117" w:lineRule="exact"/>
        <w:rPr>
          <w:sz w:val="20"/>
          <w:szCs w:val="20"/>
          <w:color w:val="auto"/>
        </w:rPr>
      </w:pPr>
    </w:p>
    <w:p>
      <w:pPr>
        <w:ind w:left="200" w:right="300"/>
        <w:spacing w:after="0" w:line="277" w:lineRule="auto"/>
        <w:rPr>
          <w:sz w:val="20"/>
          <w:szCs w:val="20"/>
          <w:color w:val="auto"/>
        </w:rPr>
      </w:pPr>
      <w:r>
        <w:rPr>
          <w:rFonts w:ascii="Arial" w:cs="Arial" w:eastAsia="Arial" w:hAnsi="Arial"/>
          <w:sz w:val="18"/>
          <w:szCs w:val="18"/>
          <w:color w:val="auto"/>
        </w:rPr>
        <w:t>The amendment of any of the above provisions, except for the provision making it possible for our board of directors to issue preferred stock, would require approval by holders of at least 66 2/3% of the voting power of our then outstanding voting stock.</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24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auto"/>
        </w:rPr>
        <w:t>The provisions of the Delaware General Corporation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Limitations of Liability and Indemnification Matters</w:t>
      </w:r>
    </w:p>
    <w:p>
      <w:pPr>
        <w:spacing w:after="0" w:line="121" w:lineRule="exact"/>
        <w:rPr>
          <w:sz w:val="20"/>
          <w:szCs w:val="20"/>
          <w:color w:val="auto"/>
        </w:rPr>
      </w:pPr>
    </w:p>
    <w:p>
      <w:pPr>
        <w:ind w:left="200" w:right="360"/>
        <w:spacing w:after="0" w:line="264" w:lineRule="auto"/>
        <w:rPr>
          <w:sz w:val="20"/>
          <w:szCs w:val="20"/>
          <w:color w:val="auto"/>
        </w:rPr>
      </w:pPr>
      <w:r>
        <w:rPr>
          <w:rFonts w:ascii="Arial" w:cs="Arial" w:eastAsia="Arial" w:hAnsi="Arial"/>
          <w:sz w:val="18"/>
          <w:szCs w:val="18"/>
          <w:color w:val="auto"/>
        </w:rPr>
        <w:t>Our amended and restated certificate of incorporation contains provisions that limit the liability of our directors for monetary damages for breach of fiduciary duty as a director to the fullest extent permitted by Delaware law. Consequently, our directors will not be personally liable to us or our stockholders for monetary damages for any breach of fiduciary duties as directors, except liability for:</w:t>
      </w:r>
    </w:p>
    <w:p>
      <w:pPr>
        <w:spacing w:after="0" w:line="87" w:lineRule="exact"/>
        <w:rPr>
          <w:sz w:val="20"/>
          <w:szCs w:val="20"/>
          <w:color w:val="auto"/>
        </w:rPr>
      </w:pPr>
    </w:p>
    <w:p>
      <w:pPr>
        <w:ind w:left="1180" w:hanging="436"/>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1180" w:right="620" w:hanging="436"/>
        <w:spacing w:after="0" w:line="277" w:lineRule="auto"/>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Our amended and restated certificate of incorporation and amended and restated bylaws provide that we are required to indemnify our directors and officers, in each case to the fullest extent permitted by Delaware law. Our amended and restated bylaws also provide that we are obligated to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Delaware law. We have entered and expect to continue to enter into agreements to indemnify our directors, executive officers and other employees as determined by our board of directors. With specified exceptions, these agreements provide for indemnification for related expenses including, among other things, attorneys’ fees, judgments, fines and settlement amounts incurred by any of these individuals in any action or proceeding. We believe that these bylaw provisions and indemnification agreements are necessary to attract and retain qualified persons as directors and officers. We also maintain directors’ and officers’ liability insurance.</w:t>
      </w:r>
    </w:p>
    <w:p>
      <w:pPr>
        <w:spacing w:after="0" w:line="182" w:lineRule="exact"/>
        <w:rPr>
          <w:sz w:val="20"/>
          <w:szCs w:val="20"/>
          <w:color w:val="auto"/>
        </w:rPr>
      </w:pPr>
    </w:p>
    <w:p>
      <w:pPr>
        <w:ind w:left="200" w:right="20"/>
        <w:spacing w:after="0" w:line="279" w:lineRule="auto"/>
        <w:rPr>
          <w:sz w:val="20"/>
          <w:szCs w:val="20"/>
          <w:color w:val="auto"/>
        </w:rPr>
      </w:pPr>
      <w:r>
        <w:rPr>
          <w:rFonts w:ascii="Arial" w:cs="Arial" w:eastAsia="Arial" w:hAnsi="Arial"/>
          <w:sz w:val="17"/>
          <w:szCs w:val="17"/>
          <w:color w:val="auto"/>
        </w:rPr>
        <w:t>The limitation of liability and indemnification provisions in our amended and restated certificate of incorporation and amended and restated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our stockholders. Further, a stockholder’s investment may be adversely affected to the extent that we pay the costs of settlement and damage.</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NASDAQ Global Market Listing</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common stock is listed on The NASDAQ Global Market under the symbol “ARDX.”</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The transfer agent and registrar for our common stock is American Stock Transfer &amp; Trust Company, LLC. The transfer agent and registrar’s address is 6201 15th Avenue, Brooklyn, New York 11219.</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200" w:right="120"/>
        <w:spacing w:after="0" w:line="259" w:lineRule="auto"/>
        <w:rPr>
          <w:sz w:val="20"/>
          <w:szCs w:val="20"/>
          <w:color w:val="auto"/>
        </w:rPr>
      </w:pPr>
      <w:r>
        <w:rPr>
          <w:rFonts w:ascii="Arial" w:cs="Arial" w:eastAsia="Arial" w:hAnsi="Arial"/>
          <w:sz w:val="18"/>
          <w:szCs w:val="18"/>
          <w:color w:val="auto"/>
        </w:rPr>
        <w:t>The following description, together with the additional information we include in any applicable prospectus supplement,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87" w:lineRule="exact"/>
        <w:rPr>
          <w:sz w:val="20"/>
          <w:szCs w:val="20"/>
          <w:color w:val="auto"/>
        </w:rPr>
      </w:pPr>
    </w:p>
    <w:p>
      <w:pPr>
        <w:jc w:val="both"/>
        <w:ind w:left="200" w:right="260"/>
        <w:spacing w:after="0" w:line="312" w:lineRule="auto"/>
        <w:rPr>
          <w:sz w:val="20"/>
          <w:szCs w:val="20"/>
          <w:color w:val="auto"/>
        </w:rPr>
      </w:pPr>
      <w:r>
        <w:rPr>
          <w:rFonts w:ascii="Arial" w:cs="Arial" w:eastAsia="Arial" w:hAnsi="Arial"/>
          <w:sz w:val="16"/>
          <w:szCs w:val="16"/>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147"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The debt securities will be issued under an indenture between us and a third party to be identified therein.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154"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color w:val="auto"/>
        </w:rPr>
        <w:t>As used in this section only, “Ardelyx,” “we,” “our” or “us” refer to Ardelyx, Inc. excluding our subsidiaries, unless expressly stated or the context otherwise requires.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right="60"/>
        <w:spacing w:after="0" w:line="312" w:lineRule="auto"/>
        <w:rPr>
          <w:sz w:val="20"/>
          <w:szCs w:val="20"/>
          <w:color w:val="auto"/>
        </w:rPr>
      </w:pPr>
      <w:r>
        <w:rPr>
          <w:rFonts w:ascii="Arial" w:cs="Arial" w:eastAsia="Arial" w:hAnsi="Arial"/>
          <w:sz w:val="16"/>
          <w:szCs w:val="16"/>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(Section 2.2) The particular terms of each series of debt securities will be described in a prospectus supplement relating to such series (including any pricing supplement or term sheet).</w:t>
      </w:r>
    </w:p>
    <w:p>
      <w:pPr>
        <w:spacing w:after="0" w:line="147" w:lineRule="exact"/>
        <w:rPr>
          <w:sz w:val="20"/>
          <w:szCs w:val="20"/>
          <w:color w:val="auto"/>
        </w:rPr>
      </w:pPr>
    </w:p>
    <w:p>
      <w:pPr>
        <w:jc w:val="both"/>
        <w:ind w:left="200" w:right="100"/>
        <w:spacing w:after="0" w:line="286" w:lineRule="auto"/>
        <w:rPr>
          <w:sz w:val="20"/>
          <w:szCs w:val="20"/>
          <w:color w:val="auto"/>
        </w:rPr>
      </w:pPr>
      <w:r>
        <w:rPr>
          <w:rFonts w:ascii="Arial" w:cs="Arial" w:eastAsia="Arial" w:hAnsi="Arial"/>
          <w:sz w:val="17"/>
          <w:szCs w:val="17"/>
          <w:color w:val="auto"/>
        </w:rPr>
        <w:t>We can issue an unlimited amount of debt securities under the indenture that may be in one or more series with the same or various maturities, at par, at a premium, or at a discount. (Section 2.1) We will set forth in a prospectus supplement (including any pricing supplement or term sheet) relating to any series of debt securities being offered, the aggregate principal amount and the following terms of the debt securities, if applicable:</w:t>
      </w:r>
    </w:p>
    <w:p>
      <w:pPr>
        <w:spacing w:after="0" w:line="71" w:lineRule="exact"/>
        <w:rPr>
          <w:sz w:val="20"/>
          <w:szCs w:val="20"/>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title and ranking of the debt securities (including the terms of any subordination provisions);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price or prices (expressed as a percentage of the principal amount) at which we will sell the debt securities;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debt securities;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w:t>
      </w:r>
    </w:p>
    <w:p>
      <w:pPr>
        <w:spacing w:after="0" w:line="130" w:lineRule="exact"/>
        <w:rPr>
          <w:rFonts w:ascii="Arial" w:cs="Arial" w:eastAsia="Arial" w:hAnsi="Arial"/>
          <w:sz w:val="18"/>
          <w:szCs w:val="18"/>
          <w:color w:val="auto"/>
        </w:rPr>
      </w:pPr>
    </w:p>
    <w:p>
      <w:pPr>
        <w:ind w:left="1180" w:right="140" w:hanging="436"/>
        <w:spacing w:after="0" w:line="259"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92" w:lineRule="exact"/>
        <w:rPr>
          <w:rFonts w:ascii="Arial" w:cs="Arial" w:eastAsia="Arial" w:hAnsi="Arial"/>
          <w:sz w:val="18"/>
          <w:szCs w:val="18"/>
          <w:color w:val="auto"/>
        </w:rPr>
      </w:pPr>
    </w:p>
    <w:p>
      <w:pPr>
        <w:jc w:val="both"/>
        <w:ind w:left="1180" w:right="80" w:hanging="436"/>
        <w:spacing w:after="0" w:line="264"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680" w:hanging="436"/>
        <w:spacing w:after="0" w:line="277" w:lineRule="auto"/>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we may redeem the debt securities;</w:t>
      </w:r>
    </w:p>
    <w:p>
      <w:pPr>
        <w:spacing w:after="0" w:line="75" w:lineRule="exact"/>
        <w:rPr>
          <w:rFonts w:ascii="Arial" w:cs="Arial" w:eastAsia="Arial" w:hAnsi="Arial"/>
          <w:sz w:val="18"/>
          <w:szCs w:val="18"/>
          <w:color w:val="auto"/>
        </w:rPr>
      </w:pPr>
    </w:p>
    <w:p>
      <w:pPr>
        <w:ind w:left="1180" w:right="40" w:hanging="436"/>
        <w:spacing w:after="0" w:line="286" w:lineRule="auto"/>
        <w:tabs>
          <w:tab w:leader="none" w:pos="11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w:t>
      </w:r>
    </w:p>
    <w:p>
      <w:pPr>
        <w:spacing w:after="0" w:line="70" w:lineRule="exact"/>
        <w:rPr>
          <w:rFonts w:ascii="Arial" w:cs="Arial" w:eastAsia="Arial" w:hAnsi="Arial"/>
          <w:sz w:val="17"/>
          <w:szCs w:val="17"/>
          <w:color w:val="auto"/>
        </w:rPr>
      </w:pPr>
    </w:p>
    <w:p>
      <w:pPr>
        <w:ind w:left="1180" w:right="340" w:hanging="436"/>
        <w:spacing w:after="0" w:line="258" w:lineRule="auto"/>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1" w:lineRule="exact"/>
        <w:rPr>
          <w:rFonts w:ascii="Arial" w:cs="Arial" w:eastAsia="Arial" w:hAnsi="Arial"/>
          <w:sz w:val="18"/>
          <w:szCs w:val="18"/>
          <w:color w:val="auto"/>
        </w:rPr>
      </w:pPr>
    </w:p>
    <w:p>
      <w:pPr>
        <w:ind w:left="1180" w:hanging="436"/>
        <w:spacing w:after="0"/>
        <w:tabs>
          <w:tab w:leader="none" w:pos="11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denominations in which the debt securities will be issued, if other than denominations of $1,000 and any integral multiple thereof;</w:t>
      </w:r>
    </w:p>
    <w:p>
      <w:pPr>
        <w:spacing w:after="0" w:line="127" w:lineRule="exact"/>
        <w:rPr>
          <w:rFonts w:ascii="Arial" w:cs="Arial" w:eastAsia="Arial" w:hAnsi="Arial"/>
          <w:sz w:val="17"/>
          <w:szCs w:val="17"/>
          <w:color w:val="auto"/>
        </w:rPr>
      </w:pPr>
    </w:p>
    <w:p>
      <w:pPr>
        <w:ind w:left="1180" w:hanging="436"/>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the debt securities will be issued in the form of certificated debt securities or global debt securities;</w:t>
      </w:r>
    </w:p>
    <w:p>
      <w:pPr>
        <w:spacing w:after="0" w:line="130" w:lineRule="exact"/>
        <w:rPr>
          <w:rFonts w:ascii="Arial" w:cs="Arial" w:eastAsia="Arial" w:hAnsi="Arial"/>
          <w:sz w:val="18"/>
          <w:szCs w:val="18"/>
          <w:color w:val="auto"/>
        </w:rPr>
      </w:pPr>
    </w:p>
    <w:p>
      <w:pPr>
        <w:ind w:left="1180" w:right="580" w:hanging="436"/>
        <w:spacing w:after="0" w:line="277" w:lineRule="auto"/>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portion of principal amount of the debt securities payable upon declaration of acceleration of the maturity date, if other than the principal amount;</w:t>
      </w:r>
    </w:p>
    <w:p>
      <w:pPr>
        <w:spacing w:after="0" w:line="75" w:lineRule="exact"/>
        <w:rPr>
          <w:rFonts w:ascii="Arial" w:cs="Arial" w:eastAsia="Arial" w:hAnsi="Arial"/>
          <w:sz w:val="18"/>
          <w:szCs w:val="18"/>
          <w:color w:val="auto"/>
        </w:rPr>
      </w:pPr>
    </w:p>
    <w:p>
      <w:pPr>
        <w:ind w:left="1180" w:right="200" w:hanging="436"/>
        <w:spacing w:after="0" w:line="342" w:lineRule="auto"/>
        <w:tabs>
          <w:tab w:leader="none" w:pos="11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29" w:lineRule="exact"/>
        <w:rPr>
          <w:rFonts w:ascii="Arial" w:cs="Arial" w:eastAsia="Arial" w:hAnsi="Arial"/>
          <w:sz w:val="16"/>
          <w:szCs w:val="16"/>
          <w:color w:val="auto"/>
        </w:rPr>
      </w:pPr>
    </w:p>
    <w:p>
      <w:pPr>
        <w:ind w:left="1180" w:right="120" w:hanging="436"/>
        <w:spacing w:after="0" w:line="277" w:lineRule="auto"/>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designation of the currency, currencies or currency units in which payment of principal of, premium and interest on the debt securities will be made;</w:t>
      </w:r>
    </w:p>
    <w:p>
      <w:pPr>
        <w:spacing w:after="0" w:line="75" w:lineRule="exact"/>
        <w:rPr>
          <w:rFonts w:ascii="Arial" w:cs="Arial" w:eastAsia="Arial" w:hAnsi="Arial"/>
          <w:sz w:val="18"/>
          <w:szCs w:val="18"/>
          <w:color w:val="auto"/>
        </w:rPr>
      </w:pPr>
    </w:p>
    <w:p>
      <w:pPr>
        <w:ind w:left="1180" w:right="140" w:hanging="436"/>
        <w:spacing w:after="0" w:line="264" w:lineRule="auto"/>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86" w:lineRule="exact"/>
        <w:rPr>
          <w:rFonts w:ascii="Arial" w:cs="Arial" w:eastAsia="Arial" w:hAnsi="Arial"/>
          <w:sz w:val="18"/>
          <w:szCs w:val="18"/>
          <w:color w:val="auto"/>
        </w:rPr>
      </w:pPr>
    </w:p>
    <w:p>
      <w:pPr>
        <w:jc w:val="both"/>
        <w:ind w:left="1180" w:right="40" w:hanging="436"/>
        <w:spacing w:after="0" w:line="264" w:lineRule="auto"/>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86" w:lineRule="exact"/>
        <w:rPr>
          <w:rFonts w:ascii="Arial" w:cs="Arial" w:eastAsia="Arial" w:hAnsi="Arial"/>
          <w:sz w:val="18"/>
          <w:szCs w:val="18"/>
          <w:color w:val="auto"/>
        </w:rPr>
      </w:pPr>
    </w:p>
    <w:p>
      <w:pPr>
        <w:ind w:left="1180" w:hanging="436"/>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debt securities;</w:t>
      </w:r>
    </w:p>
    <w:p>
      <w:pPr>
        <w:spacing w:after="0" w:line="130" w:lineRule="exact"/>
        <w:rPr>
          <w:rFonts w:ascii="Arial" w:cs="Arial" w:eastAsia="Arial" w:hAnsi="Arial"/>
          <w:sz w:val="18"/>
          <w:szCs w:val="18"/>
          <w:color w:val="auto"/>
        </w:rPr>
      </w:pPr>
    </w:p>
    <w:p>
      <w:pPr>
        <w:ind w:left="1180" w:right="120" w:hanging="436"/>
        <w:spacing w:after="0" w:line="342" w:lineRule="auto"/>
        <w:tabs>
          <w:tab w:leader="none" w:pos="11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29" w:lineRule="exact"/>
        <w:rPr>
          <w:rFonts w:ascii="Arial" w:cs="Arial" w:eastAsia="Arial" w:hAnsi="Arial"/>
          <w:sz w:val="16"/>
          <w:szCs w:val="16"/>
          <w:color w:val="auto"/>
        </w:rPr>
      </w:pPr>
    </w:p>
    <w:p>
      <w:pPr>
        <w:ind w:left="1180" w:hanging="436"/>
        <w:spacing w:after="0"/>
        <w:tabs>
          <w:tab w:leader="none" w:pos="11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any addition to, deletion of or change in the covenants described in this prospectus or in the indenture with respect to the debt securities;</w:t>
      </w:r>
    </w:p>
    <w:p>
      <w:pPr>
        <w:spacing w:after="0" w:line="153" w:lineRule="exact"/>
        <w:rPr>
          <w:rFonts w:ascii="Arial" w:cs="Arial" w:eastAsia="Arial" w:hAnsi="Arial"/>
          <w:sz w:val="16"/>
          <w:szCs w:val="16"/>
          <w:color w:val="auto"/>
        </w:rPr>
      </w:pPr>
    </w:p>
    <w:p>
      <w:pPr>
        <w:ind w:left="1180" w:hanging="436"/>
        <w:spacing w:after="0"/>
        <w:tabs>
          <w:tab w:leader="none" w:pos="11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any depositaries, interest rate calculation agents, exchange rate calculation agents or other agents with respect to the debt securities;</w:t>
      </w:r>
    </w:p>
    <w:p>
      <w:pPr>
        <w:spacing w:after="0" w:line="153" w:lineRule="exact"/>
        <w:rPr>
          <w:rFonts w:ascii="Arial" w:cs="Arial" w:eastAsia="Arial" w:hAnsi="Arial"/>
          <w:sz w:val="16"/>
          <w:szCs w:val="16"/>
          <w:color w:val="auto"/>
        </w:rPr>
      </w:pPr>
    </w:p>
    <w:p>
      <w:pPr>
        <w:ind w:left="1180" w:right="160" w:hanging="436"/>
        <w:spacing w:after="0" w:line="264" w:lineRule="auto"/>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86" w:lineRule="exact"/>
        <w:rPr>
          <w:rFonts w:ascii="Arial" w:cs="Arial" w:eastAsia="Arial" w:hAnsi="Arial"/>
          <w:sz w:val="18"/>
          <w:szCs w:val="18"/>
          <w:color w:val="auto"/>
        </w:rPr>
      </w:pPr>
    </w:p>
    <w:p>
      <w:pPr>
        <w:ind w:left="1180" w:right="220" w:hanging="436"/>
        <w:spacing w:after="0" w:line="264" w:lineRule="auto"/>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86" w:lineRule="exact"/>
        <w:rPr>
          <w:rFonts w:ascii="Arial" w:cs="Arial" w:eastAsia="Arial" w:hAnsi="Arial"/>
          <w:sz w:val="18"/>
          <w:szCs w:val="18"/>
          <w:color w:val="auto"/>
        </w:rPr>
      </w:pPr>
    </w:p>
    <w:p>
      <w:pPr>
        <w:ind w:left="1180" w:right="240" w:hanging="436"/>
        <w:spacing w:after="0" w:line="277" w:lineRule="auto"/>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any of our direct or indirect subsidiaries will guarantee the debt securities of that series, including the terms of subordination, if any, of such guarantees. (Section 2.2)</w:t>
      </w:r>
    </w:p>
    <w:p>
      <w:pPr>
        <w:spacing w:after="0" w:line="17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We may issue debt securities that provide for an amount less than their stated principal amount to be due and payable upon declaration of acceleration of their maturity pursuant to the terms of the indenture. We will provide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24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760"/>
        <w:spacing w:after="0" w:line="277" w:lineRule="auto"/>
        <w:rPr>
          <w:sz w:val="20"/>
          <w:szCs w:val="20"/>
          <w:color w:val="auto"/>
        </w:rPr>
      </w:pPr>
      <w:r>
        <w:rPr>
          <w:rFonts w:ascii="Arial" w:cs="Arial" w:eastAsia="Arial" w:hAnsi="Arial"/>
          <w:sz w:val="18"/>
          <w:szCs w:val="18"/>
          <w:color w:val="auto"/>
        </w:rPr>
        <w:t>you with information on the federal income tax considerations and other special considerations applicable to any of these debt securities in the applicable prospectus supplement.</w:t>
      </w:r>
    </w:p>
    <w:p>
      <w:pPr>
        <w:spacing w:after="0" w:line="170" w:lineRule="exact"/>
        <w:rPr>
          <w:sz w:val="20"/>
          <w:szCs w:val="20"/>
          <w:color w:val="auto"/>
        </w:rPr>
      </w:pPr>
    </w:p>
    <w:p>
      <w:pPr>
        <w:ind w:left="200" w:right="20"/>
        <w:spacing w:after="0" w:line="302" w:lineRule="auto"/>
        <w:rPr>
          <w:sz w:val="20"/>
          <w:szCs w:val="20"/>
          <w:color w:val="auto"/>
        </w:rPr>
      </w:pPr>
      <w:r>
        <w:rPr>
          <w:rFonts w:ascii="Arial" w:cs="Arial" w:eastAsia="Arial" w:hAnsi="Arial"/>
          <w:sz w:val="16"/>
          <w:szCs w:val="16"/>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and Exchange</w:t>
      </w:r>
    </w:p>
    <w:p>
      <w:pPr>
        <w:spacing w:after="0" w:line="121"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Each debt security will be represented by either one or more global securities registered in the name of The Depository Trust Company, or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188" w:lineRule="exact"/>
        <w:rPr>
          <w:sz w:val="20"/>
          <w:szCs w:val="20"/>
          <w:color w:val="auto"/>
        </w:rPr>
      </w:pPr>
    </w:p>
    <w:p>
      <w:pPr>
        <w:ind w:left="200" w:right="100"/>
        <w:spacing w:after="0" w:line="312" w:lineRule="auto"/>
        <w:rPr>
          <w:sz w:val="20"/>
          <w:szCs w:val="20"/>
          <w:color w:val="auto"/>
        </w:rPr>
      </w:pPr>
      <w:r>
        <w:rPr>
          <w:rFonts w:ascii="Arial" w:cs="Arial" w:eastAsia="Arial" w:hAnsi="Arial"/>
          <w:sz w:val="16"/>
          <w:szCs w:val="16"/>
          <w:i w:val="1"/>
          <w:iCs w:val="1"/>
          <w:color w:val="auto"/>
        </w:rPr>
        <w:t>Certificated Debt Securities</w:t>
      </w:r>
      <w:r>
        <w:rPr>
          <w:rFonts w:ascii="Arial" w:cs="Arial" w:eastAsia="Arial" w:hAnsi="Arial"/>
          <w:sz w:val="16"/>
          <w:szCs w:val="16"/>
          <w:color w:val="auto"/>
        </w:rPr>
        <w:t>. You may transfer or exchange certificated debt securities at any office we maintain for this purpose in accordance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terms of the indenture. (Section 2.4) No service charge will be made for any transfer or exchange of certificated debt securities, but we may require payment of a sum sufficient to cover any tax or other governmental charge payable in connection with a transfer or exchange. (Section 2.7)</w:t>
      </w:r>
    </w:p>
    <w:p>
      <w:pPr>
        <w:spacing w:after="0" w:line="147"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181" w:lineRule="exact"/>
        <w:rPr>
          <w:sz w:val="20"/>
          <w:szCs w:val="20"/>
          <w:color w:val="auto"/>
        </w:rPr>
      </w:pPr>
    </w:p>
    <w:p>
      <w:pPr>
        <w:ind w:left="200" w:right="20"/>
        <w:spacing w:after="0" w:line="308" w:lineRule="auto"/>
        <w:rPr>
          <w:sz w:val="20"/>
          <w:szCs w:val="20"/>
          <w:color w:val="auto"/>
        </w:rPr>
      </w:pPr>
      <w:r>
        <w:rPr>
          <w:rFonts w:ascii="Arial" w:cs="Arial" w:eastAsia="Arial" w:hAnsi="Arial"/>
          <w:sz w:val="17"/>
          <w:szCs w:val="17"/>
          <w:i w:val="1"/>
          <w:iCs w:val="1"/>
          <w:color w:val="auto"/>
        </w:rPr>
        <w:t>Global Debt Securities and Book-Entry System</w:t>
      </w:r>
      <w:r>
        <w:rPr>
          <w:rFonts w:ascii="Arial" w:cs="Arial" w:eastAsia="Arial" w:hAnsi="Arial"/>
          <w:sz w:val="17"/>
          <w:szCs w:val="17"/>
          <w:color w:val="auto"/>
        </w:rPr>
        <w:t>. Each global debt security representing book-entry debt securities will be deposited with, or on behalf of,</w:t>
      </w:r>
      <w:r>
        <w:rPr>
          <w:rFonts w:ascii="Arial" w:cs="Arial" w:eastAsia="Arial" w:hAnsi="Arial"/>
          <w:sz w:val="17"/>
          <w:szCs w:val="17"/>
          <w:i w:val="1"/>
          <w:iCs w:val="1"/>
          <w:color w:val="auto"/>
        </w:rPr>
        <w:t xml:space="preserve"> </w:t>
      </w:r>
      <w:r>
        <w:rPr>
          <w:rFonts w:ascii="Arial" w:cs="Arial" w:eastAsia="Arial" w:hAnsi="Arial"/>
          <w:sz w:val="17"/>
          <w:szCs w:val="17"/>
          <w:color w:val="auto"/>
        </w:rPr>
        <w:t>the Depositary, and registered in the name of the Depositary or a nominee of the Depositary. Please see “Global Securities.”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will set forth in the applicable prospectus supplement any restrictive covenants applicable to any issue of debt securities. (Article IV)</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121"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121" w:lineRule="exact"/>
        <w:rPr>
          <w:sz w:val="20"/>
          <w:szCs w:val="20"/>
          <w:color w:val="auto"/>
        </w:rPr>
      </w:pPr>
    </w:p>
    <w:p>
      <w:pPr>
        <w:ind w:left="200" w:right="500"/>
        <w:spacing w:after="0" w:line="277" w:lineRule="auto"/>
        <w:rPr>
          <w:sz w:val="20"/>
          <w:szCs w:val="20"/>
          <w:color w:val="auto"/>
        </w:rPr>
      </w:pPr>
      <w:r>
        <w:rPr>
          <w:rFonts w:ascii="Arial" w:cs="Arial" w:eastAsia="Arial" w:hAnsi="Arial"/>
          <w:sz w:val="18"/>
          <w:szCs w:val="18"/>
          <w:color w:val="auto"/>
        </w:rPr>
        <w:t>We may not consolidate with or merge with or into, or convey, transfer or lease all or substantially all of our properties and assets to any person (a “successor person”) unless:</w:t>
      </w:r>
    </w:p>
    <w:p>
      <w:pPr>
        <w:spacing w:after="0" w:line="76" w:lineRule="exact"/>
        <w:rPr>
          <w:sz w:val="20"/>
          <w:szCs w:val="20"/>
          <w:color w:val="auto"/>
        </w:rPr>
      </w:pPr>
    </w:p>
    <w:p>
      <w:pPr>
        <w:ind w:left="1180" w:right="200" w:hanging="436"/>
        <w:spacing w:after="0" w:line="342" w:lineRule="auto"/>
        <w:tabs>
          <w:tab w:leader="none" w:pos="11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are the surviving corporation or the successor person (if other than Ardelyx) is a corporation organized and validly existing under the laws of any U.S. domestic jurisdiction and expressly assumes our obligations on the debt securities and under the indenture; and</w:t>
      </w:r>
    </w:p>
    <w:p>
      <w:pPr>
        <w:spacing w:after="0" w:line="29" w:lineRule="exact"/>
        <w:rPr>
          <w:rFonts w:ascii="Arial" w:cs="Arial" w:eastAsia="Arial" w:hAnsi="Arial"/>
          <w:sz w:val="16"/>
          <w:szCs w:val="16"/>
          <w:color w:val="auto"/>
        </w:rPr>
      </w:pPr>
    </w:p>
    <w:p>
      <w:pPr>
        <w:ind w:left="1180" w:hanging="436"/>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Notwithstanding the above, any of our subsidiaries may consolidate with, merge into or transfer all or part of its properties to us. (Section 5.1)</w:t>
      </w:r>
    </w:p>
    <w:p>
      <w:pPr>
        <w:spacing w:after="0" w:line="3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“Event of Default” means with respect to any series of debt securities, any of the following:</w:t>
      </w:r>
    </w:p>
    <w:p>
      <w:pPr>
        <w:spacing w:after="0" w:line="131" w:lineRule="exact"/>
        <w:rPr>
          <w:sz w:val="20"/>
          <w:szCs w:val="20"/>
          <w:color w:val="auto"/>
        </w:rPr>
      </w:pPr>
    </w:p>
    <w:p>
      <w:pPr>
        <w:ind w:left="1180" w:right="160" w:hanging="436"/>
        <w:spacing w:after="0" w:line="264" w:lineRule="auto"/>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86" w:lineRule="exact"/>
        <w:rPr>
          <w:rFonts w:ascii="Arial" w:cs="Arial" w:eastAsia="Arial" w:hAnsi="Arial"/>
          <w:sz w:val="18"/>
          <w:szCs w:val="18"/>
          <w:color w:val="auto"/>
        </w:rPr>
      </w:pPr>
    </w:p>
    <w:p>
      <w:pPr>
        <w:ind w:left="1180" w:hanging="436"/>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default in the payment of principal of any security of that series at its maturity;</w:t>
      </w:r>
    </w:p>
    <w:p>
      <w:pPr>
        <w:spacing w:after="0" w:line="130" w:lineRule="exact"/>
        <w:rPr>
          <w:rFonts w:ascii="Arial" w:cs="Arial" w:eastAsia="Arial" w:hAnsi="Arial"/>
          <w:sz w:val="18"/>
          <w:szCs w:val="18"/>
          <w:color w:val="auto"/>
        </w:rPr>
      </w:pPr>
    </w:p>
    <w:p>
      <w:pPr>
        <w:ind w:left="1180" w:right="40" w:hanging="436"/>
        <w:spacing w:after="0" w:line="279" w:lineRule="auto"/>
        <w:tabs>
          <w:tab w:leader="none" w:pos="11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Ardelyx and the trustee receive written notice from the holders of not less than 25% in principal amount of the outstanding debt securities of that series as provided in the indenture;</w:t>
      </w:r>
    </w:p>
    <w:p>
      <w:pPr>
        <w:spacing w:after="0" w:line="76" w:lineRule="exact"/>
        <w:rPr>
          <w:rFonts w:ascii="Arial" w:cs="Arial" w:eastAsia="Arial" w:hAnsi="Arial"/>
          <w:sz w:val="17"/>
          <w:szCs w:val="17"/>
          <w:color w:val="auto"/>
        </w:rPr>
      </w:pPr>
    </w:p>
    <w:p>
      <w:pPr>
        <w:ind w:left="1180" w:hanging="436"/>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certain voluntary or involuntary events of bankruptcy, insolvency or reorganization of Ardelyx; and</w:t>
      </w:r>
    </w:p>
    <w:p>
      <w:pPr>
        <w:spacing w:after="0" w:line="130" w:lineRule="exact"/>
        <w:rPr>
          <w:rFonts w:ascii="Arial" w:cs="Arial" w:eastAsia="Arial" w:hAnsi="Arial"/>
          <w:sz w:val="18"/>
          <w:szCs w:val="18"/>
          <w:color w:val="auto"/>
        </w:rPr>
      </w:pPr>
    </w:p>
    <w:p>
      <w:pPr>
        <w:ind w:left="1180" w:right="100" w:hanging="436"/>
        <w:spacing w:after="0" w:line="277" w:lineRule="auto"/>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debt securities of that series that is described in the applicable prospectus supplement. (Section 6.1)</w:t>
      </w:r>
    </w:p>
    <w:p>
      <w:pPr>
        <w:spacing w:after="0" w:line="170"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No Event of Default with respect to a particular series of debt securities (except as to certain events of bankruptcy, insolvency or reorganization) necessarily constitutes an Event of Default with respect to any other series of debt securities. (Section 6.1) The occurrence of certain Events of Default or an acceleration under the indenture may constitute an event of default under certain indebtedness of ours or our subsidiaries outstanding from time to time.</w:t>
      </w:r>
    </w:p>
    <w:p>
      <w:pPr>
        <w:spacing w:after="0" w:line="187"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(Section 6.1)</w:t>
      </w:r>
    </w:p>
    <w:p>
      <w:pPr>
        <w:spacing w:after="0" w:line="181"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91" w:lineRule="auto"/>
        <w:rPr>
          <w:sz w:val="20"/>
          <w:szCs w:val="20"/>
          <w:color w:val="auto"/>
        </w:rPr>
      </w:pPr>
      <w:r>
        <w:rPr>
          <w:rFonts w:ascii="Arial" w:cs="Arial" w:eastAsia="Arial" w:hAnsi="Arial"/>
          <w:sz w:val="16"/>
          <w:szCs w:val="16"/>
          <w:color w:val="auto"/>
        </w:rPr>
        <w:t>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(Section 6.2)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67" w:lineRule="exact"/>
        <w:rPr>
          <w:sz w:val="20"/>
          <w:szCs w:val="20"/>
          <w:color w:val="auto"/>
        </w:rPr>
      </w:pPr>
    </w:p>
    <w:p>
      <w:pPr>
        <w:ind w:left="200" w:right="80"/>
        <w:spacing w:after="0" w:line="276" w:lineRule="auto"/>
        <w:rPr>
          <w:sz w:val="20"/>
          <w:szCs w:val="20"/>
          <w:color w:val="auto"/>
        </w:rPr>
      </w:pPr>
      <w:r>
        <w:rPr>
          <w:rFonts w:ascii="Arial" w:cs="Arial" w:eastAsia="Arial" w:hAnsi="Arial"/>
          <w:sz w:val="17"/>
          <w:szCs w:val="17"/>
          <w:color w:val="auto"/>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(Section 7.1(e))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(Section 6.12)</w:t>
      </w:r>
    </w:p>
    <w:p>
      <w:pPr>
        <w:spacing w:after="0" w:line="173"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76" w:lineRule="exact"/>
        <w:rPr>
          <w:sz w:val="20"/>
          <w:szCs w:val="20"/>
          <w:color w:val="auto"/>
        </w:rPr>
      </w:pPr>
    </w:p>
    <w:p>
      <w:pPr>
        <w:ind w:left="1180" w:right="140" w:hanging="436"/>
        <w:spacing w:after="0" w:line="277" w:lineRule="auto"/>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that holder has previously given to the trustee written notice of a continuing Event of Default with respect to debt securities of that series; and</w:t>
      </w:r>
    </w:p>
    <w:p>
      <w:pPr>
        <w:spacing w:after="0" w:line="75" w:lineRule="exact"/>
        <w:rPr>
          <w:rFonts w:ascii="Arial" w:cs="Arial" w:eastAsia="Arial" w:hAnsi="Arial"/>
          <w:sz w:val="18"/>
          <w:szCs w:val="18"/>
          <w:color w:val="auto"/>
        </w:rPr>
      </w:pPr>
    </w:p>
    <w:p>
      <w:pPr>
        <w:ind w:left="1180" w:right="40" w:hanging="436"/>
        <w:spacing w:after="0" w:line="259" w:lineRule="auto"/>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(Section 6.7)</w:t>
      </w:r>
    </w:p>
    <w:p>
      <w:pPr>
        <w:spacing w:after="0" w:line="187"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 (Section 6.8)</w:t>
      </w:r>
    </w:p>
    <w:p>
      <w:pPr>
        <w:spacing w:after="0" w:line="181"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The indenture requires us, within 120 days after the end of our fiscal year, to furnish to the trustee a statement as to compliance with the indenture. (Section 4.3) If a Default or Event of Default occurs and is continuing with respect to the securities of any series and if it is known to a responsible officer of the trustee, the trustee shall mail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(Section 7.5)</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Modification and Waiver</w:t>
      </w:r>
    </w:p>
    <w:p>
      <w:pPr>
        <w:spacing w:after="0" w:line="121" w:lineRule="exact"/>
        <w:rPr>
          <w:sz w:val="20"/>
          <w:szCs w:val="20"/>
          <w:color w:val="auto"/>
        </w:rPr>
      </w:pPr>
    </w:p>
    <w:p>
      <w:pPr>
        <w:ind w:left="200" w:right="340"/>
        <w:spacing w:after="0" w:line="277" w:lineRule="auto"/>
        <w:rPr>
          <w:sz w:val="20"/>
          <w:szCs w:val="20"/>
          <w:color w:val="auto"/>
        </w:rPr>
      </w:pPr>
      <w:r>
        <w:rPr>
          <w:rFonts w:ascii="Arial" w:cs="Arial" w:eastAsia="Arial" w:hAnsi="Arial"/>
          <w:sz w:val="18"/>
          <w:szCs w:val="18"/>
          <w:color w:val="auto"/>
        </w:rPr>
        <w:t>We and the trustee may modify, amend or supplement the indenture or the debt securities of any series without the consent of any holder of any debt security:</w:t>
      </w:r>
    </w:p>
    <w:p>
      <w:pPr>
        <w:spacing w:after="0" w:line="76" w:lineRule="exact"/>
        <w:rPr>
          <w:sz w:val="20"/>
          <w:szCs w:val="20"/>
          <w:color w:val="auto"/>
        </w:rPr>
      </w:pPr>
    </w:p>
    <w:p>
      <w:pPr>
        <w:ind w:left="1180" w:hanging="436"/>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comply with covenants in the indenture described above under the heading “Consolidation, Merger and Sale of Assets”;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add guarantees with respect to debt securities of any series or secure debt securities of any series;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surrender any of our rights or powers under the indenture;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add covenants or events of default for the benefit of the holders of debt securities of any series;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comply with the applicable procedures of the applicable depositary;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of debt securities;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to provide for the issuance of and establish the form and terms and conditions of debt securities of any series as permitted by the indenture;</w:t>
      </w:r>
    </w:p>
    <w:p>
      <w:pPr>
        <w:spacing w:after="0" w:line="153" w:lineRule="exact"/>
        <w:rPr>
          <w:rFonts w:ascii="Arial" w:cs="Arial" w:eastAsia="Arial" w:hAnsi="Arial"/>
          <w:sz w:val="16"/>
          <w:szCs w:val="16"/>
          <w:color w:val="auto"/>
        </w:rPr>
      </w:pPr>
    </w:p>
    <w:p>
      <w:pPr>
        <w:ind w:left="1180" w:right="760" w:hanging="436"/>
        <w:spacing w:after="0" w:line="277" w:lineRule="auto"/>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75" w:lineRule="exact"/>
        <w:rPr>
          <w:rFonts w:ascii="Arial" w:cs="Arial" w:eastAsia="Arial" w:hAnsi="Arial"/>
          <w:sz w:val="18"/>
          <w:szCs w:val="18"/>
          <w:color w:val="auto"/>
        </w:rPr>
      </w:pPr>
    </w:p>
    <w:p>
      <w:pPr>
        <w:ind w:left="1180" w:right="400" w:hanging="436"/>
        <w:spacing w:after="0" w:line="277" w:lineRule="auto"/>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the indenture under the Trust Indenture Act. (Section 9.1)</w:t>
      </w:r>
    </w:p>
    <w:p>
      <w:pPr>
        <w:spacing w:after="0" w:line="170"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87" w:lineRule="exact"/>
        <w:rPr>
          <w:sz w:val="20"/>
          <w:szCs w:val="20"/>
          <w:color w:val="auto"/>
        </w:rPr>
      </w:pPr>
    </w:p>
    <w:p>
      <w:pPr>
        <w:ind w:left="1180" w:hanging="436"/>
        <w:spacing w:after="0"/>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reduce the amount of debt securities whose holders must consent to an amendment, supplement or waiver;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(including default interest) on any debt security;</w:t>
      </w:r>
    </w:p>
    <w:p>
      <w:pPr>
        <w:spacing w:after="0" w:line="130" w:lineRule="exact"/>
        <w:rPr>
          <w:rFonts w:ascii="Arial" w:cs="Arial" w:eastAsia="Arial" w:hAnsi="Arial"/>
          <w:sz w:val="18"/>
          <w:szCs w:val="18"/>
          <w:color w:val="auto"/>
        </w:rPr>
      </w:pPr>
    </w:p>
    <w:p>
      <w:pPr>
        <w:ind w:left="1180" w:right="20" w:hanging="436"/>
        <w:spacing w:after="0" w:line="277" w:lineRule="auto"/>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reduce the principal amount of discount securities payable upon acceleration of maturity;</w:t>
      </w:r>
    </w:p>
    <w:p>
      <w:pPr>
        <w:spacing w:after="0" w:line="130" w:lineRule="exact"/>
        <w:rPr>
          <w:rFonts w:ascii="Arial" w:cs="Arial" w:eastAsia="Arial" w:hAnsi="Arial"/>
          <w:sz w:val="18"/>
          <w:szCs w:val="18"/>
          <w:color w:val="auto"/>
        </w:rPr>
      </w:pPr>
    </w:p>
    <w:p>
      <w:pPr>
        <w:ind w:left="1180" w:right="100" w:hanging="436"/>
        <w:spacing w:after="0" w:line="264" w:lineRule="auto"/>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86" w:lineRule="exact"/>
        <w:rPr>
          <w:rFonts w:ascii="Arial" w:cs="Arial" w:eastAsia="Arial" w:hAnsi="Arial"/>
          <w:sz w:val="18"/>
          <w:szCs w:val="18"/>
          <w:color w:val="auto"/>
        </w:rPr>
      </w:pPr>
    </w:p>
    <w:p>
      <w:pPr>
        <w:ind w:left="1180" w:hanging="436"/>
        <w:spacing w:after="0"/>
        <w:tabs>
          <w:tab w:leader="none" w:pos="11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make the principal of or premium or interest on any debt security payable in currency other than that stated in the debt security;</w:t>
      </w:r>
    </w:p>
    <w:p>
      <w:pPr>
        <w:spacing w:after="0" w:line="142" w:lineRule="exact"/>
        <w:rPr>
          <w:rFonts w:ascii="Arial" w:cs="Arial" w:eastAsia="Arial" w:hAnsi="Arial"/>
          <w:sz w:val="17"/>
          <w:szCs w:val="17"/>
          <w:color w:val="auto"/>
        </w:rPr>
      </w:pPr>
    </w:p>
    <w:p>
      <w:pPr>
        <w:ind w:left="1180" w:hanging="436"/>
        <w:spacing w:after="0" w:line="264" w:lineRule="auto"/>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86" w:lineRule="exact"/>
        <w:rPr>
          <w:rFonts w:ascii="Arial" w:cs="Arial" w:eastAsia="Arial" w:hAnsi="Arial"/>
          <w:sz w:val="18"/>
          <w:szCs w:val="18"/>
          <w:color w:val="auto"/>
        </w:rPr>
      </w:pPr>
    </w:p>
    <w:p>
      <w:pPr>
        <w:ind w:left="1180" w:hanging="436"/>
        <w:spacing w:after="0"/>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waive a redemption payment with respect to any debt security. (Section 9.3)</w:t>
      </w:r>
    </w:p>
    <w:p>
      <w:pPr>
        <w:spacing w:after="0" w:line="225"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(Section 9.2) The holders of a majority in principal amount of the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20"/>
        <w:spacing w:after="0" w:line="279" w:lineRule="auto"/>
        <w:rPr>
          <w:sz w:val="20"/>
          <w:szCs w:val="20"/>
          <w:color w:val="auto"/>
        </w:rPr>
      </w:pPr>
      <w:r>
        <w:rPr>
          <w:rFonts w:ascii="Arial" w:cs="Arial" w:eastAsia="Arial" w:hAnsi="Arial"/>
          <w:sz w:val="17"/>
          <w:szCs w:val="17"/>
          <w:color w:val="auto"/>
        </w:rPr>
        <w:t>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(Section 6.13)</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Defeasance of Debt Securities and Certain Covenants in Certain Circumstances</w:t>
      </w:r>
    </w:p>
    <w:p>
      <w:pPr>
        <w:spacing w:after="0" w:line="121" w:lineRule="exact"/>
        <w:rPr>
          <w:sz w:val="20"/>
          <w:szCs w:val="20"/>
          <w:color w:val="auto"/>
        </w:rPr>
      </w:pPr>
    </w:p>
    <w:p>
      <w:pPr>
        <w:jc w:val="both"/>
        <w:ind w:left="200" w:right="60"/>
        <w:spacing w:after="0" w:line="288" w:lineRule="auto"/>
        <w:rPr>
          <w:sz w:val="20"/>
          <w:szCs w:val="20"/>
          <w:color w:val="auto"/>
        </w:rPr>
      </w:pPr>
      <w:r>
        <w:rPr>
          <w:rFonts w:ascii="Arial" w:cs="Arial" w:eastAsia="Arial" w:hAnsi="Arial"/>
          <w:sz w:val="16"/>
          <w:szCs w:val="16"/>
          <w:i w:val="1"/>
          <w:iCs w:val="1"/>
          <w:color w:val="auto"/>
        </w:rPr>
        <w:t>Legal Defeasance</w:t>
      </w:r>
      <w:r>
        <w:rPr>
          <w:rFonts w:ascii="Arial" w:cs="Arial" w:eastAsia="Arial" w:hAnsi="Arial"/>
          <w:sz w:val="16"/>
          <w:szCs w:val="16"/>
          <w:color w:val="auto"/>
        </w:rPr>
        <w:t>. The indenture provides that, unless otherwise provided by the terms of the applicable series of debt securities, we may be discharged</w:t>
      </w:r>
      <w:r>
        <w:rPr>
          <w:rFonts w:ascii="Arial" w:cs="Arial" w:eastAsia="Arial" w:hAnsi="Arial"/>
          <w:sz w:val="16"/>
          <w:szCs w:val="16"/>
          <w:i w:val="1"/>
          <w:iCs w:val="1"/>
          <w:color w:val="auto"/>
        </w:rPr>
        <w:t xml:space="preserve"> </w:t>
      </w:r>
      <w:r>
        <w:rPr>
          <w:rFonts w:ascii="Arial" w:cs="Arial" w:eastAsia="Arial" w:hAnsi="Arial"/>
          <w:sz w:val="16"/>
          <w:szCs w:val="16"/>
          <w:color w:val="auto"/>
        </w:rPr>
        <w:t>from any and all obligations in respect of the debt securities of any series (subject to certain exceptions). We will be so discharged upon the deposit with the trustee, in trust, of money and/or U.S. government obligations or, in the case of debt securities denominated in a single currency other than U.S.</w:t>
      </w:r>
    </w:p>
    <w:p>
      <w:pPr>
        <w:ind w:left="200"/>
        <w:spacing w:after="0" w:line="253" w:lineRule="auto"/>
        <w:rPr>
          <w:sz w:val="20"/>
          <w:szCs w:val="20"/>
          <w:color w:val="auto"/>
        </w:rPr>
      </w:pPr>
      <w:r>
        <w:rPr>
          <w:rFonts w:ascii="Arial" w:cs="Arial" w:eastAsia="Arial" w:hAnsi="Arial"/>
          <w:sz w:val="18"/>
          <w:szCs w:val="18"/>
          <w:color w:val="auto"/>
        </w:rPr>
        <w:t>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191" w:lineRule="exact"/>
        <w:rPr>
          <w:sz w:val="20"/>
          <w:szCs w:val="20"/>
          <w:color w:val="auto"/>
        </w:rPr>
      </w:pPr>
    </w:p>
    <w:p>
      <w:pPr>
        <w:ind w:left="200" w:right="20"/>
        <w:spacing w:after="0" w:line="273" w:lineRule="auto"/>
        <w:rPr>
          <w:sz w:val="20"/>
          <w:szCs w:val="20"/>
          <w:color w:val="auto"/>
        </w:rPr>
      </w:pPr>
      <w:r>
        <w:rPr>
          <w:rFonts w:ascii="Arial" w:cs="Arial" w:eastAsia="Arial" w:hAnsi="Arial"/>
          <w:sz w:val="17"/>
          <w:szCs w:val="17"/>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beneficial owners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 (Section 8.3)</w:t>
      </w:r>
    </w:p>
    <w:p>
      <w:pPr>
        <w:spacing w:after="0" w:line="178"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i w:val="1"/>
          <w:iCs w:val="1"/>
          <w:color w:val="auto"/>
        </w:rPr>
        <w:t>Defeasance of Certain Covenants</w:t>
      </w:r>
      <w:r>
        <w:rPr>
          <w:rFonts w:ascii="Arial" w:cs="Arial" w:eastAsia="Arial" w:hAnsi="Arial"/>
          <w:sz w:val="18"/>
          <w:szCs w:val="18"/>
          <w:color w:val="auto"/>
        </w:rPr>
        <w:t>. The indenture provides that, unless otherwise provided by the terms of the applicable series of debt securities, upon</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 with certain conditions:</w:t>
      </w:r>
    </w:p>
    <w:p>
      <w:pPr>
        <w:spacing w:after="0" w:line="76" w:lineRule="exact"/>
        <w:rPr>
          <w:sz w:val="20"/>
          <w:szCs w:val="20"/>
          <w:color w:val="auto"/>
        </w:rPr>
      </w:pPr>
    </w:p>
    <w:p>
      <w:pPr>
        <w:ind w:left="1180" w:right="220" w:hanging="436"/>
        <w:spacing w:after="0" w:line="264" w:lineRule="auto"/>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86" w:lineRule="exact"/>
        <w:rPr>
          <w:rFonts w:ascii="Arial" w:cs="Arial" w:eastAsia="Arial" w:hAnsi="Arial"/>
          <w:sz w:val="18"/>
          <w:szCs w:val="18"/>
          <w:color w:val="auto"/>
        </w:rPr>
      </w:pPr>
    </w:p>
    <w:p>
      <w:pPr>
        <w:ind w:left="1180" w:right="100" w:hanging="436"/>
        <w:spacing w:after="0" w:line="277" w:lineRule="auto"/>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omission to comply with those covenants will not constitute a Default or an Event of Default with respect to the debt securities of that series (“covenant defeasance”).</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conditions include:</w:t>
      </w:r>
    </w:p>
    <w:p>
      <w:pPr>
        <w:spacing w:after="0" w:line="131" w:lineRule="exact"/>
        <w:rPr>
          <w:sz w:val="20"/>
          <w:szCs w:val="20"/>
          <w:color w:val="auto"/>
        </w:rPr>
      </w:pPr>
    </w:p>
    <w:p>
      <w:pPr>
        <w:ind w:left="1180" w:right="100" w:hanging="436"/>
        <w:spacing w:after="0" w:line="273" w:lineRule="auto"/>
        <w:tabs>
          <w:tab w:leader="none" w:pos="11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83" w:lineRule="exact"/>
        <w:rPr>
          <w:rFonts w:ascii="Arial" w:cs="Arial" w:eastAsia="Arial" w:hAnsi="Arial"/>
          <w:sz w:val="17"/>
          <w:szCs w:val="17"/>
          <w:color w:val="auto"/>
        </w:rPr>
      </w:pPr>
    </w:p>
    <w:p>
      <w:pPr>
        <w:jc w:val="both"/>
        <w:ind w:left="1180" w:right="200" w:hanging="436"/>
        <w:spacing w:after="0" w:line="312" w:lineRule="auto"/>
        <w:tabs>
          <w:tab w:leader="none" w:pos="11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delivering to the trustee an opinion of counsel to the effect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beneficial owners</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180"/>
        <w:spacing w:after="0" w:line="340" w:lineRule="auto"/>
        <w:rPr>
          <w:sz w:val="20"/>
          <w:szCs w:val="20"/>
          <w:color w:val="auto"/>
        </w:rPr>
      </w:pPr>
      <w:r>
        <w:rPr>
          <w:rFonts w:ascii="Arial" w:cs="Arial" w:eastAsia="Arial" w:hAnsi="Arial"/>
          <w:sz w:val="15"/>
          <w:szCs w:val="15"/>
          <w:color w:val="auto"/>
        </w:rPr>
        <w:t>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 (Section 8.4)</w:t>
      </w:r>
    </w:p>
    <w:p>
      <w:pPr>
        <w:spacing w:after="0" w:line="23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Personal Liability of Directors, Officers, Employees or Stockholders</w:t>
      </w:r>
    </w:p>
    <w:p>
      <w:pPr>
        <w:spacing w:after="0" w:line="121" w:lineRule="exact"/>
        <w:rPr>
          <w:sz w:val="20"/>
          <w:szCs w:val="20"/>
          <w:color w:val="auto"/>
        </w:rPr>
      </w:pPr>
    </w:p>
    <w:p>
      <w:pPr>
        <w:ind w:left="200" w:right="100"/>
        <w:spacing w:after="0" w:line="257" w:lineRule="auto"/>
        <w:rPr>
          <w:sz w:val="20"/>
          <w:szCs w:val="20"/>
          <w:color w:val="auto"/>
        </w:rPr>
      </w:pPr>
      <w:r>
        <w:rPr>
          <w:rFonts w:ascii="Arial" w:cs="Arial" w:eastAsia="Arial" w:hAnsi="Arial"/>
          <w:sz w:val="18"/>
          <w:szCs w:val="18"/>
          <w:color w:val="auto"/>
        </w:rPr>
        <w:t>None of our past, present or future directors, officers, employees or stockholders,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The indenture and the debt securities, including any claim or controversy arising out of or relating to the indenture or the securities, will be governed by the laws of the State of New York.</w:t>
      </w:r>
    </w:p>
    <w:p>
      <w:pPr>
        <w:spacing w:after="0" w:line="170"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81" w:lineRule="exact"/>
        <w:rPr>
          <w:sz w:val="20"/>
          <w:szCs w:val="20"/>
          <w:color w:val="auto"/>
        </w:rPr>
      </w:pPr>
    </w:p>
    <w:p>
      <w:pPr>
        <w:ind w:left="200"/>
        <w:spacing w:after="0" w:line="289" w:lineRule="auto"/>
        <w:rPr>
          <w:sz w:val="20"/>
          <w:szCs w:val="20"/>
          <w:color w:val="auto"/>
        </w:rPr>
      </w:pPr>
      <w:r>
        <w:rPr>
          <w:rFonts w:ascii="Arial" w:cs="Arial" w:eastAsia="Arial" w:hAnsi="Arial"/>
          <w:sz w:val="16"/>
          <w:szCs w:val="16"/>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 (Section 10.10)</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We may issue warrants for the purchase of shares of our common stock or preferred stock or of debt securities. We may issue warrants independently or together with other securities, and the warrants may be attached to or separate from any offered securities. Each series of warrants will be issued under a separate warrant agreement to be entered into between us and the investors or a warrant agent. The following summary of material provisions of the warrants and warrant agreements are subject to, and qualified in their entirety by reference to, all the provisions of the warrant agreement and warrant certificate applicable to a particular series of warrants. The terms of any warrants offered under a prospectus supplement may differ from the terms described below. We urge you to read the applicable prospectus supplement and any related free writing prospectus, as well as the complete warrant agreements and warrant certificates that contain the terms of the warrants.</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particular terms of any issue of warrants will be described in the prospectus supplement relating to the issue. Those terms may include:</w:t>
      </w:r>
    </w:p>
    <w:p>
      <w:pPr>
        <w:spacing w:after="0" w:line="142" w:lineRule="exact"/>
        <w:rPr>
          <w:sz w:val="20"/>
          <w:szCs w:val="20"/>
          <w:color w:val="auto"/>
        </w:rPr>
      </w:pPr>
    </w:p>
    <w:p>
      <w:pPr>
        <w:ind w:left="1180" w:right="100" w:hanging="436"/>
        <w:spacing w:after="0" w:line="277" w:lineRule="auto"/>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number of shares of common stock or preferred stock purchasable upon the exercise of warrants to purchase such shares and the price at which such number of shares may be purchased upon such exercise;</w:t>
      </w:r>
    </w:p>
    <w:p>
      <w:pPr>
        <w:spacing w:after="0" w:line="75" w:lineRule="exact"/>
        <w:rPr>
          <w:rFonts w:ascii="Arial" w:cs="Arial" w:eastAsia="Arial" w:hAnsi="Arial"/>
          <w:sz w:val="18"/>
          <w:szCs w:val="18"/>
          <w:color w:val="auto"/>
        </w:rPr>
      </w:pPr>
    </w:p>
    <w:p>
      <w:pPr>
        <w:ind w:left="1180" w:right="140" w:hanging="436"/>
        <w:spacing w:after="0" w:line="277" w:lineRule="auto"/>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designation, stated value and terms (including, without limitation, liquidation, dividend, conversion and voting rights) of the series of preferred stock purchasable upon exercise of warrants to purchase preferred stock;</w:t>
      </w:r>
    </w:p>
    <w:p>
      <w:pPr>
        <w:spacing w:after="0" w:line="75" w:lineRule="exact"/>
        <w:rPr>
          <w:rFonts w:ascii="Arial" w:cs="Arial" w:eastAsia="Arial" w:hAnsi="Arial"/>
          <w:sz w:val="18"/>
          <w:szCs w:val="18"/>
          <w:color w:val="auto"/>
        </w:rPr>
      </w:pPr>
    </w:p>
    <w:p>
      <w:pPr>
        <w:ind w:left="1180" w:right="440" w:hanging="436"/>
        <w:spacing w:after="0" w:line="277" w:lineRule="auto"/>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principal amount of debt securities that may be purchased upon exercise of a debt warrant and the exercise price for the warrants, which may be payable in cash, securities or other property;</w:t>
      </w:r>
    </w:p>
    <w:p>
      <w:pPr>
        <w:spacing w:after="0" w:line="75" w:lineRule="exact"/>
        <w:rPr>
          <w:rFonts w:ascii="Arial" w:cs="Arial" w:eastAsia="Arial" w:hAnsi="Arial"/>
          <w:sz w:val="18"/>
          <w:szCs w:val="18"/>
          <w:color w:val="auto"/>
        </w:rPr>
      </w:pPr>
    </w:p>
    <w:p>
      <w:pPr>
        <w:ind w:left="1180" w:right="620" w:hanging="436"/>
        <w:spacing w:after="0" w:line="277" w:lineRule="auto"/>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date, if any, on and after which the warrants and the related debt securities, preferred stock or common stock will be separately transferable;</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terms of any rights to redeem or call the warrants;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commence and the date on which the right will expire;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United States Federal income tax consequences applicable to the warrants; and</w:t>
      </w:r>
    </w:p>
    <w:p>
      <w:pPr>
        <w:spacing w:after="0" w:line="130" w:lineRule="exact"/>
        <w:rPr>
          <w:rFonts w:ascii="Arial" w:cs="Arial" w:eastAsia="Arial" w:hAnsi="Arial"/>
          <w:sz w:val="18"/>
          <w:szCs w:val="18"/>
          <w:color w:val="auto"/>
        </w:rPr>
      </w:pPr>
    </w:p>
    <w:p>
      <w:pPr>
        <w:ind w:left="1180" w:right="160" w:hanging="436"/>
        <w:spacing w:after="0" w:line="277" w:lineRule="auto"/>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additional terms of the warrants, including terms, procedures, and limitations relating to the exchange, exercise and settlement of the warrants.</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Holders of equity warrants will not be entitled to:</w:t>
      </w:r>
    </w:p>
    <w:p>
      <w:pPr>
        <w:spacing w:after="0" w:line="131" w:lineRule="exact"/>
        <w:rPr>
          <w:sz w:val="20"/>
          <w:szCs w:val="20"/>
          <w:color w:val="auto"/>
        </w:rPr>
      </w:pPr>
    </w:p>
    <w:p>
      <w:pPr>
        <w:ind w:left="1180" w:hanging="436"/>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vote, consent or receive dividends;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receive notice as stockholders with respect to any meeting of stockholders for the election of our directors or any other matter; or</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exercise any rights as stockholders of Ardelyx.</w:t>
      </w:r>
    </w:p>
    <w:p>
      <w:pPr>
        <w:spacing w:after="0" w:line="225"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Each warrant will entitle its holder to purchase the principal amount of debt securities or the number of shares of preferred stock or common stock at the exercise price set forth in, or calculable as set forth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80"/>
          </w:cols>
          <w:pgMar w:left="240" w:top="459" w:right="4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A holder of warrant certificates may exchange them for new warrant certificates of different denominations, present them for registration of transfer and exercise them at the corporate trust office of the warrant agent or any other office indicated in the applicable prospectus supplement. Until any warrants to purchase debt securities are exercised, the holder of the warrants will not have any rights of holders of the debt securities that can be purchased upon exercise, including any rights to receive payments of principal, premium or interest on the underlying debt securities or to enforce covenants in the applicable indenture. Until any warrants to purchase common stock or preferred stock are exercised, the holders of the warrants will not have any rights of holders of the underlying common stock or preferred stock, including any rights to receive dividends or payments upon any liquidation, dissolution or winding up on the common stock or preferred stock, if any.</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00"/>
          </w:cols>
          <w:pgMar w:left="24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DESCRIPTION OF PURCHASE CONTRACTS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may issue purchase contracts for the purchase or sale of:</w:t>
      </w:r>
    </w:p>
    <w:p>
      <w:pPr>
        <w:spacing w:after="0" w:line="131" w:lineRule="exact"/>
        <w:rPr>
          <w:sz w:val="20"/>
          <w:szCs w:val="20"/>
          <w:color w:val="auto"/>
        </w:rPr>
      </w:pPr>
    </w:p>
    <w:p>
      <w:pPr>
        <w:ind w:left="1180" w:right="40" w:hanging="436"/>
        <w:spacing w:after="0" w:line="277" w:lineRule="auto"/>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debt or equity securities issued by us, a basket of such securities, an index or indices of such securities or any combination of the above as specified in the applicable prospectus supplement;</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currencies; or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commodities.</w:t>
      </w:r>
    </w:p>
    <w:p>
      <w:pPr>
        <w:spacing w:after="0" w:line="225" w:lineRule="exact"/>
        <w:rPr>
          <w:sz w:val="20"/>
          <w:szCs w:val="20"/>
          <w:color w:val="auto"/>
        </w:rPr>
      </w:pPr>
    </w:p>
    <w:p>
      <w:pPr>
        <w:ind w:left="200" w:right="20"/>
        <w:spacing w:after="0" w:line="272" w:lineRule="auto"/>
        <w:rPr>
          <w:sz w:val="20"/>
          <w:szCs w:val="20"/>
          <w:color w:val="auto"/>
        </w:rPr>
      </w:pPr>
      <w:r>
        <w:rPr>
          <w:rFonts w:ascii="Arial" w:cs="Arial" w:eastAsia="Arial" w:hAnsi="Arial"/>
          <w:sz w:val="17"/>
          <w:szCs w:val="17"/>
          <w:color w:val="auto"/>
        </w:rPr>
        <w:t>Each purchase contract will entitle the holder thereof to purchase or sell, and obligate us to sell or purchase, on specified dates, such securities, currencies or commodities at a specified purchase price, which may be based on a formula, all as set forth in the applicable prospectus supplement. We may, however, satisfy our obligations, if any, with respect to any purchase contract by delivering the cash value of such purchase contract or the cash value of the property otherwise deliverable or, in the case of purchase contracts on underlying currencies, by delivering the underlying currencies, as set forth in the applicable prospectus supplement. The applicable prospectus supplement will also specify the methods by which the holders may purchase or sell such securities, currencies or commodities and any acceleration, cancellation or termination provisions or other provisions relating to the settlement of a purchase contract.</w:t>
      </w:r>
    </w:p>
    <w:p>
      <w:pPr>
        <w:spacing w:after="0" w:line="178"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The purchase contracts may require us to make periodic payments to the holders thereof or vice versa, which payments may be deferred to the extent set forth in the applicable prospectus supplement, and those payments may be unsecured or prefunded on some basis. The purchase contracts may require the holders thereof to secure their obligations in a specified manner to be described in the applicable prospectus supplement. Alternatively, purchase contracts may require holders to satisfy their obligations thereunder when the purchase contracts are issued. Our obligation to settle such pre-paid purchase contracts on the relevant settlement date may constitute indebtedness. Accordingly, pre-paid purchase contracts will be issued under the applicable indenture.</w:t>
      </w:r>
    </w:p>
    <w:p>
      <w:pPr>
        <w:spacing w:after="0" w:line="12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60"/>
          </w:cols>
          <w:pgMar w:left="240" w:top="459" w:right="4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color w:val="auto"/>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spacing w:after="0" w:line="187"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color w:val="auto"/>
        </w:rPr>
        <w:t>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w:t>
      </w:r>
    </w:p>
    <w:p>
      <w:pPr>
        <w:spacing w:after="0" w:line="193"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color w:val="auto"/>
        </w:rPr>
        <w:t>If we offer any units, certain terms of that series of units will be described in the applicable prospectus supplement, including, without limitation, the following, as applicable:</w:t>
      </w:r>
    </w:p>
    <w:p>
      <w:pPr>
        <w:spacing w:after="0" w:line="76" w:lineRule="exact"/>
        <w:rPr>
          <w:sz w:val="20"/>
          <w:szCs w:val="20"/>
          <w:color w:val="auto"/>
        </w:rPr>
      </w:pPr>
    </w:p>
    <w:p>
      <w:pPr>
        <w:ind w:left="1180" w:hanging="436"/>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title of the series of units;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identification and description of the separate constituent securities comprising the units;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price or prices at which the units will be issued;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date, if any, on and after which the constituent securities comprising the units will be separately transferable;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discussion of certain United States federal income tax considerations applicable to the units;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other terms of the units and their constituent securities.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80"/>
          </w:cols>
          <w:pgMar w:left="240" w:top="459" w:right="4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GLOBAL SECURITIES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Book-Entry, Delivery and Form</w:t>
      </w:r>
    </w:p>
    <w:p>
      <w:pPr>
        <w:spacing w:after="0" w:line="121" w:lineRule="exact"/>
        <w:rPr>
          <w:sz w:val="20"/>
          <w:szCs w:val="20"/>
          <w:color w:val="auto"/>
        </w:rPr>
      </w:pPr>
    </w:p>
    <w:p>
      <w:pPr>
        <w:ind w:left="200" w:right="160"/>
        <w:spacing w:after="0" w:line="255" w:lineRule="auto"/>
        <w:rPr>
          <w:sz w:val="20"/>
          <w:szCs w:val="20"/>
          <w:color w:val="auto"/>
        </w:rPr>
      </w:pPr>
      <w:r>
        <w:rPr>
          <w:rFonts w:ascii="Arial" w:cs="Arial" w:eastAsia="Arial" w:hAnsi="Arial"/>
          <w:sz w:val="18"/>
          <w:szCs w:val="18"/>
          <w:color w:val="auto"/>
        </w:rPr>
        <w:t>Unless we indicate differently in a prospectus supplement, the securities initially will be issued in book-entry form and represented by one or more global notes or global securities, or, collectively, global securities. The global securities will be deposited with, or on behalf of, The Depository Trust Company, New York, New York, as depositary, or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DTC has advised us that it is:</w:t>
      </w:r>
    </w:p>
    <w:p>
      <w:pPr>
        <w:spacing w:after="0" w:line="131" w:lineRule="exact"/>
        <w:rPr>
          <w:sz w:val="20"/>
          <w:szCs w:val="20"/>
          <w:color w:val="auto"/>
        </w:rPr>
      </w:pPr>
    </w:p>
    <w:p>
      <w:pPr>
        <w:ind w:left="1180" w:hanging="436"/>
        <w:spacing w:after="0"/>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limited-purpose trust company organized under the New York Banking Law;</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Banking Law;</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“clearing corporation” within the meaning of the New York Uniform Commercial Code;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“clearing agency” registered pursuant to the provisions of Section 17A of the Exchange Act.</w:t>
      </w:r>
    </w:p>
    <w:p>
      <w:pPr>
        <w:spacing w:after="0" w:line="225"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auto"/>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spacing w:after="0" w:line="179" w:lineRule="exact"/>
        <w:rPr>
          <w:sz w:val="20"/>
          <w:szCs w:val="20"/>
          <w:color w:val="auto"/>
        </w:rPr>
      </w:pPr>
    </w:p>
    <w:p>
      <w:pPr>
        <w:ind w:left="200" w:right="40"/>
        <w:spacing w:after="0" w:line="272" w:lineRule="auto"/>
        <w:rPr>
          <w:sz w:val="20"/>
          <w:szCs w:val="20"/>
          <w:color w:val="auto"/>
        </w:rPr>
      </w:pPr>
      <w:r>
        <w:rPr>
          <w:rFonts w:ascii="Arial" w:cs="Arial" w:eastAsia="Arial" w:hAnsi="Arial"/>
          <w:sz w:val="17"/>
          <w:szCs w:val="17"/>
          <w:color w:val="auto"/>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178" w:lineRule="exact"/>
        <w:rPr>
          <w:sz w:val="20"/>
          <w:szCs w:val="20"/>
          <w:color w:val="auto"/>
        </w:rPr>
      </w:pPr>
    </w:p>
    <w:p>
      <w:pPr>
        <w:ind w:left="200" w:right="100"/>
        <w:spacing w:after="0" w:line="297" w:lineRule="auto"/>
        <w:rPr>
          <w:sz w:val="20"/>
          <w:szCs w:val="20"/>
          <w:color w:val="auto"/>
        </w:rPr>
      </w:pPr>
      <w:r>
        <w:rPr>
          <w:rFonts w:ascii="Arial" w:cs="Arial" w:eastAsia="Arial" w:hAnsi="Arial"/>
          <w:sz w:val="16"/>
          <w:szCs w:val="16"/>
          <w:color w:val="auto"/>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00"/>
          </w:cols>
          <w:pgMar w:left="24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59" w:lineRule="auto"/>
        <w:rPr>
          <w:sz w:val="20"/>
          <w:szCs w:val="20"/>
          <w:color w:val="auto"/>
        </w:rPr>
      </w:pPr>
      <w:r>
        <w:rPr>
          <w:rFonts w:ascii="Arial" w:cs="Arial" w:eastAsia="Arial" w:hAnsi="Arial"/>
          <w:sz w:val="18"/>
          <w:szCs w:val="18"/>
          <w:color w:val="auto"/>
        </w:rPr>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w:t>
      </w:r>
    </w:p>
    <w:p>
      <w:pPr>
        <w:spacing w:after="0" w:line="187"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181"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spacing w:after="0" w:line="170" w:lineRule="exact"/>
        <w:rPr>
          <w:sz w:val="20"/>
          <w:szCs w:val="20"/>
          <w:color w:val="auto"/>
        </w:rPr>
      </w:pPr>
    </w:p>
    <w:p>
      <w:pPr>
        <w:ind w:left="200" w:right="40"/>
        <w:spacing w:after="0" w:line="312" w:lineRule="auto"/>
        <w:rPr>
          <w:sz w:val="20"/>
          <w:szCs w:val="20"/>
          <w:color w:val="auto"/>
        </w:rPr>
      </w:pPr>
      <w:r>
        <w:rPr>
          <w:rFonts w:ascii="Arial" w:cs="Arial" w:eastAsia="Arial" w:hAnsi="Arial"/>
          <w:sz w:val="16"/>
          <w:szCs w:val="16"/>
          <w:color w:val="auto"/>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spacing w:after="0" w:line="147"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color w:val="auto"/>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158"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spacing w:after="0" w:line="166"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spacing w:after="0" w:line="181" w:lineRule="exact"/>
        <w:rPr>
          <w:sz w:val="20"/>
          <w:szCs w:val="20"/>
          <w:color w:val="auto"/>
        </w:rPr>
      </w:pPr>
    </w:p>
    <w:p>
      <w:pPr>
        <w:ind w:left="200" w:right="300"/>
        <w:spacing w:after="0" w:line="277" w:lineRule="auto"/>
        <w:rPr>
          <w:sz w:val="20"/>
          <w:szCs w:val="20"/>
          <w:color w:val="auto"/>
        </w:rPr>
      </w:pPr>
      <w:r>
        <w:rPr>
          <w:rFonts w:ascii="Arial" w:cs="Arial" w:eastAsia="Arial" w:hAnsi="Arial"/>
          <w:sz w:val="18"/>
          <w:szCs w:val="18"/>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170" w:lineRule="exact"/>
        <w:rPr>
          <w:sz w:val="20"/>
          <w:szCs w:val="20"/>
          <w:color w:val="auto"/>
        </w:rPr>
      </w:pPr>
    </w:p>
    <w:p>
      <w:pPr>
        <w:ind w:left="200" w:right="220"/>
        <w:spacing w:after="0" w:line="342" w:lineRule="auto"/>
        <w:rPr>
          <w:sz w:val="20"/>
          <w:szCs w:val="20"/>
          <w:color w:val="auto"/>
        </w:rPr>
      </w:pPr>
      <w:r>
        <w:rPr>
          <w:rFonts w:ascii="Arial" w:cs="Arial" w:eastAsia="Arial" w:hAnsi="Arial"/>
          <w:sz w:val="16"/>
          <w:szCs w:val="16"/>
          <w:color w:val="auto"/>
        </w:rPr>
        <w:t>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w:t>
      </w:r>
    </w:p>
    <w:p>
      <w:pPr>
        <w:spacing w:after="0" w:line="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24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As noted above, beneficial owners of a particular series of securities generally will not receive certificates representing their ownership interests in those securities. However, if:</w:t>
      </w:r>
    </w:p>
    <w:p>
      <w:pPr>
        <w:spacing w:after="0" w:line="76" w:lineRule="exact"/>
        <w:rPr>
          <w:sz w:val="20"/>
          <w:szCs w:val="20"/>
          <w:color w:val="auto"/>
        </w:rPr>
      </w:pPr>
    </w:p>
    <w:p>
      <w:pPr>
        <w:ind w:left="1180" w:right="180" w:hanging="436"/>
        <w:spacing w:after="0" w:line="259" w:lineRule="auto"/>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w:t>
      </w:r>
    </w:p>
    <w:p>
      <w:pPr>
        <w:spacing w:after="0" w:line="92" w:lineRule="exact"/>
        <w:rPr>
          <w:rFonts w:ascii="Arial" w:cs="Arial" w:eastAsia="Arial" w:hAnsi="Arial"/>
          <w:sz w:val="18"/>
          <w:szCs w:val="18"/>
          <w:color w:val="auto"/>
        </w:rPr>
      </w:pPr>
    </w:p>
    <w:p>
      <w:pPr>
        <w:ind w:left="1180" w:hanging="436"/>
        <w:spacing w:after="0"/>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determine, in our sole discretion, not to have such securities represented by one or more global securities; or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Event of Default has occurred and is continuing with respect to such series of securities,</w:t>
      </w:r>
    </w:p>
    <w:p>
      <w:pPr>
        <w:spacing w:after="0" w:line="225"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171"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We have obtained the information in this section and elsewhere in this prospectus concerning DTC and DTC’s book-entry system from sources that are believed to be reliable, but we take no responsibility for the accuracy of this information.</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80"/>
          </w:cols>
          <w:pgMar w:left="240" w:top="459" w:right="4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left="200" w:right="240"/>
        <w:spacing w:after="0" w:line="264" w:lineRule="auto"/>
        <w:rPr>
          <w:sz w:val="20"/>
          <w:szCs w:val="20"/>
          <w:color w:val="auto"/>
        </w:rPr>
      </w:pPr>
      <w:r>
        <w:rPr>
          <w:rFonts w:ascii="Arial" w:cs="Arial" w:eastAsia="Arial" w:hAnsi="Arial"/>
          <w:sz w:val="18"/>
          <w:szCs w:val="18"/>
          <w:color w:val="auto"/>
        </w:rPr>
        <w:t>We may sell the securities from time to time pursuant to underwritten public offerings, negotiated transactions, block trades or a combination of these methods or through underwriters or dealers, through agents and/or directly to one or more purchasers. The securities may be distributed from time to time in one or more transactions:</w:t>
      </w:r>
    </w:p>
    <w:p>
      <w:pPr>
        <w:spacing w:after="0" w:line="87" w:lineRule="exact"/>
        <w:rPr>
          <w:sz w:val="20"/>
          <w:szCs w:val="20"/>
          <w:color w:val="auto"/>
        </w:rPr>
      </w:pPr>
    </w:p>
    <w:p>
      <w:pPr>
        <w:ind w:left="1180" w:hanging="436"/>
        <w:spacing w:after="0"/>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color w:val="auto"/>
        </w:rPr>
        <w:t>Each time that we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w:t>
      </w:r>
    </w:p>
    <w:p>
      <w:pPr>
        <w:spacing w:after="0" w:line="181" w:lineRule="exact"/>
        <w:rPr>
          <w:sz w:val="20"/>
          <w:szCs w:val="20"/>
          <w:color w:val="auto"/>
        </w:rPr>
      </w:pPr>
    </w:p>
    <w:p>
      <w:pPr>
        <w:ind w:left="200" w:right="220"/>
        <w:spacing w:after="0" w:line="308" w:lineRule="auto"/>
        <w:rPr>
          <w:sz w:val="20"/>
          <w:szCs w:val="20"/>
          <w:color w:val="auto"/>
        </w:rPr>
      </w:pPr>
      <w:r>
        <w:rPr>
          <w:rFonts w:ascii="Arial" w:cs="Arial" w:eastAsia="Arial" w:hAnsi="Arial"/>
          <w:sz w:val="17"/>
          <w:szCs w:val="17"/>
          <w:color w:val="auto"/>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w:t>
      </w:r>
    </w:p>
    <w:p>
      <w:pPr>
        <w:spacing w:after="0" w:line="147"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spacing w:after="0" w:line="170" w:lineRule="exact"/>
        <w:rPr>
          <w:sz w:val="20"/>
          <w:szCs w:val="20"/>
          <w:color w:val="auto"/>
        </w:rPr>
      </w:pPr>
    </w:p>
    <w:p>
      <w:pPr>
        <w:ind w:left="200" w:right="180"/>
        <w:spacing w:after="0" w:line="291" w:lineRule="auto"/>
        <w:rPr>
          <w:sz w:val="20"/>
          <w:szCs w:val="20"/>
          <w:color w:val="auto"/>
        </w:rPr>
      </w:pPr>
      <w:r>
        <w:rPr>
          <w:rFonts w:ascii="Arial" w:cs="Arial" w:eastAsia="Arial" w:hAnsi="Arial"/>
          <w:sz w:val="16"/>
          <w:szCs w:val="16"/>
          <w:color w:val="auto"/>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w:t>
      </w:r>
    </w:p>
    <w:p>
      <w:pPr>
        <w:spacing w:after="0" w:line="167" w:lineRule="exact"/>
        <w:rPr>
          <w:sz w:val="20"/>
          <w:szCs w:val="20"/>
          <w:color w:val="auto"/>
        </w:rPr>
      </w:pPr>
    </w:p>
    <w:p>
      <w:pPr>
        <w:ind w:left="200" w:right="220"/>
        <w:spacing w:after="0" w:line="293" w:lineRule="auto"/>
        <w:rPr>
          <w:sz w:val="20"/>
          <w:szCs w:val="20"/>
          <w:color w:val="auto"/>
        </w:rPr>
      </w:pPr>
      <w:r>
        <w:rPr>
          <w:rFonts w:ascii="Arial" w:cs="Arial" w:eastAsia="Arial" w:hAnsi="Arial"/>
          <w:sz w:val="16"/>
          <w:szCs w:val="16"/>
          <w:color w:val="auto"/>
        </w:rPr>
        <w:t>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spacing w:after="0" w:line="165"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auto"/>
        </w:rPr>
        <w:t>Any common stock or preferred stock will be listed on The NASDAQ Global Market,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24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color w:val="auto"/>
        </w:rPr>
        <w:t>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81"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If indicated in the applicable prospectus supplement, underwriters or other persons acting as agents may be authorized to solicit offers by institutions or other suitable purchasers to purchase the securities at the public offering price set forth in the prospectus supplement, pursuant to delayed delivery contracts providing for payment and delivery on the date or dates stated in the prospectus supplement. These purchasers may include, among others, commercial and savings banks, insurance companies, pension funds, investment companies and educational and charitable institutions. Delayed delivery contracts will be subject to the condition that the purchase of the securities covered by the delayed delivery contracts will not at the time of delivery be prohibited under the laws of any jurisdiction in the United States to which the purchaser is subject. The underwriters and agents will not have any responsibility with respect to the validity or performance of these contracts.</w:t>
      </w:r>
    </w:p>
    <w:p>
      <w:pPr>
        <w:spacing w:after="0" w:line="178" w:lineRule="exact"/>
        <w:rPr>
          <w:sz w:val="20"/>
          <w:szCs w:val="20"/>
          <w:color w:val="auto"/>
        </w:rPr>
      </w:pPr>
    </w:p>
    <w:p>
      <w:pPr>
        <w:ind w:left="200" w:right="60"/>
        <w:spacing w:after="0" w:line="270" w:lineRule="auto"/>
        <w:rPr>
          <w:sz w:val="20"/>
          <w:szCs w:val="20"/>
          <w:color w:val="auto"/>
        </w:rPr>
      </w:pPr>
      <w:r>
        <w:rPr>
          <w:rFonts w:ascii="Arial" w:cs="Arial" w:eastAsia="Arial" w:hAnsi="Arial"/>
          <w:sz w:val="17"/>
          <w:szCs w:val="17"/>
          <w:color w:val="auto"/>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specific terms of any lock-up provisions in respect of any given offering will be described in the applicable prospectus supplement.</w:t>
      </w:r>
    </w:p>
    <w:p>
      <w:pPr>
        <w:spacing w:after="0" w:line="225"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color w:val="auto"/>
        </w:rPr>
        <w:t>The underwriters, dealers and agents may engage in transactions with us, or perform services for us, in the ordinary course of business for which they receive compensation.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00"/>
          </w:cols>
          <w:pgMar w:left="24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Latham &amp; Watkins LLP will pass upon certain legal matters relating to the issuance and sale of the securities offered hereby on behalf of Ardelyx, Inc. Additional legal matters may be passed upon for us or any underwriters, dealers or agents by counsel that we will name in the applicable prospectus supplement.</w:t>
      </w:r>
    </w:p>
    <w:p>
      <w:pPr>
        <w:spacing w:after="0" w:line="393"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Ernst &amp; Young LLP, independent registered public accounting firm, has audited our consolidated financial statements included in our Annual Report on Form 10-K for the year ended December 31, 2016,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w:t>
      </w:r>
    </w:p>
    <w:p>
      <w:pPr>
        <w:spacing w:after="0" w:line="1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40"/>
          </w:cols>
          <w:pgMar w:left="240" w:top="459" w:right="5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9">
                      <a:extLst>
                        <a:ext uri="{28A0092B-C50C-407E-A947-70E740481C1C}"/>
                      </a:extLst>
                    </a:blip>
                    <a:srcRect/>
                    <a:stretch>
                      <a:fillRect/>
                    </a:stretch>
                  </pic:blipFill>
                  <pic:spPr bwMode="auto">
                    <a:xfrm>
                      <a:off x="0" y="0"/>
                      <a:ext cx="6997700" cy="2603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274320</wp:posOffset>
            </wp:positionV>
            <wp:extent cx="6997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jc w:val="center"/>
        <w:ind w:right="-199"/>
        <w:spacing w:after="0"/>
        <w:rPr>
          <w:sz w:val="20"/>
          <w:szCs w:val="20"/>
          <w:color w:val="auto"/>
        </w:rPr>
      </w:pPr>
      <w:r>
        <w:rPr>
          <w:rFonts w:ascii="Arial" w:cs="Arial" w:eastAsia="Arial" w:hAnsi="Arial"/>
          <w:sz w:val="32"/>
          <w:szCs w:val="32"/>
          <w:b w:val="1"/>
          <w:bCs w:val="1"/>
          <w:color w:val="auto"/>
        </w:rPr>
        <w:t>20,000,000 Shares</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60"/>
          <w:szCs w:val="60"/>
          <w:b w:val="1"/>
          <w:bCs w:val="1"/>
          <w:color w:val="auto"/>
        </w:rPr>
        <w:t>Ardelyx, Inc.</w:t>
      </w:r>
    </w:p>
    <w:p>
      <w:pPr>
        <w:spacing w:after="0" w:line="218" w:lineRule="exact"/>
        <w:rPr>
          <w:sz w:val="20"/>
          <w:szCs w:val="20"/>
          <w:color w:val="auto"/>
        </w:rPr>
      </w:pPr>
    </w:p>
    <w:p>
      <w:pPr>
        <w:jc w:val="center"/>
        <w:ind w:right="-199"/>
        <w:spacing w:after="0"/>
        <w:rPr>
          <w:sz w:val="20"/>
          <w:szCs w:val="20"/>
          <w:color w:val="auto"/>
        </w:rPr>
      </w:pPr>
      <w:r>
        <w:rPr>
          <w:rFonts w:ascii="Arial" w:cs="Arial" w:eastAsia="Arial" w:hAnsi="Arial"/>
          <w:sz w:val="32"/>
          <w:szCs w:val="3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3246755</wp:posOffset>
            </wp:positionH>
            <wp:positionV relativeFrom="paragraph">
              <wp:posOffset>624205</wp:posOffset>
            </wp:positionV>
            <wp:extent cx="76327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1">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SUPPLEMENT</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December 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3246755</wp:posOffset>
            </wp:positionH>
            <wp:positionV relativeFrom="paragraph">
              <wp:posOffset>203835</wp:posOffset>
            </wp:positionV>
            <wp:extent cx="7632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2">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center"/>
        <w:ind w:right="-199"/>
        <w:spacing w:after="0"/>
        <w:rPr>
          <w:sz w:val="20"/>
          <w:szCs w:val="20"/>
          <w:color w:val="auto"/>
        </w:rPr>
      </w:pPr>
      <w:r>
        <w:rPr>
          <w:rFonts w:ascii="Arial" w:cs="Arial" w:eastAsia="Arial" w:hAnsi="Arial"/>
          <w:sz w:val="22"/>
          <w:szCs w:val="22"/>
          <w:i w:val="1"/>
          <w:iCs w:val="1"/>
          <w:color w:val="auto"/>
        </w:rPr>
        <w:t>Joint Book-Running Managers</w:t>
      </w:r>
    </w:p>
    <w:p>
      <w:pPr>
        <w:sectPr>
          <w:pgSz w:w="11900" w:h="16838" w:orient="portrait"/>
          <w:cols w:equalWidth="0" w:num="1">
            <w:col w:w="11220"/>
          </w:cols>
          <w:pgMar w:left="240" w:top="459" w:right="439" w:bottom="1440" w:gutter="0" w:footer="0" w:header="0"/>
        </w:sectPr>
      </w:pPr>
    </w:p>
    <w:p>
      <w:pPr>
        <w:spacing w:after="0" w:line="117" w:lineRule="exact"/>
        <w:rPr>
          <w:sz w:val="20"/>
          <w:szCs w:val="20"/>
          <w:color w:val="auto"/>
        </w:rPr>
      </w:pPr>
    </w:p>
    <w:p>
      <w:pPr>
        <w:ind w:left="200"/>
        <w:spacing w:after="0"/>
        <w:rPr>
          <w:sz w:val="20"/>
          <w:szCs w:val="20"/>
          <w:color w:val="auto"/>
        </w:rPr>
      </w:pPr>
      <w:r>
        <w:rPr>
          <w:rFonts w:ascii="Arial" w:cs="Arial" w:eastAsia="Arial" w:hAnsi="Arial"/>
          <w:sz w:val="40"/>
          <w:szCs w:val="40"/>
          <w:b w:val="1"/>
          <w:bCs w:val="1"/>
          <w:color w:val="auto"/>
        </w:rPr>
        <w:t>Citigroup</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Cowen</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SVB Leerink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147320</wp:posOffset>
            </wp:positionV>
            <wp:extent cx="6997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3">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181610</wp:posOffset>
            </wp:positionV>
            <wp:extent cx="699770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4">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Piper Jaffray</w:t>
      </w:r>
    </w:p>
    <w:sectPr>
      <w:pgSz w:w="11900" w:h="16838" w:orient="portrait"/>
      <w:cols w:equalWidth="0" w:num="4">
        <w:col w:w="2440" w:space="720"/>
        <w:col w:w="1580" w:space="720"/>
        <w:col w:w="2600" w:space="720"/>
        <w:col w:w="2440"/>
      </w:cols>
      <w:pgMar w:left="240" w:top="45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1)"/>
      <w:numFmt w:val="decimal"/>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1."/>
      <w:numFmt w:val="upperLetter"/>
      <w:start w:val="1"/>
    </w:lvl>
  </w:abstractNum>
  <w:abstractNum w:abstractNumId="13">
    <w:nsid w:val="54E49EB4"/>
    <w:multiLevelType w:val="hybridMultilevel"/>
    <w:lvl w:ilvl="0">
      <w:lvlJc w:val="left"/>
      <w:lvlText w:val="(%1)"/>
      <w:numFmt w:val="lowerRoman"/>
      <w:start w:val="2"/>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1)"/>
      <w:numFmt w:val="decimal"/>
      <w:start w:val="571"/>
    </w:lvl>
  </w:abstractNum>
  <w:abstractNum w:abstractNumId="16">
    <w:nsid w:val="836C40E"/>
    <w:multiLevelType w:val="hybridMultilevel"/>
    <w:lvl w:ilvl="0">
      <w:lvlJc w:val="left"/>
      <w:lvlText w:val="(%1)"/>
      <w:numFmt w:val="lowerLetter"/>
      <w:start w:val="1"/>
    </w:lvl>
  </w:abstractNum>
  <w:abstractNum w:abstractNumId="17">
    <w:nsid w:val="2901D82"/>
    <w:multiLevelType w:val="hybridMultilevel"/>
    <w:lvl w:ilvl="0">
      <w:lvlJc w:val="left"/>
      <w:lvlText w:val="(%1)"/>
      <w:numFmt w:val="lowerLetter"/>
      <w:start w:val="3"/>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
      <w:numFmt w:val="bullet"/>
      <w:start w:val="1"/>
    </w:lvl>
  </w:abstractNum>
  <w:abstractNum w:abstractNumId="38">
    <w:nsid w:val="51EAD36B"/>
    <w:multiLevelType w:val="hybridMultilevel"/>
    <w:lvl w:ilvl="0">
      <w:lvlJc w:val="left"/>
      <w:lvlText w:val="•"/>
      <w:numFmt w:val="bullet"/>
      <w:start w:val="1"/>
    </w:lvl>
  </w:abstractNum>
  <w:abstractNum w:abstractNumId="39">
    <w:nsid w:val="2D51779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57" Type="http://schemas.openxmlformats.org/officeDocument/2006/relationships/image" Target="media/image37.png"/><Relationship Id="rId59" Type="http://schemas.openxmlformats.org/officeDocument/2006/relationships/image" Target="media/image38.png"/><Relationship Id="rId60" Type="http://schemas.openxmlformats.org/officeDocument/2006/relationships/image" Target="media/image39.png"/><Relationship Id="rId61" Type="http://schemas.openxmlformats.org/officeDocument/2006/relationships/image" Target="media/image40.png"/><Relationship Id="rId62" Type="http://schemas.openxmlformats.org/officeDocument/2006/relationships/image" Target="media/image41.png"/><Relationship Id="rId63" Type="http://schemas.openxmlformats.org/officeDocument/2006/relationships/image" Target="media/image42.png"/><Relationship Id="rId64" Type="http://schemas.openxmlformats.org/officeDocument/2006/relationships/image" Target="media/image43.png"/><Relationship Id="rId65" Type="http://schemas.openxmlformats.org/officeDocument/2006/relationships/image" Target="media/image44.png"/><Relationship Id="rId70" Type="http://schemas.openxmlformats.org/officeDocument/2006/relationships/image" Target="media/image45.png"/><Relationship Id="rId71" Type="http://schemas.openxmlformats.org/officeDocument/2006/relationships/image" Target="media/image46.png"/><Relationship Id="rId72" Type="http://schemas.openxmlformats.org/officeDocument/2006/relationships/image" Target="media/image47.png"/><Relationship Id="rId73" Type="http://schemas.openxmlformats.org/officeDocument/2006/relationships/image" Target="media/image48.png"/><Relationship Id="rId74" Type="http://schemas.openxmlformats.org/officeDocument/2006/relationships/image" Target="media/image49.png"/><Relationship Id="rId75" Type="http://schemas.openxmlformats.org/officeDocument/2006/relationships/image" Target="media/image50.png"/><Relationship Id="rId76" Type="http://schemas.openxmlformats.org/officeDocument/2006/relationships/image" Target="media/image51.png"/><Relationship Id="rId77" Type="http://schemas.openxmlformats.org/officeDocument/2006/relationships/image" Target="media/image52.png"/><Relationship Id="rId78" Type="http://schemas.openxmlformats.org/officeDocument/2006/relationships/image" Target="media/image53.png"/><Relationship Id="rId79" Type="http://schemas.openxmlformats.org/officeDocument/2006/relationships/image" Target="media/image54.png"/><Relationship Id="rId80" Type="http://schemas.openxmlformats.org/officeDocument/2006/relationships/image" Target="media/image55.png"/><Relationship Id="rId81" Type="http://schemas.openxmlformats.org/officeDocument/2006/relationships/image" Target="media/image56.png"/><Relationship Id="rId82" Type="http://schemas.openxmlformats.org/officeDocument/2006/relationships/image" Target="media/image57.png"/><Relationship Id="rId83" Type="http://schemas.openxmlformats.org/officeDocument/2006/relationships/image" Target="media/image58.png"/><Relationship Id="rId84" Type="http://schemas.openxmlformats.org/officeDocument/2006/relationships/image" Target="media/image59.png"/><Relationship Id="rId85" Type="http://schemas.openxmlformats.org/officeDocument/2006/relationships/image" Target="media/image60.png"/><Relationship Id="rId86" Type="http://schemas.openxmlformats.org/officeDocument/2006/relationships/image" Target="media/image61.png"/><Relationship Id="rId87" Type="http://schemas.openxmlformats.org/officeDocument/2006/relationships/image" Target="media/image62.png"/><Relationship Id="rId88" Type="http://schemas.openxmlformats.org/officeDocument/2006/relationships/image" Target="media/image63.png"/><Relationship Id="rId89" Type="http://schemas.openxmlformats.org/officeDocument/2006/relationships/image" Target="media/image64.png"/><Relationship Id="rId90" Type="http://schemas.openxmlformats.org/officeDocument/2006/relationships/image" Target="media/image65.png"/><Relationship Id="rId91" Type="http://schemas.openxmlformats.org/officeDocument/2006/relationships/image" Target="media/image66.png"/><Relationship Id="rId92" Type="http://schemas.openxmlformats.org/officeDocument/2006/relationships/image" Target="media/image67.png"/><Relationship Id="rId93" Type="http://schemas.openxmlformats.org/officeDocument/2006/relationships/image" Target="media/image68.png"/><Relationship Id="rId94" Type="http://schemas.openxmlformats.org/officeDocument/2006/relationships/image" Target="media/image69.png"/><Relationship Id="rId95" Type="http://schemas.openxmlformats.org/officeDocument/2006/relationships/image" Target="media/image70.png"/><Relationship Id="rId96" Type="http://schemas.openxmlformats.org/officeDocument/2006/relationships/image" Target="media/image71.png"/><Relationship Id="rId97" Type="http://schemas.openxmlformats.org/officeDocument/2006/relationships/image" Target="media/image72.png"/><Relationship Id="rId98" Type="http://schemas.openxmlformats.org/officeDocument/2006/relationships/image" Target="media/image73.png"/><Relationship Id="rId99" Type="http://schemas.openxmlformats.org/officeDocument/2006/relationships/image" Target="media/image74.png"/><Relationship Id="rId100" Type="http://schemas.openxmlformats.org/officeDocument/2006/relationships/image" Target="media/image75.png"/><Relationship Id="rId101" Type="http://schemas.openxmlformats.org/officeDocument/2006/relationships/image" Target="media/image76.png"/><Relationship Id="rId102" Type="http://schemas.openxmlformats.org/officeDocument/2006/relationships/image" Target="media/image77.png"/><Relationship Id="rId103" Type="http://schemas.openxmlformats.org/officeDocument/2006/relationships/image" Target="media/image78.png"/><Relationship Id="rId104" Type="http://schemas.openxmlformats.org/officeDocument/2006/relationships/image" Target="media/image79.png"/><Relationship Id="rId44" Type="http://schemas.openxmlformats.org/officeDocument/2006/relationships/hyperlink" Target="http://www.sec.gov/Archives/edgar/data/1437402/000155837019001583/ardx-20181231x10k.htm" TargetMode="External"/><Relationship Id="rId45" Type="http://schemas.openxmlformats.org/officeDocument/2006/relationships/hyperlink" Target="http://www.sec.gov/Archives/edgar/data/1437402/000155837019003403/def14a.htm" TargetMode="External"/><Relationship Id="rId46" Type="http://schemas.openxmlformats.org/officeDocument/2006/relationships/hyperlink" Target="http://www.sec.gov/Archives/edgar/data/1437402/000155837019004249/ardx-20190331x10q.htm" TargetMode="External"/><Relationship Id="rId47" Type="http://schemas.openxmlformats.org/officeDocument/2006/relationships/hyperlink" Target="http://www.sec.gov/Archives/edgar/data/1437402/000155837019007809/ardx-20190630x10q.htm" TargetMode="External"/><Relationship Id="rId48" Type="http://schemas.openxmlformats.org/officeDocument/2006/relationships/hyperlink" Target="http://www.sec.gov/Archives/edgar/data/1437402/000155837019010174/ardx-20190930x10q.htm" TargetMode="External"/><Relationship Id="rId49" Type="http://schemas.openxmlformats.org/officeDocument/2006/relationships/hyperlink" Target="http://www.sec.gov/Archives/edgar/data/1437402/000155837019002233/f8-k.htm" TargetMode="External"/><Relationship Id="rId50" Type="http://schemas.openxmlformats.org/officeDocument/2006/relationships/hyperlink" Target="http://www.sec.gov/Archives/edgar/data/1437402/000155837019005499/f8-k.htm" TargetMode="External"/><Relationship Id="rId51" Type="http://schemas.openxmlformats.org/officeDocument/2006/relationships/hyperlink" Target="http://www.sec.gov/Archives/edgar/data/1437402/000155837019005724/ardx-20190613x8k.htm" TargetMode="External"/><Relationship Id="rId52" Type="http://schemas.openxmlformats.org/officeDocument/2006/relationships/hyperlink" Target="http://www.sec.gov/Archives/edgar/data/1437402/000119312519235868/d795858d8k.htm" TargetMode="External"/><Relationship Id="rId53" Type="http://schemas.openxmlformats.org/officeDocument/2006/relationships/hyperlink" Target="http://www.sec.gov/Archives/edgar/data/1437402/000155837019008604/f8-k.htm" TargetMode="External"/><Relationship Id="rId54" Type="http://schemas.openxmlformats.org/officeDocument/2006/relationships/hyperlink" Target="http://www.sec.gov/Archives/edgar/data/1437402/000119312519301216/d829482d8k.htm" TargetMode="External"/><Relationship Id="rId55" Type="http://schemas.openxmlformats.org/officeDocument/2006/relationships/hyperlink" Target="http://www.sec.gov/Archives/edgar/data/1437402/000119312519304292/d842827d8k.htm" TargetMode="External"/><Relationship Id="rId56" Type="http://schemas.openxmlformats.org/officeDocument/2006/relationships/hyperlink" Target="http://www.sec.gov/Archives/edgar/data/1437402/000119312519304803/d843175d8k.htm" TargetMode="External"/><Relationship Id="rId58" Type="http://schemas.openxmlformats.org/officeDocument/2006/relationships/hyperlink" Target="http://www.sec.gov/Archives/edgar/data/1437402/000119312514230441/d740908d8a12b.htm" TargetMode="External"/><Relationship Id="rId66" Type="http://schemas.openxmlformats.org/officeDocument/2006/relationships/hyperlink" Target="http://www.sec.gov/Archives/edgar/data/1437402/000119312517047972/d338826d10k.htm" TargetMode="External"/><Relationship Id="rId67" Type="http://schemas.openxmlformats.org/officeDocument/2006/relationships/hyperlink" Target="http://www.sec.gov/Archives/edgar/data/1437402/000119312517044518/d338980d8k.htm" TargetMode="External"/><Relationship Id="rId68" Type="http://schemas.openxmlformats.org/officeDocument/2006/relationships/hyperlink" Target="http://www.sec.gov/Archives/edgar/data/1437402/000119312517077089/d133384d8k.htm" TargetMode="External"/><Relationship Id="rId69" Type="http://schemas.openxmlformats.org/officeDocument/2006/relationships/hyperlink" Target="http://www.sec.gov/Archives/edgar/data/1437402/000119312517090857/d324376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2019-12-05T16:43:18Z</dcterms:created>
  <dcterms:modified xsi:type="dcterms:W3CDTF">2019-12-05T16:43:18Z</dcterms:modified>
</cp:coreProperties>
</file>