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27,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276860</wp:posOffset>
            </wp:positionV>
            <wp:extent cx="643255"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25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ARDELYX,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2800" w:type="dxa"/>
            <w:vAlign w:val="bottom"/>
          </w:tcPr>
          <w:p>
            <w:pPr>
              <w:jc w:val="center"/>
              <w:ind w:left="86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001-36485</w:t>
            </w:r>
          </w:p>
        </w:tc>
        <w:tc>
          <w:tcPr>
            <w:tcW w:w="2740" w:type="dxa"/>
            <w:vAlign w:val="bottom"/>
          </w:tcPr>
          <w:p>
            <w:pPr>
              <w:jc w:val="center"/>
              <w:ind w:right="942"/>
              <w:spacing w:after="0"/>
              <w:rPr>
                <w:sz w:val="20"/>
                <w:szCs w:val="20"/>
                <w:color w:val="auto"/>
              </w:rPr>
            </w:pPr>
            <w:r>
              <w:rPr>
                <w:rFonts w:ascii="Times New Roman" w:cs="Times New Roman" w:eastAsia="Times New Roman" w:hAnsi="Times New Roman"/>
                <w:sz w:val="18"/>
                <w:szCs w:val="18"/>
                <w:b w:val="1"/>
                <w:bCs w:val="1"/>
                <w:color w:val="auto"/>
              </w:rPr>
              <w:t>26-1303944</w:t>
            </w:r>
          </w:p>
        </w:tc>
      </w:tr>
      <w:tr>
        <w:trPr>
          <w:trHeight w:val="148"/>
        </w:trPr>
        <w:tc>
          <w:tcPr>
            <w:tcW w:w="2800" w:type="dxa"/>
            <w:vAlign w:val="bottom"/>
          </w:tcPr>
          <w:p>
            <w:pPr>
              <w:jc w:val="center"/>
              <w:ind w:left="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40" w:type="dxa"/>
            <w:vAlign w:val="bottom"/>
          </w:tcPr>
          <w:p>
            <w:pPr>
              <w:jc w:val="center"/>
              <w:ind w:right="94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00" w:type="dxa"/>
            <w:vAlign w:val="bottom"/>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40" w:type="dxa"/>
            <w:vAlign w:val="bottom"/>
          </w:tcPr>
          <w:p>
            <w:pPr>
              <w:jc w:val="center"/>
              <w:ind w:right="92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04"/>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400 FIFTH AVE., SUITE 210, WALTHAM, MASSACHUSETTS 02451</w:t>
            </w:r>
          </w:p>
        </w:tc>
        <w:tc>
          <w:tcPr>
            <w:tcW w:w="2740" w:type="dxa"/>
            <w:vAlign w:val="bottom"/>
          </w:tcPr>
          <w:p>
            <w:pPr>
              <w:spacing w:after="0"/>
              <w:rPr>
                <w:sz w:val="24"/>
                <w:szCs w:val="24"/>
                <w:color w:val="auto"/>
              </w:rPr>
            </w:pPr>
          </w:p>
        </w:tc>
      </w:tr>
      <w:tr>
        <w:trPr>
          <w:trHeight w:val="190"/>
        </w:trPr>
        <w:tc>
          <w:tcPr>
            <w:tcW w:w="2800" w:type="dxa"/>
            <w:vAlign w:val="bottom"/>
          </w:tcPr>
          <w:p>
            <w:pPr>
              <w:spacing w:after="0"/>
              <w:rPr>
                <w:sz w:val="16"/>
                <w:szCs w:val="16"/>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2740" w:type="dxa"/>
            <w:vAlign w:val="bottom"/>
          </w:tcPr>
          <w:p>
            <w:pPr>
              <w:spacing w:after="0"/>
              <w:rPr>
                <w:sz w:val="16"/>
                <w:szCs w:val="16"/>
                <w:color w:val="auto"/>
              </w:rPr>
            </w:pPr>
          </w:p>
        </w:tc>
      </w:tr>
      <w:tr>
        <w:trPr>
          <w:trHeight w:val="374"/>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(510) 745-1700</w:t>
            </w:r>
          </w:p>
        </w:tc>
        <w:tc>
          <w:tcPr>
            <w:tcW w:w="2740" w:type="dxa"/>
            <w:vAlign w:val="bottom"/>
          </w:tcPr>
          <w:p>
            <w:pPr>
              <w:spacing w:after="0"/>
              <w:rPr>
                <w:sz w:val="24"/>
                <w:szCs w:val="24"/>
                <w:color w:val="auto"/>
              </w:rPr>
            </w:pPr>
          </w:p>
        </w:tc>
      </w:tr>
      <w:tr>
        <w:trPr>
          <w:trHeight w:val="189"/>
        </w:trPr>
        <w:tc>
          <w:tcPr>
            <w:tcW w:w="2800" w:type="dxa"/>
            <w:vAlign w:val="bottom"/>
            <w:tcBorders>
              <w:bottom w:val="single" w:sz="8" w:color="auto"/>
            </w:tcBorders>
          </w:tcPr>
          <w:p>
            <w:pPr>
              <w:spacing w:after="0"/>
              <w:rPr>
                <w:sz w:val="16"/>
                <w:szCs w:val="16"/>
                <w:color w:val="auto"/>
              </w:rPr>
            </w:pPr>
          </w:p>
        </w:tc>
        <w:tc>
          <w:tcPr>
            <w:tcW w:w="57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r>
    </w:tbl>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4"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44"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340"/>
        </w:trPr>
        <w:tc>
          <w:tcPr>
            <w:tcW w:w="4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2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w:t>
            </w:r>
          </w:p>
        </w:tc>
        <w:tc>
          <w:tcPr>
            <w:tcW w:w="140" w:type="dxa"/>
            <w:vAlign w:val="bottom"/>
          </w:tcPr>
          <w:p>
            <w:pPr>
              <w:spacing w:after="0"/>
              <w:rPr>
                <w:sz w:val="17"/>
                <w:szCs w:val="17"/>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ARDX</w:t>
            </w:r>
          </w:p>
        </w:tc>
        <w:tc>
          <w:tcPr>
            <w:tcW w:w="140" w:type="dxa"/>
            <w:vAlign w:val="bottom"/>
          </w:tcPr>
          <w:p>
            <w:pPr>
              <w:spacing w:after="0"/>
              <w:rPr>
                <w:sz w:val="17"/>
                <w:szCs w:val="17"/>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r>
    </w:tbl>
    <w:p>
      <w:pPr>
        <w:spacing w:after="0" w:line="194" w:lineRule="exact"/>
        <w:rPr>
          <w:sz w:val="24"/>
          <w:szCs w:val="24"/>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80" w:lineRule="exact"/>
        <w:rPr>
          <w:sz w:val="24"/>
          <w:szCs w:val="24"/>
          <w:color w:val="auto"/>
        </w:rPr>
      </w:pPr>
    </w:p>
    <w:p>
      <w:pPr>
        <w:ind w:right="580"/>
        <w:spacing w:after="0" w:line="298"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4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December 27, 2022, Ardelyx, Inc. (the “Company”) received an Appeal Granted Letter (“AGL”) from the Office of New Drugs (“OND”), Center for Drug Evaluation and Research of Cardiology, Hematology, Endocrinology and Nephrology (“OCHEN”) of the U.S. Food and Drug Administration (the “FDA”) granting the Company’s appeal of the July 28, 2021 issuance of a Complete Response Letter (“CRL”) for the Company’s New Drug Application for XPHOZAH (tenapanor). The OND’s response follows a favorable vote at a Cardiovascular and Renal Drugs Advisory Committee (“CRDAC”) meeting held on November 16, 2022. In the AGL, OND directs the FDA’s Division of Cardiology and Nephrology (“DCN”) to work with the Company to develop an appropriate label. The Company believes that a label could reflect an indication for patients whose hyperphosphatemia is insufficiently managed on binder therapy. OND has requested that the Company request a meeting with the DCN to discuss what will be required in the Company’s resubmission of the NDA, and the Company currently intends to request such a meeting as soon as possible. The Company currently expects to resubmit the NDA in the first half of 2023. Within thirty (30) days of resubmitting the NDA, the Company expects it will receive notification from the FDA as to the classification of the resubmission (Class 1 or Class 2) at which point the timing for review will also be known (2-months for a Class 1 and 6-months for a Class 2), as well as a goal review date.</w:t>
      </w:r>
    </w:p>
    <w:p>
      <w:pPr>
        <w:spacing w:after="0" w:line="2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item 8.01 contains forward-looking statements, including, but not limited to, statements related to the Company’s expectations regarding the potential indication for XPHOZAH, and the Company’s expectations regarding the timing to resubmit the NDA for XPHOZAH and the potential timing of review of the resubmission. The Company’s actual results and the timing of events could differ materially from those anticipated in such forward-looking statements as a result of these risks and uncertainties, which include, without limitation, risks related to the regulatory process. A further description of the risks and uncertainties relating to the business of the Company is contained in the Company’s Quarterly Report on Form 10-Q for the quarterly period ended September 30, 2022, filed with the Securities and Exchange Commission (the “SEC”), and the Company’s subsequent current reports filed with the SEC. The Company undertakes no duty or obligation to update any forward-looking statements contained in this Item 8.01 as a result of new information, future events, or changes in its expectations.</w:t>
      </w:r>
    </w:p>
    <w:p>
      <w:pPr>
        <w:spacing w:after="0" w:line="35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Exhibit</w:t>
      </w:r>
    </w:p>
    <w:p>
      <w:pPr>
        <w:ind w:left="380"/>
        <w:spacing w:after="0"/>
        <w:tabs>
          <w:tab w:leader="none" w:pos="1220"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0891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3" w:lineRule="exact"/>
        <w:rPr>
          <w:sz w:val="20"/>
          <w:szCs w:val="20"/>
          <w:color w:val="auto"/>
        </w:rPr>
      </w:pPr>
    </w:p>
    <w:p>
      <w:pPr>
        <w:ind w:left="20"/>
        <w:spacing w:after="0"/>
        <w:tabs>
          <w:tab w:leader="none" w:pos="12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94" w:lineRule="exact"/>
        <w:rPr>
          <w:sz w:val="20"/>
          <w:szCs w:val="20"/>
          <w:color w:val="auto"/>
        </w:rPr>
      </w:pPr>
    </w:p>
    <w:p>
      <w:pPr>
        <w:ind w:left="20"/>
        <w:spacing w:after="0"/>
        <w:tabs>
          <w:tab w:leader="none" w:pos="4820" w:val="left"/>
        </w:tabs>
        <w:rPr>
          <w:sz w:val="20"/>
          <w:szCs w:val="20"/>
          <w:color w:val="auto"/>
        </w:rPr>
      </w:pPr>
      <w:r>
        <w:rPr>
          <w:rFonts w:ascii="Times New Roman" w:cs="Times New Roman" w:eastAsia="Times New Roman" w:hAnsi="Times New Roman"/>
          <w:sz w:val="18"/>
          <w:szCs w:val="18"/>
          <w:color w:val="auto"/>
        </w:rPr>
        <w:t>Date: December 29, 2022</w:t>
      </w:r>
      <w:r>
        <w:rPr>
          <w:sz w:val="20"/>
          <w:szCs w:val="20"/>
          <w:color w:val="auto"/>
        </w:rPr>
        <w:tab/>
      </w:r>
      <w:r>
        <w:rPr>
          <w:rFonts w:ascii="Times New Roman" w:cs="Times New Roman" w:eastAsia="Times New Roman" w:hAnsi="Times New Roman"/>
          <w:sz w:val="17"/>
          <w:szCs w:val="17"/>
          <w:color w:val="auto"/>
        </w:rPr>
        <w:t>ARDELYX, INC.</w:t>
      </w:r>
    </w:p>
    <w:p>
      <w:pPr>
        <w:spacing w:after="0" w:line="239" w:lineRule="exact"/>
        <w:rPr>
          <w:sz w:val="20"/>
          <w:szCs w:val="20"/>
          <w:color w:val="auto"/>
        </w:rPr>
      </w:pPr>
    </w:p>
    <w:p>
      <w:pPr>
        <w:ind w:left="4840"/>
        <w:spacing w:after="0"/>
        <w:tabs>
          <w:tab w:leader="none" w:pos="5300" w:val="left"/>
        </w:tabs>
        <w:rPr>
          <w:sz w:val="20"/>
          <w:szCs w:val="20"/>
          <w:color w:val="auto"/>
        </w:rPr>
      </w:pPr>
      <w:r>
        <w:rPr>
          <w:rFonts w:ascii="Times New Roman" w:cs="Times New Roman" w:eastAsia="Times New Roman" w:hAnsi="Times New Roman"/>
          <w:sz w:val="18"/>
          <w:szCs w:val="18"/>
          <w:color w:val="auto"/>
        </w:rPr>
        <w:t>By:</w:t>
        <w:tab/>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17145</wp:posOffset>
            </wp:positionV>
            <wp:extent cx="3737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Elizabeth Grammer</w:t>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Chief Legal and Administrative Officer</w:t>
      </w:r>
    </w:p>
    <w:sectPr>
      <w:pgSz w:w="11900" w:h="16838" w:orient="portrait"/>
      <w:cols w:equalWidth="0" w:num="1">
        <w:col w:w="11220"/>
      </w:cols>
      <w:pgMar w:left="320" w:top="114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2022-12-29T06:07:45Z</dcterms:created>
  <dcterms:modified xsi:type="dcterms:W3CDTF">2022-12-29T06:07:45Z</dcterms:modified>
</cp:coreProperties>
</file>