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90"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680" w:type="dxa"/>
            <w:vAlign w:val="bottom"/>
            <w:gridSpan w:val="6"/>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ind w:left="46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94555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04/06/2015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7,681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0.54</w:t>
            </w:r>
          </w:p>
        </w:tc>
        <w:tc>
          <w:tcPr>
            <w:tcW w:w="1480" w:type="dxa"/>
            <w:vAlign w:val="bottom"/>
            <w:tcBorders>
              <w:bottom w:val="single" w:sz="8" w:color="2C2C2C"/>
            </w:tcBorders>
            <w:gridSpan w:val="4"/>
          </w:tcPr>
          <w:p>
            <w:pPr>
              <w:jc w:val="right"/>
              <w:ind w:right="376"/>
              <w:spacing w:after="0"/>
              <w:rPr>
                <w:sz w:val="20"/>
                <w:szCs w:val="20"/>
                <w:color w:val="auto"/>
              </w:rPr>
            </w:pPr>
            <w:r>
              <w:rPr>
                <w:rFonts w:ascii="Arial" w:cs="Arial" w:eastAsia="Arial" w:hAnsi="Arial"/>
                <w:sz w:val="18"/>
                <w:szCs w:val="18"/>
                <w:color w:val="0000FF"/>
              </w:rPr>
              <w:t>8,277</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04/06/2015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7,681</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12.8018</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456"/>
              <w:spacing w:after="0"/>
              <w:rPr>
                <w:sz w:val="20"/>
                <w:szCs w:val="20"/>
                <w:color w:val="auto"/>
              </w:rPr>
            </w:pPr>
            <w:r>
              <w:rPr>
                <w:rFonts w:ascii="Arial" w:cs="Arial" w:eastAsia="Arial" w:hAnsi="Arial"/>
                <w:sz w:val="18"/>
                <w:szCs w:val="18"/>
                <w:color w:val="0000FF"/>
                <w:w w:val="79"/>
              </w:rPr>
              <w:t>596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jc w:val="center"/>
              <w:ind w:left="9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0.54</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04/06/2015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7,681</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08/11/2021</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7,681</w:t>
            </w:r>
          </w:p>
        </w:tc>
        <w:tc>
          <w:tcPr>
            <w:tcW w:w="700" w:type="dxa"/>
            <w:vAlign w:val="bottom"/>
            <w:gridSpan w:val="3"/>
            <w:vMerge w:val="restart"/>
          </w:tcPr>
          <w:p>
            <w:pPr>
              <w:jc w:val="right"/>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0000FF"/>
                <w:w w:val="86"/>
              </w:rPr>
              <w:t>129,977</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December 26, 2014.</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$12.59 to $13.07,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is immediately exercisable in full, but the shares subject thereto vest according to the following schedule: Twenty-five percent (25%) of the shares subject to the option vest on the first anniversary measured from September 1, 2011, and the remaining shares subject to the option vest in 36 successive, equal monthly installments thereafter, subject to the Reporting Person's continued employment or service relationship with the Issuer on each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w:t>
      </w:r>
      <w:r>
        <w:rPr>
          <w:sz w:val="20"/>
          <w:szCs w:val="20"/>
          <w:color w:val="auto"/>
        </w:rPr>
        <w:tab/>
      </w:r>
      <w:r>
        <w:rPr>
          <w:rFonts w:ascii="Arial" w:cs="Arial" w:eastAsia="Arial" w:hAnsi="Arial"/>
          <w:sz w:val="15"/>
          <w:szCs w:val="15"/>
          <w:color w:val="0000FF"/>
        </w:rPr>
        <w:t>04/08/2015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2019-12-08T21:14:59Z</dcterms:created>
  <dcterms:modified xsi:type="dcterms:W3CDTF">2019-12-08T21:14:59Z</dcterms:modified>
</cp:coreProperties>
</file>