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2">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35">
        <w:r>
          <w:rPr>
            <w:rFonts w:ascii="Arial" w:cs="Arial" w:eastAsia="Arial" w:hAnsi="Arial"/>
            <w:sz w:val="22"/>
            <w:szCs w:val="22"/>
            <w:u w:val="single" w:color="auto"/>
            <w:color w:val="0000EE"/>
          </w:rPr>
          <w:t>TABLE OF CONTENTS</w:t>
        </w:r>
      </w:hyperlink>
    </w:p>
    <w:p>
      <w:pPr>
        <w:spacing w:after="0" w:line="213"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Filed pursuant to Rule 424(b)(5)</w:t>
      </w:r>
    </w:p>
    <w:p>
      <w:pPr>
        <w:spacing w:after="0" w:line="18"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Statement No. 333-205631</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18" w:lineRule="exact"/>
        <w:rPr>
          <w:sz w:val="24"/>
          <w:szCs w:val="24"/>
          <w:color w:val="auto"/>
        </w:rPr>
      </w:pPr>
    </w:p>
    <w:p>
      <w:pPr>
        <w:spacing w:after="0"/>
        <w:rPr>
          <w:sz w:val="20"/>
          <w:szCs w:val="20"/>
          <w:color w:val="auto"/>
        </w:rPr>
      </w:pPr>
      <w:r>
        <w:rPr>
          <w:rFonts w:ascii="Arial" w:cs="Arial" w:eastAsia="Arial" w:hAnsi="Arial"/>
          <w:sz w:val="18"/>
          <w:szCs w:val="18"/>
          <w:color w:val="auto"/>
        </w:rPr>
        <w:t>(To Prospectus dated July 20, 2015)</w:t>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12,500,000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2243455</wp:posOffset>
            </wp:positionH>
            <wp:positionV relativeFrom="paragraph">
              <wp:posOffset>163830</wp:posOffset>
            </wp:positionV>
            <wp:extent cx="277876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8760" cy="4718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163830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color w:val="auto"/>
        </w:rPr>
        <w:t>We are offering 12,500,000 shares of our common stock.</w:t>
      </w:r>
    </w:p>
    <w:p>
      <w:pPr>
        <w:spacing w:after="0" w:line="212"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Our common stock is listed on The Nasdaq Global Market under the symbol "ARDX." On May 22, 2018, the last reported sale price of our common stock on The Nasdaq Global Market was $4.55 per share.</w:t>
      </w:r>
    </w:p>
    <w:p>
      <w:pPr>
        <w:spacing w:after="0" w:line="187" w:lineRule="exact"/>
        <w:rPr>
          <w:sz w:val="24"/>
          <w:szCs w:val="24"/>
          <w:color w:val="auto"/>
        </w:rPr>
      </w:pPr>
    </w:p>
    <w:p>
      <w:pPr>
        <w:ind w:right="80"/>
        <w:spacing w:after="0" w:line="249" w:lineRule="auto"/>
        <w:rPr>
          <w:sz w:val="20"/>
          <w:szCs w:val="20"/>
          <w:color w:val="auto"/>
        </w:rPr>
      </w:pPr>
      <w:r>
        <w:rPr>
          <w:rFonts w:ascii="Arial" w:cs="Arial" w:eastAsia="Arial" w:hAnsi="Arial"/>
          <w:sz w:val="18"/>
          <w:szCs w:val="18"/>
          <w:b w:val="1"/>
          <w:bCs w:val="1"/>
          <w:color w:val="auto"/>
        </w:rPr>
        <w:t>Investing in our common stock involves a high degree of risk. Before making an investment decision, please read the information under the heading "Risk Factors" beginning on page S-8 of this prospectus supplement and in the documents incorporated by reference into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14"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6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TOTAL</w:t>
            </w:r>
          </w:p>
        </w:tc>
        <w:tc>
          <w:tcPr>
            <w:tcW w:w="1660" w:type="dxa"/>
            <w:vAlign w:val="bottom"/>
          </w:tcPr>
          <w:p>
            <w:pPr>
              <w:spacing w:after="0"/>
              <w:rPr>
                <w:sz w:val="15"/>
                <w:szCs w:val="15"/>
                <w:color w:val="auto"/>
              </w:rPr>
            </w:pPr>
          </w:p>
        </w:tc>
      </w:tr>
      <w:tr>
        <w:trPr>
          <w:trHeight w:val="199"/>
        </w:trPr>
        <w:tc>
          <w:tcPr>
            <w:tcW w:w="6120" w:type="dxa"/>
            <w:vAlign w:val="bottom"/>
          </w:tcPr>
          <w:p>
            <w:pPr>
              <w:ind w:left="1380"/>
              <w:spacing w:after="0" w:line="199" w:lineRule="exact"/>
              <w:rPr>
                <w:sz w:val="20"/>
                <w:szCs w:val="20"/>
                <w:color w:val="auto"/>
              </w:rPr>
            </w:pPr>
            <w:r>
              <w:rPr>
                <w:rFonts w:ascii="Arial" w:cs="Arial" w:eastAsia="Arial" w:hAnsi="Arial"/>
                <w:sz w:val="18"/>
                <w:szCs w:val="18"/>
                <w:color w:val="auto"/>
              </w:rPr>
              <w:t>Public offering price</w:t>
            </w:r>
          </w:p>
        </w:tc>
        <w:tc>
          <w:tcPr>
            <w:tcW w:w="1700" w:type="dxa"/>
            <w:vAlign w:val="bottom"/>
            <w:gridSpan w:val="2"/>
          </w:tcPr>
          <w:p>
            <w:pPr>
              <w:jc w:val="right"/>
              <w:ind w:right="168"/>
              <w:spacing w:after="0" w:line="199"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199" w:lineRule="exact"/>
              <w:rPr>
                <w:sz w:val="20"/>
                <w:szCs w:val="20"/>
                <w:color w:val="auto"/>
              </w:rPr>
            </w:pPr>
            <w:r>
              <w:rPr>
                <w:rFonts w:ascii="Arial" w:cs="Arial" w:eastAsia="Arial" w:hAnsi="Arial"/>
                <w:sz w:val="18"/>
                <w:szCs w:val="18"/>
                <w:color w:val="auto"/>
              </w:rPr>
              <w:t>4.00</w:t>
            </w:r>
          </w:p>
        </w:tc>
        <w:tc>
          <w:tcPr>
            <w:tcW w:w="380" w:type="dxa"/>
            <w:vAlign w:val="bottom"/>
            <w:gridSpan w:val="2"/>
          </w:tcPr>
          <w:p>
            <w:pPr>
              <w:jc w:val="right"/>
              <w:ind w:right="120"/>
              <w:spacing w:after="0" w:line="19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99" w:lineRule="exact"/>
              <w:rPr>
                <w:sz w:val="20"/>
                <w:szCs w:val="20"/>
                <w:color w:val="auto"/>
              </w:rPr>
            </w:pPr>
            <w:r>
              <w:rPr>
                <w:rFonts w:ascii="Arial" w:cs="Arial" w:eastAsia="Arial" w:hAnsi="Arial"/>
                <w:sz w:val="18"/>
                <w:szCs w:val="18"/>
                <w:color w:val="auto"/>
              </w:rPr>
              <w:t>50,000,000</w:t>
            </w:r>
          </w:p>
        </w:tc>
        <w:tc>
          <w:tcPr>
            <w:tcW w:w="1660" w:type="dxa"/>
            <w:vAlign w:val="bottom"/>
          </w:tcPr>
          <w:p>
            <w:pPr>
              <w:spacing w:after="0"/>
              <w:rPr>
                <w:sz w:val="17"/>
                <w:szCs w:val="17"/>
                <w:color w:val="auto"/>
              </w:rPr>
            </w:pPr>
          </w:p>
        </w:tc>
      </w:tr>
      <w:tr>
        <w:trPr>
          <w:trHeight w:val="244"/>
        </w:trPr>
        <w:tc>
          <w:tcPr>
            <w:tcW w:w="6120" w:type="dxa"/>
            <w:vAlign w:val="bottom"/>
          </w:tcPr>
          <w:p>
            <w:pPr>
              <w:ind w:left="1380"/>
              <w:spacing w:after="0" w:line="243" w:lineRule="exact"/>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8"/>
                <w:szCs w:val="28"/>
                <w:color w:val="auto"/>
                <w:vertAlign w:val="superscript"/>
              </w:rPr>
              <w:t>(1)</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0.24</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3,000,000</w:t>
            </w:r>
          </w:p>
        </w:tc>
        <w:tc>
          <w:tcPr>
            <w:tcW w:w="1660" w:type="dxa"/>
            <w:vAlign w:val="bottom"/>
          </w:tcPr>
          <w:p>
            <w:pPr>
              <w:spacing w:after="0"/>
              <w:rPr>
                <w:sz w:val="21"/>
                <w:szCs w:val="21"/>
                <w:color w:val="auto"/>
              </w:rPr>
            </w:pPr>
          </w:p>
        </w:tc>
      </w:tr>
      <w:tr>
        <w:trPr>
          <w:trHeight w:val="211"/>
        </w:trPr>
        <w:tc>
          <w:tcPr>
            <w:tcW w:w="6120" w:type="dxa"/>
            <w:vAlign w:val="bottom"/>
          </w:tcPr>
          <w:p>
            <w:pPr>
              <w:ind w:left="1380"/>
              <w:spacing w:after="0"/>
              <w:rPr>
                <w:sz w:val="20"/>
                <w:szCs w:val="20"/>
                <w:color w:val="auto"/>
              </w:rPr>
            </w:pPr>
            <w:r>
              <w:rPr>
                <w:rFonts w:ascii="Arial" w:cs="Arial" w:eastAsia="Arial" w:hAnsi="Arial"/>
                <w:sz w:val="18"/>
                <w:szCs w:val="18"/>
                <w:color w:val="auto"/>
              </w:rPr>
              <w:t>Proceeds, before expenses, to us</w:t>
            </w:r>
          </w:p>
        </w:tc>
        <w:tc>
          <w:tcPr>
            <w:tcW w:w="170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3.76</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47,000,000</w:t>
            </w:r>
          </w:p>
        </w:tc>
        <w:tc>
          <w:tcPr>
            <w:tcW w:w="1660" w:type="dxa"/>
            <w:vAlign w:val="bottom"/>
          </w:tcPr>
          <w:p>
            <w:pPr>
              <w:spacing w:after="0"/>
              <w:rPr>
                <w:sz w:val="18"/>
                <w:szCs w:val="18"/>
                <w:color w:val="auto"/>
              </w:rPr>
            </w:pPr>
          </w:p>
        </w:tc>
      </w:tr>
      <w:tr>
        <w:trPr>
          <w:trHeight w:val="97"/>
        </w:trPr>
        <w:tc>
          <w:tcPr>
            <w:tcW w:w="61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r>
    </w:tbl>
    <w:p>
      <w:pPr>
        <w:spacing w:after="0" w:line="108" w:lineRule="exact"/>
        <w:rPr>
          <w:sz w:val="24"/>
          <w:szCs w:val="24"/>
          <w:color w:val="auto"/>
        </w:rPr>
      </w:pPr>
    </w:p>
    <w:p>
      <w:pPr>
        <w:ind w:left="540" w:hanging="532"/>
        <w:spacing w:after="0"/>
        <w:tabs>
          <w:tab w:leader="none" w:pos="540" w:val="left"/>
        </w:tabs>
        <w:numPr>
          <w:ilvl w:val="0"/>
          <w:numId w:val="1"/>
        </w:numPr>
        <w:rPr>
          <w:rFonts w:ascii="Arial" w:cs="Arial" w:eastAsia="Arial" w:hAnsi="Arial"/>
          <w:sz w:val="28"/>
          <w:szCs w:val="28"/>
          <w:color w:val="auto"/>
          <w:vertAlign w:val="superscript"/>
        </w:rPr>
      </w:pPr>
      <w:r>
        <w:rPr>
          <w:rFonts w:ascii="Arial" w:cs="Arial" w:eastAsia="Arial" w:hAnsi="Arial"/>
          <w:sz w:val="17"/>
          <w:szCs w:val="17"/>
          <w:color w:val="auto"/>
        </w:rPr>
        <w:t>See "Underwriting" for additional disclosure regarding estimated underwriting discounts and commissions and estimated offering expenses.</w:t>
      </w:r>
    </w:p>
    <w:p>
      <w:pPr>
        <w:spacing w:after="0" w:line="208" w:lineRule="exact"/>
        <w:rPr>
          <w:sz w:val="24"/>
          <w:szCs w:val="24"/>
          <w:color w:val="auto"/>
        </w:rPr>
      </w:pPr>
    </w:p>
    <w:p>
      <w:pPr>
        <w:ind w:right="40"/>
        <w:spacing w:after="0" w:line="239" w:lineRule="auto"/>
        <w:rPr>
          <w:sz w:val="20"/>
          <w:szCs w:val="20"/>
          <w:color w:val="auto"/>
        </w:rPr>
      </w:pPr>
      <w:r>
        <w:rPr>
          <w:rFonts w:ascii="Arial" w:cs="Arial" w:eastAsia="Arial" w:hAnsi="Arial"/>
          <w:sz w:val="18"/>
          <w:szCs w:val="18"/>
          <w:color w:val="auto"/>
        </w:rPr>
        <w:t>We have granted the underwriters the right to purchase up to 1,875,000 additional shares of our common stock. The underwriters can exercise this right at any time within 30 days after the date of this prospectus supplement.</w:t>
      </w:r>
    </w:p>
    <w:p>
      <w:pPr>
        <w:spacing w:after="0" w:line="209" w:lineRule="exact"/>
        <w:rPr>
          <w:sz w:val="24"/>
          <w:szCs w:val="24"/>
          <w:color w:val="auto"/>
        </w:rPr>
      </w:pPr>
    </w:p>
    <w:p>
      <w:pPr>
        <w:ind w:right="340"/>
        <w:spacing w:after="0" w:line="239"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and, as such, have elected to comply with certain reduced public company reporting requirements for this prospectus and future filings.</w:t>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of common stock against payment in New York, New York on or about May 25, 2018.</w:t>
      </w:r>
    </w:p>
    <w:p>
      <w:pPr>
        <w:spacing w:after="0" w:line="190" w:lineRule="exact"/>
        <w:rPr>
          <w:sz w:val="24"/>
          <w:szCs w:val="24"/>
          <w:color w:val="auto"/>
        </w:rPr>
      </w:pPr>
    </w:p>
    <w:p>
      <w:pPr>
        <w:ind w:right="100"/>
        <w:spacing w:after="0" w:line="328"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supplement.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86995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Joint Book-Running Managers</w:t>
      </w:r>
    </w:p>
    <w:p>
      <w:pPr>
        <w:spacing w:after="0" w:line="193" w:lineRule="exact"/>
        <w:rPr>
          <w:sz w:val="24"/>
          <w:szCs w:val="24"/>
          <w:color w:val="auto"/>
        </w:rPr>
      </w:pPr>
    </w:p>
    <w:p>
      <w:pPr>
        <w:ind w:left="2240"/>
        <w:spacing w:after="0"/>
        <w:tabs>
          <w:tab w:leader="none" w:pos="7700" w:val="left"/>
        </w:tabs>
        <w:rPr>
          <w:sz w:val="20"/>
          <w:szCs w:val="20"/>
          <w:color w:val="auto"/>
        </w:rPr>
      </w:pPr>
      <w:r>
        <w:rPr>
          <w:rFonts w:ascii="Arial" w:cs="Arial" w:eastAsia="Arial" w:hAnsi="Arial"/>
          <w:sz w:val="24"/>
          <w:szCs w:val="24"/>
          <w:b w:val="1"/>
          <w:bCs w:val="1"/>
          <w:color w:val="auto"/>
        </w:rPr>
        <w:t>Jefferies</w:t>
      </w:r>
      <w:r>
        <w:rPr>
          <w:sz w:val="20"/>
          <w:szCs w:val="20"/>
          <w:color w:val="auto"/>
        </w:rPr>
        <w:tab/>
      </w:r>
      <w:r>
        <w:rPr>
          <w:rFonts w:ascii="Arial" w:cs="Arial" w:eastAsia="Arial" w:hAnsi="Arial"/>
          <w:sz w:val="24"/>
          <w:szCs w:val="24"/>
          <w:b w:val="1"/>
          <w:bCs w:val="1"/>
          <w:color w:val="auto"/>
        </w:rPr>
        <w:t>Leerink Partners</w:t>
      </w:r>
    </w:p>
    <w:p>
      <w:pPr>
        <w:sectPr>
          <w:pgSz w:w="11900" w:h="16838" w:orient="portrait"/>
          <w:cols w:equalWidth="0" w:num="1">
            <w:col w:w="11440"/>
          </w:cols>
          <w:pgMar w:left="240" w:top="685" w:right="219" w:bottom="1440" w:gutter="0" w:footer="0" w:header="0"/>
        </w:sectPr>
      </w:pP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Prospectus Supplement dated May 22,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685" w:right="2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of Contents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4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Page</w:t>
            </w:r>
          </w:p>
        </w:tc>
        <w:tc>
          <w:tcPr>
            <w:tcW w:w="1300" w:type="dxa"/>
            <w:vAlign w:val="bottom"/>
          </w:tcPr>
          <w:p>
            <w:pPr>
              <w:spacing w:after="0"/>
              <w:rPr>
                <w:sz w:val="15"/>
                <w:szCs w:val="15"/>
                <w:color w:val="auto"/>
              </w:rPr>
            </w:pPr>
          </w:p>
        </w:tc>
      </w:tr>
      <w:tr>
        <w:trPr>
          <w:trHeight w:val="169"/>
        </w:trPr>
        <w:tc>
          <w:tcPr>
            <w:tcW w:w="1140" w:type="dxa"/>
            <w:vAlign w:val="bottom"/>
          </w:tcPr>
          <w:p>
            <w:pPr>
              <w:spacing w:after="0"/>
              <w:rPr>
                <w:sz w:val="14"/>
                <w:szCs w:val="14"/>
                <w:color w:val="auto"/>
              </w:rPr>
            </w:pPr>
          </w:p>
        </w:tc>
        <w:tc>
          <w:tcPr>
            <w:tcW w:w="8520" w:type="dxa"/>
            <w:vAlign w:val="bottom"/>
            <w:gridSpan w:val="29"/>
          </w:tcPr>
          <w:p>
            <w:pPr>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ABOUT THIS PROSPECTUS SUPPLEMENT</w:t>
              </w:r>
            </w:hyperlink>
          </w:p>
        </w:tc>
        <w:tc>
          <w:tcPr>
            <w:tcW w:w="80" w:type="dxa"/>
            <w:vAlign w:val="bottom"/>
          </w:tcPr>
          <w:p>
            <w:pPr>
              <w:spacing w:after="0"/>
              <w:rPr>
                <w:sz w:val="14"/>
                <w:szCs w:val="14"/>
                <w:color w:val="auto"/>
              </w:rPr>
            </w:pPr>
          </w:p>
        </w:tc>
        <w:tc>
          <w:tcPr>
            <w:tcW w:w="1700" w:type="dxa"/>
            <w:vAlign w:val="bottom"/>
            <w:gridSpan w:val="6"/>
          </w:tcPr>
          <w:p>
            <w:pPr>
              <w:jc w:val="right"/>
              <w:ind w:right="132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S-1</w:t>
              </w:r>
            </w:hyperlink>
          </w:p>
        </w:tc>
      </w:tr>
      <w:tr>
        <w:trPr>
          <w:trHeight w:val="183"/>
        </w:trPr>
        <w:tc>
          <w:tcPr>
            <w:tcW w:w="1140" w:type="dxa"/>
            <w:vAlign w:val="bottom"/>
          </w:tcPr>
          <w:p>
            <w:pPr>
              <w:spacing w:after="0"/>
              <w:rPr>
                <w:sz w:val="15"/>
                <w:szCs w:val="15"/>
                <w:color w:val="auto"/>
              </w:rPr>
            </w:pPr>
          </w:p>
        </w:tc>
        <w:tc>
          <w:tcPr>
            <w:tcW w:w="356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4">
              <w:r>
                <w:rPr>
                  <w:rFonts w:ascii="Arial" w:cs="Arial" w:eastAsia="Arial" w:hAnsi="Arial"/>
                  <w:sz w:val="18"/>
                  <w:szCs w:val="18"/>
                  <w:color w:val="0000EE"/>
                </w:rPr>
                <w:t>MARKET, INDUSTRY AND OTHER DATA</w:t>
              </w:r>
            </w:hyperlink>
          </w:p>
        </w:tc>
        <w:tc>
          <w:tcPr>
            <w:tcW w:w="4960" w:type="dxa"/>
            <w:vAlign w:val="bottom"/>
            <w:gridSpan w:val="7"/>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tcBorders>
            <w:gridSpan w:val="3"/>
          </w:tcPr>
          <w:p>
            <w:pPr>
              <w:jc w:val="right"/>
              <w:spacing w:after="0" w:line="182" w:lineRule="exact"/>
              <w:rPr>
                <w:rFonts w:ascii="Arial" w:cs="Arial" w:eastAsia="Arial" w:hAnsi="Arial"/>
                <w:sz w:val="18"/>
                <w:szCs w:val="18"/>
                <w:color w:val="0000EE"/>
                <w:w w:val="92"/>
              </w:rPr>
            </w:pPr>
            <w:hyperlink w:anchor="page4">
              <w:r>
                <w:rPr>
                  <w:rFonts w:ascii="Arial" w:cs="Arial" w:eastAsia="Arial" w:hAnsi="Arial"/>
                  <w:sz w:val="18"/>
                  <w:szCs w:val="18"/>
                  <w:color w:val="0000EE"/>
                  <w:w w:val="92"/>
                </w:rPr>
                <w:t>S-2</w:t>
              </w:r>
            </w:hyperlink>
          </w:p>
        </w:tc>
        <w:tc>
          <w:tcPr>
            <w:tcW w:w="132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PROSPECTUS SUPPLEMENT SUMMARY</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S-3</w:t>
              </w:r>
            </w:hyperlink>
          </w:p>
        </w:tc>
      </w:tr>
      <w:tr>
        <w:trPr>
          <w:trHeight w:val="183"/>
        </w:trPr>
        <w:tc>
          <w:tcPr>
            <w:tcW w:w="1140" w:type="dxa"/>
            <w:vAlign w:val="bottom"/>
          </w:tcPr>
          <w:p>
            <w:pPr>
              <w:spacing w:after="0"/>
              <w:rPr>
                <w:sz w:val="15"/>
                <w:szCs w:val="15"/>
                <w:color w:val="auto"/>
              </w:rPr>
            </w:pPr>
          </w:p>
        </w:tc>
        <w:tc>
          <w:tcPr>
            <w:tcW w:w="13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6"/>
              </w:rPr>
            </w:pPr>
            <w:hyperlink w:anchor="page8">
              <w:r>
                <w:rPr>
                  <w:rFonts w:ascii="Arial" w:cs="Arial" w:eastAsia="Arial" w:hAnsi="Arial"/>
                  <w:sz w:val="18"/>
                  <w:szCs w:val="18"/>
                  <w:color w:val="0000EE"/>
                  <w:w w:val="96"/>
                </w:rPr>
                <w:t>THE OFFERING</w:t>
              </w:r>
            </w:hyperlink>
          </w:p>
        </w:tc>
        <w:tc>
          <w:tcPr>
            <w:tcW w:w="2080" w:type="dxa"/>
            <w:vAlign w:val="bottom"/>
            <w:tcBorders>
              <w:top w:val="single" w:sz="8" w:color="0000EE"/>
            </w:tcBorders>
            <w:gridSpan w:val="17"/>
          </w:tcPr>
          <w:p>
            <w:pPr>
              <w:spacing w:after="0"/>
              <w:rPr>
                <w:sz w:val="15"/>
                <w:szCs w:val="15"/>
                <w:color w:val="auto"/>
              </w:rPr>
            </w:pPr>
          </w:p>
        </w:tc>
        <w:tc>
          <w:tcPr>
            <w:tcW w:w="5120" w:type="dxa"/>
            <w:vAlign w:val="bottom"/>
            <w:gridSpan w:val="8"/>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0000EE"/>
              <w:bottom w:val="single" w:sz="8" w:color="0000EE"/>
            </w:tcBorders>
            <w:gridSpan w:val="3"/>
          </w:tcPr>
          <w:p>
            <w:pPr>
              <w:jc w:val="right"/>
              <w:spacing w:after="0" w:line="182"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S-6</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300" w:type="dxa"/>
            <w:vAlign w:val="bottom"/>
            <w:tcBorders>
              <w:bottom w:val="single" w:sz="8" w:color="0000EE"/>
            </w:tcBorders>
            <w:gridSpan w:val="3"/>
          </w:tcPr>
          <w:p>
            <w:pPr>
              <w:spacing w:after="0" w:line="182" w:lineRule="exact"/>
              <w:rPr>
                <w:rFonts w:ascii="Arial" w:cs="Arial" w:eastAsia="Arial" w:hAnsi="Arial"/>
                <w:sz w:val="18"/>
                <w:szCs w:val="18"/>
                <w:color w:val="0000EE"/>
                <w:w w:val="96"/>
              </w:rPr>
            </w:pPr>
            <w:hyperlink w:anchor="page10">
              <w:r>
                <w:rPr>
                  <w:rFonts w:ascii="Arial" w:cs="Arial" w:eastAsia="Arial" w:hAnsi="Arial"/>
                  <w:sz w:val="18"/>
                  <w:szCs w:val="18"/>
                  <w:color w:val="0000EE"/>
                  <w:w w:val="96"/>
                </w:rPr>
                <w:t>RISK FACTORS</w:t>
              </w:r>
            </w:hyperlink>
          </w:p>
        </w:tc>
        <w:tc>
          <w:tcPr>
            <w:tcW w:w="7220" w:type="dxa"/>
            <w:vAlign w:val="bottom"/>
            <w:gridSpan w:val="26"/>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0000EE"/>
            </w:tcBorders>
            <w:gridSpan w:val="3"/>
          </w:tcPr>
          <w:p>
            <w:pPr>
              <w:jc w:val="right"/>
              <w:spacing w:after="0" w:line="182" w:lineRule="exact"/>
              <w:rPr>
                <w:rFonts w:ascii="Arial" w:cs="Arial" w:eastAsia="Arial" w:hAnsi="Arial"/>
                <w:sz w:val="18"/>
                <w:szCs w:val="18"/>
                <w:color w:val="0000EE"/>
                <w:w w:val="92"/>
              </w:rPr>
            </w:pPr>
            <w:hyperlink w:anchor="page10">
              <w:r>
                <w:rPr>
                  <w:rFonts w:ascii="Arial" w:cs="Arial" w:eastAsia="Arial" w:hAnsi="Arial"/>
                  <w:sz w:val="18"/>
                  <w:szCs w:val="18"/>
                  <w:color w:val="0000EE"/>
                  <w:w w:val="92"/>
                </w:rPr>
                <w:t>S-8</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SPECIAL NOTE REGARDING FORWARD-LOOKING STATEMENTS</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w w:val="94"/>
              </w:rPr>
            </w:pPr>
            <w:hyperlink w:anchor="page13">
              <w:r>
                <w:rPr>
                  <w:rFonts w:ascii="Arial" w:cs="Arial" w:eastAsia="Arial" w:hAnsi="Arial"/>
                  <w:sz w:val="18"/>
                  <w:szCs w:val="18"/>
                  <w:color w:val="0000EE"/>
                  <w:w w:val="94"/>
                </w:rPr>
                <w:t>S-11</w:t>
              </w:r>
            </w:hyperlink>
          </w:p>
        </w:tc>
      </w:tr>
      <w:tr>
        <w:trPr>
          <w:trHeight w:val="183"/>
        </w:trPr>
        <w:tc>
          <w:tcPr>
            <w:tcW w:w="1140" w:type="dxa"/>
            <w:vAlign w:val="bottom"/>
          </w:tcPr>
          <w:p>
            <w:pPr>
              <w:spacing w:after="0"/>
              <w:rPr>
                <w:sz w:val="15"/>
                <w:szCs w:val="15"/>
                <w:color w:val="auto"/>
              </w:rPr>
            </w:pPr>
          </w:p>
        </w:tc>
        <w:tc>
          <w:tcPr>
            <w:tcW w:w="1700" w:type="dxa"/>
            <w:vAlign w:val="bottom"/>
            <w:tcBorders>
              <w:top w:val="single" w:sz="8" w:color="0000EE"/>
              <w:bottom w:val="single" w:sz="8" w:color="0000EE"/>
            </w:tcBorders>
            <w:gridSpan w:val="10"/>
          </w:tcPr>
          <w:p>
            <w:pPr>
              <w:spacing w:after="0" w:line="182"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USE OF PROCEEDS</w:t>
              </w:r>
            </w:hyperlink>
          </w:p>
        </w:tc>
        <w:tc>
          <w:tcPr>
            <w:tcW w:w="3700" w:type="dxa"/>
            <w:vAlign w:val="bottom"/>
            <w:tcBorders>
              <w:top w:val="single" w:sz="8" w:color="0000EE"/>
            </w:tcBorders>
            <w:gridSpan w:val="15"/>
          </w:tcPr>
          <w:p>
            <w:pPr>
              <w:spacing w:after="0"/>
              <w:rPr>
                <w:sz w:val="15"/>
                <w:szCs w:val="15"/>
                <w:color w:val="auto"/>
              </w:rPr>
            </w:pPr>
          </w:p>
        </w:tc>
        <w:tc>
          <w:tcPr>
            <w:tcW w:w="3120" w:type="dxa"/>
            <w:vAlign w:val="bottom"/>
            <w:gridSpan w:val="4"/>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4">
              <w:r>
                <w:rPr>
                  <w:rFonts w:ascii="Arial" w:cs="Arial" w:eastAsia="Arial" w:hAnsi="Arial"/>
                  <w:sz w:val="18"/>
                  <w:szCs w:val="18"/>
                  <w:color w:val="0000EE"/>
                  <w:w w:val="94"/>
                </w:rPr>
                <w:t>S-12</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20" w:type="dxa"/>
            <w:vAlign w:val="bottom"/>
            <w:tcBorders>
              <w:bottom w:val="single" w:sz="8" w:color="0000EE"/>
            </w:tcBorders>
            <w:gridSpan w:val="6"/>
          </w:tcPr>
          <w:p>
            <w:pPr>
              <w:spacing w:after="0" w:line="182" w:lineRule="exact"/>
              <w:rPr>
                <w:rFonts w:ascii="Arial" w:cs="Arial" w:eastAsia="Arial" w:hAnsi="Arial"/>
                <w:sz w:val="18"/>
                <w:szCs w:val="18"/>
                <w:color w:val="0000EE"/>
                <w:w w:val="95"/>
              </w:rPr>
            </w:pPr>
            <w:hyperlink w:anchor="page15">
              <w:r>
                <w:rPr>
                  <w:rFonts w:ascii="Arial" w:cs="Arial" w:eastAsia="Arial" w:hAnsi="Arial"/>
                  <w:sz w:val="18"/>
                  <w:szCs w:val="18"/>
                  <w:color w:val="0000EE"/>
                  <w:w w:val="95"/>
                </w:rPr>
                <w:t>CAPITALIZATION</w:t>
              </w:r>
            </w:hyperlink>
          </w:p>
        </w:tc>
        <w:tc>
          <w:tcPr>
            <w:tcW w:w="7100" w:type="dxa"/>
            <w:vAlign w:val="bottom"/>
            <w:gridSpan w:val="23"/>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S-13</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40" w:type="dxa"/>
            <w:vAlign w:val="bottom"/>
            <w:tcBorders>
              <w:bottom w:val="single" w:sz="8" w:color="0000EE"/>
            </w:tcBorders>
            <w:gridSpan w:val="2"/>
          </w:tcPr>
          <w:p>
            <w:pPr>
              <w:spacing w:after="0" w:line="182" w:lineRule="exact"/>
              <w:rPr>
                <w:rFonts w:ascii="Arial" w:cs="Arial" w:eastAsia="Arial" w:hAnsi="Arial"/>
                <w:sz w:val="18"/>
                <w:szCs w:val="18"/>
                <w:color w:val="0000EE"/>
                <w:w w:val="97"/>
              </w:rPr>
            </w:pPr>
            <w:hyperlink w:anchor="page16">
              <w:r>
                <w:rPr>
                  <w:rFonts w:ascii="Arial" w:cs="Arial" w:eastAsia="Arial" w:hAnsi="Arial"/>
                  <w:sz w:val="18"/>
                  <w:szCs w:val="18"/>
                  <w:color w:val="0000EE"/>
                  <w:w w:val="97"/>
                </w:rPr>
                <w:t>DILUTION</w:t>
              </w:r>
            </w:hyperlink>
          </w:p>
        </w:tc>
        <w:tc>
          <w:tcPr>
            <w:tcW w:w="7680" w:type="dxa"/>
            <w:vAlign w:val="bottom"/>
            <w:gridSpan w:val="27"/>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S-14</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PRICE RANGE OF COMMON STOCK</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w w:val="94"/>
              </w:rPr>
            </w:pPr>
            <w:hyperlink w:anchor="page17">
              <w:r>
                <w:rPr>
                  <w:rFonts w:ascii="Arial" w:cs="Arial" w:eastAsia="Arial" w:hAnsi="Arial"/>
                  <w:sz w:val="18"/>
                  <w:szCs w:val="18"/>
                  <w:color w:val="0000EE"/>
                  <w:w w:val="94"/>
                </w:rPr>
                <w:t>S-15</w:t>
              </w:r>
            </w:hyperlink>
          </w:p>
        </w:tc>
      </w:tr>
      <w:tr>
        <w:trPr>
          <w:trHeight w:val="183"/>
        </w:trPr>
        <w:tc>
          <w:tcPr>
            <w:tcW w:w="1140" w:type="dxa"/>
            <w:vAlign w:val="bottom"/>
          </w:tcPr>
          <w:p>
            <w:pPr>
              <w:spacing w:after="0"/>
              <w:rPr>
                <w:sz w:val="15"/>
                <w:szCs w:val="15"/>
                <w:color w:val="auto"/>
              </w:rPr>
            </w:pPr>
          </w:p>
        </w:tc>
        <w:tc>
          <w:tcPr>
            <w:tcW w:w="30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DIVIDEND POLICY</w:t>
              </w:r>
            </w:hyperlink>
          </w:p>
        </w:tc>
        <w:tc>
          <w:tcPr>
            <w:tcW w:w="5500" w:type="dxa"/>
            <w:vAlign w:val="bottom"/>
            <w:gridSpan w:val="11"/>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18">
              <w:r>
                <w:rPr>
                  <w:rFonts w:ascii="Arial" w:cs="Arial" w:eastAsia="Arial" w:hAnsi="Arial"/>
                  <w:sz w:val="18"/>
                  <w:szCs w:val="18"/>
                  <w:color w:val="0000EE"/>
                  <w:w w:val="94"/>
                </w:rPr>
                <w:t>S-16</w:t>
              </w:r>
            </w:hyperlink>
          </w:p>
        </w:tc>
        <w:tc>
          <w:tcPr>
            <w:tcW w:w="132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820" w:type="dxa"/>
            <w:vAlign w:val="bottom"/>
            <w:tcBorders>
              <w:bottom w:val="single" w:sz="8" w:color="0000EE"/>
            </w:tcBorders>
            <w:gridSpan w:val="28"/>
          </w:tcPr>
          <w:p>
            <w:pPr>
              <w:spacing w:after="0" w:line="182"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MATERIAL U.S. FEDERAL INCOME TAX CONSEQUENCES TO NON-U.S. HOLDERS</w:t>
              </w:r>
            </w:hyperlink>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19">
              <w:r>
                <w:rPr>
                  <w:rFonts w:ascii="Arial" w:cs="Arial" w:eastAsia="Arial" w:hAnsi="Arial"/>
                  <w:sz w:val="18"/>
                  <w:szCs w:val="18"/>
                  <w:color w:val="0000EE"/>
                  <w:w w:val="94"/>
                </w:rPr>
                <w:t>S-17</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00" w:type="dxa"/>
            <w:vAlign w:val="bottom"/>
            <w:tcBorders>
              <w:bottom w:val="single" w:sz="8" w:color="0000EE"/>
            </w:tcBorders>
            <w:gridSpan w:val="5"/>
          </w:tcPr>
          <w:p>
            <w:pPr>
              <w:spacing w:after="0" w:line="182" w:lineRule="exact"/>
              <w:rPr>
                <w:rFonts w:ascii="Arial" w:cs="Arial" w:eastAsia="Arial" w:hAnsi="Arial"/>
                <w:sz w:val="18"/>
                <w:szCs w:val="18"/>
                <w:color w:val="0000EE"/>
                <w:w w:val="97"/>
              </w:rPr>
            </w:pPr>
            <w:hyperlink w:anchor="page23">
              <w:r>
                <w:rPr>
                  <w:rFonts w:ascii="Arial" w:cs="Arial" w:eastAsia="Arial" w:hAnsi="Arial"/>
                  <w:sz w:val="18"/>
                  <w:szCs w:val="18"/>
                  <w:color w:val="0000EE"/>
                  <w:w w:val="97"/>
                </w:rPr>
                <w:t>UNDERWRITING</w:t>
              </w:r>
            </w:hyperlink>
          </w:p>
        </w:tc>
        <w:tc>
          <w:tcPr>
            <w:tcW w:w="7120" w:type="dxa"/>
            <w:vAlign w:val="bottom"/>
            <w:gridSpan w:val="24"/>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bottom w:val="single" w:sz="8" w:color="0000EE"/>
            </w:tcBorders>
            <w:gridSpan w:val="4"/>
          </w:tcPr>
          <w:p>
            <w:pPr>
              <w:jc w:val="right"/>
              <w:spacing w:after="0" w:line="182"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S-21</w:t>
              </w:r>
            </w:hyperlink>
          </w:p>
        </w:tc>
        <w:tc>
          <w:tcPr>
            <w:tcW w:w="1320" w:type="dxa"/>
            <w:vAlign w:val="bottom"/>
            <w:gridSpan w:val="2"/>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LEGAL MATTERS</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S-30</w:t>
              </w:r>
            </w:hyperlink>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7080" w:type="dxa"/>
            <w:vAlign w:val="bottom"/>
            <w:gridSpan w:val="22"/>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0000EE"/>
            </w:tcBorders>
            <w:gridSpan w:val="4"/>
          </w:tcPr>
          <w:p>
            <w:pPr>
              <w:jc w:val="right"/>
              <w:spacing w:after="0" w:line="182"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S-30</w:t>
              </w:r>
            </w:hyperlink>
          </w:p>
        </w:tc>
        <w:tc>
          <w:tcPr>
            <w:tcW w:w="1320" w:type="dxa"/>
            <w:vAlign w:val="bottom"/>
            <w:gridSpan w:val="2"/>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33">
              <w:r>
                <w:rPr>
                  <w:rFonts w:ascii="Arial" w:cs="Arial" w:eastAsia="Arial" w:hAnsi="Arial"/>
                  <w:sz w:val="18"/>
                  <w:szCs w:val="18"/>
                  <w:color w:val="0000EE"/>
                </w:rPr>
                <w:t>WHERE YOU CAN FIND MORE INFORMATION</w:t>
              </w:r>
            </w:hyperlink>
          </w:p>
        </w:tc>
        <w:tc>
          <w:tcPr>
            <w:tcW w:w="80" w:type="dxa"/>
            <w:vAlign w:val="bottom"/>
          </w:tcPr>
          <w:p>
            <w:pPr>
              <w:spacing w:after="0"/>
              <w:rPr>
                <w:sz w:val="15"/>
                <w:szCs w:val="15"/>
                <w:color w:val="auto"/>
              </w:rPr>
            </w:pPr>
          </w:p>
        </w:tc>
        <w:tc>
          <w:tcPr>
            <w:tcW w:w="1700" w:type="dxa"/>
            <w:vAlign w:val="bottom"/>
            <w:gridSpan w:val="6"/>
          </w:tcPr>
          <w:p>
            <w:pPr>
              <w:jc w:val="right"/>
              <w:ind w:right="1320"/>
              <w:spacing w:after="0" w:line="182"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S-31</w:t>
              </w:r>
            </w:hyperlink>
          </w:p>
        </w:tc>
      </w:tr>
      <w:tr>
        <w:trPr>
          <w:trHeight w:val="183"/>
        </w:trPr>
        <w:tc>
          <w:tcPr>
            <w:tcW w:w="1140" w:type="dxa"/>
            <w:vAlign w:val="bottom"/>
          </w:tcPr>
          <w:p>
            <w:pPr>
              <w:spacing w:after="0"/>
              <w:rPr>
                <w:sz w:val="15"/>
                <w:szCs w:val="15"/>
                <w:color w:val="auto"/>
              </w:rPr>
            </w:pPr>
          </w:p>
        </w:tc>
        <w:tc>
          <w:tcPr>
            <w:tcW w:w="2900" w:type="dxa"/>
            <w:vAlign w:val="bottom"/>
            <w:tcBorders>
              <w:top w:val="single" w:sz="8" w:color="0000EE"/>
              <w:bottom w:val="single" w:sz="8" w:color="0000EE"/>
            </w:tcBorders>
            <w:gridSpan w:val="16"/>
          </w:tcPr>
          <w:p>
            <w:pPr>
              <w:spacing w:after="0" w:line="182" w:lineRule="exact"/>
              <w:rPr>
                <w:rFonts w:ascii="Arial" w:cs="Arial" w:eastAsia="Arial" w:hAnsi="Arial"/>
                <w:sz w:val="18"/>
                <w:szCs w:val="18"/>
                <w:color w:val="0000EE"/>
                <w:w w:val="96"/>
              </w:rPr>
            </w:pPr>
            <w:hyperlink w:anchor="page33">
              <w:r>
                <w:rPr>
                  <w:rFonts w:ascii="Arial" w:cs="Arial" w:eastAsia="Arial" w:hAnsi="Arial"/>
                  <w:sz w:val="18"/>
                  <w:szCs w:val="18"/>
                  <w:color w:val="0000EE"/>
                  <w:w w:val="96"/>
                </w:rPr>
                <w:t>INCORPORATION BY REFERENCE</w:t>
              </w:r>
            </w:hyperlink>
          </w:p>
        </w:tc>
        <w:tc>
          <w:tcPr>
            <w:tcW w:w="900" w:type="dxa"/>
            <w:vAlign w:val="bottom"/>
            <w:tcBorders>
              <w:top w:val="single" w:sz="8" w:color="0000EE"/>
            </w:tcBorders>
            <w:gridSpan w:val="8"/>
          </w:tcPr>
          <w:p>
            <w:pPr>
              <w:spacing w:after="0"/>
              <w:rPr>
                <w:sz w:val="15"/>
                <w:szCs w:val="15"/>
                <w:color w:val="auto"/>
              </w:rPr>
            </w:pPr>
          </w:p>
        </w:tc>
        <w:tc>
          <w:tcPr>
            <w:tcW w:w="4720" w:type="dxa"/>
            <w:vAlign w:val="bottom"/>
            <w:gridSpan w:val="5"/>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Borders>
              <w:top w:val="single" w:sz="8" w:color="0000EE"/>
              <w:bottom w:val="single" w:sz="8" w:color="0000EE"/>
            </w:tcBorders>
            <w:gridSpan w:val="4"/>
          </w:tcPr>
          <w:p>
            <w:pPr>
              <w:jc w:val="right"/>
              <w:spacing w:after="0" w:line="182"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S-31</w:t>
              </w:r>
            </w:hyperlink>
          </w:p>
        </w:tc>
        <w:tc>
          <w:tcPr>
            <w:tcW w:w="1320" w:type="dxa"/>
            <w:vAlign w:val="bottom"/>
            <w:gridSpan w:val="2"/>
          </w:tcPr>
          <w:p>
            <w:pPr>
              <w:spacing w:after="0"/>
              <w:rPr>
                <w:sz w:val="15"/>
                <w:szCs w:val="15"/>
                <w:color w:val="auto"/>
              </w:rPr>
            </w:pPr>
          </w:p>
        </w:tc>
      </w:tr>
      <w:tr>
        <w:trPr>
          <w:trHeight w:val="437"/>
        </w:trPr>
        <w:tc>
          <w:tcPr>
            <w:tcW w:w="1140" w:type="dxa"/>
            <w:vAlign w:val="bottom"/>
          </w:tcPr>
          <w:p>
            <w:pPr>
              <w:spacing w:after="0"/>
              <w:rPr>
                <w:sz w:val="24"/>
                <w:szCs w:val="24"/>
                <w:color w:val="auto"/>
              </w:rPr>
            </w:pPr>
          </w:p>
        </w:tc>
        <w:tc>
          <w:tcPr>
            <w:tcW w:w="8520" w:type="dxa"/>
            <w:vAlign w:val="bottom"/>
            <w:gridSpan w:val="29"/>
          </w:tcPr>
          <w:p>
            <w:pPr>
              <w:spacing w:after="0"/>
              <w:rPr>
                <w:sz w:val="20"/>
                <w:szCs w:val="20"/>
                <w:color w:val="auto"/>
              </w:rPr>
            </w:pPr>
            <w:r>
              <w:rPr>
                <w:rFonts w:ascii="Arial" w:cs="Arial" w:eastAsia="Arial" w:hAnsi="Arial"/>
                <w:sz w:val="18"/>
                <w:szCs w:val="18"/>
                <w:b w:val="1"/>
                <w:bCs w:val="1"/>
                <w:color w:val="auto"/>
              </w:rPr>
              <w:t>Prospectus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80"/>
        </w:trPr>
        <w:tc>
          <w:tcPr>
            <w:tcW w:w="1140" w:type="dxa"/>
            <w:vAlign w:val="bottom"/>
          </w:tcPr>
          <w:p>
            <w:pPr>
              <w:spacing w:after="0"/>
              <w:rPr>
                <w:sz w:val="24"/>
                <w:szCs w:val="24"/>
                <w:color w:val="auto"/>
              </w:rPr>
            </w:pPr>
          </w:p>
        </w:tc>
        <w:tc>
          <w:tcPr>
            <w:tcW w:w="8520" w:type="dxa"/>
            <w:vAlign w:val="bottom"/>
            <w:gridSpan w:val="2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480" w:type="dxa"/>
            <w:vAlign w:val="bottom"/>
            <w:gridSpan w:val="6"/>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1</w:t>
              </w:r>
            </w:hyperlink>
          </w:p>
        </w:tc>
        <w:tc>
          <w:tcPr>
            <w:tcW w:w="130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800" w:type="dxa"/>
            <w:vAlign w:val="bottom"/>
            <w:gridSpan w:val="27"/>
          </w:tcPr>
          <w:p>
            <w:pPr>
              <w:spacing w:after="0" w:line="182"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WHERE YOU CAN FIND MORE INFORMATION; INCORPORATION BY REFERENCE</w:t>
              </w:r>
            </w:hyperlink>
          </w:p>
        </w:tc>
        <w:tc>
          <w:tcPr>
            <w:tcW w:w="1720" w:type="dxa"/>
            <w:vAlign w:val="bottom"/>
            <w:gridSpan w:val="2"/>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2</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800" w:type="dxa"/>
            <w:vAlign w:val="bottom"/>
            <w:gridSpan w:val="27"/>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ABOUT ARDELYX</w:t>
              </w:r>
            </w:hyperlink>
          </w:p>
        </w:tc>
        <w:tc>
          <w:tcPr>
            <w:tcW w:w="1720" w:type="dxa"/>
            <w:vAlign w:val="bottom"/>
            <w:gridSpan w:val="2"/>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4</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300" w:type="dxa"/>
            <w:vAlign w:val="bottom"/>
            <w:gridSpan w:val="3"/>
          </w:tcPr>
          <w:p>
            <w:pPr>
              <w:spacing w:after="0" w:line="182" w:lineRule="exact"/>
              <w:rPr>
                <w:rFonts w:ascii="Arial" w:cs="Arial" w:eastAsia="Arial" w:hAnsi="Arial"/>
                <w:sz w:val="18"/>
                <w:szCs w:val="18"/>
                <w:color w:val="0000EE"/>
                <w:w w:val="96"/>
              </w:rPr>
            </w:pPr>
            <w:hyperlink w:anchor="page40">
              <w:r>
                <w:rPr>
                  <w:rFonts w:ascii="Arial" w:cs="Arial" w:eastAsia="Arial" w:hAnsi="Arial"/>
                  <w:sz w:val="18"/>
                  <w:szCs w:val="18"/>
                  <w:color w:val="0000EE"/>
                  <w:w w:val="96"/>
                </w:rPr>
                <w:t>RISK FACTORS</w:t>
              </w:r>
            </w:hyperlink>
          </w:p>
        </w:tc>
        <w:tc>
          <w:tcPr>
            <w:tcW w:w="160" w:type="dxa"/>
            <w:vAlign w:val="bottom"/>
            <w:gridSpan w:val="5"/>
          </w:tcPr>
          <w:p>
            <w:pPr>
              <w:spacing w:after="0"/>
              <w:rPr>
                <w:sz w:val="15"/>
                <w:szCs w:val="15"/>
                <w:color w:val="auto"/>
              </w:rPr>
            </w:pPr>
          </w:p>
        </w:tc>
        <w:tc>
          <w:tcPr>
            <w:tcW w:w="7060" w:type="dxa"/>
            <w:vAlign w:val="bottom"/>
            <w:gridSpan w:val="21"/>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0">
              <w:r>
                <w:rPr>
                  <w:rFonts w:ascii="Arial" w:cs="Arial" w:eastAsia="Arial" w:hAnsi="Arial"/>
                  <w:sz w:val="18"/>
                  <w:szCs w:val="18"/>
                  <w:color w:val="0000EE"/>
                </w:rPr>
                <w:t>5</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1700" w:type="dxa"/>
            <w:vAlign w:val="bottom"/>
            <w:gridSpan w:val="10"/>
          </w:tcPr>
          <w:p>
            <w:pPr>
              <w:spacing w:after="0" w:line="182" w:lineRule="exact"/>
              <w:rPr>
                <w:rFonts w:ascii="Arial" w:cs="Arial" w:eastAsia="Arial" w:hAnsi="Arial"/>
                <w:sz w:val="18"/>
                <w:szCs w:val="18"/>
                <w:color w:val="0000EE"/>
                <w:w w:val="97"/>
              </w:rPr>
            </w:pPr>
            <w:hyperlink w:anchor="page41">
              <w:r>
                <w:rPr>
                  <w:rFonts w:ascii="Arial" w:cs="Arial" w:eastAsia="Arial" w:hAnsi="Arial"/>
                  <w:sz w:val="18"/>
                  <w:szCs w:val="18"/>
                  <w:color w:val="0000EE"/>
                  <w:w w:val="97"/>
                </w:rPr>
                <w:t>USE OF PROCEEDS</w:t>
              </w:r>
            </w:hyperlink>
          </w:p>
        </w:tc>
        <w:tc>
          <w:tcPr>
            <w:tcW w:w="6820" w:type="dxa"/>
            <w:vAlign w:val="bottom"/>
            <w:gridSpan w:val="19"/>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6</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88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6240" w:type="dxa"/>
            <w:vAlign w:val="bottom"/>
            <w:gridSpan w:val="26"/>
          </w:tcPr>
          <w:p>
            <w:pPr>
              <w:spacing w:after="0" w:line="182"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RATIO OF EARNINGS TO FIXED CHARGES AND PREFERENCE DIVIDENDS</w:t>
              </w:r>
            </w:hyperlink>
          </w:p>
        </w:tc>
        <w:tc>
          <w:tcPr>
            <w:tcW w:w="2280" w:type="dxa"/>
            <w:vAlign w:val="bottom"/>
            <w:gridSpan w:val="3"/>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2">
              <w:r>
                <w:rPr>
                  <w:rFonts w:ascii="Arial" w:cs="Arial" w:eastAsia="Arial" w:hAnsi="Arial"/>
                  <w:sz w:val="18"/>
                  <w:szCs w:val="18"/>
                  <w:color w:val="0000EE"/>
                </w:rPr>
                <w:t>7</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540" w:type="dxa"/>
            <w:vAlign w:val="bottom"/>
            <w:gridSpan w:val="4"/>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2920" w:type="dxa"/>
            <w:vAlign w:val="bottom"/>
            <w:gridSpan w:val="17"/>
          </w:tcPr>
          <w:p>
            <w:pPr>
              <w:spacing w:after="0" w:line="182" w:lineRule="exact"/>
              <w:rPr>
                <w:rFonts w:ascii="Arial" w:cs="Arial" w:eastAsia="Arial" w:hAnsi="Arial"/>
                <w:sz w:val="18"/>
                <w:szCs w:val="18"/>
                <w:color w:val="0000EE"/>
                <w:w w:val="96"/>
              </w:rPr>
            </w:pPr>
            <w:hyperlink w:anchor="page43">
              <w:r>
                <w:rPr>
                  <w:rFonts w:ascii="Arial" w:cs="Arial" w:eastAsia="Arial" w:hAnsi="Arial"/>
                  <w:sz w:val="18"/>
                  <w:szCs w:val="18"/>
                  <w:color w:val="0000EE"/>
                  <w:w w:val="96"/>
                </w:rPr>
                <w:t>DESCRIPTION OF CAPITAL STOCK</w:t>
              </w:r>
            </w:hyperlink>
          </w:p>
        </w:tc>
        <w:tc>
          <w:tcPr>
            <w:tcW w:w="3320" w:type="dxa"/>
            <w:vAlign w:val="bottom"/>
            <w:gridSpan w:val="9"/>
          </w:tcPr>
          <w:p>
            <w:pPr>
              <w:spacing w:after="0"/>
              <w:rPr>
                <w:sz w:val="15"/>
                <w:szCs w:val="15"/>
                <w:color w:val="auto"/>
              </w:rPr>
            </w:pPr>
          </w:p>
        </w:tc>
        <w:tc>
          <w:tcPr>
            <w:tcW w:w="2280" w:type="dxa"/>
            <w:vAlign w:val="bottom"/>
            <w:gridSpan w:val="3"/>
          </w:tcPr>
          <w:p>
            <w:pPr>
              <w:spacing w:after="0"/>
              <w:rPr>
                <w:sz w:val="15"/>
                <w:szCs w:val="15"/>
                <w:color w:val="auto"/>
              </w:rPr>
            </w:pPr>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3">
              <w:r>
                <w:rPr>
                  <w:rFonts w:ascii="Arial" w:cs="Arial" w:eastAsia="Arial" w:hAnsi="Arial"/>
                  <w:sz w:val="18"/>
                  <w:szCs w:val="18"/>
                  <w:color w:val="0000EE"/>
                </w:rPr>
                <w:t>8</w:t>
              </w:r>
            </w:hyperlink>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DESCRIPTION OF DEBT SECURITIES</w:t>
              </w:r>
            </w:hyperlink>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13</w:t>
              </w:r>
            </w:hyperlink>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3120" w:type="dxa"/>
            <w:vAlign w:val="bottom"/>
            <w:tcBorders>
              <w:top w:val="single" w:sz="8" w:color="0000EE"/>
            </w:tcBorders>
            <w:gridSpan w:val="19"/>
          </w:tcPr>
          <w:p>
            <w:pPr>
              <w:spacing w:after="0" w:line="182" w:lineRule="exact"/>
              <w:rPr>
                <w:rFonts w:ascii="Arial" w:cs="Arial" w:eastAsia="Arial" w:hAnsi="Arial"/>
                <w:sz w:val="18"/>
                <w:szCs w:val="18"/>
                <w:color w:val="0000EE"/>
              </w:rPr>
            </w:pPr>
            <w:hyperlink w:anchor="page56">
              <w:r>
                <w:rPr>
                  <w:rFonts w:ascii="Arial" w:cs="Arial" w:eastAsia="Arial" w:hAnsi="Arial"/>
                  <w:sz w:val="18"/>
                  <w:szCs w:val="18"/>
                  <w:color w:val="0000EE"/>
                </w:rPr>
                <w:t>DESCRIPTION OF WARRANTS</w:t>
              </w:r>
            </w:hyperlink>
          </w:p>
        </w:tc>
        <w:tc>
          <w:tcPr>
            <w:tcW w:w="5400" w:type="dxa"/>
            <w:vAlign w:val="bottom"/>
            <w:gridSpan w:val="10"/>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21</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000" w:type="dxa"/>
            <w:vAlign w:val="bottom"/>
            <w:gridSpan w:val="10"/>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120" w:type="dxa"/>
            <w:vAlign w:val="bottom"/>
            <w:gridSpan w:val="8"/>
          </w:tcPr>
          <w:p>
            <w:pPr>
              <w:spacing w:after="0" w:line="20" w:lineRule="exact"/>
              <w:rPr>
                <w:sz w:val="1"/>
                <w:szCs w:val="1"/>
                <w:color w:val="auto"/>
              </w:rPr>
            </w:pPr>
          </w:p>
        </w:tc>
        <w:tc>
          <w:tcPr>
            <w:tcW w:w="4860" w:type="dxa"/>
            <w:vAlign w:val="bottom"/>
            <w:gridSpan w:val="6"/>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DESCRIPTION OF PURCHASE CONTRACTS</w:t>
              </w:r>
            </w:hyperlink>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23</w:t>
              </w:r>
            </w:hyperlink>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8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7"/>
              </w:rPr>
            </w:pPr>
            <w:hyperlink w:anchor="page59">
              <w:r>
                <w:rPr>
                  <w:rFonts w:ascii="Arial" w:cs="Arial" w:eastAsia="Arial" w:hAnsi="Arial"/>
                  <w:sz w:val="18"/>
                  <w:szCs w:val="18"/>
                  <w:color w:val="0000EE"/>
                  <w:w w:val="97"/>
                </w:rPr>
                <w:t>DESCRIPTION OF UNITS</w:t>
              </w:r>
            </w:hyperlink>
          </w:p>
        </w:tc>
        <w:tc>
          <w:tcPr>
            <w:tcW w:w="1580" w:type="dxa"/>
            <w:vAlign w:val="bottom"/>
            <w:tcBorders>
              <w:top w:val="single" w:sz="8" w:color="0000EE"/>
            </w:tcBorders>
            <w:gridSpan w:val="10"/>
          </w:tcPr>
          <w:p>
            <w:pPr>
              <w:spacing w:after="0"/>
              <w:rPr>
                <w:sz w:val="15"/>
                <w:szCs w:val="15"/>
                <w:color w:val="auto"/>
              </w:rPr>
            </w:pPr>
          </w:p>
        </w:tc>
        <w:tc>
          <w:tcPr>
            <w:tcW w:w="4860" w:type="dxa"/>
            <w:vAlign w:val="bottom"/>
            <w:gridSpan w:val="6"/>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top w:val="single" w:sz="8" w:color="0000EE"/>
              <w:bottom w:val="single" w:sz="8" w:color="0000EE"/>
            </w:tcBorders>
            <w:gridSpan w:val="2"/>
          </w:tcPr>
          <w:p>
            <w:pPr>
              <w:jc w:val="right"/>
              <w:spacing w:after="0" w:line="182"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24</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820" w:type="dxa"/>
            <w:vAlign w:val="bottom"/>
            <w:tcBorders>
              <w:bottom w:val="single" w:sz="8" w:color="0000EE"/>
            </w:tcBorders>
            <w:gridSpan w:val="11"/>
          </w:tcPr>
          <w:p>
            <w:pPr>
              <w:spacing w:after="0" w:line="182" w:lineRule="exact"/>
              <w:rPr>
                <w:rFonts w:ascii="Arial" w:cs="Arial" w:eastAsia="Arial" w:hAnsi="Arial"/>
                <w:sz w:val="18"/>
                <w:szCs w:val="18"/>
                <w:color w:val="0000EE"/>
                <w:w w:val="97"/>
              </w:rPr>
            </w:pPr>
            <w:hyperlink w:anchor="page60">
              <w:r>
                <w:rPr>
                  <w:rFonts w:ascii="Arial" w:cs="Arial" w:eastAsia="Arial" w:hAnsi="Arial"/>
                  <w:sz w:val="18"/>
                  <w:szCs w:val="18"/>
                  <w:color w:val="0000EE"/>
                  <w:w w:val="97"/>
                </w:rPr>
                <w:t>GLOBAL SECURITIES</w:t>
              </w:r>
            </w:hyperlink>
          </w:p>
        </w:tc>
        <w:tc>
          <w:tcPr>
            <w:tcW w:w="6700" w:type="dxa"/>
            <w:vAlign w:val="bottom"/>
            <w:gridSpan w:val="18"/>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bottom w:val="single" w:sz="8" w:color="0000EE"/>
            </w:tcBorders>
            <w:gridSpan w:val="2"/>
          </w:tcPr>
          <w:p>
            <w:pPr>
              <w:jc w:val="right"/>
              <w:spacing w:after="0" w:line="182"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25</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8520" w:type="dxa"/>
            <w:vAlign w:val="bottom"/>
            <w:gridSpan w:val="29"/>
          </w:tcPr>
          <w:p>
            <w:pPr>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PLAN OF DISTRIBUTION</w:t>
              </w:r>
            </w:hyperlink>
          </w:p>
        </w:tc>
        <w:tc>
          <w:tcPr>
            <w:tcW w:w="480" w:type="dxa"/>
            <w:vAlign w:val="bottom"/>
            <w:gridSpan w:val="6"/>
          </w:tcPr>
          <w:p>
            <w:pPr>
              <w:jc w:val="right"/>
              <w:ind w:right="20"/>
              <w:spacing w:after="0" w:line="182" w:lineRule="exact"/>
              <w:rPr>
                <w:rFonts w:ascii="Arial" w:cs="Arial" w:eastAsia="Arial" w:hAnsi="Arial"/>
                <w:sz w:val="18"/>
                <w:szCs w:val="18"/>
                <w:color w:val="0000EE"/>
              </w:rPr>
            </w:pPr>
            <w:hyperlink w:anchor="page63">
              <w:r>
                <w:rPr>
                  <w:rFonts w:ascii="Arial" w:cs="Arial" w:eastAsia="Arial" w:hAnsi="Arial"/>
                  <w:sz w:val="18"/>
                  <w:szCs w:val="18"/>
                  <w:color w:val="0000EE"/>
                </w:rPr>
                <w:t>28</w:t>
              </w:r>
            </w:hyperlink>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20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6480" w:type="dxa"/>
            <w:vAlign w:val="bottom"/>
            <w:gridSpan w:val="17"/>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30</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1140" w:type="dxa"/>
            <w:vAlign w:val="bottom"/>
          </w:tcPr>
          <w:p>
            <w:pPr>
              <w:spacing w:after="0"/>
              <w:rPr>
                <w:sz w:val="15"/>
                <w:szCs w:val="15"/>
                <w:color w:val="auto"/>
              </w:rPr>
            </w:pPr>
          </w:p>
        </w:tc>
        <w:tc>
          <w:tcPr>
            <w:tcW w:w="144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EXPERTS</w:t>
              </w:r>
            </w:hyperlink>
          </w:p>
        </w:tc>
        <w:tc>
          <w:tcPr>
            <w:tcW w:w="7080" w:type="dxa"/>
            <w:vAlign w:val="bottom"/>
            <w:gridSpan w:val="22"/>
          </w:tcPr>
          <w:p>
            <w:pPr>
              <w:spacing w:after="0"/>
              <w:rPr>
                <w:sz w:val="15"/>
                <w:szCs w:val="15"/>
                <w:color w:val="auto"/>
              </w:rPr>
            </w:pPr>
          </w:p>
        </w:tc>
        <w:tc>
          <w:tcPr>
            <w:tcW w:w="260" w:type="dxa"/>
            <w:vAlign w:val="bottom"/>
            <w:gridSpan w:val="3"/>
          </w:tcPr>
          <w:p>
            <w:pPr>
              <w:spacing w:after="0"/>
              <w:rPr>
                <w:sz w:val="15"/>
                <w:szCs w:val="15"/>
                <w:color w:val="auto"/>
              </w:rPr>
            </w:pPr>
          </w:p>
        </w:tc>
        <w:tc>
          <w:tcPr>
            <w:tcW w:w="200" w:type="dxa"/>
            <w:vAlign w:val="bottom"/>
            <w:tcBorders>
              <w:top w:val="single" w:sz="8" w:color="0000EE"/>
            </w:tcBorders>
            <w:gridSpan w:val="2"/>
          </w:tcPr>
          <w:p>
            <w:pPr>
              <w:jc w:val="right"/>
              <w:spacing w:after="0" w:line="182"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30</w:t>
              </w:r>
            </w:hyperlink>
          </w:p>
        </w:tc>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15"/>
        </w:trPr>
        <w:tc>
          <w:tcPr>
            <w:tcW w:w="1140" w:type="dxa"/>
            <w:vAlign w:val="bottom"/>
            <w:tcBorders>
              <w:bottom w:val="single" w:sz="8" w:color="auto"/>
            </w:tcBorders>
          </w:tcPr>
          <w:p>
            <w:pPr>
              <w:spacing w:after="0"/>
              <w:rPr>
                <w:sz w:val="10"/>
                <w:szCs w:val="10"/>
                <w:color w:val="auto"/>
              </w:rPr>
            </w:pPr>
          </w:p>
        </w:tc>
        <w:tc>
          <w:tcPr>
            <w:tcW w:w="82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100" w:type="dxa"/>
            <w:vAlign w:val="bottom"/>
            <w:tcBorders>
              <w:top w:val="single" w:sz="8" w:color="0000EE"/>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r>
    </w:tbl>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 SUPPLEMENT</w:t>
      </w:r>
    </w:p>
    <w:p>
      <w:pPr>
        <w:spacing w:after="0" w:line="23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provide information to you about this offering of shares of our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However,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as our business, financial condition, results of operations and prospects may have changed since the earlier dates.</w:t>
      </w:r>
    </w:p>
    <w:p>
      <w:pPr>
        <w:spacing w:after="0" w:line="208"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We have not authorized anyone to provide you with any information or to make any representation, other than those contained or incorporated by reference in this prospectus supplement or in any free writing prospectus we have prepared. We take no responsibility for, and provide no assurance as to the reliability of, any other information that others may give you. Neither we or the underwriters are making an offer to sell or soliciting an offer to buy our securities in any jurisdiction where an offer or solicitation is not authorized or in which the person making that offer or solicitation is not qualified to do so or to anyone to whom it is unlawful to make an offer or solicitation. You should assume that the information appearing in this prospectus, the documents incorporated by reference into this prospectus, and in any free writing prospectus that we may authorize for use in connection with this offering, is accurate only as of the date of those respective documents. Our business, financial condition, results of operations and prospects may have changed since those dates. You should read this prospectus, the documents incorporated by reference into this prospectus, and any free writing prospectus that we may authorize for use in connection with this offering, in their entirety before making an investment decision. You should also read and consider the information in the documents to which we have referred you in the sections of this prospectus supplement entitled "Where You Can Find More Information" and "Information Incorporated by Reference."</w:t>
      </w:r>
    </w:p>
    <w:p>
      <w:pPr>
        <w:spacing w:after="0" w:line="390" w:lineRule="exact"/>
        <w:rPr>
          <w:sz w:val="20"/>
          <w:szCs w:val="20"/>
          <w:color w:val="auto"/>
        </w:rPr>
      </w:pPr>
    </w:p>
    <w:p>
      <w:pPr>
        <w:ind w:right="300"/>
        <w:spacing w:after="0" w:line="236" w:lineRule="auto"/>
        <w:rPr>
          <w:sz w:val="20"/>
          <w:szCs w:val="20"/>
          <w:color w:val="auto"/>
        </w:rPr>
      </w:pPr>
      <w:r>
        <w:rPr>
          <w:rFonts w:ascii="Arial" w:cs="Arial" w:eastAsia="Arial" w:hAnsi="Arial"/>
          <w:sz w:val="18"/>
          <w:szCs w:val="18"/>
          <w:color w:val="auto"/>
        </w:rPr>
        <w:t>We are offering to sell, and seeking offers to buy, shares of our common stock only in jurisdictions where offers and sales are permitted. The distribution of this prospectus and the offering of our common stock in certain jurisdictions may be restricted by law. Persons outside the United States who come into possession of this prospectus must inform themselves about, and observe any restrictions relating to, the offering of our common stock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w:t>
      </w:r>
    </w:p>
    <w:p>
      <w:pPr>
        <w:spacing w:after="0" w:line="210"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common stock of the Company.</w:t>
      </w:r>
    </w:p>
    <w:p>
      <w:pPr>
        <w:spacing w:after="0" w:line="209"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Ardelyx® and our logo are some of our trademarks used in this prospectus. This prospectus also includes trademarks, tradenames, and service marks that are the property of other organizations. Solely for convenience, our trademarks and tradenames referred to in this prospectus supplement appear without the ® and ™ symbol, but those references are not intended to indicate, in any way, that we will not assert, to the fullest extent under applicable law, our rights, or the right of the applicable licensor to these trademarks and tradenames.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MARKET, INDUSTRY AND OTHER DATA</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This prospectus, including the information incorporated by reference, contains estimates, projections and other information concerning our industry, our business, and the markets for certain drugs,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third parties, industry, medical and general publications, government data and similar sources. In some cases, we do not expressly refer to the sources from which this data is derived. In that regard, when we refer to one or more sources of this type of data in any paragraph, you should assume that other data of this type appearing in the same paragraph is derived from the same sources, unless otherwise expressly stated or the context otherwise requires.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PROSPECTUS SUPPLEMENT SUMMARY</w:t>
      </w:r>
    </w:p>
    <w:p>
      <w:pPr>
        <w:spacing w:after="0" w:line="216"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This summary provides a general overview of selected information and does not contain all of the information you should consider before buying our common stock. Therefore, you should read the entire prospectus and any free writing prospectus that we have authorized for use in connection with this offering carefully, including the information incorporated by reference, before deciding to invest in our common stock. Investors should carefully consider the information set forth under "Risk Factors" beginning on page S-8 and the "Risk Factors" section, as well as our audited financial statements and related notes thereto, included in our Annual Report on Form 10-K for the year ended December 31, 2017 as well as our Quarterly Report on Form 10-Q for the quarterly period ended March 31, 2018 and any subsequent Quarterly Report on Form 10-Q incorporated by reference therein.</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Ardelyx, Inc.</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ind w:right="220"/>
        <w:spacing w:after="0" w:line="273" w:lineRule="auto"/>
        <w:rPr>
          <w:sz w:val="20"/>
          <w:szCs w:val="20"/>
          <w:color w:val="auto"/>
        </w:rPr>
      </w:pPr>
      <w:r>
        <w:rPr>
          <w:rFonts w:ascii="Arial" w:cs="Arial" w:eastAsia="Arial" w:hAnsi="Arial"/>
          <w:sz w:val="16"/>
          <w:szCs w:val="16"/>
          <w:color w:val="auto"/>
        </w:rPr>
        <w:t>We are a specialized biopharmaceutical company focused on developing first-in-class, disruptive medicines for the treatment of renal diseases. Our primary therapeutic focus is on treating people with renal diseases, which affect both the heart and the kidneys. This includes patients with end-stage renal disease, or ESRD, who suffer from elevated serum phosphorus, or hyperphosphatemia; patients with chronic kidney disease, or CKD, and/or heart failure patients with elevated serum potassium, or hyperkalemia. We have also developed a number of programs directed toward treating gastrointestinal, or GI, disorders, including the treatment of irritable bowel syndrome with constipation, or IBS-C.</w:t>
      </w:r>
    </w:p>
    <w:p>
      <w:pPr>
        <w:spacing w:after="0" w:line="183"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Our portfolio is led by the development of tenapanor, a first-in-class inhibitor of NHE3. In our renal pipeline, tenapanor is being evaluated in a second Phase 3 trial for the treatment of hyperphosphatemia in patients with ESRD who are on dialysis. This registration trial follows a successful first Phase 3 trial completed in 2017, which achieved statistical significance for the primary endpoint. We are also advancing a small molecule potassium secretagogue program, RDX013, for the potential treatment of hyperkalemia. We believe that both tenapanor and RDX013 have the potential to provide treatment options that are differentiated significantly from binders, the current standards of care in both of these markets. We believe our small molecule approach to treating these conditions could significantly reduce the pill burden for patients, leading to higher compliance, and offer completely new mechanisms of action that interact with receptors in the gut, potentially allowing improved efficacy in some patients.</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In addition to the development for renal diseases, we have developed tenapanor for the treatment of patients with IBS-C. In 2017, we completed the T3MPO program for this indication, including two Phase 3 studies, both of which achieved statistical significance for the primary endpoint, and a long-term safety extension study. We believe that data from the T3MPO program collectively demonstrated the ability of tenapanor to provide sustained relief of constipation and reduced abdominal pain with a generally favorable tolerability profile. Based on the results of the T3MPO clinical program in IBS-C, we are preparing to submit our first New Drug Application, or NDA, to the United States Food and Drug Administration, or FDA, in the second half of 2018 for tenapanor for the treatment of IBS-C.</w:t>
      </w:r>
    </w:p>
    <w:p>
      <w:pPr>
        <w:spacing w:after="0" w:line="210" w:lineRule="exact"/>
        <w:rPr>
          <w:sz w:val="20"/>
          <w:szCs w:val="20"/>
          <w:color w:val="auto"/>
        </w:rPr>
      </w:pPr>
    </w:p>
    <w:p>
      <w:pPr>
        <w:ind w:right="100"/>
        <w:spacing w:after="0" w:line="299" w:lineRule="auto"/>
        <w:rPr>
          <w:sz w:val="20"/>
          <w:szCs w:val="20"/>
          <w:color w:val="auto"/>
        </w:rPr>
      </w:pPr>
      <w:r>
        <w:rPr>
          <w:rFonts w:ascii="Arial" w:cs="Arial" w:eastAsia="Arial" w:hAnsi="Arial"/>
          <w:sz w:val="16"/>
          <w:szCs w:val="16"/>
          <w:color w:val="auto"/>
        </w:rPr>
        <w:t>We believe that tenapanor for the treatment of hyperphosphatemia could represent a market opportunity of between $500 million and $700 million in the United States and that tenapanor for the treatment of IBS-C could represent a market opportunity of over $500 million in the United States.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34"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May 16, 2018, or the Closing Date, we entered into a loan and security agreement, or the Loan Agreement, with Solar Capital Ltd. and Western Alliance Bank, or, collectively, the Lenders. The Loan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Agreement provides for a $50.0 million term loan facility with a maturity date of November 1, 2022, or the Term Loan. The full amount of the loan was funded on May 16, 2018.</w:t>
      </w:r>
    </w:p>
    <w:p>
      <w:pPr>
        <w:spacing w:after="0" w:line="20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Borrowings under the Term Loan bear interest at a floating per annum rate equal to 7.45% plus the one-month LIBOR. We are permitted to make interest-only payments on the Term Loan through December 1, 2020 if we achieve our primary endpoint in the Phase 3 study of tenapanor for the treatment of hyperphosphatemia in patients with ESRD who are on dialysis, or the Phase 3 Endpoint, prior to June 1, 2020; otherwise, we are permitted to make interest-only payments on the Term Loan only through June 1, 2020. Accordingly, beginning on either June 1, 2020 or December 1, 2020, as applicable, through the maturity date, we will be required to make monthly payments of interest plus repay the Term Loan in consecutive equal monthly installments of principal. We were obligated to pay 1% of the Term Loan, or $0.5 million, upon the closing of the Term Loan. We are obligated to pay a fee equal to 3.95% of the Term Loan upon the earliest to occur of the maturity date, the acceleration of the Term Loan, the prepayment or repayment of the Term Loan or the termination of the Loan Agreement. We may voluntarily prepay the outstanding Term Loan, subject to a prepayment premium of (i) 3% of the principal amount of the Term Loan if prepaid prior to or on the first anniversary of the Closing Date, (ii) 2% of the principal amount of the Term Loan if prepaid after the first anniversary of the Closing Date through and including the second anniversary of the Closing Date, or (iii) 1% of the principal amount of the Term Loan if prepaid after the second anniversary of the Closing Date and prior to the maturity date. The Term Loan is secured by substantially all of our assets, except for our intellectual property and certain other customary exclusions. Additionally, in connection with the Term Loan, we entered into an Exit Fee Agreement, whereby we agreed to pay an exit fee in the amount 3% of the Term Loan, or the Exit Fee, upon (y) any change of control transaction or (z) FDA approval of tenapanor in the treatment of hyperphosphatemia in ESRD patients on dialysis and FDA approval of tenapanor for the treatment of patients with irritable bowel syndrome with constipation (IBS-C). Notwithstanding the prepayment or termination of the Term Loan, the Exit Fee will expire 10 years from the Closing Date.</w:t>
      </w:r>
    </w:p>
    <w:p>
      <w:pPr>
        <w:spacing w:after="0" w:line="214"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The Loan Agreement contains customary representations and warranties and customary affirmative and negative covenants, including, among others, requirements as to financial reporting and insurance and restrictions on our ability to dispose of our business or property, to change our line of business, to liquidate or dissolve, to enter into any change in control transaction, to merge or consolidate with any other entity or to acquire all or substantially all the capital stock or property of another entity, to incur additional indebtedness, to incur liens on our property, to pay any dividends or other distributions on capital stock other than dividends payable solely in capital stock or to redeem capital stock. Additionally, if we elect to enter into an exclusive license agreement for the use of our intellectual property in the United States (other than for tenapanor for hyperphosphatemia or for our FXR and TGR5 agonist programs) and we have not obtained the written consent of the Lenders to enter into such license agreement, we have agreed to not allow our unrestricted cash and cash equivalents to be less than $50.0 million, until we achieve our Phase 3 Endpoint.</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In addition, the Loan Agreement contains customary events of default that entitle the Lender to cause our indebtedness under the Loan Agreement to become immediately due and payable, and to exercise remedies against us and the collateral securing the Term Loan, including our cash. Under the Loan Agreement, an event of default will occur if, among other things, we fail to make payments under the Loan Agreement, we breach any of our covenants under the Loan Agreement, subject to specified cure periods with respect to certain breaches, the Lenders determines that a material adverse change has occurred, we or our assets become subject to certain legal proceedings, such as bankruptcy proceedings, we are unable to pay our debts as they become due or we default on contracts with third parties which would permit the holder of indebtedness to accelerate the maturity of such indebtedness or that could have a material adverse change on us. Upon the occurrence and for the duration of an event of default, an additional default interest rate equal to 4.0% per annum will apply to all obligations owed under the Loan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234"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We were founded in October 2007 as a Delaware corporation under the name Nteryx, Inc. Our principal executive offices are located at 34175 Ardenwood Blvd., Suite 200, Fremont, CA 94555, and our telephone number is (510) 745-1700. Our website address is www.ardelyx.com. The information on, or that can be accessed through, our website is not part of this prospectus. We have included our website address as an inactive textual reference only.</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are an "emerging growth company," as defined in the Jumpstart Our Business Startups Act of 2012. We will remain an emerging growth company until the earlier of (1) the last day of the fiscal year following the fifth anniversary of the completion of our initial public offering of common stock (December 31, 2019), (2) the last day of the fiscal year in which we have total annual gross revenue of at least $1.07 billion, (3) the last day of the fiscal year in which we are deemed to be a large accelerated filer, which means the market value of our common stock that is held by non-affiliates exceeds $700 million as of the prior June 30th, and (4) the date on which we have issued more than $1.0 billion in non-convertible debt during the prior three-year period.</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396240</wp:posOffset>
            </wp:positionV>
            <wp:extent cx="7250430" cy="7868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7868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THE OFFERING</w:t>
      </w:r>
    </w:p>
    <w:p>
      <w:pPr>
        <w:spacing w:after="0" w:line="234" w:lineRule="exact"/>
        <w:rPr>
          <w:sz w:val="20"/>
          <w:szCs w:val="20"/>
          <w:color w:val="auto"/>
        </w:rPr>
      </w:pPr>
    </w:p>
    <w:p>
      <w:pPr>
        <w:ind w:left="240"/>
        <w:spacing w:after="0"/>
        <w:tabs>
          <w:tab w:leader="none" w:pos="154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Ardelyx, Inc.</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w:t>
      </w:r>
    </w:p>
    <w:p>
      <w:pPr>
        <w:ind w:left="400"/>
        <w:spacing w:after="0" w:line="234" w:lineRule="auto"/>
        <w:rPr>
          <w:sz w:val="20"/>
          <w:szCs w:val="20"/>
          <w:color w:val="auto"/>
        </w:rPr>
      </w:pPr>
      <w:r>
        <w:rPr>
          <w:rFonts w:ascii="Arial" w:cs="Arial" w:eastAsia="Arial" w:hAnsi="Arial"/>
          <w:sz w:val="18"/>
          <w:szCs w:val="18"/>
          <w:color w:val="auto"/>
        </w:rPr>
        <w:t>stock we</w:t>
      </w:r>
    </w:p>
    <w:p>
      <w:pPr>
        <w:spacing w:after="0" w:line="1" w:lineRule="exact"/>
        <w:rPr>
          <w:sz w:val="20"/>
          <w:szCs w:val="20"/>
          <w:color w:val="auto"/>
        </w:rPr>
      </w:pPr>
    </w:p>
    <w:p>
      <w:pPr>
        <w:ind w:left="400"/>
        <w:spacing w:after="0"/>
        <w:tabs>
          <w:tab w:leader="none" w:pos="1540" w:val="left"/>
        </w:tabs>
        <w:rPr>
          <w:sz w:val="20"/>
          <w:szCs w:val="20"/>
          <w:color w:val="auto"/>
        </w:rPr>
      </w:pPr>
      <w:r>
        <w:rPr>
          <w:rFonts w:ascii="Arial" w:cs="Arial" w:eastAsia="Arial" w:hAnsi="Arial"/>
          <w:sz w:val="18"/>
          <w:szCs w:val="18"/>
          <w:color w:val="auto"/>
        </w:rPr>
        <w:t>are offering</w:t>
      </w:r>
      <w:r>
        <w:rPr>
          <w:sz w:val="20"/>
          <w:szCs w:val="20"/>
          <w:color w:val="auto"/>
        </w:rPr>
        <w:tab/>
      </w:r>
      <w:r>
        <w:rPr>
          <w:rFonts w:ascii="Arial" w:cs="Arial" w:eastAsia="Arial" w:hAnsi="Arial"/>
          <w:sz w:val="16"/>
          <w:szCs w:val="16"/>
          <w:color w:val="auto"/>
        </w:rPr>
        <w:t>12,500,000 shares of our common stock.</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Common</w:t>
      </w:r>
    </w:p>
    <w:p>
      <w:pPr>
        <w:ind w:left="400"/>
        <w:spacing w:after="0" w:line="234" w:lineRule="auto"/>
        <w:rPr>
          <w:sz w:val="20"/>
          <w:szCs w:val="20"/>
          <w:color w:val="auto"/>
        </w:rPr>
      </w:pPr>
      <w:r>
        <w:rPr>
          <w:rFonts w:ascii="Arial" w:cs="Arial" w:eastAsia="Arial" w:hAnsi="Arial"/>
          <w:sz w:val="18"/>
          <w:szCs w:val="18"/>
          <w:color w:val="auto"/>
        </w:rPr>
        <w:t>stock to be</w:t>
      </w:r>
    </w:p>
    <w:p>
      <w:pPr>
        <w:ind w:left="400"/>
        <w:spacing w:after="0" w:line="235" w:lineRule="auto"/>
        <w:rPr>
          <w:sz w:val="20"/>
          <w:szCs w:val="20"/>
          <w:color w:val="auto"/>
        </w:rPr>
      </w:pPr>
      <w:r>
        <w:rPr>
          <w:rFonts w:ascii="Arial" w:cs="Arial" w:eastAsia="Arial" w:hAnsi="Arial"/>
          <w:sz w:val="18"/>
          <w:szCs w:val="18"/>
          <w:color w:val="auto"/>
        </w:rPr>
        <w:t>outstanding</w:t>
      </w:r>
    </w:p>
    <w:p>
      <w:pPr>
        <w:ind w:left="400"/>
        <w:spacing w:after="0" w:line="235" w:lineRule="auto"/>
        <w:rPr>
          <w:sz w:val="20"/>
          <w:szCs w:val="20"/>
          <w:color w:val="auto"/>
        </w:rPr>
      </w:pPr>
      <w:r>
        <w:rPr>
          <w:rFonts w:ascii="Arial" w:cs="Arial" w:eastAsia="Arial" w:hAnsi="Arial"/>
          <w:sz w:val="18"/>
          <w:szCs w:val="18"/>
          <w:color w:val="auto"/>
        </w:rPr>
        <w:t>after the</w:t>
      </w:r>
    </w:p>
    <w:p>
      <w:pPr>
        <w:spacing w:after="0" w:line="1" w:lineRule="exact"/>
        <w:rPr>
          <w:sz w:val="20"/>
          <w:szCs w:val="20"/>
          <w:color w:val="auto"/>
        </w:rPr>
      </w:pPr>
    </w:p>
    <w:p>
      <w:pPr>
        <w:ind w:left="400"/>
        <w:spacing w:after="0"/>
        <w:tabs>
          <w:tab w:leader="none" w:pos="1540" w:val="left"/>
        </w:tabs>
        <w:rPr>
          <w:sz w:val="20"/>
          <w:szCs w:val="20"/>
          <w:color w:val="auto"/>
        </w:rPr>
      </w:pPr>
      <w:r>
        <w:rPr>
          <w:rFonts w:ascii="Arial" w:cs="Arial" w:eastAsia="Arial" w:hAnsi="Arial"/>
          <w:sz w:val="18"/>
          <w:szCs w:val="18"/>
          <w:color w:val="auto"/>
        </w:rPr>
        <w:t>offering</w:t>
      </w:r>
      <w:r>
        <w:rPr>
          <w:sz w:val="20"/>
          <w:szCs w:val="20"/>
          <w:color w:val="auto"/>
        </w:rPr>
        <w:tab/>
      </w:r>
      <w:r>
        <w:rPr>
          <w:rFonts w:ascii="Arial" w:cs="Arial" w:eastAsia="Arial" w:hAnsi="Arial"/>
          <w:sz w:val="18"/>
          <w:szCs w:val="18"/>
          <w:color w:val="auto"/>
        </w:rPr>
        <w:t>60,103,568 shares.</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Option to</w:t>
      </w:r>
    </w:p>
    <w:p>
      <w:pPr>
        <w:ind w:left="400"/>
        <w:spacing w:after="0" w:line="234" w:lineRule="auto"/>
        <w:rPr>
          <w:sz w:val="20"/>
          <w:szCs w:val="20"/>
          <w:color w:val="auto"/>
        </w:rPr>
      </w:pPr>
      <w:r>
        <w:rPr>
          <w:rFonts w:ascii="Arial" w:cs="Arial" w:eastAsia="Arial" w:hAnsi="Arial"/>
          <w:sz w:val="18"/>
          <w:szCs w:val="18"/>
          <w:color w:val="auto"/>
        </w:rPr>
        <w:t>purchase</w:t>
      </w:r>
    </w:p>
    <w:p>
      <w:pPr>
        <w:ind w:left="400"/>
        <w:spacing w:after="0" w:line="235" w:lineRule="auto"/>
        <w:rPr>
          <w:sz w:val="20"/>
          <w:szCs w:val="20"/>
          <w:color w:val="auto"/>
        </w:rPr>
      </w:pPr>
      <w:r>
        <w:rPr>
          <w:rFonts w:ascii="Arial" w:cs="Arial" w:eastAsia="Arial" w:hAnsi="Arial"/>
          <w:sz w:val="18"/>
          <w:szCs w:val="18"/>
          <w:color w:val="auto"/>
        </w:rPr>
        <w:t>additional</w:t>
      </w:r>
    </w:p>
    <w:p>
      <w:pPr>
        <w:spacing w:after="0" w:line="1" w:lineRule="exact"/>
        <w:rPr>
          <w:sz w:val="20"/>
          <w:szCs w:val="20"/>
          <w:color w:val="auto"/>
        </w:rPr>
      </w:pPr>
    </w:p>
    <w:p>
      <w:pPr>
        <w:ind w:left="400"/>
        <w:spacing w:after="0"/>
        <w:tabs>
          <w:tab w:leader="none" w:pos="1540" w:val="left"/>
        </w:tabs>
        <w:rPr>
          <w:sz w:val="20"/>
          <w:szCs w:val="20"/>
          <w:color w:val="auto"/>
        </w:rPr>
      </w:pPr>
      <w:r>
        <w:rPr>
          <w:rFonts w:ascii="Arial" w:cs="Arial" w:eastAsia="Arial" w:hAnsi="Arial"/>
          <w:sz w:val="16"/>
          <w:szCs w:val="16"/>
          <w:color w:val="auto"/>
        </w:rPr>
        <w:t>shares</w:t>
      </w:r>
      <w:r>
        <w:rPr>
          <w:sz w:val="20"/>
          <w:szCs w:val="20"/>
          <w:color w:val="auto"/>
        </w:rPr>
        <w:tab/>
      </w:r>
      <w:r>
        <w:rPr>
          <w:rFonts w:ascii="Arial" w:cs="Arial" w:eastAsia="Arial" w:hAnsi="Arial"/>
          <w:sz w:val="16"/>
          <w:szCs w:val="16"/>
          <w:color w:val="auto"/>
        </w:rPr>
        <w:t>We have granted the underwriters a 30-day option to purchase up to an additional 1,875,000 shares of our common stock.</w:t>
      </w:r>
    </w:p>
    <w:p>
      <w:pPr>
        <w:spacing w:after="0" w:line="230" w:lineRule="exact"/>
        <w:rPr>
          <w:sz w:val="20"/>
          <w:szCs w:val="20"/>
          <w:color w:val="auto"/>
        </w:rPr>
      </w:pPr>
    </w:p>
    <w:p>
      <w:pPr>
        <w:ind w:left="240"/>
        <w:spacing w:after="0"/>
        <w:tabs>
          <w:tab w:leader="none" w:pos="1540" w:val="left"/>
        </w:tabs>
        <w:rPr>
          <w:sz w:val="20"/>
          <w:szCs w:val="20"/>
          <w:color w:val="auto"/>
        </w:rPr>
      </w:pPr>
      <w:r>
        <w:rPr>
          <w:rFonts w:ascii="Arial" w:cs="Arial" w:eastAsia="Arial" w:hAnsi="Arial"/>
          <w:sz w:val="18"/>
          <w:szCs w:val="18"/>
          <w:color w:val="auto"/>
        </w:rPr>
        <w:t>Use of</w:t>
      </w:r>
      <w:r>
        <w:rPr>
          <w:sz w:val="20"/>
          <w:szCs w:val="20"/>
          <w:color w:val="auto"/>
        </w:rPr>
        <w:tab/>
      </w:r>
      <w:r>
        <w:rPr>
          <w:rFonts w:ascii="Arial" w:cs="Arial" w:eastAsia="Arial" w:hAnsi="Arial"/>
          <w:sz w:val="16"/>
          <w:szCs w:val="16"/>
          <w:color w:val="auto"/>
        </w:rPr>
        <w:t>We currently expect to use our existing cash, cash equivalents and short-term investments and the net proceeds from this</w:t>
      </w:r>
    </w:p>
    <w:p>
      <w:pPr>
        <w:ind w:left="400"/>
        <w:spacing w:after="0" w:line="234" w:lineRule="auto"/>
        <w:tabs>
          <w:tab w:leader="none" w:pos="1540" w:val="left"/>
        </w:tabs>
        <w:rPr>
          <w:sz w:val="20"/>
          <w:szCs w:val="20"/>
          <w:color w:val="auto"/>
        </w:rPr>
      </w:pPr>
      <w:r>
        <w:rPr>
          <w:rFonts w:ascii="Arial" w:cs="Arial" w:eastAsia="Arial" w:hAnsi="Arial"/>
          <w:sz w:val="18"/>
          <w:szCs w:val="18"/>
          <w:color w:val="auto"/>
        </w:rPr>
        <w:t>proceeds</w:t>
      </w:r>
      <w:r>
        <w:rPr>
          <w:sz w:val="20"/>
          <w:szCs w:val="20"/>
          <w:color w:val="auto"/>
        </w:rPr>
        <w:tab/>
      </w:r>
      <w:r>
        <w:rPr>
          <w:rFonts w:ascii="Arial" w:cs="Arial" w:eastAsia="Arial" w:hAnsi="Arial"/>
          <w:sz w:val="18"/>
          <w:szCs w:val="18"/>
          <w:color w:val="auto"/>
        </w:rPr>
        <w:t>offering to support our clinical development and pre-commercialization efforts for tenapanor for the treatment of</w:t>
      </w:r>
    </w:p>
    <w:p>
      <w:pPr>
        <w:ind w:left="1560"/>
        <w:spacing w:after="0" w:line="235" w:lineRule="auto"/>
        <w:rPr>
          <w:sz w:val="20"/>
          <w:szCs w:val="20"/>
          <w:color w:val="auto"/>
        </w:rPr>
      </w:pPr>
      <w:r>
        <w:rPr>
          <w:rFonts w:ascii="Arial" w:cs="Arial" w:eastAsia="Arial" w:hAnsi="Arial"/>
          <w:sz w:val="18"/>
          <w:szCs w:val="18"/>
          <w:color w:val="auto"/>
        </w:rPr>
        <w:t>hyperphosphatemia in patients with ESRD who are on dialysis, including the ongoing second Phase 3 clinical trial</w:t>
      </w:r>
    </w:p>
    <w:p>
      <w:pPr>
        <w:spacing w:after="0" w:line="1"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evaluating tenapanor for such indication; the manufacturing efforts for tenapanor; our research and development efforts for</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our RDX013 program; the preparation and submission of a New Drug Application for tenapanor for IBS-C, and for general</w:t>
      </w:r>
    </w:p>
    <w:p>
      <w:pPr>
        <w:spacing w:after="0" w:line="1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corporate purposes and working capital. See "Use of Proceeds" on page S-12.</w:t>
      </w:r>
    </w:p>
    <w:p>
      <w:pPr>
        <w:spacing w:after="0" w:line="207" w:lineRule="exact"/>
        <w:rPr>
          <w:sz w:val="20"/>
          <w:szCs w:val="20"/>
          <w:color w:val="auto"/>
        </w:rPr>
      </w:pPr>
    </w:p>
    <w:p>
      <w:pPr>
        <w:ind w:left="240"/>
        <w:spacing w:after="0"/>
        <w:tabs>
          <w:tab w:leader="none" w:pos="1540" w:val="left"/>
        </w:tabs>
        <w:rPr>
          <w:sz w:val="20"/>
          <w:szCs w:val="20"/>
          <w:color w:val="auto"/>
        </w:rPr>
      </w:pPr>
      <w:r>
        <w:rPr>
          <w:rFonts w:ascii="Arial" w:cs="Arial" w:eastAsia="Arial" w:hAnsi="Arial"/>
          <w:sz w:val="18"/>
          <w:szCs w:val="18"/>
          <w:color w:val="auto"/>
        </w:rPr>
        <w:t>Risk factors</w:t>
      </w:r>
      <w:r>
        <w:rPr>
          <w:sz w:val="20"/>
          <w:szCs w:val="20"/>
          <w:color w:val="auto"/>
        </w:rPr>
        <w:tab/>
      </w:r>
      <w:r>
        <w:rPr>
          <w:rFonts w:ascii="Arial" w:cs="Arial" w:eastAsia="Arial" w:hAnsi="Arial"/>
          <w:sz w:val="16"/>
          <w:szCs w:val="16"/>
          <w:color w:val="auto"/>
        </w:rPr>
        <w:t>You should read the "Risk Factors" section of this prospectus supplement and in the documents incorporated by reference</w:t>
      </w:r>
    </w:p>
    <w:p>
      <w:pPr>
        <w:ind w:left="1560"/>
        <w:spacing w:after="0"/>
        <w:rPr>
          <w:sz w:val="20"/>
          <w:szCs w:val="20"/>
          <w:color w:val="auto"/>
        </w:rPr>
      </w:pPr>
      <w:r>
        <w:rPr>
          <w:rFonts w:ascii="Arial" w:cs="Arial" w:eastAsia="Arial" w:hAnsi="Arial"/>
          <w:sz w:val="18"/>
          <w:szCs w:val="18"/>
          <w:color w:val="auto"/>
        </w:rPr>
        <w:t>in this prospectus for a discussion of factors to consider before deciding to purchase shares of our common stock.</w:t>
      </w:r>
    </w:p>
    <w:p>
      <w:pPr>
        <w:spacing w:after="0" w:line="212" w:lineRule="exact"/>
        <w:rPr>
          <w:sz w:val="20"/>
          <w:szCs w:val="20"/>
          <w:color w:val="auto"/>
        </w:rPr>
      </w:pPr>
    </w:p>
    <w:p>
      <w:pPr>
        <w:ind w:left="240"/>
        <w:spacing w:after="0"/>
        <w:tabs>
          <w:tab w:leader="none" w:pos="1540" w:val="left"/>
        </w:tabs>
        <w:rPr>
          <w:sz w:val="20"/>
          <w:szCs w:val="20"/>
          <w:color w:val="auto"/>
        </w:rPr>
      </w:pPr>
      <w:r>
        <w:rPr>
          <w:rFonts w:ascii="Arial" w:cs="Arial" w:eastAsia="Arial" w:hAnsi="Arial"/>
          <w:sz w:val="16"/>
          <w:szCs w:val="16"/>
          <w:color w:val="auto"/>
        </w:rPr>
        <w:t>Loan</w:t>
      </w:r>
      <w:r>
        <w:rPr>
          <w:sz w:val="20"/>
          <w:szCs w:val="20"/>
          <w:color w:val="auto"/>
        </w:rPr>
        <w:tab/>
      </w:r>
      <w:r>
        <w:rPr>
          <w:rFonts w:ascii="Arial" w:cs="Arial" w:eastAsia="Arial" w:hAnsi="Arial"/>
          <w:sz w:val="16"/>
          <w:szCs w:val="16"/>
          <w:color w:val="auto"/>
        </w:rPr>
        <w:t>On May 16, 2018, we entered into a loan and security agreement with Solar Capital Ltd and Western Alliance Bank. This</w:t>
      </w:r>
    </w:p>
    <w:p>
      <w:pPr>
        <w:spacing w:after="0" w:line="19" w:lineRule="exact"/>
        <w:rPr>
          <w:sz w:val="20"/>
          <w:szCs w:val="20"/>
          <w:color w:val="auto"/>
        </w:rPr>
      </w:pPr>
    </w:p>
    <w:p>
      <w:pPr>
        <w:ind w:left="400"/>
        <w:spacing w:after="0"/>
        <w:tabs>
          <w:tab w:leader="none" w:pos="1540" w:val="left"/>
        </w:tabs>
        <w:rPr>
          <w:sz w:val="20"/>
          <w:szCs w:val="20"/>
          <w:color w:val="auto"/>
        </w:rPr>
      </w:pPr>
      <w:r>
        <w:rPr>
          <w:rFonts w:ascii="Arial" w:cs="Arial" w:eastAsia="Arial" w:hAnsi="Arial"/>
          <w:sz w:val="18"/>
          <w:szCs w:val="18"/>
          <w:color w:val="auto"/>
        </w:rPr>
        <w:t>Agreement</w:t>
        <w:tab/>
        <w:t>loan agreement provides for a $50.0 million term loan facility with a maturity date of November 1, 2022.</w:t>
      </w:r>
    </w:p>
    <w:p>
      <w:pPr>
        <w:spacing w:after="0" w:line="20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Symbol on</w:t>
      </w:r>
    </w:p>
    <w:p>
      <w:pPr>
        <w:ind w:left="400"/>
        <w:spacing w:after="0" w:line="234" w:lineRule="auto"/>
        <w:rPr>
          <w:sz w:val="20"/>
          <w:szCs w:val="20"/>
          <w:color w:val="auto"/>
        </w:rPr>
      </w:pPr>
      <w:r>
        <w:rPr>
          <w:rFonts w:ascii="Arial" w:cs="Arial" w:eastAsia="Arial" w:hAnsi="Arial"/>
          <w:sz w:val="18"/>
          <w:szCs w:val="18"/>
          <w:color w:val="auto"/>
        </w:rPr>
        <w:t>The</w:t>
      </w:r>
    </w:p>
    <w:p>
      <w:pPr>
        <w:ind w:left="400"/>
        <w:spacing w:after="0" w:line="235" w:lineRule="auto"/>
        <w:rPr>
          <w:sz w:val="20"/>
          <w:szCs w:val="20"/>
          <w:color w:val="auto"/>
        </w:rPr>
      </w:pPr>
      <w:r>
        <w:rPr>
          <w:rFonts w:ascii="Arial" w:cs="Arial" w:eastAsia="Arial" w:hAnsi="Arial"/>
          <w:sz w:val="18"/>
          <w:szCs w:val="18"/>
          <w:color w:val="auto"/>
        </w:rPr>
        <w:t>Nasdaq</w:t>
      </w:r>
    </w:p>
    <w:p>
      <w:pPr>
        <w:ind w:left="400"/>
        <w:spacing w:after="0" w:line="235" w:lineRule="auto"/>
        <w:rPr>
          <w:sz w:val="20"/>
          <w:szCs w:val="20"/>
          <w:color w:val="auto"/>
        </w:rPr>
      </w:pPr>
      <w:r>
        <w:rPr>
          <w:rFonts w:ascii="Arial" w:cs="Arial" w:eastAsia="Arial" w:hAnsi="Arial"/>
          <w:sz w:val="18"/>
          <w:szCs w:val="18"/>
          <w:color w:val="auto"/>
        </w:rPr>
        <w:t>Global</w:t>
      </w:r>
    </w:p>
    <w:p>
      <w:pPr>
        <w:spacing w:after="0" w:line="1" w:lineRule="exact"/>
        <w:rPr>
          <w:sz w:val="20"/>
          <w:szCs w:val="20"/>
          <w:color w:val="auto"/>
        </w:rPr>
      </w:pPr>
    </w:p>
    <w:p>
      <w:pPr>
        <w:ind w:left="400"/>
        <w:spacing w:after="0"/>
        <w:tabs>
          <w:tab w:leader="none" w:pos="1540" w:val="left"/>
        </w:tabs>
        <w:rPr>
          <w:sz w:val="20"/>
          <w:szCs w:val="20"/>
          <w:color w:val="auto"/>
        </w:rPr>
      </w:pPr>
      <w:r>
        <w:rPr>
          <w:rFonts w:ascii="Arial" w:cs="Arial" w:eastAsia="Arial" w:hAnsi="Arial"/>
          <w:sz w:val="18"/>
          <w:szCs w:val="18"/>
          <w:color w:val="auto"/>
        </w:rPr>
        <w:t>Market</w:t>
      </w:r>
      <w:r>
        <w:rPr>
          <w:sz w:val="20"/>
          <w:szCs w:val="20"/>
          <w:color w:val="auto"/>
        </w:rPr>
        <w:tab/>
      </w:r>
      <w:r>
        <w:rPr>
          <w:rFonts w:ascii="Arial" w:cs="Arial" w:eastAsia="Arial" w:hAnsi="Arial"/>
          <w:sz w:val="18"/>
          <w:szCs w:val="18"/>
          <w:color w:val="auto"/>
        </w:rPr>
        <w:t>"ARDX".</w:t>
      </w:r>
    </w:p>
    <w:p>
      <w:pPr>
        <w:spacing w:after="0" w:line="212"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The number of shares of common stock to be outstanding after this offering is based on 47,603,568 shares of common stock outstanding as of March 31, 2018, and excludes the following, in each case as of such date:</w:t>
      </w:r>
    </w:p>
    <w:p>
      <w:pPr>
        <w:spacing w:after="0" w:line="209" w:lineRule="exact"/>
        <w:rPr>
          <w:sz w:val="20"/>
          <w:szCs w:val="20"/>
          <w:color w:val="auto"/>
        </w:rPr>
      </w:pPr>
    </w:p>
    <w:p>
      <w:pPr>
        <w:ind w:left="1320" w:right="540" w:hanging="538"/>
        <w:spacing w:after="0" w:line="183" w:lineRule="auto"/>
        <w:tabs>
          <w:tab w:leader="none" w:pos="13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5,227,555 shares of common stock issuable upon the exercise of outstanding stock options having a weighted-average exercise price of $9.61 per share;</w:t>
      </w:r>
    </w:p>
    <w:p>
      <w:pPr>
        <w:spacing w:after="0" w:line="195" w:lineRule="exact"/>
        <w:rPr>
          <w:rFonts w:ascii="Arial" w:cs="Arial" w:eastAsia="Arial" w:hAnsi="Arial"/>
          <w:sz w:val="29"/>
          <w:szCs w:val="29"/>
          <w:color w:val="auto"/>
          <w:vertAlign w:val="superscript"/>
        </w:rPr>
      </w:pPr>
    </w:p>
    <w:p>
      <w:pPr>
        <w:ind w:left="1320" w:right="20" w:hanging="538"/>
        <w:spacing w:after="0" w:line="183" w:lineRule="auto"/>
        <w:tabs>
          <w:tab w:leader="none" w:pos="13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2,172,899 shares of common stock issuable upon the exercise of outstanding warrants having an exercise price of $13.91 per share;</w:t>
      </w:r>
    </w:p>
    <w:p>
      <w:pPr>
        <w:spacing w:after="0" w:line="73" w:lineRule="exact"/>
        <w:rPr>
          <w:rFonts w:ascii="Arial" w:cs="Arial" w:eastAsia="Arial" w:hAnsi="Arial"/>
          <w:sz w:val="29"/>
          <w:szCs w:val="29"/>
          <w:color w:val="auto"/>
          <w:vertAlign w:val="superscript"/>
        </w:rPr>
      </w:pPr>
    </w:p>
    <w:p>
      <w:pPr>
        <w:ind w:left="1320" w:hanging="538"/>
        <w:spacing w:after="0"/>
        <w:tabs>
          <w:tab w:leader="none" w:pos="13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635,445 shares of common stock issuable upon the settlement of outstanding restricted stock units;</w:t>
      </w:r>
    </w:p>
    <w:p>
      <w:pPr>
        <w:spacing w:after="0" w:line="194" w:lineRule="exact"/>
        <w:rPr>
          <w:rFonts w:ascii="Arial" w:cs="Arial" w:eastAsia="Arial" w:hAnsi="Arial"/>
          <w:sz w:val="29"/>
          <w:szCs w:val="29"/>
          <w:color w:val="auto"/>
          <w:vertAlign w:val="superscript"/>
        </w:rPr>
      </w:pPr>
    </w:p>
    <w:p>
      <w:pPr>
        <w:ind w:left="1320" w:right="1020" w:hanging="538"/>
        <w:spacing w:after="0" w:line="183" w:lineRule="auto"/>
        <w:tabs>
          <w:tab w:leader="none" w:pos="13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95" w:lineRule="exact"/>
        <w:rPr>
          <w:rFonts w:ascii="Arial" w:cs="Arial" w:eastAsia="Arial" w:hAnsi="Arial"/>
          <w:sz w:val="29"/>
          <w:szCs w:val="29"/>
          <w:color w:val="auto"/>
          <w:vertAlign w:val="superscript"/>
        </w:rPr>
      </w:pPr>
    </w:p>
    <w:p>
      <w:pPr>
        <w:ind w:left="1320" w:hanging="538"/>
        <w:spacing w:after="0" w:line="197" w:lineRule="auto"/>
        <w:tabs>
          <w:tab w:leader="none" w:pos="1320" w:val="left"/>
        </w:tabs>
        <w:numPr>
          <w:ilvl w:val="0"/>
          <w:numId w:val="2"/>
        </w:numPr>
        <w:rPr>
          <w:rFonts w:ascii="Arial" w:cs="Arial" w:eastAsia="Arial" w:hAnsi="Arial"/>
          <w:sz w:val="29"/>
          <w:szCs w:val="29"/>
          <w:color w:val="auto"/>
          <w:vertAlign w:val="superscript"/>
        </w:rPr>
      </w:pPr>
      <w:r>
        <w:rPr>
          <w:rFonts w:ascii="Arial" w:cs="Arial" w:eastAsia="Arial" w:hAnsi="Arial"/>
          <w:sz w:val="18"/>
          <w:szCs w:val="18"/>
          <w:color w:val="auto"/>
        </w:rPr>
        <w:t>1,718,410 shares of common stock reserved for issuance pursuant to future awards under our 2014 Equity Incentive Award Plan, as well as any automatic increases in the number of shares of our common stock reserved for future issuance under this plan; and</w:t>
      </w:r>
    </w:p>
    <w:p>
      <w:pPr>
        <w:sectPr>
          <w:pgSz w:w="11900" w:h="16838" w:orient="portrait"/>
          <w:cols w:equalWidth="0" w:num="1">
            <w:col w:w="11100"/>
          </w:cols>
          <w:pgMar w:left="240" w:top="143"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43" w:right="5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12306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1230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320" w:right="380" w:hanging="538"/>
        <w:spacing w:after="0" w:line="183" w:lineRule="auto"/>
        <w:tabs>
          <w:tab w:leader="none" w:pos="1320"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110,080 shares of common stock reserved for future issuance under our Employee Stock Purchase Plan, as well as any automatic increases in the number of shares of our common stock reserved for future issuance under this plan.</w:t>
      </w:r>
    </w:p>
    <w:p>
      <w:pPr>
        <w:spacing w:after="0" w:line="209" w:lineRule="exact"/>
        <w:rPr>
          <w:sz w:val="20"/>
          <w:szCs w:val="20"/>
          <w:color w:val="auto"/>
        </w:rPr>
      </w:pPr>
    </w:p>
    <w:p>
      <w:pPr>
        <w:ind w:left="240"/>
        <w:spacing w:after="0" w:line="239" w:lineRule="auto"/>
        <w:rPr>
          <w:sz w:val="20"/>
          <w:szCs w:val="20"/>
          <w:color w:val="auto"/>
        </w:rPr>
      </w:pPr>
      <w:r>
        <w:rPr>
          <w:rFonts w:ascii="Arial" w:cs="Arial" w:eastAsia="Arial" w:hAnsi="Arial"/>
          <w:sz w:val="18"/>
          <w:szCs w:val="18"/>
          <w:color w:val="auto"/>
        </w:rPr>
        <w:t>Unless otherwise stated, all information contained in this prospectus supplement reflects the public offering price of $4.00 per share and no exercise of the underwriters' option to purchase additional shares.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43" w:right="6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i w:val="1"/>
          <w:iCs w:val="1"/>
          <w:color w:val="auto"/>
        </w:rPr>
        <w:t>Investing in our common stock involves a high degree of risk. You should consider carefully the risks described below and discussed under the section captioned "Risk Factors" contained in our Quarterly Report on Form 10-Q for the quarterly period ended March 31, 2018, incorporated by reference in this prospectus in its entirety, together with other information in this prospectus, and the information and documents incorporated by reference in this prospectus, and any free writing prospectus that we have authorized for use in connection with this offering before you make a decision to invest in our common stock. If any of the following events actually occur, our business, operating results, prospects or financial condition could be materially and adversely affected. This could cause the trading price of our common stock to decline and you may lose all or part of your investment. The risks described below are not the only ones that we face. Additional risks not presently known to us or that we currently deem immaterial may also affect our business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Relating to this Offering</w:t>
      </w:r>
    </w:p>
    <w:p>
      <w:pPr>
        <w:spacing w:after="0" w:line="21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b w:val="1"/>
          <w:bCs w:val="1"/>
          <w:color w:val="auto"/>
        </w:rPr>
        <w:t>Our management team may invest or spend the proceeds of this offering in ways with which you may not agree or in ways which may not yield a significant return.</w:t>
      </w:r>
    </w:p>
    <w:p>
      <w:pPr>
        <w:spacing w:after="0" w:line="18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Our management will have broad discretion over the use of proceeds from this offering. We currently expect to use our existing cash, cash equivalents and short-term investments and the net proceeds from this offering as described in the section captioned "Use of Proceeds." However, our management will have considerable discretion in the application of the net proceeds, and you will not have the opportunity, as part of your investment decision, to assess whether the proceeds are being used appropriately. The net proceeds may be used for corporate purposes that do not increase our operating results or enhance the value of our common stock.</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experience immediate and substantial dilution in the net tangible book value per share of the common stock you purchase.</w:t>
      </w:r>
    </w:p>
    <w:p>
      <w:pPr>
        <w:spacing w:after="0" w:line="23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price per share of our common stock being sold in this offering is higher than the net tangible book value per share of our common stock outstanding prior to this offering. As a result, investors purchasing shares of common stock in this offering will incur immediate dilution of $1.08 per share, based on the public offering price of $4.00 per share and our as-adjusted net tangible book value as of March 31, 2018 after giving effect to this offering. For information on how the foregoing amounts were calculated, see "Dilution."</w:t>
      </w:r>
    </w:p>
    <w:p>
      <w:pPr>
        <w:spacing w:after="0" w:line="20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This dilution is due to the substantially lower price paid by our investors who purchased shares prior to this offering as compared to the price offered to the public in this offering, and the exercise of stock options granted to our employees. As a result of the dilution to investors purchasing shares in this offering, investors may receive significantly less than the purchase price paid in this offering, if anything, in the event of our liquidation.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experience future dilution as a result of future equity offerings.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In order to raise additional capital, we may in the future offer additional shares of our common stock or other securities convertible into or exchangeable for our common stock. We cannot assure you that we will be able to sell shares or other securities in any other offering at a price per share that is equal to or greater than the price per share paid by investors in this offering, and investors purchasing shares or other securities in the future could have rights superior to existing stockholders. The price per share at which we sell additional shares of our common stock or other securities convertible into or exchangeable for our common stock in future transactions may be higher or lower than the price per share in this offering. As of March 31, 2018, approximately 8.7 million shares of common stock that are either subject to outstanding options or restricted stock units or reserved for future issuance under our equity incentive plans are eligible</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020"/>
        <w:spacing w:after="0" w:line="299" w:lineRule="auto"/>
        <w:rPr>
          <w:sz w:val="20"/>
          <w:szCs w:val="20"/>
          <w:color w:val="auto"/>
        </w:rPr>
      </w:pPr>
      <w:r>
        <w:rPr>
          <w:rFonts w:ascii="Arial" w:cs="Arial" w:eastAsia="Arial" w:hAnsi="Arial"/>
          <w:sz w:val="16"/>
          <w:szCs w:val="16"/>
          <w:color w:val="auto"/>
        </w:rPr>
        <w:t>for sale in the public market to the extent permitted by the provisions of various vesting schedules. Additionally, as of March 31, 2018, approximately 2.2 million shares of common stock that are subject to outstanding warrants are eligible for sale in the public market.</w:t>
      </w:r>
    </w:p>
    <w:p>
      <w:pPr>
        <w:spacing w:after="0" w:line="14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color w:val="auto"/>
        </w:rPr>
        <w:t>Our stock price may be volatile and our stockholders may not be able to resell shares of our common stock at or above the price they paid.</w:t>
      </w:r>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These factors include:</w:t>
      </w:r>
    </w:p>
    <w:p>
      <w:pPr>
        <w:spacing w:after="0" w:line="209" w:lineRule="exact"/>
        <w:rPr>
          <w:sz w:val="20"/>
          <w:szCs w:val="20"/>
          <w:color w:val="auto"/>
        </w:rPr>
      </w:pPr>
    </w:p>
    <w:p>
      <w:pPr>
        <w:ind w:left="1080" w:right="2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results from, or any delays in, clinical trial programs relating to our product candidates, including the ongoing Phase 3 clinical trial for tenapanor for hyperphosphatemia;</w:t>
      </w:r>
    </w:p>
    <w:p>
      <w:pPr>
        <w:spacing w:after="0" w:line="195" w:lineRule="exact"/>
        <w:rPr>
          <w:rFonts w:ascii="Arial" w:cs="Arial" w:eastAsia="Arial" w:hAnsi="Arial"/>
          <w:sz w:val="29"/>
          <w:szCs w:val="29"/>
          <w:color w:val="auto"/>
          <w:vertAlign w:val="superscript"/>
        </w:rPr>
      </w:pPr>
    </w:p>
    <w:p>
      <w:pPr>
        <w:ind w:left="1080" w:right="42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success of our efforts to establish a collaboration partnership for the commercialization of tenapanor for IBS-C in the United States;</w:t>
      </w:r>
    </w:p>
    <w:p>
      <w:pPr>
        <w:spacing w:after="0" w:line="195" w:lineRule="exact"/>
        <w:rPr>
          <w:rFonts w:ascii="Arial" w:cs="Arial" w:eastAsia="Arial" w:hAnsi="Arial"/>
          <w:sz w:val="29"/>
          <w:szCs w:val="29"/>
          <w:color w:val="auto"/>
          <w:vertAlign w:val="superscript"/>
        </w:rPr>
      </w:pPr>
    </w:p>
    <w:p>
      <w:pPr>
        <w:ind w:left="1080" w:right="12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our ability, alone or with collaboration partners, to commercialize or obtain regulatory approval for our product candidates, including tenapanor, or delays in commercializing or obtaining regulatory approval;</w:t>
      </w:r>
    </w:p>
    <w:p>
      <w:pPr>
        <w:spacing w:after="0" w:line="195" w:lineRule="exact"/>
        <w:rPr>
          <w:rFonts w:ascii="Arial" w:cs="Arial" w:eastAsia="Arial" w:hAnsi="Arial"/>
          <w:sz w:val="29"/>
          <w:szCs w:val="29"/>
          <w:color w:val="auto"/>
          <w:vertAlign w:val="superscript"/>
        </w:rPr>
      </w:pPr>
    </w:p>
    <w:p>
      <w:pPr>
        <w:ind w:left="1080" w:right="8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announcements of regulatory approval, a complete response letter or a refuse to file letter to tenapanor, or specific label restrictions or patient populations for its use, or changes or delays in the regulatory review process;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announcements relating to our current or future collaboration partnerships;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announcements of therapeutic innovations or new products by us or our competitors;</w:t>
      </w:r>
    </w:p>
    <w:p>
      <w:pPr>
        <w:spacing w:after="0" w:line="194" w:lineRule="exact"/>
        <w:rPr>
          <w:rFonts w:ascii="Arial" w:cs="Arial" w:eastAsia="Arial" w:hAnsi="Arial"/>
          <w:sz w:val="29"/>
          <w:szCs w:val="29"/>
          <w:color w:val="auto"/>
          <w:vertAlign w:val="superscript"/>
        </w:rPr>
      </w:pPr>
    </w:p>
    <w:p>
      <w:pPr>
        <w:ind w:left="1080" w:right="22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adverse actions taken by regulatory agencies with respect to our clinical trials, manufacturing supply chain or sales and marketing activities;</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changes or developments in laws or regulations applicable to our product candidates;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success of our testing and clinical trials;</w:t>
      </w:r>
    </w:p>
    <w:p>
      <w:pPr>
        <w:spacing w:after="0" w:line="194" w:lineRule="exact"/>
        <w:rPr>
          <w:rFonts w:ascii="Arial" w:cs="Arial" w:eastAsia="Arial" w:hAnsi="Arial"/>
          <w:sz w:val="29"/>
          <w:szCs w:val="29"/>
          <w:color w:val="auto"/>
          <w:vertAlign w:val="superscript"/>
        </w:rPr>
      </w:pPr>
    </w:p>
    <w:p>
      <w:pPr>
        <w:ind w:left="1080" w:right="50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failure to meet any of our projected timelines or goals with regard to the clinical development of any of our product candidates, including the Phase 3 clinical trial for tenapanor for hyperphosphatemia;</w:t>
      </w:r>
    </w:p>
    <w:p>
      <w:pPr>
        <w:spacing w:after="0" w:line="195"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failure to meet our projected timelines with regard to the filing of the NDA for tenapanor for IBS-C or to timely receive approval for such indication;</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success of our efforts to acquire or license or discover additional product candidates;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any intellectual property infringement actions in which we may become involved;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success of our efforts to obtain adequate intellectual property protection for our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announcements concerning our competitors or the pharmaceutical industry in general;</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achievement of expected product sales and profitability;</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manufacture, supply or distribution shortages;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actual or anticipated fluctuations in our operating results;</w:t>
      </w:r>
    </w:p>
    <w:p>
      <w:pPr>
        <w:spacing w:after="0" w:line="142" w:lineRule="exact"/>
        <w:rPr>
          <w:rFonts w:ascii="Arial" w:cs="Arial" w:eastAsia="Arial" w:hAnsi="Arial"/>
          <w:sz w:val="29"/>
          <w:szCs w:val="29"/>
          <w:color w:val="auto"/>
          <w:vertAlign w:val="superscript"/>
        </w:rPr>
      </w:pPr>
    </w:p>
    <w:p>
      <w:pPr>
        <w:ind w:left="1080" w:hanging="532"/>
        <w:spacing w:after="0" w:line="196" w:lineRule="auto"/>
        <w:tabs>
          <w:tab w:leader="none" w:pos="1080"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FDA or other U.S. or foreign regulatory actions affecting us or our industry or other healthcare reform measures in the United States;</w:t>
      </w:r>
    </w:p>
    <w:p>
      <w:pPr>
        <w:spacing w:after="0" w:line="142"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changes in financial estimates or recommendations by securities analysts;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trading volume of our common stock;</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sales of our common stock by us, our executive officers and directors or our stockholders in the future;</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general economic and market conditions and overall fluctuations in the United States equity markets;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loss of any of our key scientific or management personnel.</w:t>
      </w:r>
    </w:p>
    <w:p>
      <w:pPr>
        <w:spacing w:after="0" w:line="20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may have been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 which could seriously harm our financial position. Any adverse determination in litigation could also subject us to significant liabilities.</w:t>
      </w:r>
    </w:p>
    <w:p>
      <w:pPr>
        <w:spacing w:after="0" w:line="163"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color w:val="auto"/>
        </w:rPr>
        <w:t>If securities or industry analysts cease to publish research, or publish inaccurate or unfavorable research about our business, our stock price and trading volume could decline.</w:t>
      </w:r>
    </w:p>
    <w:p>
      <w:pPr>
        <w:spacing w:after="0" w:line="18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stock or publish inaccurate or unfavorable research about our business, our stock price would likely decline. In addition, if our operating results fail to meet the forecasts of analysts,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Risks Related to Our Limited Operating History, Financial Condition and Capital Requirements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Loan Agreement contains restrictions that limit our flexibility in operating our business.</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On May 14, 2018, we entered into a loan and security agreement, or the Loan Agreement, with Solar Capital Ltd. and Western Alliance Bank. The Loan Agreement provides for a $50.0 million term loan facility with a maturity date of November 1, 2022. The Loan Agreement contains various covenants that limit our ability to engage in specified types of transactions without our lenders' prior consent. These covenants limit our ability to, among other things:</w:t>
      </w:r>
    </w:p>
    <w:p>
      <w:pPr>
        <w:spacing w:after="0" w:line="86"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license our intellectual property;</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sell, transfer, lease or dispose of our assets;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create, incur or assume additional indebtedness;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encumber or permit liens on certain of our assets;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make restricted payments, including paying dividends on, repurchasing or making distributions with respect to our common stock;</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make specified investments (including loans and advances);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consolidate, merge, sell or otherwise dispose of all or substantially all of our assets;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enter into certain transactions with our affiliates.</w:t>
      </w:r>
    </w:p>
    <w:p>
      <w:pPr>
        <w:spacing w:after="0" w:line="20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covenants in the Loan Agreement limit our ability to take certain actions and, in the event that we breach one or more covenants, our lenders may choose to declare an event of default and require that we immediately repay all amounts outstanding of the aggregate principal amount of $50 million, plus exit fees, prepayment premiums, penalties and interest, and foreclose on the collateral granted to them to secure such indebtedness. Such repayment could have a material adverse effect on our business, operating results and financial condition.</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This prospectus, including the documents incorporated by reference herein and therein, and any free writing prospectus that we have authorized for use in connection with this offering, contain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w:t>
      </w:r>
    </w:p>
    <w:p>
      <w:pPr>
        <w:spacing w:after="0" w:line="208" w:lineRule="exact"/>
        <w:rPr>
          <w:sz w:val="20"/>
          <w:szCs w:val="20"/>
          <w:color w:val="auto"/>
        </w:rPr>
      </w:pPr>
    </w:p>
    <w:p>
      <w:pPr>
        <w:ind w:left="1080" w:right="460" w:hanging="532"/>
        <w:spacing w:after="0" w:line="191" w:lineRule="auto"/>
        <w:tabs>
          <w:tab w:leader="none" w:pos="1080" w:val="left"/>
        </w:tabs>
        <w:numPr>
          <w:ilvl w:val="0"/>
          <w:numId w:val="6"/>
        </w:numPr>
        <w:rPr>
          <w:rFonts w:ascii="Arial" w:cs="Arial" w:eastAsia="Arial" w:hAnsi="Arial"/>
          <w:sz w:val="28"/>
          <w:szCs w:val="28"/>
          <w:color w:val="auto"/>
          <w:vertAlign w:val="superscript"/>
        </w:rPr>
      </w:pPr>
      <w:r>
        <w:rPr>
          <w:rFonts w:ascii="Arial" w:cs="Arial" w:eastAsia="Arial" w:hAnsi="Arial"/>
          <w:sz w:val="17"/>
          <w:szCs w:val="17"/>
          <w:color w:val="auto"/>
        </w:rPr>
        <w:t>our expectation regarding the timing of our filing of a New Drug Application with the U.S. Federal Food and Drug Administration requesting approval to market tenapanor for patients with irritable bowel syndrome with constipation, or IBS-C;</w:t>
      </w:r>
    </w:p>
    <w:p>
      <w:pPr>
        <w:spacing w:after="0" w:line="195" w:lineRule="exact"/>
        <w:rPr>
          <w:rFonts w:ascii="Arial" w:cs="Arial" w:eastAsia="Arial" w:hAnsi="Arial"/>
          <w:sz w:val="28"/>
          <w:szCs w:val="28"/>
          <w:color w:val="auto"/>
          <w:vertAlign w:val="superscript"/>
        </w:rPr>
      </w:pPr>
    </w:p>
    <w:p>
      <w:pPr>
        <w:ind w:left="1080" w:right="40" w:hanging="532"/>
        <w:spacing w:after="0" w:line="183"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expectation regarding the timing of receipt of results from our second Phase 3 clinical trial evaluating tenapanor for the treatment of hyperphosphatemia in patients with end-stage renal disease, or ESRD, on dialysis;</w:t>
      </w:r>
    </w:p>
    <w:p>
      <w:pPr>
        <w:spacing w:after="0" w:line="195" w:lineRule="exact"/>
        <w:rPr>
          <w:rFonts w:ascii="Arial" w:cs="Arial" w:eastAsia="Arial" w:hAnsi="Arial"/>
          <w:sz w:val="29"/>
          <w:szCs w:val="29"/>
          <w:color w:val="auto"/>
          <w:vertAlign w:val="superscript"/>
        </w:rPr>
      </w:pPr>
    </w:p>
    <w:p>
      <w:pPr>
        <w:ind w:left="1080" w:right="740" w:hanging="532"/>
        <w:spacing w:after="0" w:line="197"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expectations regarding our plans for and our participation in the commercialization of tenapanor for the treatment of hyperphosphatemia in ESRD patients on dialysis, including our expectations regarding our plans to build our own sales and marketing organization to market and sell tenapanor for such indication;</w:t>
      </w:r>
    </w:p>
    <w:p>
      <w:pPr>
        <w:spacing w:after="0" w:line="7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plans to seek one or more collaboration partners to commercialize tenapanor for IBS-C;</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expectations regarding the potential market size and the size of the patient populations for our product candidates;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plans with respect to our pre-clinical programs;</w:t>
      </w:r>
    </w:p>
    <w:p>
      <w:pPr>
        <w:spacing w:after="0" w:line="194"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ability to identify and validate targets and novel drug candidates using our proprietary drug discovery and design platform including the Ardelyx Primary Enterocyte and Colonocyte Culture System;</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the implementation of our business model and strategic plans for our business, product candidates and technology;</w:t>
      </w:r>
    </w:p>
    <w:p>
      <w:pPr>
        <w:spacing w:after="0" w:line="194" w:lineRule="exact"/>
        <w:rPr>
          <w:rFonts w:ascii="Arial" w:cs="Arial" w:eastAsia="Arial" w:hAnsi="Arial"/>
          <w:sz w:val="29"/>
          <w:szCs w:val="29"/>
          <w:color w:val="auto"/>
          <w:vertAlign w:val="superscript"/>
        </w:rPr>
      </w:pPr>
    </w:p>
    <w:p>
      <w:pPr>
        <w:ind w:left="1080" w:hanging="532"/>
        <w:spacing w:after="0" w:line="183"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estimates of our expenses, future revenue, capital requirements, our needs for additional financing and our ability to obtain additional capital;</w:t>
      </w:r>
    </w:p>
    <w:p>
      <w:pPr>
        <w:spacing w:after="0" w:line="195"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expectations regarding the time during which we will be an emerging growth company under the Jumpstart Our Business Startups Act of 2012;</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our financial performance; and</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6"/>
        </w:numPr>
        <w:rPr>
          <w:rFonts w:ascii="Arial" w:cs="Arial" w:eastAsia="Arial" w:hAnsi="Arial"/>
          <w:sz w:val="29"/>
          <w:szCs w:val="29"/>
          <w:color w:val="auto"/>
          <w:vertAlign w:val="superscript"/>
        </w:rPr>
      </w:pPr>
      <w:r>
        <w:rPr>
          <w:rFonts w:ascii="Arial" w:cs="Arial" w:eastAsia="Arial" w:hAnsi="Arial"/>
          <w:sz w:val="18"/>
          <w:szCs w:val="18"/>
          <w:color w:val="auto"/>
        </w:rPr>
        <w:t>developments and projections relating to our competitors and our industry.</w:t>
      </w:r>
    </w:p>
    <w:p>
      <w:pPr>
        <w:spacing w:after="0" w:line="20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You should read this prospectus and the documents incorporated by reference herein completely and with the understanding that our actual results may differ materially from what we expect as expressed or implied by our forward-looking statements. In light of the significant risks and uncertainties to which our forward-looking statements are subject, you should not place undue reliance on or regard these statements as a representation or warranty by us or any other person that we will achieve our objectives and plans in any specified timeframe, or at all. We discuss many of these risks in greater detail in the documents incorporated by reference herein, including under the heading "Risk Factors." These forward-looking statements represent our estimates and assumptions only as of the dates of this prospectus and the documents incorporated by reference herein and therein, regardless of the time of delivery of this prospectus or any sale of our common stock and, except as required by law, we undertake no obligation to update or revise publicly any forward-looking statements, whether as a result of new information, future events or otherwise after the date of this prospectus. For all forward-looking statements, we claim the protection of the safe harbor for forward-looking statements contained in the Private Securities Litigation Reform Act of 1995.</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4" w:lineRule="exact"/>
        <w:rPr>
          <w:sz w:val="20"/>
          <w:szCs w:val="20"/>
          <w:color w:val="auto"/>
        </w:rPr>
      </w:pPr>
    </w:p>
    <w:p>
      <w:pPr>
        <w:ind w:right="440"/>
        <w:spacing w:after="0" w:line="237" w:lineRule="auto"/>
        <w:rPr>
          <w:sz w:val="20"/>
          <w:szCs w:val="20"/>
          <w:color w:val="auto"/>
        </w:rPr>
      </w:pPr>
      <w:r>
        <w:rPr>
          <w:rFonts w:ascii="Arial" w:cs="Arial" w:eastAsia="Arial" w:hAnsi="Arial"/>
          <w:sz w:val="18"/>
          <w:szCs w:val="18"/>
          <w:color w:val="auto"/>
        </w:rPr>
        <w:t>We estimate that the net proceeds from this offering will be approximately $46.6 million after deducting the underwriting discounts and commissions and estimated offering expenses payable by us. If the underwriters exercise their option to purchase additional shares in full, we estimate that the net proceeds will be approximately $53.7 million after deducting the underwriting discounts and commissions and estimated offering expenses payable by us.</w:t>
      </w:r>
    </w:p>
    <w:p>
      <w:pPr>
        <w:spacing w:after="0" w:line="209"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currently expect to use our existing cash, cash equivalents and short-term investments and the net proceeds from this offering (i) to support our clinical development and pre-commercial activities for tenapanor for the treatment of hyperphosphatemia in end-stage renal disease patients on dialysis, (ii) to support the manufacturing efforts for tenapanor, (iii) to support identification of a clinical candidate for our RDX013 program for hyperkalemia and to conduct activities related to the submission of an investigational new drug application for the RDX013 program; (iv) to finalize the preparation and submission of the New Drug Application for tenapanor for IBS-C, and (v) for general business purposes including supporting working capital requirements.</w:t>
      </w:r>
    </w:p>
    <w:p>
      <w:pPr>
        <w:spacing w:after="0" w:line="210"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amounts and timing of our actual expenditures will depend on numerous factors, including our clinical and pre-commercial activities with respect to tenapanor for the treatment of hyperphosphatemia in end-stage renal disease on dialysis, our manufacturing efforts for tenapanor, as well as the amount of cash used in our operations. We therefore cannot estimate with certainty the amount of net proceeds to be used for the purposes described above. We may find it necessary or advisable to use the net proceeds for other purposes, and we will have broad discretion in the application of the net proceeds. Pending the uses described above, we plan to invest the net proceeds from this offering in interest-bearing investment-grade securities, certificates of deposit or government securities.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CAPITALIZATION</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cash, cash equivalents and short-term investments and capitalization as of March 31, 2018:</w:t>
      </w:r>
    </w:p>
    <w:p>
      <w:pPr>
        <w:spacing w:after="0" w:line="89"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on an actual basis; and</w:t>
      </w:r>
    </w:p>
    <w:p>
      <w:pPr>
        <w:spacing w:after="0" w:line="194" w:lineRule="exact"/>
        <w:rPr>
          <w:rFonts w:ascii="Arial" w:cs="Arial" w:eastAsia="Arial" w:hAnsi="Arial"/>
          <w:sz w:val="29"/>
          <w:szCs w:val="29"/>
          <w:color w:val="auto"/>
          <w:vertAlign w:val="superscript"/>
        </w:rPr>
      </w:pPr>
    </w:p>
    <w:p>
      <w:pPr>
        <w:ind w:left="1080" w:right="60" w:hanging="532"/>
        <w:spacing w:after="0" w:line="197" w:lineRule="auto"/>
        <w:tabs>
          <w:tab w:leader="none" w:pos="10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on an as adjusted basis to give effect to the issuance and sale by us of 12,500,000 shares of our common stock in this offering at the public offering price of $4.00 per share and after deducting the underwriting discounts and commissions and estimated offering expenses payable by us.</w:t>
      </w:r>
    </w:p>
    <w:p>
      <w:pPr>
        <w:spacing w:after="0" w:line="21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You should read this information together with our audited financial statements and related notes incorporated by reference in this prospectus. For more details on how you can obtain our SEC reports and other information, you should read the section of the prospectus supplement entitled "Where You Can Find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gridSpan w:val="7"/>
          </w:tcPr>
          <w:p>
            <w:pPr>
              <w:jc w:val="center"/>
              <w:ind w:right="1500"/>
              <w:spacing w:after="0"/>
              <w:rPr>
                <w:sz w:val="20"/>
                <w:szCs w:val="20"/>
                <w:color w:val="auto"/>
              </w:rPr>
            </w:pPr>
            <w:r>
              <w:rPr>
                <w:rFonts w:ascii="Arial" w:cs="Arial" w:eastAsia="Arial" w:hAnsi="Arial"/>
                <w:sz w:val="14"/>
                <w:szCs w:val="14"/>
                <w:b w:val="1"/>
                <w:bCs w:val="1"/>
                <w:color w:val="auto"/>
              </w:rPr>
              <w:t>As of March 31, 2018</w:t>
            </w: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340"/>
              <w:spacing w:after="0" w:line="155" w:lineRule="exact"/>
              <w:rPr>
                <w:sz w:val="20"/>
                <w:szCs w:val="20"/>
                <w:color w:val="auto"/>
              </w:rPr>
            </w:pPr>
            <w:r>
              <w:rPr>
                <w:rFonts w:ascii="Arial" w:cs="Arial" w:eastAsia="Arial" w:hAnsi="Arial"/>
                <w:sz w:val="14"/>
                <w:szCs w:val="14"/>
                <w:b w:val="1"/>
                <w:bCs w:val="1"/>
                <w:color w:val="auto"/>
              </w:rPr>
              <w:t>Actual</w:t>
            </w:r>
          </w:p>
        </w:tc>
        <w:tc>
          <w:tcPr>
            <w:tcW w:w="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As Adjusted</w:t>
            </w:r>
          </w:p>
        </w:tc>
        <w:tc>
          <w:tcPr>
            <w:tcW w:w="13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6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gridSpan w:val="2"/>
          </w:tcPr>
          <w:p>
            <w:pPr>
              <w:jc w:val="right"/>
              <w:spacing w:after="0" w:line="143" w:lineRule="exact"/>
              <w:rPr>
                <w:sz w:val="20"/>
                <w:szCs w:val="20"/>
                <w:color w:val="auto"/>
              </w:rPr>
            </w:pPr>
            <w:r>
              <w:rPr>
                <w:rFonts w:ascii="Arial" w:cs="Arial" w:eastAsia="Arial" w:hAnsi="Arial"/>
                <w:sz w:val="14"/>
                <w:szCs w:val="14"/>
                <w:b w:val="1"/>
                <w:bCs w:val="1"/>
                <w:color w:val="auto"/>
                <w:w w:val="94"/>
              </w:rPr>
              <w:t>(in thousands,</w:t>
            </w:r>
          </w:p>
        </w:tc>
        <w:tc>
          <w:tcPr>
            <w:tcW w:w="160" w:type="dxa"/>
            <w:vAlign w:val="bottom"/>
            <w:gridSpan w:val="2"/>
          </w:tcPr>
          <w:p>
            <w:pPr>
              <w:spacing w:after="0"/>
              <w:rPr>
                <w:sz w:val="12"/>
                <w:szCs w:val="12"/>
                <w:color w:val="auto"/>
              </w:rPr>
            </w:pPr>
          </w:p>
        </w:tc>
        <w:tc>
          <w:tcPr>
            <w:tcW w:w="920" w:type="dxa"/>
            <w:vAlign w:val="bottom"/>
            <w:tcBorders>
              <w:top w:val="single" w:sz="8" w:color="auto"/>
            </w:tcBorders>
            <w:gridSpan w:val="2"/>
          </w:tcPr>
          <w:p>
            <w:pPr>
              <w:spacing w:after="0" w:line="143" w:lineRule="exact"/>
              <w:rPr>
                <w:sz w:val="20"/>
                <w:szCs w:val="20"/>
                <w:color w:val="auto"/>
              </w:rPr>
            </w:pPr>
            <w:r>
              <w:rPr>
                <w:rFonts w:ascii="Arial" w:cs="Arial" w:eastAsia="Arial" w:hAnsi="Arial"/>
                <w:sz w:val="14"/>
                <w:szCs w:val="14"/>
                <w:b w:val="1"/>
                <w:bCs w:val="1"/>
                <w:color w:val="auto"/>
              </w:rPr>
              <w:t>except share</w:t>
            </w:r>
          </w:p>
        </w:tc>
        <w:tc>
          <w:tcPr>
            <w:tcW w:w="1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60" w:type="dxa"/>
            <w:vAlign w:val="bottom"/>
            <w:gridSpan w:val="7"/>
          </w:tcPr>
          <w:p>
            <w:pPr>
              <w:jc w:val="center"/>
              <w:ind w:right="1480"/>
              <w:spacing w:after="0"/>
              <w:rPr>
                <w:sz w:val="20"/>
                <w:szCs w:val="20"/>
                <w:color w:val="auto"/>
              </w:rPr>
            </w:pPr>
            <w:r>
              <w:rPr>
                <w:rFonts w:ascii="Arial" w:cs="Arial" w:eastAsia="Arial" w:hAnsi="Arial"/>
                <w:sz w:val="14"/>
                <w:szCs w:val="14"/>
                <w:b w:val="1"/>
                <w:bCs w:val="1"/>
                <w:color w:val="auto"/>
              </w:rPr>
              <w:t>and per share data)</w:t>
            </w: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cash equivalents and short-term investments</w:t>
            </w: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127,449</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174,069</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960" w:type="dxa"/>
            <w:vAlign w:val="bottom"/>
            <w:gridSpan w:val="2"/>
            <w:vMerge w:val="restart"/>
          </w:tcPr>
          <w:p>
            <w:pPr>
              <w:ind w:left="1140"/>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96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800" w:type="dxa"/>
            <w:vAlign w:val="bottom"/>
            <w:shd w:val="clear" w:color="auto" w:fill="CCEEFF"/>
          </w:tcPr>
          <w:p>
            <w:pPr>
              <w:ind w:left="160"/>
              <w:spacing w:after="0" w:line="206" w:lineRule="exact"/>
              <w:rPr>
                <w:sz w:val="20"/>
                <w:szCs w:val="20"/>
                <w:color w:val="auto"/>
              </w:rPr>
            </w:pPr>
            <w:r>
              <w:rPr>
                <w:rFonts w:ascii="Arial" w:cs="Arial" w:eastAsia="Arial" w:hAnsi="Arial"/>
                <w:sz w:val="18"/>
                <w:szCs w:val="18"/>
                <w:color w:val="auto"/>
                <w:w w:val="99"/>
              </w:rPr>
              <w:t>Preferred stock — $0.0001 par value — 5,000,000 shares authorized, actual and as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6800" w:type="dxa"/>
            <w:vAlign w:val="bottom"/>
            <w:shd w:val="clear" w:color="auto" w:fill="CCEEFF"/>
          </w:tcPr>
          <w:p>
            <w:pPr>
              <w:ind w:left="320"/>
              <w:spacing w:after="0" w:line="200" w:lineRule="exact"/>
              <w:rPr>
                <w:sz w:val="20"/>
                <w:szCs w:val="20"/>
                <w:color w:val="auto"/>
              </w:rPr>
            </w:pPr>
            <w:r>
              <w:rPr>
                <w:rFonts w:ascii="Arial" w:cs="Arial" w:eastAsia="Arial" w:hAnsi="Arial"/>
                <w:sz w:val="18"/>
                <w:szCs w:val="18"/>
                <w:color w:val="auto"/>
              </w:rPr>
              <w:t>adjusted; no shares issued or outstanding, actual and as adjusted</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0"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800" w:type="dxa"/>
            <w:vAlign w:val="bottom"/>
          </w:tcPr>
          <w:p>
            <w:pPr>
              <w:ind w:left="160"/>
              <w:spacing w:after="0" w:line="206" w:lineRule="exact"/>
              <w:rPr>
                <w:sz w:val="20"/>
                <w:szCs w:val="20"/>
                <w:color w:val="auto"/>
              </w:rPr>
            </w:pPr>
            <w:r>
              <w:rPr>
                <w:rFonts w:ascii="Arial" w:cs="Arial" w:eastAsia="Arial" w:hAnsi="Arial"/>
                <w:sz w:val="18"/>
                <w:szCs w:val="18"/>
                <w:color w:val="auto"/>
              </w:rPr>
              <w:t>Common stock — $0.0001 par value — authorized, 300,000,000 actual and as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160" w:type="dxa"/>
            <w:vAlign w:val="bottom"/>
          </w:tcPr>
          <w:p>
            <w:pPr>
              <w:spacing w:after="0"/>
              <w:rPr>
                <w:sz w:val="17"/>
                <w:szCs w:val="17"/>
                <w:color w:val="auto"/>
              </w:rPr>
            </w:pPr>
          </w:p>
        </w:tc>
        <w:tc>
          <w:tcPr>
            <w:tcW w:w="6800" w:type="dxa"/>
            <w:vAlign w:val="bottom"/>
          </w:tcPr>
          <w:p>
            <w:pPr>
              <w:ind w:left="320"/>
              <w:spacing w:after="0" w:line="200" w:lineRule="exact"/>
              <w:rPr>
                <w:sz w:val="20"/>
                <w:szCs w:val="20"/>
                <w:color w:val="auto"/>
              </w:rPr>
            </w:pPr>
            <w:r>
              <w:rPr>
                <w:rFonts w:ascii="Arial" w:cs="Arial" w:eastAsia="Arial" w:hAnsi="Arial"/>
                <w:sz w:val="18"/>
                <w:szCs w:val="18"/>
                <w:color w:val="auto"/>
              </w:rPr>
              <w:t>adjusted; issued and outstanding, 47,603,568 actual and 60,103,568 as adjusted</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line="200" w:lineRule="exact"/>
              <w:rPr>
                <w:sz w:val="20"/>
                <w:szCs w:val="20"/>
                <w:color w:val="auto"/>
              </w:rPr>
            </w:pPr>
            <w:r>
              <w:rPr>
                <w:rFonts w:ascii="Arial" w:cs="Arial" w:eastAsia="Arial" w:hAnsi="Arial"/>
                <w:sz w:val="18"/>
                <w:szCs w:val="18"/>
                <w:color w:val="auto"/>
              </w:rPr>
              <w:t>5</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420,294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466,914</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00" w:type="dxa"/>
            <w:vAlign w:val="bottom"/>
          </w:tcPr>
          <w:p>
            <w:pPr>
              <w:ind w:left="16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(291,232)</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(291,232)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800" w:type="dxa"/>
            <w:vAlign w:val="bottom"/>
          </w:tcPr>
          <w:p>
            <w:pPr>
              <w:ind w:left="320"/>
              <w:spacing w:after="0" w:line="196" w:lineRule="exact"/>
              <w:rPr>
                <w:sz w:val="20"/>
                <w:szCs w:val="20"/>
                <w:color w:val="auto"/>
              </w:rPr>
            </w:pPr>
            <w:r>
              <w:rPr>
                <w:rFonts w:ascii="Arial" w:cs="Arial" w:eastAsia="Arial" w:hAnsi="Arial"/>
                <w:sz w:val="18"/>
                <w:szCs w:val="18"/>
                <w:color w:val="auto"/>
              </w:rPr>
              <w:t>Total stockholders' equity</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128,976</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175,596</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800" w:type="dxa"/>
            <w:vAlign w:val="bottom"/>
            <w:shd w:val="clear" w:color="auto" w:fill="CCEEFF"/>
          </w:tcPr>
          <w:p>
            <w:pPr>
              <w:ind w:left="480"/>
              <w:spacing w:after="0" w:line="196" w:lineRule="exact"/>
              <w:rPr>
                <w:sz w:val="20"/>
                <w:szCs w:val="20"/>
                <w:color w:val="auto"/>
              </w:rPr>
            </w:pPr>
            <w:r>
              <w:rPr>
                <w:rFonts w:ascii="Arial" w:cs="Arial" w:eastAsia="Arial" w:hAnsi="Arial"/>
                <w:sz w:val="18"/>
                <w:szCs w:val="18"/>
                <w:color w:val="auto"/>
              </w:rPr>
              <w:t>Total capitalization</w:t>
            </w:r>
          </w:p>
        </w:tc>
        <w:tc>
          <w:tcPr>
            <w:tcW w:w="3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128,976</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60"/>
              <w:spacing w:after="0" w:line="196"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175,596</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68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520"/>
        <w:spacing w:after="0" w:line="239" w:lineRule="auto"/>
        <w:rPr>
          <w:sz w:val="20"/>
          <w:szCs w:val="20"/>
          <w:color w:val="auto"/>
        </w:rPr>
      </w:pPr>
      <w:r>
        <w:rPr>
          <w:rFonts w:ascii="Arial" w:cs="Arial" w:eastAsia="Arial" w:hAnsi="Arial"/>
          <w:sz w:val="18"/>
          <w:szCs w:val="18"/>
          <w:color w:val="auto"/>
        </w:rPr>
        <w:t>The outstanding share information in the table above is based on 47,603,568 shares of common stock outstanding as of March 31, 2018 and excludes the following, in each case as of such date:</w:t>
      </w:r>
    </w:p>
    <w:p>
      <w:pPr>
        <w:spacing w:after="0" w:line="209" w:lineRule="exact"/>
        <w:rPr>
          <w:sz w:val="20"/>
          <w:szCs w:val="20"/>
          <w:color w:val="auto"/>
        </w:rPr>
      </w:pPr>
    </w:p>
    <w:p>
      <w:pPr>
        <w:ind w:left="1080" w:right="400" w:hanging="532"/>
        <w:spacing w:after="0" w:line="183" w:lineRule="auto"/>
        <w:tabs>
          <w:tab w:leader="none" w:pos="10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5,227,555 shares of common stock issuable upon the exercise of outstanding stock options having a weighted-average exercise price of $9.61 per share;</w:t>
      </w:r>
    </w:p>
    <w:p>
      <w:pPr>
        <w:spacing w:after="0" w:line="8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2,172,899 shares of common stock issuable upon the exercise of outstanding warrants having an exercise price of $13.91 per share;</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635,445 shares of common stock issuable upon the settlement of outstanding restricted stock units;</w:t>
      </w:r>
    </w:p>
    <w:p>
      <w:pPr>
        <w:spacing w:after="0" w:line="194"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95" w:lineRule="exact"/>
        <w:rPr>
          <w:rFonts w:ascii="Arial" w:cs="Arial" w:eastAsia="Arial" w:hAnsi="Arial"/>
          <w:sz w:val="29"/>
          <w:szCs w:val="29"/>
          <w:color w:val="auto"/>
          <w:vertAlign w:val="superscript"/>
        </w:rPr>
      </w:pPr>
    </w:p>
    <w:p>
      <w:pPr>
        <w:ind w:left="1080" w:right="100" w:hanging="532"/>
        <w:spacing w:after="0" w:line="191" w:lineRule="auto"/>
        <w:tabs>
          <w:tab w:leader="none" w:pos="1080" w:val="left"/>
        </w:tabs>
        <w:numPr>
          <w:ilvl w:val="0"/>
          <w:numId w:val="8"/>
        </w:numPr>
        <w:rPr>
          <w:rFonts w:ascii="Arial" w:cs="Arial" w:eastAsia="Arial" w:hAnsi="Arial"/>
          <w:sz w:val="28"/>
          <w:szCs w:val="28"/>
          <w:color w:val="auto"/>
          <w:vertAlign w:val="superscript"/>
        </w:rPr>
      </w:pPr>
      <w:r>
        <w:rPr>
          <w:rFonts w:ascii="Arial" w:cs="Arial" w:eastAsia="Arial" w:hAnsi="Arial"/>
          <w:sz w:val="17"/>
          <w:szCs w:val="17"/>
          <w:color w:val="auto"/>
        </w:rPr>
        <w:t>1,718,410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95" w:lineRule="exact"/>
        <w:rPr>
          <w:rFonts w:ascii="Arial" w:cs="Arial" w:eastAsia="Arial" w:hAnsi="Arial"/>
          <w:sz w:val="28"/>
          <w:szCs w:val="28"/>
          <w:color w:val="auto"/>
          <w:vertAlign w:val="superscript"/>
        </w:rPr>
      </w:pPr>
    </w:p>
    <w:p>
      <w:pPr>
        <w:ind w:left="1080" w:right="220" w:hanging="532"/>
        <w:spacing w:after="0" w:line="183" w:lineRule="auto"/>
        <w:tabs>
          <w:tab w:leader="none" w:pos="1080" w:val="left"/>
        </w:tabs>
        <w:numPr>
          <w:ilvl w:val="0"/>
          <w:numId w:val="8"/>
        </w:numPr>
        <w:rPr>
          <w:rFonts w:ascii="Arial" w:cs="Arial" w:eastAsia="Arial" w:hAnsi="Arial"/>
          <w:sz w:val="29"/>
          <w:szCs w:val="29"/>
          <w:color w:val="auto"/>
          <w:vertAlign w:val="superscript"/>
        </w:rPr>
      </w:pPr>
      <w:r>
        <w:rPr>
          <w:rFonts w:ascii="Arial" w:cs="Arial" w:eastAsia="Arial" w:hAnsi="Arial"/>
          <w:sz w:val="18"/>
          <w:szCs w:val="18"/>
          <w:color w:val="auto"/>
        </w:rPr>
        <w:t>110,080 shares of common stock reserved for future issuance under our Employee Stock Purchase Plan, as well as any automatic increases in the number of shares of our common stock reserved for future issuance under this plan.</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DILUTION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If you invest in our common stock in this offering, your interest will be immediately diluted to the extent of the difference between the public offering price per share of our common stock in this offering and the net tangible book value per share of our common stock after this offering. As of March 31, 2018, we had a historical net tangible book value of $129.0 million, or $2.71 per share of common stock. Our net tangible book value represents total tangible assets less total liabilities and convertible preferred stock, all divided by the number of shares of common stock outstanding on March 31, 2018.</w:t>
      </w:r>
    </w:p>
    <w:p>
      <w:pPr>
        <w:spacing w:after="0" w:line="21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After giving effect to the sale of shares of common stock in this offering based on the public offering price of our common stock, or $4.00 per share, and after deducting the underwriting discounts and commissions and estimated offering expenses, our as adjusted net tangible book value at March 31, 2018 would have been approximately $175.6 million, or $2.92 per share. This represents an immediate increase in as adjusted net tangible book value of $0.21 per share to existing stockholders and an immediate dilution of $1.08 per share to new investors. The following table illustrates this per share dilution: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420" w:type="dxa"/>
            <w:vAlign w:val="bottom"/>
          </w:tcPr>
          <w:p>
            <w:pPr>
              <w:ind w:left="160"/>
              <w:spacing w:after="0" w:line="202" w:lineRule="exact"/>
              <w:rPr>
                <w:sz w:val="20"/>
                <w:szCs w:val="20"/>
                <w:color w:val="auto"/>
              </w:rPr>
            </w:pPr>
            <w:r>
              <w:rPr>
                <w:rFonts w:ascii="Arial" w:cs="Arial" w:eastAsia="Arial" w:hAnsi="Arial"/>
                <w:sz w:val="18"/>
                <w:szCs w:val="18"/>
                <w:color w:val="auto"/>
              </w:rPr>
              <w:t>Net tangible book value per share as of March 31, 2018</w:t>
            </w:r>
          </w:p>
        </w:tc>
        <w:tc>
          <w:tcPr>
            <w:tcW w:w="3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ind w:right="72"/>
              <w:spacing w:after="0" w:line="202" w:lineRule="exact"/>
              <w:rPr>
                <w:sz w:val="20"/>
                <w:szCs w:val="20"/>
                <w:color w:val="auto"/>
              </w:rPr>
            </w:pPr>
            <w:r>
              <w:rPr>
                <w:rFonts w:ascii="Arial" w:cs="Arial" w:eastAsia="Arial" w:hAnsi="Arial"/>
                <w:sz w:val="18"/>
                <w:szCs w:val="18"/>
                <w:color w:val="auto"/>
              </w:rPr>
              <w:t>2.71</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74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Increase per share attributable to new investors</w:t>
            </w:r>
          </w:p>
        </w:tc>
        <w:tc>
          <w:tcPr>
            <w:tcW w:w="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0.21</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6"/>
        </w:trPr>
        <w:tc>
          <w:tcPr>
            <w:tcW w:w="8580" w:type="dxa"/>
            <w:vAlign w:val="bottom"/>
            <w:gridSpan w:val="2"/>
          </w:tcPr>
          <w:p>
            <w:pPr>
              <w:ind w:left="1140"/>
              <w:spacing w:after="0" w:line="206" w:lineRule="exact"/>
              <w:rPr>
                <w:sz w:val="20"/>
                <w:szCs w:val="20"/>
                <w:color w:val="auto"/>
              </w:rPr>
            </w:pPr>
            <w:r>
              <w:rPr>
                <w:rFonts w:ascii="Arial" w:cs="Arial" w:eastAsia="Arial" w:hAnsi="Arial"/>
                <w:sz w:val="18"/>
                <w:szCs w:val="18"/>
                <w:color w:val="auto"/>
              </w:rPr>
              <w:t>As adjusted net tangible book value per share as of March 31, 2018, after giving effect to this</w:t>
            </w: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9"/>
        </w:trPr>
        <w:tc>
          <w:tcPr>
            <w:tcW w:w="1160" w:type="dxa"/>
            <w:vAlign w:val="bottom"/>
          </w:tcPr>
          <w:p>
            <w:pPr>
              <w:spacing w:after="0"/>
              <w:rPr>
                <w:sz w:val="17"/>
                <w:szCs w:val="17"/>
                <w:color w:val="auto"/>
              </w:rPr>
            </w:pPr>
          </w:p>
        </w:tc>
        <w:tc>
          <w:tcPr>
            <w:tcW w:w="7420" w:type="dxa"/>
            <w:vAlign w:val="bottom"/>
          </w:tcPr>
          <w:p>
            <w:pPr>
              <w:ind w:left="160"/>
              <w:spacing w:after="0" w:line="200" w:lineRule="exact"/>
              <w:rPr>
                <w:sz w:val="20"/>
                <w:szCs w:val="20"/>
                <w:color w:val="auto"/>
              </w:rPr>
            </w:pPr>
            <w:r>
              <w:rPr>
                <w:rFonts w:ascii="Arial" w:cs="Arial" w:eastAsia="Arial" w:hAnsi="Arial"/>
                <w:sz w:val="18"/>
                <w:szCs w:val="18"/>
                <w:color w:val="auto"/>
              </w:rPr>
              <w:t>offering</w:t>
            </w:r>
          </w:p>
        </w:tc>
        <w:tc>
          <w:tcPr>
            <w:tcW w:w="380" w:type="dxa"/>
            <w:vAlign w:val="bottom"/>
          </w:tcPr>
          <w:p>
            <w:pPr>
              <w:spacing w:after="0"/>
              <w:rPr>
                <w:sz w:val="17"/>
                <w:szCs w:val="17"/>
                <w:color w:val="auto"/>
              </w:rPr>
            </w:pPr>
          </w:p>
        </w:tc>
        <w:tc>
          <w:tcPr>
            <w:tcW w:w="74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jc w:val="right"/>
              <w:spacing w:after="0" w:line="200" w:lineRule="exact"/>
              <w:rPr>
                <w:sz w:val="20"/>
                <w:szCs w:val="20"/>
                <w:color w:val="auto"/>
              </w:rPr>
            </w:pPr>
            <w:r>
              <w:rPr>
                <w:rFonts w:ascii="Arial" w:cs="Arial" w:eastAsia="Arial" w:hAnsi="Arial"/>
                <w:sz w:val="18"/>
                <w:szCs w:val="18"/>
                <w:color w:val="auto"/>
              </w:rPr>
              <w:t>2.92</w:t>
            </w: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Dilution per share to new investors purchasing our common stock in this offering</w:t>
            </w:r>
          </w:p>
        </w:tc>
        <w:tc>
          <w:tcPr>
            <w:tcW w:w="3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89"/>
        </w:trPr>
        <w:tc>
          <w:tcPr>
            <w:tcW w:w="1160" w:type="dxa"/>
            <w:vAlign w:val="bottom"/>
            <w:tcBorders>
              <w:bottom w:val="single" w:sz="8" w:color="auto"/>
            </w:tcBorders>
          </w:tcPr>
          <w:p>
            <w:pPr>
              <w:spacing w:after="0"/>
              <w:rPr>
                <w:sz w:val="7"/>
                <w:szCs w:val="7"/>
                <w:color w:val="auto"/>
              </w:rPr>
            </w:pPr>
          </w:p>
        </w:tc>
        <w:tc>
          <w:tcPr>
            <w:tcW w:w="74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If the underwriters fully exercise their option to purchase additional shares, as adjusted net tangible book value after this offering would increase to approximately $2.95 per share, and there would be an immediate dilution of approximately $1.05 per share to new investors.</w:t>
      </w:r>
    </w:p>
    <w:p>
      <w:pPr>
        <w:spacing w:after="0" w:line="209"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To the extent that outstanding options or warrants are exercised, investors purchasing our common stock in this offering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to be outstanding after this offering is based on 47,603,568 shares of common stock outstanding as of</w:t>
      </w:r>
    </w:p>
    <w:p>
      <w:pPr>
        <w:spacing w:after="0"/>
        <w:rPr>
          <w:sz w:val="20"/>
          <w:szCs w:val="20"/>
          <w:color w:val="auto"/>
        </w:rPr>
      </w:pPr>
      <w:r>
        <w:rPr>
          <w:rFonts w:ascii="Arial" w:cs="Arial" w:eastAsia="Arial" w:hAnsi="Arial"/>
          <w:sz w:val="18"/>
          <w:szCs w:val="18"/>
          <w:color w:val="auto"/>
        </w:rPr>
        <w:t>March 31, 2018, and excludes the following, in each case as of such date:</w:t>
      </w:r>
    </w:p>
    <w:p>
      <w:pPr>
        <w:spacing w:after="0" w:line="212" w:lineRule="exact"/>
        <w:rPr>
          <w:sz w:val="20"/>
          <w:szCs w:val="20"/>
          <w:color w:val="auto"/>
        </w:rPr>
      </w:pPr>
    </w:p>
    <w:p>
      <w:pPr>
        <w:ind w:left="1080" w:right="400" w:hanging="532"/>
        <w:spacing w:after="0" w:line="183" w:lineRule="auto"/>
        <w:tabs>
          <w:tab w:leader="none" w:pos="10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5,227,555 shares of common stock issuable upon the exercise of outstanding stock options having a weighted-average exercise price of $9.61 per share;</w:t>
      </w:r>
    </w:p>
    <w:p>
      <w:pPr>
        <w:spacing w:after="0" w:line="8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2,172,899 shares of common stock issuable upon the exercise of outstanding warrants having an exercise price of $13.91 per share;</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635,445 shares of common stock issuable upon the settlement of outstanding restricted stock units;</w:t>
      </w:r>
    </w:p>
    <w:p>
      <w:pPr>
        <w:spacing w:after="0" w:line="194" w:lineRule="exact"/>
        <w:rPr>
          <w:rFonts w:ascii="Arial" w:cs="Arial" w:eastAsia="Arial" w:hAnsi="Arial"/>
          <w:sz w:val="29"/>
          <w:szCs w:val="29"/>
          <w:color w:val="auto"/>
          <w:vertAlign w:val="superscript"/>
        </w:rPr>
      </w:pPr>
    </w:p>
    <w:p>
      <w:pPr>
        <w:ind w:left="1080" w:right="260" w:hanging="532"/>
        <w:spacing w:after="0" w:line="183" w:lineRule="auto"/>
        <w:tabs>
          <w:tab w:leader="none" w:pos="10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1,000,000 shares of common stock reserved for issuance pursuant to future awards under our 2016 Employment Commencement Inducement Plan;</w:t>
      </w:r>
    </w:p>
    <w:p>
      <w:pPr>
        <w:spacing w:after="0" w:line="195" w:lineRule="exact"/>
        <w:rPr>
          <w:rFonts w:ascii="Arial" w:cs="Arial" w:eastAsia="Arial" w:hAnsi="Arial"/>
          <w:sz w:val="29"/>
          <w:szCs w:val="29"/>
          <w:color w:val="auto"/>
          <w:vertAlign w:val="superscript"/>
        </w:rPr>
      </w:pPr>
    </w:p>
    <w:p>
      <w:pPr>
        <w:ind w:left="1080" w:right="100" w:hanging="532"/>
        <w:spacing w:after="0" w:line="191" w:lineRule="auto"/>
        <w:tabs>
          <w:tab w:leader="none" w:pos="108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1,718,410 shares of common stock reserved for issuance pursuant to future awards under our 2014 Equity Incentive Award Plan, as well as any automatic increases in the number of shares of our common stock reserved for future issuance under this plan; and</w:t>
      </w:r>
    </w:p>
    <w:p>
      <w:pPr>
        <w:spacing w:after="0" w:line="195" w:lineRule="exact"/>
        <w:rPr>
          <w:rFonts w:ascii="Arial" w:cs="Arial" w:eastAsia="Arial" w:hAnsi="Arial"/>
          <w:sz w:val="28"/>
          <w:szCs w:val="28"/>
          <w:color w:val="auto"/>
          <w:vertAlign w:val="superscript"/>
        </w:rPr>
      </w:pPr>
    </w:p>
    <w:p>
      <w:pPr>
        <w:ind w:left="1080" w:right="220" w:hanging="532"/>
        <w:spacing w:after="0" w:line="183" w:lineRule="auto"/>
        <w:tabs>
          <w:tab w:leader="none" w:pos="1080" w:val="left"/>
        </w:tabs>
        <w:numPr>
          <w:ilvl w:val="0"/>
          <w:numId w:val="9"/>
        </w:numPr>
        <w:rPr>
          <w:rFonts w:ascii="Arial" w:cs="Arial" w:eastAsia="Arial" w:hAnsi="Arial"/>
          <w:sz w:val="29"/>
          <w:szCs w:val="29"/>
          <w:color w:val="auto"/>
          <w:vertAlign w:val="superscript"/>
        </w:rPr>
      </w:pPr>
      <w:r>
        <w:rPr>
          <w:rFonts w:ascii="Arial" w:cs="Arial" w:eastAsia="Arial" w:hAnsi="Arial"/>
          <w:sz w:val="18"/>
          <w:szCs w:val="18"/>
          <w:color w:val="auto"/>
        </w:rPr>
        <w:t>110,080 shares of common stock reserved for future issuance under our Employee Stock Purchase Plan, as well as any automatic increases in the number of shares of our common stock reserved for future issuance under this plan.</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PRICE RANGE OF COMMON STOCK</w:t>
      </w:r>
    </w:p>
    <w:p>
      <w:pPr>
        <w:spacing w:after="0" w:line="234"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Our common stock commenced trading on The Nasdaq Global Market under the symbol "ARDX" on June 19, 2014. Prior to that date, there was no public trading market for our common stock. The following table sets forth, for the periods indicated, the high and low reported sales prices of our common stock as reported on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637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00" w:type="dxa"/>
            <w:vAlign w:val="bottom"/>
            <w:gridSpan w:val="3"/>
          </w:tcPr>
          <w:p>
            <w:pPr>
              <w:ind w:left="80"/>
              <w:spacing w:after="0"/>
              <w:rPr>
                <w:sz w:val="20"/>
                <w:szCs w:val="20"/>
                <w:color w:val="auto"/>
              </w:rPr>
            </w:pPr>
            <w:r>
              <w:rPr>
                <w:rFonts w:ascii="Arial" w:cs="Arial" w:eastAsia="Arial" w:hAnsi="Arial"/>
                <w:sz w:val="14"/>
                <w:szCs w:val="14"/>
                <w:b w:val="1"/>
                <w:bCs w:val="1"/>
                <w:color w:val="auto"/>
              </w:rPr>
              <w:t>Low</w:t>
            </w:r>
          </w:p>
        </w:tc>
      </w:tr>
      <w:tr>
        <w:trPr>
          <w:trHeight w:val="196"/>
        </w:trPr>
        <w:tc>
          <w:tcPr>
            <w:tcW w:w="1720" w:type="dxa"/>
            <w:vAlign w:val="bottom"/>
          </w:tcPr>
          <w:p>
            <w:pPr>
              <w:spacing w:after="0"/>
              <w:rPr>
                <w:sz w:val="17"/>
                <w:szCs w:val="17"/>
                <w:color w:val="auto"/>
              </w:rPr>
            </w:pPr>
          </w:p>
        </w:tc>
        <w:tc>
          <w:tcPr>
            <w:tcW w:w="47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Year ending December 31, 2016</w:t>
            </w:r>
          </w:p>
        </w:tc>
        <w:tc>
          <w:tcPr>
            <w:tcW w:w="14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First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17.90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6.84</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Second Quarter</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9.81</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6.36</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Third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13.29</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8.42</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Fourth Quarter</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16.30</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10.55</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spacing w:after="0" w:line="202" w:lineRule="exact"/>
              <w:rPr>
                <w:sz w:val="20"/>
                <w:szCs w:val="20"/>
                <w:color w:val="auto"/>
              </w:rPr>
            </w:pPr>
            <w:r>
              <w:rPr>
                <w:rFonts w:ascii="Arial" w:cs="Arial" w:eastAsia="Arial" w:hAnsi="Arial"/>
                <w:sz w:val="18"/>
                <w:szCs w:val="18"/>
                <w:b w:val="1"/>
                <w:bCs w:val="1"/>
                <w:color w:val="auto"/>
              </w:rPr>
              <w:t>Year ending December 31, 2017</w:t>
            </w: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First Quarter</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15.40</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10.95</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Second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14.10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4.05</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Third Quarter</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6.20</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4.28</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Fourth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8.65</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4.75</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Year ending December 31, 2018</w:t>
            </w: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tcPr>
          <w:p>
            <w:pPr>
              <w:ind w:left="160"/>
              <w:spacing w:after="0" w:line="202" w:lineRule="exact"/>
              <w:rPr>
                <w:sz w:val="20"/>
                <w:szCs w:val="20"/>
                <w:color w:val="auto"/>
              </w:rPr>
            </w:pPr>
            <w:r>
              <w:rPr>
                <w:rFonts w:ascii="Arial" w:cs="Arial" w:eastAsia="Arial" w:hAnsi="Arial"/>
                <w:sz w:val="18"/>
                <w:szCs w:val="18"/>
                <w:color w:val="auto"/>
              </w:rPr>
              <w:t>First Quarter</w:t>
            </w:r>
          </w:p>
        </w:tc>
        <w:tc>
          <w:tcPr>
            <w:tcW w:w="15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8.10</w:t>
            </w:r>
          </w:p>
        </w:tc>
        <w:tc>
          <w:tcPr>
            <w:tcW w:w="3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5.02</w:t>
            </w:r>
          </w:p>
        </w:tc>
        <w:tc>
          <w:tcPr>
            <w:tcW w:w="1740" w:type="dxa"/>
            <w:vAlign w:val="bottom"/>
          </w:tcPr>
          <w:p>
            <w:pPr>
              <w:spacing w:after="0"/>
              <w:rPr>
                <w:sz w:val="17"/>
                <w:szCs w:val="17"/>
                <w:color w:val="auto"/>
              </w:rPr>
            </w:pPr>
          </w:p>
        </w:tc>
      </w:tr>
      <w:tr>
        <w:trPr>
          <w:trHeight w:val="203"/>
        </w:trPr>
        <w:tc>
          <w:tcPr>
            <w:tcW w:w="1720" w:type="dxa"/>
            <w:vAlign w:val="bottom"/>
          </w:tcPr>
          <w:p>
            <w:pPr>
              <w:spacing w:after="0"/>
              <w:rPr>
                <w:sz w:val="17"/>
                <w:szCs w:val="17"/>
                <w:color w:val="auto"/>
              </w:rPr>
            </w:pPr>
          </w:p>
        </w:tc>
        <w:tc>
          <w:tcPr>
            <w:tcW w:w="470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Second Quarter (through May 22, 2018)</w:t>
            </w:r>
          </w:p>
        </w:tc>
        <w:tc>
          <w:tcPr>
            <w:tcW w:w="15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3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4.40</w:t>
            </w:r>
          </w:p>
        </w:tc>
        <w:tc>
          <w:tcPr>
            <w:tcW w:w="1740" w:type="dxa"/>
            <w:vAlign w:val="bottom"/>
          </w:tcPr>
          <w:p>
            <w:pPr>
              <w:spacing w:after="0"/>
              <w:rPr>
                <w:sz w:val="17"/>
                <w:szCs w:val="17"/>
                <w:color w:val="auto"/>
              </w:rPr>
            </w:pPr>
          </w:p>
        </w:tc>
      </w:tr>
      <w:tr>
        <w:trPr>
          <w:trHeight w:val="108"/>
        </w:trPr>
        <w:tc>
          <w:tcPr>
            <w:tcW w:w="1720" w:type="dxa"/>
            <w:vAlign w:val="bottom"/>
            <w:tcBorders>
              <w:bottom w:val="single" w:sz="8" w:color="auto"/>
            </w:tcBorders>
          </w:tcPr>
          <w:p>
            <w:pPr>
              <w:spacing w:after="0"/>
              <w:rPr>
                <w:sz w:val="9"/>
                <w:szCs w:val="9"/>
                <w:color w:val="auto"/>
              </w:rPr>
            </w:pPr>
          </w:p>
        </w:tc>
        <w:tc>
          <w:tcPr>
            <w:tcW w:w="4700" w:type="dxa"/>
            <w:vAlign w:val="bottom"/>
            <w:tcBorders>
              <w:bottom w:val="single" w:sz="8" w:color="auto"/>
            </w:tcBorders>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r>
    </w:tbl>
    <w:p>
      <w:pPr>
        <w:spacing w:after="0" w:line="219"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last reported sale price of our common stock on The Nasdaq Global Market on May 22, 2018 was $4.55 per share. As of May 22, 2018, there were approximately 36 holders of record of our common stock. This number does not include beneficial owners whose shares are held by nominees in street name.</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DIVIDEND POLICY</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any future earnings, if any, to fund the development and expansion of our business and we do not anticipate paying any cash dividends in the foreseeable future. In addition, unless waived, the terms of our credit facility generally prohibit us from declaring or paying any cash dividends and other distributions. Any future determination related to dividend policy will be made at the discretion of our board of directors.</w:t>
      </w:r>
    </w:p>
    <w:p>
      <w:pPr>
        <w:spacing w:after="0" w:line="2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MATERIAL U.S. FEDERAL INCOME TAX CONSEQUENCES TO NON-U.S. HOLDERS</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(the "Code"), Treasury Regulations promulgated thereunder, judicial decisions, and published rulings and administrative pronouncements of the U.S. Internal Revenue Service (the "IRS"), in each case in effect as of the date hereof. These authorities may change or be subject to differing interpretations. Any such change or differing interpretation may be applied retroactively in a manner that could adversely affect a Non-U.S. Holder.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215"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In addition, it does not address consequences relevant to Non-U.S. Holders subject to special rules, including, without limitation:</w:t>
      </w:r>
    </w:p>
    <w:p>
      <w:pPr>
        <w:spacing w:after="0" w:line="86"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U.S. expatriates and former citizens or long-term residents of the United States;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persons subject to the alternative minimum tax;</w:t>
      </w:r>
    </w:p>
    <w:p>
      <w:pPr>
        <w:spacing w:after="0" w:line="194" w:lineRule="exact"/>
        <w:rPr>
          <w:rFonts w:ascii="Arial" w:cs="Arial" w:eastAsia="Arial" w:hAnsi="Arial"/>
          <w:sz w:val="29"/>
          <w:szCs w:val="29"/>
          <w:color w:val="auto"/>
          <w:vertAlign w:val="superscript"/>
        </w:rPr>
      </w:pPr>
    </w:p>
    <w:p>
      <w:pPr>
        <w:ind w:left="1080" w:right="40" w:hanging="532"/>
        <w:spacing w:after="0" w:line="183"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73"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banks, insurance companies, and other financial institutions;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brokers, dealers or traders in securities;</w:t>
      </w:r>
    </w:p>
    <w:p>
      <w:pPr>
        <w:spacing w:after="0" w:line="194"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4" w:lineRule="exact"/>
        <w:rPr>
          <w:rFonts w:ascii="Arial" w:cs="Arial" w:eastAsia="Arial" w:hAnsi="Arial"/>
          <w:sz w:val="29"/>
          <w:szCs w:val="29"/>
          <w:color w:val="auto"/>
          <w:vertAlign w:val="superscript"/>
        </w:rPr>
      </w:pPr>
    </w:p>
    <w:p>
      <w:pPr>
        <w:ind w:left="1080" w:hanging="532"/>
        <w:spacing w:after="0"/>
        <w:tabs>
          <w:tab w:leader="none" w:pos="1080" w:val="left"/>
        </w:tabs>
        <w:numPr>
          <w:ilvl w:val="0"/>
          <w:numId w:val="10"/>
        </w:numPr>
        <w:rPr>
          <w:rFonts w:ascii="Arial" w:cs="Arial" w:eastAsia="Arial" w:hAnsi="Arial"/>
          <w:sz w:val="28"/>
          <w:szCs w:val="28"/>
          <w:color w:val="auto"/>
          <w:vertAlign w:val="superscript"/>
        </w:rPr>
      </w:pPr>
      <w:r>
        <w:rPr>
          <w:rFonts w:ascii="Arial" w:cs="Arial" w:eastAsia="Arial" w:hAnsi="Arial"/>
          <w:sz w:val="17"/>
          <w:szCs w:val="17"/>
          <w:color w:val="auto"/>
        </w:rPr>
        <w:t>partnerships or other entities or arrangements treated as partnerships for U.S. federal income tax purposes (and investors therein);</w:t>
      </w:r>
    </w:p>
    <w:p>
      <w:pPr>
        <w:spacing w:after="0" w:line="141" w:lineRule="exact"/>
        <w:rPr>
          <w:rFonts w:ascii="Arial" w:cs="Arial" w:eastAsia="Arial" w:hAnsi="Arial"/>
          <w:sz w:val="28"/>
          <w:szCs w:val="28"/>
          <w:color w:val="auto"/>
          <w:vertAlign w:val="superscript"/>
        </w:rPr>
      </w:pPr>
    </w:p>
    <w:p>
      <w:pPr>
        <w:ind w:left="1080" w:hanging="532"/>
        <w:spacing w:after="0" w:line="189"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tax-exempt organizations or governmental organizations;</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persons deemed to sell our common stock under the constructive sale provisions of the Code; and</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0"/>
        </w:numPr>
        <w:rPr>
          <w:rFonts w:ascii="Arial" w:cs="Arial" w:eastAsia="Arial" w:hAnsi="Arial"/>
          <w:sz w:val="29"/>
          <w:szCs w:val="29"/>
          <w:color w:val="auto"/>
          <w:vertAlign w:val="superscript"/>
        </w:rPr>
      </w:pPr>
      <w:r>
        <w:rPr>
          <w:rFonts w:ascii="Arial" w:cs="Arial" w:eastAsia="Arial" w:hAnsi="Arial"/>
          <w:sz w:val="18"/>
          <w:szCs w:val="18"/>
          <w:color w:val="auto"/>
        </w:rPr>
        <w:t>tax-qualified retirement plans.</w:t>
      </w:r>
    </w:p>
    <w:p>
      <w:pPr>
        <w:spacing w:after="0" w:line="20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If an entity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187" w:lineRule="exact"/>
        <w:rPr>
          <w:sz w:val="20"/>
          <w:szCs w:val="20"/>
          <w:color w:val="auto"/>
        </w:rPr>
      </w:pPr>
    </w:p>
    <w:p>
      <w:pPr>
        <w:ind w:right="220"/>
        <w:spacing w:after="0" w:line="244" w:lineRule="auto"/>
        <w:rPr>
          <w:sz w:val="20"/>
          <w:szCs w:val="20"/>
          <w:color w:val="auto"/>
        </w:rPr>
      </w:pPr>
      <w:r>
        <w:rPr>
          <w:rFonts w:ascii="Arial" w:cs="Arial" w:eastAsia="Arial" w:hAnsi="Arial"/>
          <w:sz w:val="18"/>
          <w:szCs w:val="18"/>
          <w:b w:val="1"/>
          <w:bCs w:val="1"/>
          <w:color w:val="auto"/>
        </w:rPr>
        <w:t>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a Non-U.S. Holder</w:t>
      </w:r>
    </w:p>
    <w:p>
      <w:pPr>
        <w:spacing w:after="0" w:line="234" w:lineRule="exact"/>
        <w:rPr>
          <w:sz w:val="20"/>
          <w:szCs w:val="20"/>
          <w:color w:val="auto"/>
        </w:rPr>
      </w:pPr>
    </w:p>
    <w:p>
      <w:pPr>
        <w:jc w:val="both"/>
        <w:ind w:right="46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treated as a partnership for U.S. federal income tax purposes. A U.S. person is any person that, for U.S. federal income tax purposes, is or is treated as any of the following:</w:t>
      </w:r>
    </w:p>
    <w:p>
      <w:pPr>
        <w:spacing w:after="0" w:line="85"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an individual who is a citizen or resident of the United States;</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a corporation created or organized under the laws of the United States, any state thereof or the District of Columbia;</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an estate, the income of which is subject to U.S. federal income tax regardless of its source; or</w:t>
      </w:r>
    </w:p>
    <w:p>
      <w:pPr>
        <w:spacing w:after="0" w:line="194" w:lineRule="exact"/>
        <w:rPr>
          <w:rFonts w:ascii="Arial" w:cs="Arial" w:eastAsia="Arial" w:hAnsi="Arial"/>
          <w:sz w:val="29"/>
          <w:szCs w:val="29"/>
          <w:color w:val="auto"/>
          <w:vertAlign w:val="superscript"/>
        </w:rPr>
      </w:pPr>
    </w:p>
    <w:p>
      <w:pPr>
        <w:jc w:val="both"/>
        <w:ind w:left="1080" w:right="140" w:hanging="532"/>
        <w:spacing w:after="0" w:line="197" w:lineRule="auto"/>
        <w:tabs>
          <w:tab w:leader="none" w:pos="1080" w:val="left"/>
        </w:tabs>
        <w:numPr>
          <w:ilvl w:val="0"/>
          <w:numId w:val="11"/>
        </w:numPr>
        <w:rPr>
          <w:rFonts w:ascii="Arial" w:cs="Arial" w:eastAsia="Arial" w:hAnsi="Arial"/>
          <w:sz w:val="29"/>
          <w:szCs w:val="29"/>
          <w:color w:val="auto"/>
          <w:vertAlign w:val="superscript"/>
        </w:rPr>
      </w:pPr>
      <w:r>
        <w:rPr>
          <w:rFonts w:ascii="Arial" w:cs="Arial" w:eastAsia="Arial" w:hAnsi="Arial"/>
          <w:sz w:val="18"/>
          <w:szCs w:val="18"/>
          <w:color w:val="auto"/>
        </w:rPr>
        <w:t>a trust that (1) is subject to the primary supervision of a U.S. court and all substantial decisions of which are subject to the control of one or more "United States persons" (within the meaning of Section 7701(a)(30) of the Code), or (2) has a valid election in effect to be treated as a United States person for U.S. federal income tax purposes.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described above in the section entitled "Dividend Policy," we do not anticipate paying any cash dividends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 Sale or Other Taxable Disposition."</w:t>
      </w:r>
    </w:p>
    <w:p>
      <w:pPr>
        <w:spacing w:after="0" w:line="21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210" w:lineRule="exact"/>
        <w:rPr>
          <w:sz w:val="20"/>
          <w:szCs w:val="20"/>
          <w:color w:val="auto"/>
        </w:rPr>
      </w:pPr>
    </w:p>
    <w:p>
      <w:pPr>
        <w:jc w:val="both"/>
        <w:ind w:right="80"/>
        <w:spacing w:after="0" w:line="236"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211"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or Other Taxable Disposition</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Subject to the discussions below under "— Information Reporting and Backup Withholding" and "— Additional Withholding Tax on Payments Made to Foreign Accounts," a Non-U.S. Holder will not be subject to U.S. federal income or withholding tax on any gain realized upon the sale or other taxable disposition of our common stock unless:</w:t>
      </w:r>
    </w:p>
    <w:p>
      <w:pPr>
        <w:spacing w:after="0" w:line="208" w:lineRule="exact"/>
        <w:rPr>
          <w:sz w:val="20"/>
          <w:szCs w:val="20"/>
          <w:color w:val="auto"/>
        </w:rPr>
      </w:pPr>
    </w:p>
    <w:p>
      <w:pPr>
        <w:ind w:left="1080" w:right="120" w:hanging="532"/>
        <w:spacing w:after="0" w:line="197"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96" w:lineRule="exact"/>
        <w:rPr>
          <w:rFonts w:ascii="Arial" w:cs="Arial" w:eastAsia="Arial" w:hAnsi="Arial"/>
          <w:sz w:val="29"/>
          <w:szCs w:val="29"/>
          <w:color w:val="auto"/>
          <w:vertAlign w:val="superscript"/>
        </w:rPr>
      </w:pPr>
    </w:p>
    <w:p>
      <w:pPr>
        <w:ind w:left="1080" w:right="20" w:hanging="532"/>
        <w:spacing w:after="0" w:line="183"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95"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12"/>
        </w:numPr>
        <w:rPr>
          <w:rFonts w:ascii="Arial" w:cs="Arial" w:eastAsia="Arial" w:hAnsi="Arial"/>
          <w:sz w:val="29"/>
          <w:szCs w:val="29"/>
          <w:color w:val="auto"/>
          <w:vertAlign w:val="superscript"/>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209"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such effectively connected gain, as adjusted for certain items.</w:t>
      </w:r>
    </w:p>
    <w:p>
      <w:pPr>
        <w:spacing w:after="0" w:line="20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Gain described in the second bullet point above will be subject to U.S. federal income tax at a rate of 30% (or such lower rate specified by an applicable income tax treaty), which may be offset by certain U.S. source capital losses of the Non-U.S. Holder (even though the individual is not considered a resident of the United States), provided the Non-U.S. Holder has timely filed U.S. federal income tax returns with respect to such losses.</w:t>
      </w:r>
    </w:p>
    <w:p>
      <w:pPr>
        <w:spacing w:after="0" w:line="209"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rules.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4"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dividends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non-U.S. broker that does not have certain enumerated relationships with the United States generally will not be subject to backup withholding or information reporting.</w:t>
      </w:r>
    </w:p>
    <w:p>
      <w:pPr>
        <w:spacing w:after="0" w:line="209"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209" w:lineRule="exact"/>
        <w:rPr>
          <w:sz w:val="20"/>
          <w:szCs w:val="20"/>
          <w:color w:val="auto"/>
        </w:rPr>
      </w:pPr>
    </w:p>
    <w:p>
      <w:pPr>
        <w:ind w:right="36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 on Payments Made to Foreign Accounts</w:t>
      </w:r>
    </w:p>
    <w:p>
      <w:pPr>
        <w:spacing w:after="0" w:line="23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gross proceeds 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obligations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396"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on our common stock, and will apply to payments of gross proceeds from the sale or other disposition of such stock on or after January 1, 2019.</w:t>
      </w:r>
    </w:p>
    <w:p>
      <w:pPr>
        <w:spacing w:after="0" w:line="16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2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UNDERWRITING</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Subject to the terms and conditions set forth in the underwriting agreement, to be entered into among us, Jefferies LLC and Leerink Partners LLC, as the representatives of the underwriters named below and the joint book-running managers of this offering, we have agreed to sell to the underwriters, and each of the underwriters has agreed, severally and not jointly, to purchase from us, the respective number of shares of common stock shown opposite its name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637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3120" w:type="dxa"/>
            <w:vAlign w:val="bottom"/>
            <w:gridSpan w:val="3"/>
          </w:tcPr>
          <w:p>
            <w:pPr>
              <w:ind w:left="240"/>
              <w:spacing w:after="0"/>
              <w:rPr>
                <w:sz w:val="20"/>
                <w:szCs w:val="20"/>
                <w:color w:val="auto"/>
              </w:rPr>
            </w:pPr>
            <w:r>
              <w:rPr>
                <w:rFonts w:ascii="Arial" w:cs="Arial" w:eastAsia="Arial" w:hAnsi="Arial"/>
                <w:sz w:val="14"/>
                <w:szCs w:val="14"/>
                <w:b w:val="1"/>
                <w:bCs w:val="1"/>
                <w:color w:val="auto"/>
              </w:rPr>
              <w:t>Number of</w:t>
            </w:r>
          </w:p>
        </w:tc>
      </w:tr>
      <w:tr>
        <w:trPr>
          <w:trHeight w:val="175"/>
        </w:trPr>
        <w:tc>
          <w:tcPr>
            <w:tcW w:w="1720" w:type="dxa"/>
            <w:vAlign w:val="bottom"/>
          </w:tcPr>
          <w:p>
            <w:pPr>
              <w:spacing w:after="0"/>
              <w:rPr>
                <w:sz w:val="15"/>
                <w:szCs w:val="15"/>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Underwriter</w:t>
            </w:r>
          </w:p>
        </w:tc>
        <w:tc>
          <w:tcPr>
            <w:tcW w:w="5780" w:type="dxa"/>
            <w:vAlign w:val="bottom"/>
          </w:tcPr>
          <w:p>
            <w:pPr>
              <w:spacing w:after="0"/>
              <w:rPr>
                <w:sz w:val="15"/>
                <w:szCs w:val="15"/>
                <w:color w:val="auto"/>
              </w:rPr>
            </w:pPr>
          </w:p>
        </w:tc>
        <w:tc>
          <w:tcPr>
            <w:tcW w:w="12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Shares</w:t>
            </w:r>
          </w:p>
        </w:tc>
        <w:tc>
          <w:tcPr>
            <w:tcW w:w="1900" w:type="dxa"/>
            <w:vAlign w:val="bottom"/>
            <w:gridSpan w:val="2"/>
          </w:tcPr>
          <w:p>
            <w:pPr>
              <w:spacing w:after="0"/>
              <w:rPr>
                <w:sz w:val="15"/>
                <w:szCs w:val="15"/>
                <w:color w:val="auto"/>
              </w:rPr>
            </w:pPr>
          </w:p>
        </w:tc>
      </w:tr>
      <w:tr>
        <w:trPr>
          <w:trHeight w:val="196"/>
        </w:trPr>
        <w:tc>
          <w:tcPr>
            <w:tcW w:w="1720" w:type="dxa"/>
            <w:vAlign w:val="bottom"/>
          </w:tcPr>
          <w:p>
            <w:pPr>
              <w:spacing w:after="0"/>
              <w:rPr>
                <w:sz w:val="17"/>
                <w:szCs w:val="17"/>
                <w:color w:val="auto"/>
              </w:rPr>
            </w:pPr>
          </w:p>
        </w:tc>
        <w:tc>
          <w:tcPr>
            <w:tcW w:w="66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Jefferies LLC</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6,250,000</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3"/>
        </w:trPr>
        <w:tc>
          <w:tcPr>
            <w:tcW w:w="8320" w:type="dxa"/>
            <w:vAlign w:val="bottom"/>
            <w:gridSpan w:val="3"/>
          </w:tcPr>
          <w:p>
            <w:pPr>
              <w:ind w:left="1720"/>
              <w:spacing w:after="0" w:line="202" w:lineRule="exact"/>
              <w:rPr>
                <w:sz w:val="20"/>
                <w:szCs w:val="20"/>
                <w:color w:val="auto"/>
              </w:rPr>
            </w:pPr>
            <w:r>
              <w:rPr>
                <w:rFonts w:ascii="Arial" w:cs="Arial" w:eastAsia="Arial" w:hAnsi="Arial"/>
                <w:sz w:val="18"/>
                <w:szCs w:val="18"/>
                <w:color w:val="auto"/>
              </w:rPr>
              <w:t>Leerink Partners LLC</w:t>
            </w: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6,250,000</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196"/>
        </w:trPr>
        <w:tc>
          <w:tcPr>
            <w:tcW w:w="1720" w:type="dxa"/>
            <w:vAlign w:val="bottom"/>
          </w:tcPr>
          <w:p>
            <w:pPr>
              <w:spacing w:after="0"/>
              <w:rPr>
                <w:sz w:val="17"/>
                <w:szCs w:val="17"/>
                <w:color w:val="auto"/>
              </w:rPr>
            </w:pPr>
          </w:p>
        </w:tc>
        <w:tc>
          <w:tcPr>
            <w:tcW w:w="660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12,500,000</w:t>
            </w:r>
          </w:p>
        </w:tc>
        <w:tc>
          <w:tcPr>
            <w:tcW w:w="160" w:type="dxa"/>
            <w:vAlign w:val="bottom"/>
            <w:shd w:val="clear" w:color="auto" w:fill="CCEEFF"/>
          </w:tcPr>
          <w:p>
            <w:pPr>
              <w:spacing w:after="0"/>
              <w:rPr>
                <w:sz w:val="17"/>
                <w:szCs w:val="17"/>
                <w:color w:val="auto"/>
              </w:rPr>
            </w:pPr>
          </w:p>
        </w:tc>
        <w:tc>
          <w:tcPr>
            <w:tcW w:w="1740" w:type="dxa"/>
            <w:vAlign w:val="bottom"/>
          </w:tcPr>
          <w:p>
            <w:pPr>
              <w:spacing w:after="0"/>
              <w:rPr>
                <w:sz w:val="17"/>
                <w:szCs w:val="17"/>
                <w:color w:val="auto"/>
              </w:rPr>
            </w:pPr>
          </w:p>
        </w:tc>
      </w:tr>
      <w:tr>
        <w:trPr>
          <w:trHeight w:val="20"/>
        </w:trPr>
        <w:tc>
          <w:tcPr>
            <w:tcW w:w="17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89"/>
        </w:trPr>
        <w:tc>
          <w:tcPr>
            <w:tcW w:w="17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57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r>
    </w:tbl>
    <w:p>
      <w:pPr>
        <w:spacing w:after="0" w:line="21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underwriting agreement provides that the obligations of the several underwriters are subject to certain conditions precedent such as the receipt by the underwriters of officers' certificates and legal opinions and approval of certain legal matters by their counsel. The underwriting agreement provides that the underwriters will purchase all of the shares of common stock if any of them are purchased. If an underwriter defaults, the underwriting agreement provides that the purchase commitments of the nondefaulting underwriters may be increased or the underwriting agreement may be terminated. We have agreed to indemnify the underwriters and certain of their controlling persons against certain liabilities, including liabilities under the Securities Act, and to contribute to payments that the underwriters may be required to make in respect of those liabilities.</w:t>
      </w:r>
    </w:p>
    <w:p>
      <w:pPr>
        <w:spacing w:after="0" w:line="209"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The underwriters have advised us that, following the completion of this offering, they currently intend to make a market in the common stock as permitted by applicable laws and regulations. However, the underwriters are not obligated to do so, and the underwriters may discontinue any market-making activities at any time without notice in their sole discretion. Accordingly, no assurance can be given as to the liquidity of the trading market for the common stock, that you will be able to sell any of the common stock held by you at a particular time or that the prices that you receive when you sell will be favorable.</w:t>
      </w:r>
    </w:p>
    <w:p>
      <w:pPr>
        <w:spacing w:after="0" w:line="211"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The underwriters are offering the shares of common stock subject to their acceptance of the shares of common stock from us and subject to prior sale. The underwriters reserve the right to withdraw, cancel or modify offers to the public and to reject orders in whole or in part.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 and Expenses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have advised us that they propose to offer the shares of common stock to the public at the initial public offering price set forth on</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the cover page of this prospectus and to certain dealers, which may include the underwriters, at that price less a concession not in excess of</w:t>
      </w:r>
    </w:p>
    <w:p>
      <w:pPr>
        <w:spacing w:after="0"/>
        <w:rPr>
          <w:sz w:val="20"/>
          <w:szCs w:val="20"/>
          <w:color w:val="auto"/>
        </w:rPr>
      </w:pPr>
      <w:r>
        <w:rPr>
          <w:rFonts w:ascii="Arial" w:cs="Arial" w:eastAsia="Arial" w:hAnsi="Arial"/>
          <w:sz w:val="16"/>
          <w:szCs w:val="16"/>
          <w:color w:val="auto"/>
        </w:rPr>
        <w:t>$0.144 per share of common stock. After the offering, the initial public offering price, concession and reallowance to dealers may be reduced by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representatives. No such reduction will change the amount of proceeds to be received by us as set forth on the cover page of this prospectus</w:t>
      </w:r>
    </w:p>
    <w:p>
      <w:pPr>
        <w:spacing w:after="0"/>
        <w:rPr>
          <w:sz w:val="20"/>
          <w:szCs w:val="20"/>
          <w:color w:val="auto"/>
        </w:rPr>
      </w:pPr>
      <w:r>
        <w:rPr>
          <w:rFonts w:ascii="Arial" w:cs="Arial" w:eastAsia="Arial" w:hAnsi="Arial"/>
          <w:sz w:val="18"/>
          <w:szCs w:val="18"/>
          <w:color w:val="auto"/>
        </w:rPr>
        <w:t>supplement.</w:t>
      </w:r>
    </w:p>
    <w:p>
      <w:pPr>
        <w:spacing w:after="0" w:line="212" w:lineRule="exact"/>
        <w:rPr>
          <w:sz w:val="20"/>
          <w:szCs w:val="20"/>
          <w:color w:val="auto"/>
        </w:rPr>
      </w:pPr>
    </w:p>
    <w:p>
      <w:pPr>
        <w:ind w:right="420"/>
        <w:spacing w:after="0" w:line="238" w:lineRule="auto"/>
        <w:rPr>
          <w:sz w:val="20"/>
          <w:szCs w:val="20"/>
          <w:color w:val="auto"/>
        </w:rPr>
      </w:pPr>
      <w:r>
        <w:rPr>
          <w:rFonts w:ascii="Arial" w:cs="Arial" w:eastAsia="Arial" w:hAnsi="Arial"/>
          <w:sz w:val="18"/>
          <w:szCs w:val="18"/>
          <w:color w:val="auto"/>
        </w:rPr>
        <w:t>The following table shows the public offering price, the underwriting discounts and commissions that we are to pay the underwriters and the proceeds, before expenses, to us in connection with this offering. Such amounts are shown assuming both no exercise and full exercise of the underwriters' option to purchase additional shares.</w:t>
      </w: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637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center"/>
              <w:ind w:right="40"/>
              <w:spacing w:after="0" w:line="155" w:lineRule="exact"/>
              <w:rPr>
                <w:sz w:val="20"/>
                <w:szCs w:val="20"/>
                <w:color w:val="auto"/>
              </w:rPr>
            </w:pPr>
            <w:r>
              <w:rPr>
                <w:rFonts w:ascii="Arial" w:cs="Arial" w:eastAsia="Arial" w:hAnsi="Arial"/>
                <w:sz w:val="14"/>
                <w:szCs w:val="14"/>
                <w:b w:val="1"/>
                <w:bCs w:val="1"/>
                <w:color w:val="auto"/>
              </w:rPr>
              <w:t>Without</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center"/>
              <w:ind w:right="39"/>
              <w:spacing w:after="0" w:line="155" w:lineRule="exact"/>
              <w:rPr>
                <w:sz w:val="20"/>
                <w:szCs w:val="20"/>
                <w:color w:val="auto"/>
              </w:rPr>
            </w:pPr>
            <w:r>
              <w:rPr>
                <w:rFonts w:ascii="Arial" w:cs="Arial" w:eastAsia="Arial" w:hAnsi="Arial"/>
                <w:sz w:val="14"/>
                <w:szCs w:val="14"/>
                <w:b w:val="1"/>
                <w:bCs w:val="1"/>
                <w:color w:val="auto"/>
                <w:w w:val="98"/>
              </w:rPr>
              <w:t>With</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80" w:type="dxa"/>
            <w:vAlign w:val="bottom"/>
            <w:gridSpan w:val="6"/>
          </w:tcPr>
          <w:p>
            <w:pPr>
              <w:ind w:left="11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4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rPr>
              <w:t>Option to</w:t>
            </w:r>
          </w:p>
        </w:tc>
        <w:tc>
          <w:tcPr>
            <w:tcW w:w="160" w:type="dxa"/>
            <w:vAlign w:val="bottom"/>
          </w:tcPr>
          <w:p>
            <w:pPr>
              <w:spacing w:after="0"/>
              <w:rPr>
                <w:sz w:val="2"/>
                <w:szCs w:val="2"/>
                <w:color w:val="auto"/>
              </w:rPr>
            </w:pPr>
          </w:p>
        </w:tc>
        <w:tc>
          <w:tcPr>
            <w:tcW w:w="7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rPr>
              <w:t>Option to</w:t>
            </w: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116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Purchase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339"/>
              <w:spacing w:after="0"/>
              <w:rPr>
                <w:sz w:val="20"/>
                <w:szCs w:val="20"/>
                <w:color w:val="auto"/>
              </w:rPr>
            </w:pPr>
            <w:r>
              <w:rPr>
                <w:rFonts w:ascii="Arial" w:cs="Arial" w:eastAsia="Arial" w:hAnsi="Arial"/>
                <w:sz w:val="14"/>
                <w:szCs w:val="14"/>
                <w:b w:val="1"/>
                <w:bCs w:val="1"/>
                <w:color w:val="auto"/>
              </w:rPr>
              <w:t>Without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98"/>
              </w:rPr>
              <w:t>With</w:t>
            </w:r>
          </w:p>
        </w:tc>
        <w:tc>
          <w:tcPr>
            <w:tcW w:w="0" w:type="dxa"/>
            <w:vAlign w:val="bottom"/>
          </w:tcPr>
          <w:p>
            <w:pPr>
              <w:spacing w:after="0"/>
              <w:rPr>
                <w:sz w:val="1"/>
                <w:szCs w:val="1"/>
                <w:color w:val="auto"/>
              </w:rPr>
            </w:pPr>
          </w:p>
        </w:tc>
      </w:tr>
      <w:tr>
        <w:trPr>
          <w:trHeight w:val="162"/>
        </w:trPr>
        <w:tc>
          <w:tcPr>
            <w:tcW w:w="116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Additional</w:t>
            </w:r>
          </w:p>
        </w:tc>
        <w:tc>
          <w:tcPr>
            <w:tcW w:w="1500" w:type="dxa"/>
            <w:vAlign w:val="bottom"/>
            <w:gridSpan w:val="3"/>
          </w:tcPr>
          <w:p>
            <w:pPr>
              <w:ind w:left="160"/>
              <w:spacing w:after="0"/>
              <w:rPr>
                <w:sz w:val="20"/>
                <w:szCs w:val="20"/>
                <w:color w:val="auto"/>
              </w:rPr>
            </w:pPr>
            <w:r>
              <w:rPr>
                <w:rFonts w:ascii="Arial" w:cs="Arial" w:eastAsia="Arial" w:hAnsi="Arial"/>
                <w:sz w:val="14"/>
                <w:szCs w:val="14"/>
                <w:b w:val="1"/>
                <w:bCs w:val="1"/>
                <w:color w:val="auto"/>
              </w:rPr>
              <w:t>Option to Purchase</w:t>
            </w:r>
          </w:p>
        </w:tc>
        <w:tc>
          <w:tcPr>
            <w:tcW w:w="160" w:type="dxa"/>
            <w:vAlign w:val="bottom"/>
          </w:tcPr>
          <w:p>
            <w:pPr>
              <w:spacing w:after="0"/>
              <w:rPr>
                <w:sz w:val="14"/>
                <w:szCs w:val="14"/>
                <w:color w:val="auto"/>
              </w:rPr>
            </w:pPr>
          </w:p>
        </w:tc>
        <w:tc>
          <w:tcPr>
            <w:tcW w:w="2720" w:type="dxa"/>
            <w:vAlign w:val="bottom"/>
            <w:gridSpan w:val="4"/>
          </w:tcPr>
          <w:p>
            <w:pPr>
              <w:jc w:val="center"/>
              <w:ind w:right="1300"/>
              <w:spacing w:after="0"/>
              <w:rPr>
                <w:sz w:val="20"/>
                <w:szCs w:val="20"/>
                <w:color w:val="auto"/>
              </w:rPr>
            </w:pPr>
            <w:r>
              <w:rPr>
                <w:rFonts w:ascii="Arial" w:cs="Arial" w:eastAsia="Arial" w:hAnsi="Arial"/>
                <w:sz w:val="14"/>
                <w:szCs w:val="14"/>
                <w:b w:val="1"/>
                <w:bCs w:val="1"/>
                <w:color w:val="auto"/>
              </w:rPr>
              <w:t>Option to Purchase</w:t>
            </w:r>
          </w:p>
        </w:tc>
        <w:tc>
          <w:tcPr>
            <w:tcW w:w="0" w:type="dxa"/>
            <w:vAlign w:val="bottom"/>
          </w:tcPr>
          <w:p>
            <w:pPr>
              <w:spacing w:after="0"/>
              <w:rPr>
                <w:sz w:val="1"/>
                <w:szCs w:val="1"/>
                <w:color w:val="auto"/>
              </w:rPr>
            </w:pPr>
          </w:p>
        </w:tc>
      </w:tr>
      <w:tr>
        <w:trPr>
          <w:trHeight w:val="175"/>
        </w:trPr>
        <w:tc>
          <w:tcPr>
            <w:tcW w:w="116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5"/>
                <w:szCs w:val="15"/>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Additional Shares</w:t>
            </w: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Additional Shares</w:t>
            </w:r>
          </w:p>
        </w:tc>
        <w:tc>
          <w:tcPr>
            <w:tcW w:w="12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Public offering price</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2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4.00</w:t>
            </w:r>
          </w:p>
        </w:tc>
        <w:tc>
          <w:tcPr>
            <w:tcW w:w="30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50,000,000.00</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57,500,000.00</w:t>
            </w:r>
          </w:p>
        </w:tc>
        <w:tc>
          <w:tcPr>
            <w:tcW w:w="1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60" w:type="dxa"/>
            <w:vAlign w:val="bottom"/>
            <w:gridSpan w:val="2"/>
          </w:tcPr>
          <w:p>
            <w:pPr>
              <w:ind w:left="1140"/>
              <w:spacing w:after="0" w:line="202" w:lineRule="exact"/>
              <w:rPr>
                <w:sz w:val="20"/>
                <w:szCs w:val="20"/>
                <w:color w:val="auto"/>
              </w:rPr>
            </w:pPr>
            <w:r>
              <w:rPr>
                <w:rFonts w:ascii="Arial" w:cs="Arial" w:eastAsia="Arial" w:hAnsi="Arial"/>
                <w:sz w:val="18"/>
                <w:szCs w:val="18"/>
                <w:color w:val="auto"/>
                <w:w w:val="99"/>
              </w:rPr>
              <w:t>Underwriting discounts and commissions paid by us</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0.24</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3,000,000.00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3,450,000.00</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4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to us, before expenses</w:t>
            </w: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3.76</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47,000,000.00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54,050,000.000</w:t>
            </w:r>
          </w:p>
        </w:tc>
        <w:tc>
          <w:tcPr>
            <w:tcW w:w="16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1160" w:type="dxa"/>
            <w:vAlign w:val="bottom"/>
            <w:tcBorders>
              <w:bottom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estimate expenses payable by us in connection with this offering, other than the underwriting discounts and commissions referred to above, will be approximately $380,000.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Market under the trading symbol "ARDX."</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4"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We have granted to the underwriters an option, exercisable for 30 days from the date of this prospectus, to purchase, from time to time, in whole or in part, up to an aggregate of 1,875,000 shares from us at the public offering price set forth on the cover page of this prospectus, less underwriting discounts and commissions. If the underwriters exercise this option, each underwriter will be obligated, subject to specified conditions, to purchase a number of additional shares proportionate to that underwriter's initial purchase commitment as indicated in the table above.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4" w:lineRule="exact"/>
        <w:rPr>
          <w:sz w:val="20"/>
          <w:szCs w:val="20"/>
          <w:color w:val="auto"/>
        </w:rPr>
      </w:pPr>
    </w:p>
    <w:p>
      <w:pPr>
        <w:jc w:val="both"/>
        <w:ind w:right="40"/>
        <w:spacing w:after="0" w:line="239" w:lineRule="auto"/>
        <w:rPr>
          <w:sz w:val="20"/>
          <w:szCs w:val="20"/>
          <w:color w:val="auto"/>
        </w:rPr>
      </w:pPr>
      <w:r>
        <w:rPr>
          <w:rFonts w:ascii="Arial" w:cs="Arial" w:eastAsia="Arial" w:hAnsi="Arial"/>
          <w:sz w:val="18"/>
          <w:szCs w:val="18"/>
          <w:color w:val="auto"/>
        </w:rPr>
        <w:t>We, our officers and directors (for the avoidance of doubt, not including any entities affiliated with New Enterprise Associates) have agreed, subject to specified exceptions, not to directly or indirectly:</w:t>
      </w:r>
    </w:p>
    <w:p>
      <w:pPr>
        <w:spacing w:after="0" w:line="209" w:lineRule="exact"/>
        <w:rPr>
          <w:sz w:val="20"/>
          <w:szCs w:val="20"/>
          <w:color w:val="auto"/>
        </w:rPr>
      </w:pPr>
    </w:p>
    <w:p>
      <w:pPr>
        <w:ind w:left="1080" w:right="260" w:hanging="532"/>
        <w:spacing w:after="0" w:line="211"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or otherwise transfer or dispose of, directly or indirectly, or file with the Securities and Exchange Commission a registration statement under the Securities Act relating to, any shares of our common stock or any securities convertible into or exercisable or exchangeable for our common stock, or publicly disclose the intention to make any offer, sale, pledge, disposition or filing, or</w:t>
      </w:r>
    </w:p>
    <w:p>
      <w:pPr>
        <w:spacing w:after="0" w:line="194"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enter into any swap or other agreement that transfers, in whole or in part, any of the economic consequences of ownership of common stock or any such other securities, or</w:t>
      </w:r>
    </w:p>
    <w:p>
      <w:pPr>
        <w:spacing w:after="0" w:line="195" w:lineRule="exact"/>
        <w:rPr>
          <w:rFonts w:ascii="Arial" w:cs="Arial" w:eastAsia="Arial" w:hAnsi="Arial"/>
          <w:sz w:val="29"/>
          <w:szCs w:val="29"/>
          <w:color w:val="auto"/>
          <w:vertAlign w:val="superscript"/>
        </w:rPr>
      </w:pPr>
    </w:p>
    <w:p>
      <w:pPr>
        <w:ind w:left="1080" w:right="500" w:hanging="532"/>
        <w:spacing w:after="0" w:line="216" w:lineRule="auto"/>
        <w:tabs>
          <w:tab w:leader="none" w:pos="1080" w:val="left"/>
        </w:tabs>
        <w:numPr>
          <w:ilvl w:val="0"/>
          <w:numId w:val="13"/>
        </w:numPr>
        <w:rPr>
          <w:rFonts w:ascii="Arial" w:cs="Arial" w:eastAsia="Arial" w:hAnsi="Arial"/>
          <w:sz w:val="28"/>
          <w:szCs w:val="28"/>
          <w:color w:val="auto"/>
          <w:vertAlign w:val="superscript"/>
        </w:rPr>
      </w:pPr>
      <w:r>
        <w:rPr>
          <w:rFonts w:ascii="Arial" w:cs="Arial" w:eastAsia="Arial" w:hAnsi="Arial"/>
          <w:sz w:val="17"/>
          <w:szCs w:val="17"/>
          <w:color w:val="auto"/>
        </w:rPr>
        <w:t>make any demand for, or exercise any right with respect to, the registration under the Securities Act of the offer and sale of any shares or any of the economic consequences of ownership of common stock or any such other securities currently or hereafter owned either of record or beneficially by the undersigned or such family member, or cause to be filed a registration statement, prospectus or prospectus supplement (or an amendment or supplement thereto) with respect to any such registration, or</w:t>
      </w:r>
    </w:p>
    <w:p>
      <w:pPr>
        <w:spacing w:after="0" w:line="195" w:lineRule="exact"/>
        <w:rPr>
          <w:rFonts w:ascii="Arial" w:cs="Arial" w:eastAsia="Arial" w:hAnsi="Arial"/>
          <w:sz w:val="28"/>
          <w:szCs w:val="28"/>
          <w:color w:val="auto"/>
          <w:vertAlign w:val="superscript"/>
        </w:rPr>
      </w:pPr>
    </w:p>
    <w:p>
      <w:pPr>
        <w:ind w:left="1080" w:right="80" w:hanging="532"/>
        <w:spacing w:after="0" w:line="183" w:lineRule="auto"/>
        <w:tabs>
          <w:tab w:leader="none" w:pos="1080" w:val="left"/>
        </w:tabs>
        <w:numPr>
          <w:ilvl w:val="0"/>
          <w:numId w:val="13"/>
        </w:numPr>
        <w:rPr>
          <w:rFonts w:ascii="Arial" w:cs="Arial" w:eastAsia="Arial" w:hAnsi="Arial"/>
          <w:sz w:val="29"/>
          <w:szCs w:val="29"/>
          <w:color w:val="auto"/>
          <w:vertAlign w:val="superscript"/>
        </w:rPr>
      </w:pPr>
      <w:r>
        <w:rPr>
          <w:rFonts w:ascii="Arial" w:cs="Arial" w:eastAsia="Arial" w:hAnsi="Arial"/>
          <w:sz w:val="18"/>
          <w:szCs w:val="18"/>
          <w:color w:val="auto"/>
        </w:rPr>
        <w:t>publicly announce an intention to do any of the foregoing for a period of 60 days after the date of this prospectus supplement without the prior written consent of the representatives.</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1" w:lineRule="exact"/>
        <w:rPr>
          <w:sz w:val="20"/>
          <w:szCs w:val="20"/>
          <w:color w:val="auto"/>
        </w:rPr>
      </w:pPr>
    </w:p>
    <w:p>
      <w:pPr>
        <w:ind w:right="960"/>
        <w:spacing w:after="0" w:line="201" w:lineRule="auto"/>
        <w:rPr>
          <w:sz w:val="20"/>
          <w:szCs w:val="20"/>
          <w:color w:val="auto"/>
        </w:rPr>
      </w:pPr>
      <w:r>
        <w:rPr>
          <w:rFonts w:ascii="Arial" w:cs="Arial" w:eastAsia="Arial" w:hAnsi="Arial"/>
          <w:sz w:val="18"/>
          <w:szCs w:val="18"/>
          <w:color w:val="auto"/>
        </w:rPr>
        <w:t>This restriction terminates after the close of trading of the common stock on and including the 60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after the date of this prospectus supplement.</w:t>
      </w:r>
    </w:p>
    <w:p>
      <w:pPr>
        <w:spacing w:after="0" w:line="210"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The foregoing restrictions shall not apply to us with respect to (a) the shares of our common stock to be sold hereunder, (b) the issuance by us of shares of common stock upon the exercise of an option or warrant (whether by cash exercise or "net" or "cashless exercise") or the conversion of outstanding securities, in each case that is described in or issued pursuant to our equity incentive award plans, (c) the issuance of equity-based awards pursuant to the our equity incentive award plans, (d) the filing of a registration statement on Form S-8 relating to the shares of common stock granted, or options to purchase, pursuant to or reserved for issuance under our equity incentive award plans and (e) the sale or issuance of or entry into an agreement to sell or issue shares of common stock or securities convertible into or exercisable or exchangeable for common stock in connection with (1) an equipment leasing arrangement or debt financing facility, (2) mergers, (3) acquisition of securities, businesses, proper or other assets, (4) joint ventures or (5) strategic alliances; provided, that the aggregate number of shares of common stock or securities convertible into or exercisable for common stock (on an as-converted or as-exercised basis, as the case may be) that we may sell or issue or agree to sell or issue pursuant to this clause (e) shall not exceed 5.0% of the total number of shares of common stock issued and outstanding immediately following the completion of this offering; and provided further, that each recipient of shares of common stock or securities convertible into or exercisable for common stock pursuant to this clause (e) shall execute a lock-up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foregoing restrictions shall not apply to our officers and directors with respect to (a) the shares of our common stock to be sold hereunder;</w:t>
      </w:r>
    </w:p>
    <w:p>
      <w:pPr>
        <w:ind w:left="280" w:hanging="272"/>
        <w:spacing w:after="0"/>
        <w:tabs>
          <w:tab w:leader="none" w:pos="2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transfer of shares or related securities (i) by bona fide gift or gifts, will or intestacy, (ii) to a family member or any trust or entity formed for</w:t>
      </w:r>
    </w:p>
    <w:p>
      <w:pPr>
        <w:spacing w:after="0" w:line="18" w:lineRule="exact"/>
        <w:rPr>
          <w:rFonts w:ascii="Arial" w:cs="Arial" w:eastAsia="Arial" w:hAnsi="Arial"/>
          <w:sz w:val="16"/>
          <w:szCs w:val="16"/>
          <w:color w:val="auto"/>
        </w:rPr>
      </w:pPr>
    </w:p>
    <w:p>
      <w:pPr>
        <w:spacing w:after="0" w:line="264" w:lineRule="auto"/>
        <w:rPr>
          <w:rFonts w:ascii="Arial" w:cs="Arial" w:eastAsia="Arial" w:hAnsi="Arial"/>
          <w:sz w:val="16"/>
          <w:szCs w:val="16"/>
          <w:color w:val="auto"/>
        </w:rPr>
      </w:pPr>
      <w:r>
        <w:rPr>
          <w:rFonts w:ascii="Arial" w:cs="Arial" w:eastAsia="Arial" w:hAnsi="Arial"/>
          <w:sz w:val="16"/>
          <w:szCs w:val="16"/>
          <w:color w:val="auto"/>
        </w:rPr>
        <w:t>estate planning purposes, (iii) where the stockholder is a corporation, partnership or other business entity, as a distribution to partners, members or stockholders or a transfer to affiliates, or (iv) where the stockholder is a trust, to a trustor or beneficiary of the trust; (c) the transfer of shares or related securities upon a vesting event or upon the exercise or conversion of options or warrants to purchase the Company's securities, in each case, on a "cashless" or "net exercise" basis or to cover tax withholding obligations of the undersigned in connection with such vesting or exercise;</w:t>
      </w:r>
    </w:p>
    <w:p>
      <w:pPr>
        <w:ind w:right="160" w:firstLine="8"/>
        <w:spacing w:after="0" w:line="264" w:lineRule="auto"/>
        <w:tabs>
          <w:tab w:leader="none" w:pos="263"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transfer of shares or related securities by operation of law; (e) the transfer of shares or related securities pursuant to agreements under which the Company has either the option to repurchase or a right of first refusal with respect to such shares or related securities of the Company;</w:t>
      </w:r>
    </w:p>
    <w:p>
      <w:pPr>
        <w:ind w:right="60" w:firstLine="8"/>
        <w:spacing w:after="0" w:line="237" w:lineRule="auto"/>
        <w:tabs>
          <w:tab w:leader="none" w:pos="21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transfer of shares or related securities pursuant to a bona fide third party tender offer, merger, consolidation or other similar transaction made to all holders of shares or related securities involving a change of control of the Company; (g) selling shares or related securities pursuant to an existing 10b5-1 trading plan; and (h) establishing a 10b5-1 trading plan, provided that such plan does not allow for the sale of any shares or related securities during the lock-up period.</w:t>
      </w:r>
    </w:p>
    <w:p>
      <w:pPr>
        <w:spacing w:after="0" w:line="209"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The representatives may, in their discretion and at any time or from time to time before the termination of the 60-day period release all or any portion of the securities subject to lock-up agreements. There are no existing agreements between the underwriters and any of our shareholders who will execute a lock-up agreement, providing consent to the sale of shares prior to the expiration of the lock-up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Stabilization</w:t>
      </w:r>
    </w:p>
    <w:p>
      <w:pPr>
        <w:spacing w:after="0" w:line="23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underwriters have advised us that they may engage in short sale transactions, stabilizing transactions, syndicate covering transactions or the imposition of penalty bids in connection with this offering. These activities may have the effect of stabilizing or maintaining the market price of the common stock at a level above that which might otherwise prevail in the open market. Establishing short sales positions may involve either "covered" short sales or "naked" short sales.</w:t>
      </w:r>
    </w:p>
    <w:p>
      <w:pPr>
        <w:spacing w:after="0" w:line="20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"Covered" short sales are sales made in an amount not greater than the underwriters' option to purchase additional shares of our common stock in this offering. The underwriters may close out any covered short</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position by either exercising their option to purchase additional shares of our common stock or purchasing shares of our common stock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w:t>
      </w:r>
    </w:p>
    <w:p>
      <w:pPr>
        <w:spacing w:after="0" w:line="209"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"Naked" short sales are sales in excess of the option to purchase additional shares of our common stock. The underwriters must close out any naked short position by purchasing shares in the open market. A naked short position is more likely to be created if the underwriters are concerned that there may be downward pressure on the price of the shares of our common stock in the open market after pricing that could adversely affect investors who purchase in this offering.</w:t>
      </w:r>
    </w:p>
    <w:p>
      <w:pPr>
        <w:spacing w:after="0" w:line="209"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 stabilizing bid is a bid for the purchase of shares of common stock on behalf of the underwriters for the purpose of fixing or maintaining the price of the common stock. A syndicate covering transaction is the bid for or the purchase of shares of common stock on behalf of the underwriters to reduce a short position incurred by the underwriters in connection with the offering. 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A penalty bid is an arrangement permitting the underwriters to reclaim the selling concession otherwise accruing to a syndicate member in connection with the offering if the common stock originally sold by such syndicate member are purchased in a syndicate covering transaction and therefore have not been effectively placed by such syndicate member.</w:t>
      </w:r>
    </w:p>
    <w:p>
      <w:pPr>
        <w:spacing w:after="0" w:line="20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None of the underwriters make any representation or prediction as to the direction or magnitude of any effect that the transactions described above may have on the price of our common stock. The underwriters are not obligated to engage in these activities and, if commenced, any of the activities may be discontinued at any time.</w:t>
      </w:r>
    </w:p>
    <w:p>
      <w:pPr>
        <w:spacing w:after="0" w:line="20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The underwriters may also engage in passive market making transactions in our common stock on The Nasdaq Global Market in accordance with Rule 103 of Regulation M during a period before the commencement of offers or sales of shares of our common stock in this offering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4"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A prospectus in electronic format may be made available by e-mail or through online services maintained by one or more of the underwriters or their affiliates. In those cases, prospective investors may view offering terms online and may be allowed to place orders online. The underwriters may agree with us to allocate a specific number of shares of common stock for sale to online brokerage account holders. Any such allocation for online distributions will be made by the underwriters on the same basis as other allocations. Other than the prospectus in electronic format, the information on the underwriters' web sites and any information contained in any other web site maintained by any of the underwriters is not part of this prospectus, has not been approved and/or endorsed by us or the underwriters and should not be relied upon by investors.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Activities and Relationships</w:t>
      </w:r>
    </w:p>
    <w:p>
      <w:pPr>
        <w:spacing w:after="0" w:line="234" w:lineRule="exact"/>
        <w:rPr>
          <w:sz w:val="20"/>
          <w:szCs w:val="20"/>
          <w:color w:val="auto"/>
        </w:rPr>
      </w:pPr>
    </w:p>
    <w:p>
      <w:pPr>
        <w:jc w:val="both"/>
        <w:ind w:right="180"/>
        <w:spacing w:after="0" w:line="238" w:lineRule="auto"/>
        <w:rPr>
          <w:sz w:val="20"/>
          <w:szCs w:val="20"/>
          <w:color w:val="auto"/>
        </w:rPr>
      </w:pPr>
      <w:r>
        <w:rPr>
          <w:rFonts w:ascii="Arial" w:cs="Arial" w:eastAsia="Arial" w:hAnsi="Arial"/>
          <w:sz w:val="18"/>
          <w:szCs w:val="18"/>
          <w:color w:val="auto"/>
        </w:rPr>
        <w:t>The underwriter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 and certain of its affiliates have, from time to time, performed, and may in the</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future perform, various commercial and investment banking and financial advisory services for us and our affiliates, for which they received or will receive customary fees and expenses.</w:t>
      </w:r>
    </w:p>
    <w:p>
      <w:pPr>
        <w:spacing w:after="0" w:line="209"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In the ordinary course of their various business activities, the underwriter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underwriters or their respective affiliates have a lending relationship with us, they routinely hedge their credit exposure to us consistent with their customary risk management policies. The underwriters and their respective affiliates may hedge such exposure by entering into transactions which consist of either the purchase of credit default swaps or the creation of short positions in our securities or the securities of our affiliates, including potentially the common stock offered hereby. Any such short positions could adversely affect future trading prices of the common stock offered hereby. The underwriters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Disclaimers About Non-U.S. Jurisdictions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securities offered by this prospectus supplement in any jurisdiction where action for that purpose is required. The securities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in any jurisdiction in which such an offer or a solicitation is unlawful.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12"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w:t>
      </w:r>
      <w:r>
        <w:rPr>
          <w:rFonts w:ascii="Arial" w:cs="Arial" w:eastAsia="Arial" w:hAnsi="Arial"/>
          <w:sz w:val="18"/>
          <w:szCs w:val="18"/>
          <w:b w:val="1"/>
          <w:bCs w:val="1"/>
          <w:color w:val="auto"/>
        </w:rPr>
        <w:t>Relevant Member</w:t>
      </w:r>
      <w:r>
        <w:rPr>
          <w:rFonts w:ascii="Arial" w:cs="Arial" w:eastAsia="Arial" w:hAnsi="Arial"/>
          <w:sz w:val="18"/>
          <w:szCs w:val="18"/>
          <w:color w:val="auto"/>
        </w:rPr>
        <w:t xml:space="preserve"> </w:t>
      </w:r>
      <w:r>
        <w:rPr>
          <w:rFonts w:ascii="Arial" w:cs="Arial" w:eastAsia="Arial" w:hAnsi="Arial"/>
          <w:sz w:val="18"/>
          <w:szCs w:val="18"/>
          <w:b w:val="1"/>
          <w:bCs w:val="1"/>
          <w:color w:val="auto"/>
        </w:rPr>
        <w:t>State</w:t>
      </w:r>
      <w:r>
        <w:rPr>
          <w:rFonts w:ascii="Arial" w:cs="Arial" w:eastAsia="Arial" w:hAnsi="Arial"/>
          <w:sz w:val="18"/>
          <w:szCs w:val="18"/>
          <w:color w:val="auto"/>
        </w:rPr>
        <w:t>"), with effect from and including the date on which the Prospectus Directive is implemented in that Relevant Member State, no offer of shares</w:t>
      </w:r>
      <w:r>
        <w:rPr>
          <w:rFonts w:ascii="Arial" w:cs="Arial" w:eastAsia="Arial" w:hAnsi="Arial"/>
          <w:sz w:val="18"/>
          <w:szCs w:val="18"/>
          <w:b w:val="1"/>
          <w:bCs w:val="1"/>
          <w:color w:val="auto"/>
        </w:rPr>
        <w:t xml:space="preserve"> </w:t>
      </w:r>
      <w:r>
        <w:rPr>
          <w:rFonts w:ascii="Arial" w:cs="Arial" w:eastAsia="Arial" w:hAnsi="Arial"/>
          <w:sz w:val="18"/>
          <w:szCs w:val="18"/>
          <w:color w:val="auto"/>
        </w:rPr>
        <w:t>may be made to the public in that Relevant Member State other than:</w:t>
      </w:r>
    </w:p>
    <w:p>
      <w:pPr>
        <w:spacing w:after="0" w:line="202"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11" w:lineRule="exact"/>
        <w:rPr>
          <w:rFonts w:ascii="Arial" w:cs="Arial" w:eastAsia="Arial" w:hAnsi="Arial"/>
          <w:sz w:val="18"/>
          <w:szCs w:val="18"/>
          <w:color w:val="auto"/>
        </w:rPr>
      </w:pPr>
    </w:p>
    <w:p>
      <w:pPr>
        <w:ind w:left="1080" w:right="80" w:hanging="532"/>
        <w:spacing w:after="0" w:line="23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underwriters; or</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right="240"/>
        <w:spacing w:after="0" w:line="273" w:lineRule="auto"/>
        <w:rPr>
          <w:sz w:val="20"/>
          <w:szCs w:val="20"/>
          <w:color w:val="auto"/>
        </w:rPr>
      </w:pPr>
      <w:r>
        <w:rPr>
          <w:rFonts w:ascii="Arial" w:cs="Arial" w:eastAsia="Arial" w:hAnsi="Arial"/>
          <w:sz w:val="16"/>
          <w:szCs w:val="16"/>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has been obtained to each such proposed offer or resale.</w:t>
      </w:r>
    </w:p>
    <w:p>
      <w:pPr>
        <w:spacing w:after="0" w:line="161"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For the purposes of this provision, the expression an "</w:t>
      </w:r>
      <w:r>
        <w:rPr>
          <w:rFonts w:ascii="Arial" w:cs="Arial" w:eastAsia="Arial" w:hAnsi="Arial"/>
          <w:sz w:val="18"/>
          <w:szCs w:val="18"/>
          <w:b w:val="1"/>
          <w:bCs w:val="1"/>
          <w:color w:val="auto"/>
        </w:rPr>
        <w:t>offer of shares to the public</w:t>
      </w:r>
      <w:r>
        <w:rPr>
          <w:rFonts w:ascii="Arial" w:cs="Arial" w:eastAsia="Arial" w:hAnsi="Arial"/>
          <w:sz w:val="18"/>
          <w:szCs w:val="18"/>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4"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w:t>
      </w:r>
    </w:p>
    <w:p>
      <w:pPr>
        <w:spacing w:after="0" w:line="1" w:lineRule="exact"/>
        <w:rPr>
          <w:sz w:val="20"/>
          <w:szCs w:val="20"/>
          <w:color w:val="auto"/>
        </w:rPr>
      </w:pPr>
    </w:p>
    <w:p>
      <w:pPr>
        <w:ind w:right="160" w:firstLine="8"/>
        <w:spacing w:after="0" w:line="239" w:lineRule="auto"/>
        <w:tabs>
          <w:tab w:leader="none" w:pos="263" w:val="left"/>
        </w:tabs>
        <w:numPr>
          <w:ilvl w:val="0"/>
          <w:numId w:val="18"/>
        </w:numPr>
        <w:rPr>
          <w:rFonts w:ascii="Arial" w:cs="Arial" w:eastAsia="Arial" w:hAnsi="Arial"/>
          <w:sz w:val="18"/>
          <w:szCs w:val="18"/>
          <w:color w:val="auto"/>
        </w:rPr>
      </w:pPr>
      <w:r>
        <w:rPr>
          <w:rFonts w:ascii="Arial" w:cs="Arial" w:eastAsia="Arial" w:hAnsi="Arial"/>
          <w:sz w:val="18"/>
          <w:szCs w:val="18"/>
          <w:color w:val="auto"/>
        </w:rPr>
        <w:t>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4"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3" w:lineRule="exact"/>
        <w:rPr>
          <w:sz w:val="20"/>
          <w:szCs w:val="20"/>
          <w:color w:val="auto"/>
        </w:rPr>
      </w:pPr>
    </w:p>
    <w:p>
      <w:pPr>
        <w:ind w:right="16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11" w:lineRule="exact"/>
        <w:rPr>
          <w:sz w:val="20"/>
          <w:szCs w:val="20"/>
          <w:color w:val="auto"/>
        </w:rPr>
      </w:pPr>
    </w:p>
    <w:p>
      <w:pPr>
        <w:ind w:right="34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or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210"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or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This document:</w:t>
      </w:r>
    </w:p>
    <w:p>
      <w:pPr>
        <w:spacing w:after="0" w:line="212" w:lineRule="exact"/>
        <w:rPr>
          <w:sz w:val="20"/>
          <w:szCs w:val="20"/>
          <w:color w:val="auto"/>
        </w:rPr>
      </w:pPr>
    </w:p>
    <w:p>
      <w:pPr>
        <w:ind w:left="1080" w:right="48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does not constitute a product disclosure document or a prospectus under Chapter 6D.2 of the Corporations Act 2001 (Cth) (the "Corporations Act");</w:t>
      </w:r>
    </w:p>
    <w:p>
      <w:pPr>
        <w:spacing w:after="0" w:line="195" w:lineRule="exact"/>
        <w:rPr>
          <w:rFonts w:ascii="Arial" w:cs="Arial" w:eastAsia="Arial" w:hAnsi="Arial"/>
          <w:sz w:val="29"/>
          <w:szCs w:val="29"/>
          <w:color w:val="auto"/>
          <w:vertAlign w:val="superscript"/>
        </w:rPr>
      </w:pPr>
    </w:p>
    <w:p>
      <w:pPr>
        <w:ind w:left="1080" w:hanging="532"/>
        <w:spacing w:after="0" w:line="197"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has not been, and will not be, lodged with the Australian Securities and Investments Commission, or ASIC, as a disclosure document for the purposes of the Corporations Act and does not purport to include the information required of a disclosure document under Chapter 6D.2 of the Corporations Act;</w:t>
      </w:r>
    </w:p>
    <w:p>
      <w:pPr>
        <w:spacing w:after="0" w:line="196" w:lineRule="exact"/>
        <w:rPr>
          <w:rFonts w:ascii="Arial" w:cs="Arial" w:eastAsia="Arial" w:hAnsi="Arial"/>
          <w:sz w:val="29"/>
          <w:szCs w:val="29"/>
          <w:color w:val="auto"/>
          <w:vertAlign w:val="superscript"/>
        </w:rPr>
      </w:pPr>
    </w:p>
    <w:p>
      <w:pPr>
        <w:ind w:left="1080" w:right="20" w:hanging="532"/>
        <w:spacing w:after="0" w:line="197"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96" w:lineRule="exact"/>
        <w:rPr>
          <w:rFonts w:ascii="Arial" w:cs="Arial" w:eastAsia="Arial" w:hAnsi="Arial"/>
          <w:sz w:val="29"/>
          <w:szCs w:val="29"/>
          <w:color w:val="auto"/>
          <w:vertAlign w:val="superscript"/>
        </w:rPr>
      </w:pPr>
    </w:p>
    <w:p>
      <w:pPr>
        <w:ind w:left="1080" w:right="160" w:hanging="532"/>
        <w:spacing w:after="0" w:line="183" w:lineRule="auto"/>
        <w:tabs>
          <w:tab w:leader="none" w:pos="1080" w:val="left"/>
        </w:tabs>
        <w:numPr>
          <w:ilvl w:val="0"/>
          <w:numId w:val="19"/>
        </w:numPr>
        <w:rPr>
          <w:rFonts w:ascii="Arial" w:cs="Arial" w:eastAsia="Arial" w:hAnsi="Arial"/>
          <w:sz w:val="29"/>
          <w:szCs w:val="29"/>
          <w:color w:val="auto"/>
          <w:vertAlign w:val="superscript"/>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209"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shares may not be directly or indirectly offered for subscription or purchased or sold, and no invitations to subscribe for or buy the shares may be issued, and no draft or definitive offering memorandum, advertisement or other offering material relating to any shares may be distributed in Australia, except where disclosure to investors is not required under Chapter 6D of the Corporations Act or is otherwise in compliance with all applicable Australian laws and regulations. By submitting an application for the shares, you represent and warrant to us that you are an Exempt Investor.</w:t>
      </w:r>
    </w:p>
    <w:p>
      <w:pPr>
        <w:spacing w:after="0" w:line="211"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As any offer of shares under this document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you undertake to us that you will not, for a period of 12 months from the date of issue of the shares, offer, transfer, assign or otherwise alienate those securities to investors in Australia except in circumstances where disclosure to investors is not required under Chapter 6D.2 of the Corporations Act or where a compliant disclosure document is prepared and lodged with ASIC.</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4"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w:t>
      </w:r>
    </w:p>
    <w:p>
      <w:pPr>
        <w:spacing w:after="0" w:line="1" w:lineRule="exact"/>
        <w:rPr>
          <w:sz w:val="20"/>
          <w:szCs w:val="20"/>
          <w:color w:val="auto"/>
        </w:rPr>
      </w:pPr>
    </w:p>
    <w:p>
      <w:pPr>
        <w:ind w:right="120" w:firstLine="8"/>
        <w:spacing w:after="0" w:line="299" w:lineRule="auto"/>
        <w:tabs>
          <w:tab w:leader="none" w:pos="244"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12" w:lineRule="exact"/>
        <w:rPr>
          <w:sz w:val="20"/>
          <w:szCs w:val="20"/>
          <w:color w:val="auto"/>
        </w:rPr>
      </w:pPr>
    </w:p>
    <w:p>
      <w:pPr>
        <w:ind w:left="1080" w:right="300" w:hanging="532"/>
        <w:spacing w:after="0" w:line="299" w:lineRule="auto"/>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2" w:lineRule="exact"/>
        <w:rPr>
          <w:rFonts w:ascii="Arial" w:cs="Arial" w:eastAsia="Arial" w:hAnsi="Arial"/>
          <w:sz w:val="16"/>
          <w:szCs w:val="16"/>
          <w:color w:val="auto"/>
        </w:rPr>
      </w:pPr>
    </w:p>
    <w:p>
      <w:pPr>
        <w:ind w:left="1080" w:hanging="532"/>
        <w:spacing w:after="0" w:line="23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209"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8" w:lineRule="exact"/>
        <w:rPr>
          <w:sz w:val="20"/>
          <w:szCs w:val="20"/>
          <w:color w:val="auto"/>
        </w:rPr>
      </w:pPr>
    </w:p>
    <w:p>
      <w:pPr>
        <w:ind w:left="1080" w:right="20" w:hanging="532"/>
        <w:spacing w:after="0" w:line="239"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195"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2"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11"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98" w:lineRule="exact"/>
        <w:rPr>
          <w:rFonts w:ascii="Arial" w:cs="Arial" w:eastAsia="Arial" w:hAnsi="Arial"/>
          <w:sz w:val="18"/>
          <w:szCs w:val="18"/>
          <w:color w:val="auto"/>
        </w:rPr>
      </w:pPr>
    </w:p>
    <w:p>
      <w:pPr>
        <w:ind w:left="1080" w:hanging="532"/>
        <w:spacing w:after="0" w:line="23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0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43" w:right="57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validity of the issuance of our common stock offered hereby will be passed upon for us by Latham &amp; Watkins LLP, Menlo Park, California.</w:t>
      </w:r>
    </w:p>
    <w:p>
      <w:pPr>
        <w:spacing w:after="0"/>
        <w:rPr>
          <w:sz w:val="20"/>
          <w:szCs w:val="20"/>
          <w:color w:val="auto"/>
        </w:rPr>
      </w:pPr>
      <w:r>
        <w:rPr>
          <w:rFonts w:ascii="Arial" w:cs="Arial" w:eastAsia="Arial" w:hAnsi="Arial"/>
          <w:sz w:val="18"/>
          <w:szCs w:val="18"/>
          <w:color w:val="auto"/>
        </w:rPr>
        <w:t>Davis Polk &amp; Wardwell LLP is acting as counsel for the underwriters in connection with this offering.</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Ernst &amp; Young LLP, independent registered public accounting firm, has audited our consolidated financial statements included in our Annual Report on Form 10-K for the year ended December 31, 2017, as set forth in their report, which is incorporated by reference in this prospectus supplement and elsewhere in the registration statement. Our financial statements are incorporated by reference in reliance on Ernst &amp; Young LLP's report, given on their authority as experts in accounting and auditing.</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filed with the SEC a registration statement on Form S-3 under the Securities Act, of which this prospectus forms a part. The rules and regulations of the SEC allow us to omit from this prospectus certain information included in the registration statement. For further information about us and the securities we are offering under this prospectus,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21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 xml:space="preserve">We file reports, proxy statements and other information with the SEC under the Exchange Act. You may read and copy this information from the Public Reference Room of the SEC, 100 F Street, N.E., Room 1580, Washington, D.C. 20549, at prescribed rates. You may obtain information on the operation of the Public Reference Room by calling the SEC at 1-800-SEC-0330. The SEC also maintains an Internet website that contains reports, proxy statements and other information about issuers, like us, that file electronically with the SEC. The address of that website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to those documents instead of having to repeat the information in this prospectus. The information incorporated by reference is considered to be part of this prospectus, and later information that we file with the SEC will automatically update and supersede this information. We incorporate by reference the documents listed below and any future information filed (rather than furnished) with the SEC under</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Sections 13(a), 13(c), 14, or 15(d) of the Exchange Act between the date of this prospectus and the termination of this offering, provided, however, that we are not incorporating any information furnished under Item 2.02 or Item 7.01 of any current report on Form 8-K:</w:t>
      </w:r>
    </w:p>
    <w:p>
      <w:pPr>
        <w:spacing w:after="0" w:line="8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our Annual Report on Form 10-K for the year ended December 31, 2017, filed with the SEC on March 14, 2018;</w:t>
      </w:r>
    </w:p>
    <w:p>
      <w:pPr>
        <w:spacing w:after="0" w:line="141"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our Quarterly Report on Form 10-Q for the quarter ended March 31, 2018, filed with the SEC on May 8, 2018;</w:t>
      </w:r>
    </w:p>
    <w:p>
      <w:pPr>
        <w:spacing w:after="0" w:line="142" w:lineRule="exact"/>
        <w:rPr>
          <w:rFonts w:ascii="Arial" w:cs="Arial" w:eastAsia="Arial" w:hAnsi="Arial"/>
          <w:sz w:val="29"/>
          <w:szCs w:val="29"/>
          <w:color w:val="auto"/>
          <w:vertAlign w:val="superscript"/>
        </w:rPr>
      </w:pPr>
    </w:p>
    <w:p>
      <w:pPr>
        <w:ind w:left="1080" w:hanging="532"/>
        <w:spacing w:after="0" w:line="189"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our Current Reports on Form 8-K filed with the SEC on February 12, 2018 and May 21, 2018; and</w:t>
      </w:r>
    </w:p>
    <w:p>
      <w:pPr>
        <w:spacing w:after="0" w:line="194" w:lineRule="exact"/>
        <w:rPr>
          <w:rFonts w:ascii="Arial" w:cs="Arial" w:eastAsia="Arial" w:hAnsi="Arial"/>
          <w:sz w:val="29"/>
          <w:szCs w:val="29"/>
          <w:color w:val="auto"/>
          <w:vertAlign w:val="superscript"/>
        </w:rPr>
      </w:pPr>
    </w:p>
    <w:p>
      <w:pPr>
        <w:ind w:left="1080" w:right="640" w:hanging="532"/>
        <w:spacing w:after="0" w:line="183" w:lineRule="auto"/>
        <w:tabs>
          <w:tab w:leader="none" w:pos="1080" w:val="left"/>
        </w:tabs>
        <w:numPr>
          <w:ilvl w:val="0"/>
          <w:numId w:val="24"/>
        </w:numPr>
        <w:rPr>
          <w:rFonts w:ascii="Arial" w:cs="Arial" w:eastAsia="Arial" w:hAnsi="Arial"/>
          <w:sz w:val="29"/>
          <w:szCs w:val="29"/>
          <w:color w:val="auto"/>
          <w:vertAlign w:val="superscript"/>
        </w:rPr>
      </w:pPr>
      <w:r>
        <w:rPr>
          <w:rFonts w:ascii="Arial" w:cs="Arial" w:eastAsia="Arial" w:hAnsi="Arial"/>
          <w:sz w:val="18"/>
          <w:szCs w:val="18"/>
          <w:color w:val="auto"/>
        </w:rPr>
        <w:t>the description of our common stock contained in our registration statement on Form 8-A filed with the SEC on June 9, 2014, including any amendments or reports filed for the purpose of updating such description.</w:t>
      </w:r>
    </w:p>
    <w:p>
      <w:pPr>
        <w:spacing w:after="0" w:line="191" w:lineRule="exact"/>
        <w:rPr>
          <w:sz w:val="20"/>
          <w:szCs w:val="20"/>
          <w:color w:val="auto"/>
        </w:rPr>
      </w:pPr>
    </w:p>
    <w:p>
      <w:pPr>
        <w:ind w:right="280"/>
        <w:spacing w:after="0" w:line="260" w:lineRule="auto"/>
        <w:rPr>
          <w:sz w:val="20"/>
          <w:szCs w:val="20"/>
          <w:color w:val="auto"/>
        </w:rPr>
      </w:pPr>
      <w:r>
        <w:rPr>
          <w:rFonts w:ascii="Arial" w:cs="Arial" w:eastAsia="Arial" w:hAnsi="Arial"/>
          <w:sz w:val="18"/>
          <w:szCs w:val="18"/>
          <w:color w:val="auto"/>
        </w:rPr>
        <w:t xml:space="preserve">These documents may also be accessed on our website at </w:t>
      </w:r>
      <w:r>
        <w:rPr>
          <w:rFonts w:ascii="Arial" w:cs="Arial" w:eastAsia="Arial" w:hAnsi="Arial"/>
          <w:sz w:val="18"/>
          <w:szCs w:val="18"/>
          <w:i w:val="1"/>
          <w:iCs w:val="1"/>
          <w:color w:val="auto"/>
        </w:rPr>
        <w:t>www.ardelyx.com</w:t>
      </w:r>
      <w:r>
        <w:rPr>
          <w:rFonts w:ascii="Arial" w:cs="Arial" w:eastAsia="Arial" w:hAnsi="Arial"/>
          <w:sz w:val="18"/>
          <w:szCs w:val="18"/>
          <w:color w:val="auto"/>
        </w:rPr>
        <w:t>. Except as otherwise specifically incorporated by reference in this prospectus, information contained in, or accessible through, our website is not a part of this prospectus.</w:t>
      </w:r>
    </w:p>
    <w:p>
      <w:pPr>
        <w:spacing w:after="0" w:line="191" w:lineRule="exact"/>
        <w:rPr>
          <w:sz w:val="20"/>
          <w:szCs w:val="20"/>
          <w:color w:val="auto"/>
        </w:rPr>
      </w:pPr>
    </w:p>
    <w:p>
      <w:pPr>
        <w:ind w:right="500"/>
        <w:spacing w:after="0" w:line="239" w:lineRule="auto"/>
        <w:rPr>
          <w:sz w:val="20"/>
          <w:szCs w:val="20"/>
          <w:color w:val="auto"/>
        </w:rPr>
      </w:pPr>
      <w:r>
        <w:rPr>
          <w:rFonts w:ascii="Arial" w:cs="Arial" w:eastAsia="Arial" w:hAnsi="Arial"/>
          <w:sz w:val="18"/>
          <w:szCs w:val="18"/>
          <w:color w:val="auto"/>
        </w:rPr>
        <w:t>We will furnish without charge to you, upon written or oral request, a copy of any or all of the documents incorporated by reference, including exhibits to these documents by writing or telephoning us at the following address: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Ardelyx, Inc.</w:t>
      </w:r>
    </w:p>
    <w:p>
      <w:pPr>
        <w:jc w:val="center"/>
        <w:ind w:right="-19"/>
        <w:spacing w:after="0" w:line="234" w:lineRule="auto"/>
        <w:rPr>
          <w:sz w:val="20"/>
          <w:szCs w:val="20"/>
          <w:color w:val="auto"/>
        </w:rPr>
      </w:pPr>
      <w:r>
        <w:rPr>
          <w:rFonts w:ascii="Arial" w:cs="Arial" w:eastAsia="Arial" w:hAnsi="Arial"/>
          <w:sz w:val="18"/>
          <w:szCs w:val="18"/>
          <w:color w:val="auto"/>
        </w:rPr>
        <w:t>34175 Ardenwood Blvd., Suite 200</w:t>
      </w:r>
    </w:p>
    <w:p>
      <w:pPr>
        <w:jc w:val="center"/>
        <w:ind w:right="-19"/>
        <w:spacing w:after="0" w:line="235" w:lineRule="auto"/>
        <w:rPr>
          <w:sz w:val="20"/>
          <w:szCs w:val="20"/>
          <w:color w:val="auto"/>
        </w:rPr>
      </w:pPr>
      <w:r>
        <w:rPr>
          <w:rFonts w:ascii="Arial" w:cs="Arial" w:eastAsia="Arial" w:hAnsi="Arial"/>
          <w:sz w:val="18"/>
          <w:szCs w:val="18"/>
          <w:color w:val="auto"/>
        </w:rPr>
        <w:t>Fremont, CA 94555</w:t>
      </w:r>
    </w:p>
    <w:p>
      <w:pPr>
        <w:ind w:left="5580" w:hanging="466"/>
        <w:spacing w:after="0" w:line="235" w:lineRule="auto"/>
        <w:tabs>
          <w:tab w:leader="none" w:pos="5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745-1700</w:t>
      </w:r>
    </w:p>
    <w:p>
      <w:pPr>
        <w:ind w:left="4660"/>
        <w:spacing w:after="0"/>
        <w:rPr>
          <w:rFonts w:ascii="Arial" w:cs="Arial" w:eastAsia="Arial" w:hAnsi="Arial"/>
          <w:sz w:val="18"/>
          <w:szCs w:val="18"/>
          <w:color w:val="auto"/>
        </w:rPr>
      </w:pPr>
      <w:r>
        <w:rPr>
          <w:rFonts w:ascii="Arial" w:cs="Arial" w:eastAsia="Arial" w:hAnsi="Arial"/>
          <w:sz w:val="18"/>
          <w:szCs w:val="18"/>
          <w:color w:val="auto"/>
        </w:rPr>
        <w:t>Attention: General Counsel</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$200,000,000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160020</wp:posOffset>
            </wp:positionV>
            <wp:extent cx="2933065" cy="7029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3306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Common Stock, Preferred Stock, Debt Securities,</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Warrants, Purchase Contracts,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may offer and sell up to $200,000,000 in the aggregate of the securities identified above from time to time in one or more offerings. This prospectus provides you with a general description of the securities.</w:t>
      </w:r>
    </w:p>
    <w:p>
      <w:pPr>
        <w:spacing w:after="0" w:line="186"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before you invest in any of our securities.</w:t>
      </w:r>
    </w:p>
    <w:p>
      <w:pPr>
        <w:spacing w:after="0" w:line="16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131445</wp:posOffset>
            </wp:positionV>
            <wp:extent cx="18954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26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SEE THE "</w:t>
      </w:r>
      <w:r>
        <w:rPr>
          <w:rFonts w:ascii="Arial" w:cs="Arial" w:eastAsia="Arial" w:hAnsi="Arial"/>
          <w:sz w:val="21"/>
          <w:szCs w:val="21"/>
          <w:b w:val="1"/>
          <w:bCs w:val="1"/>
          <w:i w:val="1"/>
          <w:iCs w:val="1"/>
          <w:color w:val="auto"/>
        </w:rPr>
        <w:t>RISK FACTORS</w:t>
      </w:r>
      <w:r>
        <w:rPr>
          <w:rFonts w:ascii="Arial" w:cs="Arial" w:eastAsia="Arial" w:hAnsi="Arial"/>
          <w:sz w:val="21"/>
          <w:szCs w:val="21"/>
          <w:b w:val="1"/>
          <w:bCs w:val="1"/>
          <w:color w:val="auto"/>
        </w:rPr>
        <w:t>" ON PAGE 5 OF THIS PROSPECTUS AND ANY SIMILAR SECTION CONTAINED IN THE APPLICABLE PROSPECTUS SUPPLEMENT CONCERNING FACTORS YOU SHOULD CONSIDER BEFORE INVESTING IN OUR SECURITIES.</w:t>
      </w:r>
    </w:p>
    <w:p>
      <w:pPr>
        <w:spacing w:after="0" w:line="17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common stock is listed on The NASDAQ Global Market under the symbol "ARDX." On July 9, 2015, the last reported sale price of our common stock on The NASDAQ Global Market was $16.46 per share.</w:t>
      </w:r>
    </w:p>
    <w:p>
      <w:pPr>
        <w:spacing w:after="0" w:line="180" w:lineRule="exact"/>
        <w:rPr>
          <w:sz w:val="20"/>
          <w:szCs w:val="20"/>
          <w:color w:val="auto"/>
        </w:rPr>
      </w:pPr>
    </w:p>
    <w:p>
      <w:pPr>
        <w:ind w:right="300" w:firstLine="351"/>
        <w:spacing w:after="0" w:line="275"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date of this prospectus is July 20,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07"/>
        </w:trPr>
        <w:tc>
          <w:tcPr>
            <w:tcW w:w="7720" w:type="dxa"/>
            <w:vAlign w:val="bottom"/>
            <w:gridSpan w:val="1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Table of Contents</w:t>
              </w:r>
            </w:hyperlink>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12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ABOUT THIS PROSPECTUS</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36">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tcBorders>
              <w:bottom w:val="single" w:sz="8" w:color="0000EE"/>
            </w:tcBorders>
            <w:gridSpan w:val="16"/>
          </w:tcPr>
          <w:p>
            <w:pPr>
              <w:spacing w:after="0"/>
              <w:rPr>
                <w:rFonts w:ascii="Arial" w:cs="Arial" w:eastAsia="Arial" w:hAnsi="Arial"/>
                <w:sz w:val="18"/>
                <w:szCs w:val="18"/>
                <w:color w:val="0000EE"/>
                <w:w w:val="93"/>
              </w:rPr>
            </w:pPr>
            <w:hyperlink w:anchor="page37">
              <w:r>
                <w:rPr>
                  <w:rFonts w:ascii="Arial" w:cs="Arial" w:eastAsia="Arial" w:hAnsi="Arial"/>
                  <w:sz w:val="18"/>
                  <w:szCs w:val="18"/>
                  <w:color w:val="0000EE"/>
                  <w:w w:val="93"/>
                </w:rPr>
                <w:t>WHERE YOU CAN FIND MORE INFORMATION; INCORPORATION BY REFERENCE</w:t>
              </w:r>
            </w:hyperlink>
          </w:p>
        </w:tc>
        <w:tc>
          <w:tcPr>
            <w:tcW w:w="2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2</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48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39">
              <w:r>
                <w:rPr>
                  <w:rFonts w:ascii="Arial" w:cs="Arial" w:eastAsia="Arial" w:hAnsi="Arial"/>
                  <w:sz w:val="18"/>
                  <w:szCs w:val="18"/>
                  <w:color w:val="0000EE"/>
                  <w:w w:val="96"/>
                </w:rPr>
                <w:t>ABOUT ARDELYX</w:t>
              </w:r>
            </w:hyperlink>
          </w:p>
        </w:tc>
        <w:tc>
          <w:tcPr>
            <w:tcW w:w="5100" w:type="dxa"/>
            <w:vAlign w:val="bottom"/>
            <w:gridSpan w:val="11"/>
          </w:tcPr>
          <w:p>
            <w:pPr>
              <w:spacing w:after="0"/>
              <w:rPr>
                <w:sz w:val="24"/>
                <w:szCs w:val="24"/>
                <w:color w:val="auto"/>
              </w:rPr>
            </w:pPr>
          </w:p>
        </w:tc>
        <w:tc>
          <w:tcPr>
            <w:tcW w:w="2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4</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40">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41">
              <w:r>
                <w:rPr>
                  <w:rFonts w:ascii="Arial" w:cs="Arial" w:eastAsia="Arial" w:hAnsi="Arial"/>
                  <w:sz w:val="18"/>
                  <w:szCs w:val="18"/>
                  <w:color w:val="0000EE"/>
                  <w:w w:val="88"/>
                </w:rPr>
                <w:t>USE OF PROCEEDS</w:t>
              </w:r>
            </w:hyperlink>
          </w:p>
        </w:tc>
        <w:tc>
          <w:tcPr>
            <w:tcW w:w="5020" w:type="dxa"/>
            <w:vAlign w:val="bottom"/>
            <w:gridSpan w:val="10"/>
          </w:tcPr>
          <w:p>
            <w:pPr>
              <w:spacing w:after="0"/>
              <w:rPr>
                <w:sz w:val="24"/>
                <w:szCs w:val="24"/>
                <w:color w:val="auto"/>
              </w:rPr>
            </w:pPr>
          </w:p>
        </w:tc>
        <w:tc>
          <w:tcPr>
            <w:tcW w:w="2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1">
              <w:r>
                <w:rPr>
                  <w:rFonts w:ascii="Arial" w:cs="Arial" w:eastAsia="Arial" w:hAnsi="Arial"/>
                  <w:sz w:val="18"/>
                  <w:szCs w:val="18"/>
                  <w:color w:val="0000EE"/>
                  <w:w w:val="79"/>
                </w:rPr>
                <w:t>6</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000" w:type="dxa"/>
            <w:vAlign w:val="bottom"/>
            <w:tcBorders>
              <w:bottom w:val="single" w:sz="8" w:color="0000EE"/>
            </w:tcBorders>
            <w:gridSpan w:val="15"/>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RATIO OF EARNINGS TO FIXED CHARGES AND PREFERENCE DIVIDENDS</w:t>
              </w:r>
            </w:hyperlink>
          </w:p>
        </w:tc>
        <w:tc>
          <w:tcPr>
            <w:tcW w:w="580" w:type="dxa"/>
            <w:vAlign w:val="bottom"/>
          </w:tcPr>
          <w:p>
            <w:pPr>
              <w:spacing w:after="0"/>
              <w:rPr>
                <w:sz w:val="24"/>
                <w:szCs w:val="24"/>
                <w:color w:val="auto"/>
              </w:rPr>
            </w:pPr>
          </w:p>
        </w:tc>
        <w:tc>
          <w:tcPr>
            <w:tcW w:w="230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7</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43">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296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DESCRIPTION OF DEBT SECURITIES</w:t>
              </w:r>
            </w:hyperlink>
          </w:p>
        </w:tc>
        <w:tc>
          <w:tcPr>
            <w:tcW w:w="3620" w:type="dxa"/>
            <w:vAlign w:val="bottom"/>
            <w:gridSpan w:val="3"/>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13</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DESCRIPTION OF WARRANTS</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56">
              <w:r>
                <w:rPr>
                  <w:rFonts w:ascii="Arial" w:cs="Arial" w:eastAsia="Arial" w:hAnsi="Arial"/>
                  <w:sz w:val="18"/>
                  <w:szCs w:val="18"/>
                  <w:color w:val="0000EE"/>
                </w:rPr>
                <w:t>21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DESCRIPTION OF PURCHASE CONTRACTS</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58">
              <w:r>
                <w:rPr>
                  <w:rFonts w:ascii="Arial" w:cs="Arial" w:eastAsia="Arial" w:hAnsi="Arial"/>
                  <w:sz w:val="18"/>
                  <w:szCs w:val="18"/>
                  <w:color w:val="0000EE"/>
                </w:rPr>
                <w:t>23</w:t>
              </w:r>
            </w:hyperlink>
          </w:p>
        </w:tc>
      </w:tr>
      <w:tr>
        <w:trPr>
          <w:trHeight w:val="412"/>
        </w:trPr>
        <w:tc>
          <w:tcPr>
            <w:tcW w:w="1140" w:type="dxa"/>
            <w:vAlign w:val="bottom"/>
          </w:tcPr>
          <w:p>
            <w:pPr>
              <w:spacing w:after="0"/>
              <w:rPr>
                <w:sz w:val="24"/>
                <w:szCs w:val="24"/>
                <w:color w:val="auto"/>
              </w:rPr>
            </w:pPr>
          </w:p>
        </w:tc>
        <w:tc>
          <w:tcPr>
            <w:tcW w:w="19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59">
              <w:r>
                <w:rPr>
                  <w:rFonts w:ascii="Arial" w:cs="Arial" w:eastAsia="Arial" w:hAnsi="Arial"/>
                  <w:sz w:val="18"/>
                  <w:szCs w:val="18"/>
                  <w:color w:val="0000EE"/>
                  <w:w w:val="92"/>
                </w:rPr>
                <w:t>DESCRIPTION OF UNITS</w:t>
              </w:r>
            </w:hyperlink>
          </w:p>
        </w:tc>
        <w:tc>
          <w:tcPr>
            <w:tcW w:w="1480" w:type="dxa"/>
            <w:vAlign w:val="bottom"/>
            <w:tcBorders>
              <w:top w:val="single" w:sz="8" w:color="0000EE"/>
            </w:tcBorders>
            <w:gridSpan w:val="6"/>
          </w:tcPr>
          <w:p>
            <w:pPr>
              <w:spacing w:after="0"/>
              <w:rPr>
                <w:sz w:val="24"/>
                <w:szCs w:val="24"/>
                <w:color w:val="auto"/>
              </w:rPr>
            </w:pPr>
          </w:p>
        </w:tc>
        <w:tc>
          <w:tcPr>
            <w:tcW w:w="3120" w:type="dxa"/>
            <w:vAlign w:val="bottom"/>
            <w:gridSpan w:val="2"/>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24</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76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60">
              <w:r>
                <w:rPr>
                  <w:rFonts w:ascii="Arial" w:cs="Arial" w:eastAsia="Arial" w:hAnsi="Arial"/>
                  <w:sz w:val="18"/>
                  <w:szCs w:val="18"/>
                  <w:color w:val="0000EE"/>
                  <w:w w:val="93"/>
                </w:rPr>
                <w:t>GLOBAL SECURITIES</w:t>
              </w:r>
            </w:hyperlink>
          </w:p>
        </w:tc>
        <w:tc>
          <w:tcPr>
            <w:tcW w:w="4820" w:type="dxa"/>
            <w:vAlign w:val="bottom"/>
            <w:gridSpan w:val="9"/>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color w:val="0000EE"/>
                <w:w w:val="79"/>
              </w:rPr>
            </w:pPr>
            <w:hyperlink w:anchor="page60">
              <w:r>
                <w:rPr>
                  <w:rFonts w:ascii="Arial" w:cs="Arial" w:eastAsia="Arial" w:hAnsi="Arial"/>
                  <w:sz w:val="18"/>
                  <w:szCs w:val="18"/>
                  <w:color w:val="0000EE"/>
                  <w:w w:val="79"/>
                </w:rPr>
                <w:t>25</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6580" w:type="dxa"/>
            <w:vAlign w:val="bottom"/>
            <w:gridSpan w:val="16"/>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PLAN OF DISTRIBUTION</w:t>
              </w:r>
            </w:hyperlink>
          </w:p>
        </w:tc>
        <w:tc>
          <w:tcPr>
            <w:tcW w:w="3700" w:type="dxa"/>
            <w:vAlign w:val="bottom"/>
            <w:gridSpan w:val="4"/>
          </w:tcPr>
          <w:p>
            <w:pPr>
              <w:jc w:val="right"/>
              <w:ind w:right="1300"/>
              <w:spacing w:after="0"/>
              <w:rPr>
                <w:rFonts w:ascii="Arial" w:cs="Arial" w:eastAsia="Arial" w:hAnsi="Arial"/>
                <w:sz w:val="18"/>
                <w:szCs w:val="18"/>
                <w:color w:val="0000EE"/>
              </w:rPr>
            </w:pPr>
            <w:hyperlink w:anchor="page63">
              <w:r>
                <w:rPr>
                  <w:rFonts w:ascii="Arial" w:cs="Arial" w:eastAsia="Arial" w:hAnsi="Arial"/>
                  <w:sz w:val="18"/>
                  <w:szCs w:val="18"/>
                  <w:color w:val="0000EE"/>
                </w:rPr>
                <w:t>28</w:t>
              </w:r>
            </w:hyperlink>
          </w:p>
        </w:tc>
      </w:tr>
      <w:tr>
        <w:trPr>
          <w:trHeight w:val="412"/>
        </w:trPr>
        <w:tc>
          <w:tcPr>
            <w:tcW w:w="1140" w:type="dxa"/>
            <w:vAlign w:val="bottom"/>
          </w:tcPr>
          <w:p>
            <w:pPr>
              <w:spacing w:after="0"/>
              <w:rPr>
                <w:sz w:val="24"/>
                <w:szCs w:val="24"/>
                <w:color w:val="auto"/>
              </w:rPr>
            </w:pPr>
          </w:p>
        </w:tc>
        <w:tc>
          <w:tcPr>
            <w:tcW w:w="2000" w:type="dxa"/>
            <w:vAlign w:val="bottom"/>
            <w:tcBorders>
              <w:top w:val="single" w:sz="8" w:color="0000EE"/>
            </w:tcBorders>
            <w:gridSpan w:val="9"/>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LEGAL MATTERS</w:t>
              </w:r>
            </w:hyperlink>
          </w:p>
        </w:tc>
        <w:tc>
          <w:tcPr>
            <w:tcW w:w="4580" w:type="dxa"/>
            <w:vAlign w:val="bottom"/>
            <w:gridSpan w:val="7"/>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30</w:t>
              </w:r>
            </w:hyperlink>
          </w:p>
        </w:tc>
        <w:tc>
          <w:tcPr>
            <w:tcW w:w="1300" w:type="dxa"/>
            <w:vAlign w:val="bottom"/>
          </w:tcPr>
          <w:p>
            <w:pPr>
              <w:spacing w:after="0"/>
              <w:rPr>
                <w:sz w:val="24"/>
                <w:szCs w:val="24"/>
                <w:color w:val="auto"/>
              </w:rPr>
            </w:pPr>
          </w:p>
        </w:tc>
      </w:tr>
      <w:tr>
        <w:trPr>
          <w:trHeight w:val="412"/>
        </w:trPr>
        <w:tc>
          <w:tcPr>
            <w:tcW w:w="1140" w:type="dxa"/>
            <w:vAlign w:val="bottom"/>
          </w:tcPr>
          <w:p>
            <w:pPr>
              <w:spacing w:after="0"/>
              <w:rPr>
                <w:sz w:val="24"/>
                <w:szCs w:val="24"/>
                <w:color w:val="auto"/>
              </w:rPr>
            </w:pPr>
          </w:p>
        </w:tc>
        <w:tc>
          <w:tcPr>
            <w:tcW w:w="1420" w:type="dxa"/>
            <w:vAlign w:val="bottom"/>
            <w:tcBorders>
              <w:top w:val="single" w:sz="8" w:color="0000EE"/>
            </w:tcBorders>
            <w:gridSpan w:val="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EXPERTS</w:t>
              </w:r>
            </w:hyperlink>
          </w:p>
        </w:tc>
        <w:tc>
          <w:tcPr>
            <w:tcW w:w="5160" w:type="dxa"/>
            <w:vAlign w:val="bottom"/>
            <w:gridSpan w:val="12"/>
          </w:tcPr>
          <w:p>
            <w:pPr>
              <w:spacing w:after="0"/>
              <w:rPr>
                <w:sz w:val="24"/>
                <w:szCs w:val="24"/>
                <w:color w:val="auto"/>
              </w:rPr>
            </w:pPr>
          </w:p>
        </w:tc>
        <w:tc>
          <w:tcPr>
            <w:tcW w:w="2220" w:type="dxa"/>
            <w:vAlign w:val="bottom"/>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30</w:t>
              </w:r>
            </w:hyperlink>
          </w:p>
        </w:tc>
        <w:tc>
          <w:tcPr>
            <w:tcW w:w="1300" w:type="dxa"/>
            <w:vAlign w:val="bottom"/>
          </w:tcPr>
          <w:p>
            <w:pPr>
              <w:spacing w:after="0"/>
              <w:rPr>
                <w:sz w:val="24"/>
                <w:szCs w:val="24"/>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120" w:type="dxa"/>
            <w:vAlign w:val="bottom"/>
            <w:tcBorders>
              <w:top w:val="single" w:sz="8" w:color="0000EE"/>
              <w:bottom w:val="single" w:sz="8" w:color="808080"/>
            </w:tcBorders>
          </w:tcPr>
          <w:p>
            <w:pPr>
              <w:spacing w:after="0"/>
              <w:rPr>
                <w:sz w:val="12"/>
                <w:szCs w:val="12"/>
                <w:color w:val="auto"/>
              </w:rPr>
            </w:pPr>
          </w:p>
        </w:tc>
        <w:tc>
          <w:tcPr>
            <w:tcW w:w="640" w:type="dxa"/>
            <w:vAlign w:val="bottom"/>
            <w:tcBorders>
              <w:top w:val="single" w:sz="8" w:color="0000EE"/>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60" w:type="dxa"/>
            <w:vAlign w:val="bottom"/>
            <w:tcBorders>
              <w:bottom w:val="single" w:sz="8" w:color="808080"/>
            </w:tcBorders>
          </w:tcPr>
          <w:p>
            <w:pPr>
              <w:spacing w:after="0"/>
              <w:rPr>
                <w:sz w:val="12"/>
                <w:szCs w:val="12"/>
                <w:color w:val="auto"/>
              </w:rPr>
            </w:pPr>
          </w:p>
        </w:tc>
        <w:tc>
          <w:tcPr>
            <w:tcW w:w="8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20" w:type="dxa"/>
            <w:vAlign w:val="bottom"/>
            <w:tcBorders>
              <w:bottom w:val="single" w:sz="8" w:color="808080"/>
            </w:tcBorders>
          </w:tcPr>
          <w:p>
            <w:pPr>
              <w:spacing w:after="0"/>
              <w:rPr>
                <w:sz w:val="12"/>
                <w:szCs w:val="12"/>
                <w:color w:val="auto"/>
              </w:rPr>
            </w:pPr>
          </w:p>
        </w:tc>
        <w:tc>
          <w:tcPr>
            <w:tcW w:w="18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38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500" w:type="dxa"/>
            <w:vAlign w:val="bottom"/>
            <w:tcBorders>
              <w:bottom w:val="single" w:sz="8" w:color="808080"/>
            </w:tcBorders>
          </w:tcPr>
          <w:p>
            <w:pPr>
              <w:spacing w:after="0"/>
              <w:rPr>
                <w:sz w:val="12"/>
                <w:szCs w:val="12"/>
                <w:color w:val="auto"/>
              </w:rPr>
            </w:pPr>
          </w:p>
        </w:tc>
        <w:tc>
          <w:tcPr>
            <w:tcW w:w="2540" w:type="dxa"/>
            <w:vAlign w:val="bottom"/>
            <w:tcBorders>
              <w:bottom w:val="single" w:sz="8" w:color="808080"/>
            </w:tcBorders>
          </w:tcPr>
          <w:p>
            <w:pPr>
              <w:spacing w:after="0"/>
              <w:rPr>
                <w:sz w:val="12"/>
                <w:szCs w:val="12"/>
                <w:color w:val="auto"/>
              </w:rPr>
            </w:pPr>
          </w:p>
        </w:tc>
        <w:tc>
          <w:tcPr>
            <w:tcW w:w="580" w:type="dxa"/>
            <w:vAlign w:val="bottom"/>
            <w:tcBorders>
              <w:bottom w:val="single" w:sz="8" w:color="808080"/>
            </w:tcBorders>
          </w:tcPr>
          <w:p>
            <w:pPr>
              <w:spacing w:after="0"/>
              <w:rPr>
                <w:sz w:val="12"/>
                <w:szCs w:val="12"/>
                <w:color w:val="auto"/>
              </w:rPr>
            </w:pPr>
          </w:p>
        </w:tc>
        <w:tc>
          <w:tcPr>
            <w:tcW w:w="2220" w:type="dxa"/>
            <w:vAlign w:val="bottom"/>
            <w:tcBorders>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130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or the SEC, using a "shelf" registration process. By using a shelf registration statement, we may sell securities from time to time and in one or more offerings up to a total dollar amount of $200,000,000 as described in this prospectus. Each time that we offer and sell securities, we will provide a prospectus supplement to this prospectus that contains specific information about the securities being offered and sold and the specific terms of that offering.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 "Where You Can Find More Information; Incorporation by Reference."</w:t>
      </w:r>
    </w:p>
    <w:p>
      <w:pPr>
        <w:spacing w:after="0" w:line="172"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Neither we nor any underwriter has authorized any other person to provide you with any information or to make any representations other than those contained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in this prospectus, the applicable prospectus supplement and any related free writing prospectus, and under similar headings in the other documents that are incorporated by reference into this prospectus. Accordingly, investors should not place undue reliance on this information.</w:t>
      </w:r>
    </w:p>
    <w:p>
      <w:pPr>
        <w:spacing w:after="0" w:line="18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When we refer to "Ardelyx," "we," "our," "us" and the "Company" in this prospectus, we mean Ardelyx, Inc., unless otherwise specified. When we refer to "you," we mean the holders of the applicable series of securities.</w:t>
      </w:r>
    </w:p>
    <w:p>
      <w:pPr>
        <w:spacing w:after="0" w:line="186"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Ardelxy® and our logo are some of our trademarks used in this prospectus. This prospectus also includes trademarks, tradenames, and service marks that are the property of other organizations. Solely for convenience, our trademarks and tradenames referred to in this prospectus appear without the ® and ™ symbol, but those references are not intended to indicate, in any way, that we will not assert, to the fullest extent under applicable law, our rights, or the right of the applicable licensor to these trademarks and tradenames.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 xml:space="preserve">We file reports, proxy statements and other information with the SEC. Information filed with the SEC by us can be inspected and copied at the Public Reference Room maintained by the SEC at 100 F Street, N.E., Washington, D.C. 20549. You may also obtain copies of this information by mail from the Public Reference Section of the SEC at prescribed rates. Further information on the operation of the SEC's Public Reference Room in Washington, D.C. can be obtained by calling the SEC at 1-800-SEC-0330. The SEC also maintains a website that contains reports, proxy and information statements and other information about issuers, such as us, who file electronically with the SEC. The address of that website is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70"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www.ardelyx.com</w:t>
      </w:r>
      <w:r>
        <w:rPr>
          <w:rFonts w:ascii="Arial" w:cs="Arial" w:eastAsia="Arial" w:hAnsi="Arial"/>
          <w:sz w:val="18"/>
          <w:szCs w:val="18"/>
          <w:color w:val="auto"/>
        </w:rPr>
        <w:t>. The information on our website, however, is not, and should not be deemed to be, a part of this prospectus. We have included our website address as an inactive textual reference only.</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at the SEC's Public Reference Room in Washington, D.C. or through the SEC's website, as provided above.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our documents listed below and any future filings made by us with the SEC under Sections 13(a), 13(c), 14 or 15(d) of the Securities Exchange Act of 1934, as amended, which we refer to as the "Exchange Act" in this prospectus, between the date of this prospectus and the termination of the offering of the securities described in this prospectus. We are not, however, incorporating by reference any documents or portions thereof, whether specifically listed below or filed in the future, that are not deemed "filed" with the SEC, including any Compensation Committee report and performance graph or any information furnished pursuant to Items 2.02 or 7.01 of Form 8-K or related exhibits furnished pursuant to Item 9.01 of Form 8-K.</w:t>
      </w:r>
    </w:p>
    <w:p>
      <w:pPr>
        <w:spacing w:after="0" w:line="170"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199" w:lineRule="exact"/>
        <w:rPr>
          <w:sz w:val="20"/>
          <w:szCs w:val="20"/>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 filed with the SEC on March 5, 2015, as amended by Amendment No. 1 on Form 10-K/A filed with the SEC on March 11, 2015;</w:t>
      </w:r>
    </w:p>
    <w:p>
      <w:pPr>
        <w:spacing w:after="0" w:line="212" w:lineRule="exact"/>
        <w:rPr>
          <w:rFonts w:ascii="Arial" w:cs="Arial" w:eastAsia="Arial" w:hAnsi="Arial"/>
          <w:sz w:val="18"/>
          <w:szCs w:val="18"/>
          <w:color w:val="auto"/>
        </w:rPr>
      </w:pPr>
    </w:p>
    <w:p>
      <w:pPr>
        <w:ind w:left="1080" w:right="9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from our Definitive Proxy Statement on Schedule 14A filed with the SEC on April 24, 2015;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2015, filed with the SEC on May 12, 2015;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April 20, 2015, June 3, 2015 and June 12, 2015; and</w:t>
      </w:r>
    </w:p>
    <w:p>
      <w:pPr>
        <w:spacing w:after="0" w:line="238"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with the SEC on June 9, 2014, including any amendments or reports filed for the purpose of updating such description.</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167" w:lineRule="exact"/>
        <w:rPr>
          <w:sz w:val="20"/>
          <w:szCs w:val="20"/>
          <w:color w:val="auto"/>
        </w:rPr>
      </w:pPr>
    </w:p>
    <w:p>
      <w:pPr>
        <w:ind w:right="740" w:firstLine="345"/>
        <w:spacing w:after="0" w:line="268" w:lineRule="auto"/>
        <w:rPr>
          <w:sz w:val="20"/>
          <w:szCs w:val="20"/>
          <w:color w:val="auto"/>
        </w:rPr>
      </w:pPr>
      <w:r>
        <w:rPr>
          <w:rFonts w:ascii="Arial" w:cs="Arial" w:eastAsia="Arial" w:hAnsi="Arial"/>
          <w:sz w:val="18"/>
          <w:szCs w:val="18"/>
          <w:color w:val="auto"/>
        </w:rPr>
        <w:t>You may request a free copy of any of the documents incorporated by reference in this prospectus (other than exhibits, unless they are specifically incorporated by reference in the documents) by writing or telephoning us at the following address: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Ardelyx, Inc.</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34175 Ardenwood Blvd., Suite 200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Fremont, CA 94555</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(510)745-1700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right="820" w:firstLine="351"/>
        <w:spacing w:after="0" w:line="268" w:lineRule="auto"/>
        <w:rPr>
          <w:sz w:val="20"/>
          <w:szCs w:val="20"/>
          <w:color w:val="auto"/>
        </w:rPr>
      </w:pPr>
      <w:r>
        <w:rPr>
          <w:rFonts w:ascii="Arial" w:cs="Arial" w:eastAsia="Arial" w:hAnsi="Arial"/>
          <w:sz w:val="18"/>
          <w:szCs w:val="18"/>
          <w:color w:val="auto"/>
        </w:rPr>
        <w:t>Exhibits to the filings will not be sent, however, unless those exhibits have specifically been incorporated by reference in this prospectus and any accompanying prospectus supplement.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ARDELYX</w:t>
      </w:r>
    </w:p>
    <w:p>
      <w:pPr>
        <w:spacing w:after="0" w:line="231" w:lineRule="exact"/>
        <w:rPr>
          <w:sz w:val="20"/>
          <w:szCs w:val="20"/>
          <w:color w:val="auto"/>
        </w:rPr>
      </w:pPr>
    </w:p>
    <w:p>
      <w:pPr>
        <w:ind w:right="40" w:firstLine="348"/>
        <w:spacing w:after="0" w:line="306" w:lineRule="auto"/>
        <w:rPr>
          <w:sz w:val="20"/>
          <w:szCs w:val="20"/>
          <w:color w:val="auto"/>
        </w:rPr>
      </w:pPr>
      <w:r>
        <w:rPr>
          <w:rFonts w:ascii="Arial" w:cs="Arial" w:eastAsia="Arial" w:hAnsi="Arial"/>
          <w:sz w:val="16"/>
          <w:szCs w:val="16"/>
          <w:color w:val="auto"/>
        </w:rPr>
        <w:t>We are a clinical-stage biopharmaceutical company focused on the discovery, development and commercialization of innovative, minimally-systemic therapeutic drugs that work exclusively in the gastrointestinal, or GI, tract to treat cardio-renal, GI and metabolic diseases. We have developed a proprietary drug discovery and design platform enabling us, in a rapid and cost-efficient manner, to discover and design novel drug candidates.</w:t>
      </w:r>
    </w:p>
    <w:p>
      <w:pPr>
        <w:spacing w:after="0" w:line="16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were founded in October 2007 as a Delaware corporation under the name Nteryx, Inc. Our principal executive offices are located at 34175 Ardenwood Blvd., Suite 200, Fremont, CA 94555, and our telephone number is (510) 745-1700. Our website address is www.ardelyx.com. The information on, or that can be accessed through, our website is not part of this prospectus. We have included our website address as an inactive textual reference only. References in this prospectus to "we," "us," "our," "our company" or "Ardelyx" refer to Ardelyx, Inc.</w:t>
      </w:r>
    </w:p>
    <w:p>
      <w:pPr>
        <w:spacing w:after="0" w:line="167" w:lineRule="exact"/>
        <w:rPr>
          <w:sz w:val="20"/>
          <w:szCs w:val="20"/>
          <w:color w:val="auto"/>
        </w:rPr>
      </w:pPr>
    </w:p>
    <w:p>
      <w:pPr>
        <w:ind w:right="120" w:firstLine="348"/>
        <w:spacing w:after="0" w:line="283" w:lineRule="auto"/>
        <w:rPr>
          <w:sz w:val="20"/>
          <w:szCs w:val="20"/>
          <w:color w:val="auto"/>
        </w:rPr>
      </w:pPr>
      <w:r>
        <w:rPr>
          <w:rFonts w:ascii="Arial" w:cs="Arial" w:eastAsia="Arial" w:hAnsi="Arial"/>
          <w:sz w:val="16"/>
          <w:szCs w:val="16"/>
          <w:color w:val="auto"/>
        </w:rPr>
        <w:t>We are an "emerging growth company," as defined in the Jumpstart Our Business Startups Act of 2012. We will remain an emerging growth company until the earlier of (1) the last day of the fiscal year following the fifth anniversary of the completion of our initial public offering of common stock (December 31, 2019), (2) the last day of the fiscal year in which we have total annual gross revenue of at least $1.0 billion, (3) the last day of the fiscal year in which we are deemed to be a large accelerated filer, which means the market value of our common stock that is held by non-affiliates exceeds $700 million as of the prior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June 30</w:t>
      </w:r>
      <w:r>
        <w:rPr>
          <w:rFonts w:ascii="Arial" w:cs="Arial" w:eastAsia="Arial" w:hAnsi="Arial"/>
          <w:sz w:val="29"/>
          <w:szCs w:val="29"/>
          <w:color w:val="auto"/>
          <w:vertAlign w:val="superscript"/>
        </w:rPr>
        <w:t>th</w:t>
      </w:r>
      <w:r>
        <w:rPr>
          <w:rFonts w:ascii="Arial" w:cs="Arial" w:eastAsia="Arial" w:hAnsi="Arial"/>
          <w:sz w:val="18"/>
          <w:szCs w:val="18"/>
          <w:color w:val="auto"/>
        </w:rPr>
        <w:t>, and (4) the date on which we have issued more than $1.0 billion in non-convertible debt during the prior three-year period.</w:t>
      </w:r>
    </w:p>
    <w:p>
      <w:pPr>
        <w:spacing w:after="0" w:line="1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Investment in any securities offered pursuant to this prospectus and the applicable prospectus supplement involves risks. You should carefully consider the risk factors incorporated by reference to our most recent Quarterly Report on 10-Q and any subsequent Annual Reports on Form 10-K, Quarterly Reports on Form 10-Q or Current Reports on Form 8-K we file after the date of this prospectus, and all other information contained or incorporated by reference into this prospectus, as updated by our subsequent filings under the Exchange Act, and the risk factors and other information contained in the applicable prospectus supplement before acquiring any of such securities. The occurrence of any of these risks might cause you to lose all or part of your investment in the offered securities.</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intend to use the net proceeds from the sale of the securities as set forth in the applicable prospectus supplement.</w:t>
      </w:r>
    </w:p>
    <w:p>
      <w:pPr>
        <w:spacing w:after="0" w:line="26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RATIO OF EARNINGS TO FIXED CHARGES AND PREFERENCE DIVIDENDS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following table sets forth our ratio of earnings to fixed charges for the periods indicated (in thousands). The ratio of earnings to fixed charges is computed by dividing fixed charges into earnings before income taxes plus fixed charges. Fixed charges consist of interest expense and that portion of rental expense deemed representative of interest. We do not have any shares of preferred stock outstanding, so our ratio of earnings to fixed charges and preferred stock dividends for any given period is equivalent to our ratio of earnings to fixed charges. Our earnings have been inadequate to cover fixed charges and preference dividends. The following table sets forth the dollar amount of the deficiency to cover fixed charges for the three-month period ended March 31, 2015 and each of the years ended December 31, 2014, 2013 and 2012. We have derived the deficiency of earnings to cover fixed charges from our historical financial statements. The following should be read in conjunction with our financial statements, including the notes thereto, and the other financial information included or incorporated by reference herein. See Exhibit 12.1 hereto for additional detail regarding the computation of the deficiency of earnings to cover fixed charges.</w:t>
      </w:r>
    </w:p>
    <w:p>
      <w:pPr>
        <w:spacing w:after="0" w:line="168"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Three</w:t>
      </w:r>
    </w:p>
    <w:p>
      <w:pPr>
        <w:ind w:left="6960"/>
        <w:spacing w:after="0" w:line="223" w:lineRule="auto"/>
        <w:rPr>
          <w:sz w:val="20"/>
          <w:szCs w:val="20"/>
          <w:color w:val="auto"/>
        </w:rPr>
      </w:pPr>
      <w:r>
        <w:rPr>
          <w:rFonts w:ascii="Arial" w:cs="Arial" w:eastAsia="Arial" w:hAnsi="Arial"/>
          <w:sz w:val="14"/>
          <w:szCs w:val="14"/>
          <w:b w:val="1"/>
          <w:bCs w:val="1"/>
          <w:color w:val="auto"/>
        </w:rPr>
        <w:t>Months</w:t>
      </w:r>
    </w:p>
    <w:p>
      <w:pPr>
        <w:ind w:left="7000"/>
        <w:spacing w:after="0" w:line="222" w:lineRule="auto"/>
        <w:rPr>
          <w:sz w:val="20"/>
          <w:szCs w:val="20"/>
          <w:color w:val="auto"/>
        </w:rPr>
      </w:pPr>
      <w:r>
        <w:rPr>
          <w:rFonts w:ascii="Arial" w:cs="Arial" w:eastAsia="Arial" w:hAnsi="Arial"/>
          <w:sz w:val="14"/>
          <w:szCs w:val="14"/>
          <w:b w:val="1"/>
          <w:bCs w:val="1"/>
          <w:color w:val="auto"/>
        </w:rPr>
        <w:t>Ended</w:t>
      </w:r>
    </w:p>
    <w:p>
      <w:pPr>
        <w:ind w:left="6900"/>
        <w:spacing w:after="0"/>
        <w:tabs>
          <w:tab w:leader="none" w:pos="8160" w:val="left"/>
        </w:tabs>
        <w:rPr>
          <w:sz w:val="20"/>
          <w:szCs w:val="20"/>
          <w:color w:val="auto"/>
        </w:rPr>
      </w:pPr>
      <w:r>
        <w:rPr>
          <w:rFonts w:ascii="Arial" w:cs="Arial" w:eastAsia="Arial" w:hAnsi="Arial"/>
          <w:sz w:val="14"/>
          <w:szCs w:val="14"/>
          <w:b w:val="1"/>
          <w:bCs w:val="1"/>
          <w:color w:val="auto"/>
        </w:rPr>
        <w:t>March 31,</w:t>
      </w:r>
      <w:r>
        <w:rPr>
          <w:sz w:val="20"/>
          <w:szCs w:val="20"/>
          <w:color w:val="auto"/>
        </w:rPr>
        <w:tab/>
      </w:r>
      <w:r>
        <w:rPr>
          <w:rFonts w:ascii="Arial" w:cs="Arial" w:eastAsia="Arial" w:hAnsi="Arial"/>
          <w:sz w:val="12"/>
          <w:szCs w:val="12"/>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4327525</wp:posOffset>
            </wp:positionH>
            <wp:positionV relativeFrom="paragraph">
              <wp:posOffset>-7620</wp:posOffset>
            </wp:positionV>
            <wp:extent cx="21012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ind w:left="7060"/>
        <w:spacing w:after="0"/>
        <w:tabs>
          <w:tab w:leader="none" w:pos="7920" w:val="left"/>
          <w:tab w:leader="none" w:pos="8760" w:val="left"/>
          <w:tab w:leader="none" w:pos="9620" w:val="left"/>
        </w:tabs>
        <w:rPr>
          <w:sz w:val="20"/>
          <w:szCs w:val="20"/>
          <w:color w:val="auto"/>
        </w:rPr>
      </w:pPr>
      <w:r>
        <w:rPr>
          <w:rFonts w:ascii="Arial" w:cs="Arial" w:eastAsia="Arial" w:hAnsi="Arial"/>
          <w:sz w:val="14"/>
          <w:szCs w:val="14"/>
          <w:b w:val="1"/>
          <w:bCs w:val="1"/>
          <w:color w:val="auto"/>
        </w:rPr>
        <w:t>2015</w:t>
      </w:r>
      <w:r>
        <w:rPr>
          <w:sz w:val="20"/>
          <w:szCs w:val="20"/>
          <w:color w:val="auto"/>
        </w:rPr>
        <w:tab/>
      </w:r>
      <w:r>
        <w:rPr>
          <w:rFonts w:ascii="Arial" w:cs="Arial" w:eastAsia="Arial" w:hAnsi="Arial"/>
          <w:sz w:val="14"/>
          <w:szCs w:val="14"/>
          <w:b w:val="1"/>
          <w:bCs w:val="1"/>
          <w:color w:val="auto"/>
        </w:rPr>
        <w:t>2014</w:t>
      </w:r>
      <w:r>
        <w:rPr>
          <w:sz w:val="20"/>
          <w:szCs w:val="20"/>
          <w:color w:val="auto"/>
        </w:rPr>
        <w:tab/>
      </w:r>
      <w:r>
        <w:rPr>
          <w:rFonts w:ascii="Arial" w:cs="Arial" w:eastAsia="Arial" w:hAnsi="Arial"/>
          <w:sz w:val="14"/>
          <w:szCs w:val="14"/>
          <w:b w:val="1"/>
          <w:bCs w:val="1"/>
          <w:color w:val="auto"/>
        </w:rPr>
        <w:t>2013</w:t>
      </w:r>
      <w:r>
        <w:rPr>
          <w:sz w:val="20"/>
          <w:szCs w:val="20"/>
          <w:color w:val="auto"/>
        </w:rPr>
        <w:tab/>
      </w:r>
      <w:r>
        <w:rPr>
          <w:rFonts w:ascii="Arial" w:cs="Arial" w:eastAsia="Arial" w:hAnsi="Arial"/>
          <w:sz w:val="11"/>
          <w:szCs w:val="11"/>
          <w:b w:val="1"/>
          <w:bCs w:val="1"/>
          <w:color w:val="auto"/>
        </w:rPr>
        <w:t>2012</w:t>
      </w:r>
    </w:p>
    <w:p>
      <w:pPr>
        <w:spacing w:after="0" w:line="20" w:lineRule="exact"/>
        <w:rPr>
          <w:sz w:val="20"/>
          <w:szCs w:val="20"/>
          <w:color w:val="auto"/>
        </w:rPr>
      </w:pPr>
    </w:p>
    <w:tbl>
      <w:tblPr>
        <w:tblLayout w:type="fixed"/>
        <w:tblInd w:w="114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Deficiency of earnings available to cover fixed charges</w:t>
            </w:r>
          </w:p>
        </w:tc>
        <w:tc>
          <w:tcPr>
            <w:tcW w:w="17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   (3,502)</w:t>
            </w:r>
          </w:p>
        </w:tc>
        <w:tc>
          <w:tcPr>
            <w:tcW w:w="840" w:type="dxa"/>
            <w:vAlign w:val="bottom"/>
            <w:gridSpan w:val="3"/>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  (3,281)</w:t>
            </w:r>
          </w:p>
        </w:tc>
        <w:tc>
          <w:tcPr>
            <w:tcW w:w="860" w:type="dxa"/>
            <w:vAlign w:val="bottom"/>
            <w:gridSpan w:val="3"/>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  (6,705)</w:t>
            </w:r>
          </w:p>
        </w:tc>
        <w:tc>
          <w:tcPr>
            <w:tcW w:w="90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  (9,785)</w:t>
            </w: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periods indicated above, we had no outstanding shares of preferred stock with required dividend payments.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i w:val="1"/>
          <w:iCs w:val="1"/>
          <w:color w:val="auto"/>
        </w:rPr>
        <w:t>The following summary describes our capital stock and the material provisions of our amended and restated certificate of incorporation and our amended and restated bylaws, our investor rights agreement and registration rights agreement to which we and certain of our stockholders are parties and of the Delaware General Corporation Law. Because the following is only a summary, it does not contain all of the information that may be important to you. For a complete description, you should refer to our amended and restated certificate of incorporation, amended and restated bylaws, amended and restated investor rights agreement, and registration rights agreement, copies of which are incorporated by reference as exhibits to the registration statement of which this prospectus is a part.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Our amended and restated certificate of incorporation authorizes 300,000,000 shares of common stock, $0.0001 par value per share, and 5,000,000 shares of preferred stock, $0.0001 par value per share.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260" w:firstLine="351"/>
        <w:spacing w:after="0" w:line="286" w:lineRule="auto"/>
        <w:rPr>
          <w:sz w:val="20"/>
          <w:szCs w:val="20"/>
          <w:color w:val="auto"/>
        </w:rPr>
      </w:pPr>
      <w:r>
        <w:rPr>
          <w:rFonts w:ascii="Arial" w:cs="Arial" w:eastAsia="Arial" w:hAnsi="Arial"/>
          <w:sz w:val="16"/>
          <w:szCs w:val="16"/>
          <w:color w:val="auto"/>
        </w:rPr>
        <w:t>Each holder of our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w:t>
      </w:r>
    </w:p>
    <w:p>
      <w:pPr>
        <w:jc w:val="both"/>
        <w:ind w:right="160"/>
        <w:spacing w:after="0" w:line="221" w:lineRule="auto"/>
        <w:rPr>
          <w:sz w:val="20"/>
          <w:szCs w:val="20"/>
          <w:color w:val="auto"/>
        </w:rPr>
      </w:pPr>
      <w:r>
        <w:rPr>
          <w:rFonts w:ascii="Arial" w:cs="Arial" w:eastAsia="Arial" w:hAnsi="Arial"/>
          <w:sz w:val="18"/>
          <w:szCs w:val="18"/>
          <w:color w:val="auto"/>
        </w:rPr>
        <w:t>elect all of the directors. In addition, the affirmative vote of holders of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all of the then outstanding voting stock will be required to take certain actions, including amending certain provisions of our amended and restated certificate of incorporation, such as the provisions relating to amending our amended and restated bylaws, the classified board and director liability.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Subject to preferences that may be applicable to any then outstanding preferred stock, holders of our common stock are entitled to receive dividends, if any, as may be declared from time to time by our board of directors out of legally available funds.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preferred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r>
        <w:rPr>
          <w:rFonts w:ascii="Arial" w:cs="Arial" w:eastAsia="Arial" w:hAnsi="Arial"/>
          <w:sz w:val="18"/>
          <w:szCs w:val="18"/>
          <w:color w:val="auto"/>
        </w:rPr>
        <w:t>.</w:t>
      </w:r>
    </w:p>
    <w:p>
      <w:pPr>
        <w:spacing w:after="0" w:line="225"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All of our outstanding shares of common stock are, and the shares of common stock to be issued in this offering will be, fully paid and nonassessable.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Our board of directors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right="180" w:firstLine="351"/>
        <w:spacing w:after="0" w:line="335" w:lineRule="auto"/>
        <w:rPr>
          <w:sz w:val="20"/>
          <w:szCs w:val="20"/>
          <w:color w:val="auto"/>
        </w:rPr>
      </w:pPr>
      <w:r>
        <w:rPr>
          <w:rFonts w:ascii="Arial" w:cs="Arial" w:eastAsia="Arial" w:hAnsi="Arial"/>
          <w:sz w:val="15"/>
          <w:szCs w:val="15"/>
          <w:color w:val="auto"/>
        </w:rPr>
        <w:t>Based on the number of shares outstanding as of June 30, 2015, under our amended and restated investor rights agreement, the holders of approximately 9.7 million shares of common stock, or their transferees have the right to require us to register their shares under the Securities Act of 1933, as amended, or the Securities Act, so that those shares may be publicly resold, or to include their shares in any registration statement we file, in each case as described below.</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Based on the number of shares outstanding as of June 30, 2015, the holders of approximately 9.7 million shares of our common stock, or their transferees, will be entitled to certain demand registration rights. The holders of at least 25% of these shares can, on not more than two occasions, request that we register all or a portion of their shares.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Based on the number of shares outstanding as of June 30, 2015, in the event that we determine to register any of our securities under the Securities Act (subject to certain exceptions), either for our own account or for the account of other security holders, the holders of approximately 9.7 million shares of our common stock, or their transferees, will be entitled to certain "piggyback" registration rights allowing the holders to include their shares in such registration, subject to certain marketing and other limitations. As a result, whenever we propose to file a registration statement under the Securities Act, other than with respect to a registration related to employee benefit plans, the offer and sale of debt securities, or corporate reorganizations or certain other transactions, the holders of these shares are entitled to notice of the registration and have the right, subject to limitations that the underwriters may impose on the number of shares included in the registration, to include their shares in the registration. In an underwritten offering, the managing underwriter, if any, has the right, subject to specified conditions, to limit the number of shares such holders may include.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Based on the number of shares outstanding as of June 30, 2015, the holders of approximately 9.7 million shares of our common stock, or their transferees, are entitled to certain Form S-3 registration rights. The holders of these shares can make a written request that we register their shares on Form S-3 if we are eligible to file a registration statement on Form S-3 and if the aggregate price to the public of the shares offered is at least $1.0 million. These stockholders may make an unlimited number of requests for registration on Form S-3. In addition, to fulfill our obligation to file a Form S-3 registration statement on behalf of the holders of 9,415,891 million shares of our common stock, including shares issuable upon exercise of warrants, on or prior to July 20, 2015, we filed a registration statement on Form S-3 for the resale of 9,415,891 shares of our common stock on July 13, 2015.</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jc w:val="both"/>
        <w:ind w:right="220" w:firstLine="348"/>
        <w:spacing w:after="0" w:line="268" w:lineRule="auto"/>
        <w:rPr>
          <w:sz w:val="20"/>
          <w:szCs w:val="20"/>
          <w:color w:val="auto"/>
        </w:rPr>
      </w:pPr>
      <w:r>
        <w:rPr>
          <w:rFonts w:ascii="Arial" w:cs="Arial" w:eastAsia="Arial" w:hAnsi="Arial"/>
          <w:sz w:val="18"/>
          <w:szCs w:val="18"/>
          <w:color w:val="auto"/>
        </w:rPr>
        <w:t>We will pay the registration expenses of the holders of the shares registered pursuant to the demand, piggyback and Form S-3 registration rights described above including reasonable fees (up to a maximum of $35,000) for one counsel for the selling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Expiration of Registration Rights</w:t>
      </w:r>
    </w:p>
    <w:p>
      <w:pPr>
        <w:spacing w:after="0" w:line="225" w:lineRule="exact"/>
        <w:rPr>
          <w:sz w:val="20"/>
          <w:szCs w:val="20"/>
          <w:color w:val="auto"/>
        </w:rPr>
      </w:pPr>
    </w:p>
    <w:p>
      <w:pPr>
        <w:jc w:val="both"/>
        <w:ind w:right="240" w:firstLine="348"/>
        <w:spacing w:after="0" w:line="306" w:lineRule="auto"/>
        <w:rPr>
          <w:sz w:val="20"/>
          <w:szCs w:val="20"/>
          <w:color w:val="auto"/>
        </w:rPr>
      </w:pPr>
      <w:r>
        <w:rPr>
          <w:rFonts w:ascii="Arial" w:cs="Arial" w:eastAsia="Arial" w:hAnsi="Arial"/>
          <w:sz w:val="16"/>
          <w:szCs w:val="16"/>
          <w:color w:val="auto"/>
        </w:rPr>
        <w:t>The demand, piggyback and Form S-3 registration rights described above (other than with respect to the Form S-3 registration statement filed on July 13, 2015) will expire, with respect to any particular stockholder, upon the earlier of five years after the consummation of our initial public offering in June 2014 or when that stockholder can sell all of its shares under Rule 144 of the Securities Act during any 90 day period.</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Effects of Provisions of our Amended and Restated Certificate of Incorporation, our Amended and Restated Bylaws and Delaware Law</w:t>
      </w:r>
    </w:p>
    <w:p>
      <w:pPr>
        <w:spacing w:after="0" w:line="25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Some provisions of Delaware law and our amended and restated certificate of incorporation and our amended and restated bylaws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225"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"interested stockholders" from engaging in a "business combination" with a publicly-held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 such as discouraging takeover attempts that might result in a premium over the market price of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Undesignated Preferred Stock</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ability to authorize undesignated preferred stock makes it possible for our board of directors to issue preferred stock with voting or other rights or preferences that could impede the success of any attempt to change control of us. These and other provisions may have the effect of deterring hostile takeovers or delaying changes in control or management of our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225" w:lineRule="exact"/>
        <w:rPr>
          <w:sz w:val="20"/>
          <w:szCs w:val="20"/>
          <w:color w:val="auto"/>
        </w:rPr>
      </w:pPr>
    </w:p>
    <w:p>
      <w:pPr>
        <w:ind w:right="600" w:firstLine="351"/>
        <w:spacing w:after="0" w:line="268" w:lineRule="auto"/>
        <w:rPr>
          <w:sz w:val="20"/>
          <w:szCs w:val="20"/>
          <w:color w:val="auto"/>
        </w:rPr>
      </w:pPr>
      <w:r>
        <w:rPr>
          <w:rFonts w:ascii="Arial" w:cs="Arial" w:eastAsia="Arial" w:hAnsi="Arial"/>
          <w:sz w:val="18"/>
          <w:szCs w:val="18"/>
          <w:color w:val="auto"/>
        </w:rPr>
        <w:t>Our amended and restated bylaws provide that a special meeting of stockholders may be called only by our chairman of the board of directors, Chief Executive Officer or President, or by a resolution adopted by a majority of our board of directors.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225" w:lineRule="exact"/>
        <w:rPr>
          <w:sz w:val="20"/>
          <w:szCs w:val="20"/>
          <w:color w:val="auto"/>
        </w:rPr>
      </w:pPr>
    </w:p>
    <w:p>
      <w:pPr>
        <w:ind w:right="20" w:firstLine="351"/>
        <w:spacing w:after="0" w:line="332"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amended and restated certificate of incorporation eliminates the right of stockholders to act by written consent without a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Election and Removal of Directors; Filling Vacancies</w:t>
      </w:r>
    </w:p>
    <w:p>
      <w:pPr>
        <w:spacing w:after="0" w:line="225" w:lineRule="exact"/>
        <w:rPr>
          <w:sz w:val="20"/>
          <w:szCs w:val="20"/>
          <w:color w:val="auto"/>
        </w:rPr>
      </w:pPr>
    </w:p>
    <w:p>
      <w:pPr>
        <w:ind w:right="220" w:firstLine="351"/>
        <w:spacing w:after="0" w:line="283" w:lineRule="auto"/>
        <w:rPr>
          <w:sz w:val="20"/>
          <w:szCs w:val="20"/>
          <w:color w:val="auto"/>
        </w:rPr>
      </w:pPr>
      <w:r>
        <w:rPr>
          <w:rFonts w:ascii="Arial" w:cs="Arial" w:eastAsia="Arial" w:hAnsi="Arial"/>
          <w:sz w:val="16"/>
          <w:szCs w:val="16"/>
          <w:color w:val="auto"/>
        </w:rPr>
        <w:t>Our board of directors is divided into three classes. The directors in each class will serve for a three-year term, one class being elected each year by our stockholders,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w:t>
      </w:r>
    </w:p>
    <w:p>
      <w:pPr>
        <w:spacing w:after="0" w:line="3"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the removal of any of our directors only for cause and requires at least a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stockholder vote. Furthermore, any vacancy on our board of directors, however occurring, including a vacancy resulting from an increase in the size of our board, may only be filled by a resolution of the board of directors unless the board of directors determines that such vacancies shall be filled by the stockholders. 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Choice of Forum</w:t>
      </w:r>
    </w:p>
    <w:p>
      <w:pPr>
        <w:spacing w:after="0" w:line="225"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Our amended and restated certificate of incorporation provides that the Court of Chancery of the State of Delaware will be the exclusive forum for any derivative action or proceeding brought on our behalf; any action asserting a breach of fiduciary duty, or other wrongdoing by, any of our directors, officers, employees or stockholders; any action asserting a claim against us or any of our directors, officers or employees arising pursuant to the Delaware General Corporation Law, our amended and restated certificate of incorporation or our amended and restated bylaws; any action to interpret, apply, enforce or determine the validity of our amended and restated certificate of incorporation or our amended and restated bylaws; or any action asserting a claim against us or any of our directors, officers or employees that is governed by the internal affairs doctrine. Although our amended and restated certificate of incorporation contains the choice of forum provision described above, it is possible that a court could find that such a provision is inapplicable for a particular claim or action or that such provision is unenforceable.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225" w:lineRule="exact"/>
        <w:rPr>
          <w:sz w:val="20"/>
          <w:szCs w:val="20"/>
          <w:color w:val="auto"/>
        </w:rPr>
      </w:pPr>
    </w:p>
    <w:p>
      <w:pPr>
        <w:ind w:right="80" w:firstLine="348"/>
        <w:spacing w:after="0" w:line="282"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voting power of our then outstanding voting stock.</w:t>
      </w:r>
    </w:p>
    <w:p>
      <w:pPr>
        <w:spacing w:after="0" w:line="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231" w:lineRule="exact"/>
        <w:rPr>
          <w:sz w:val="20"/>
          <w:szCs w:val="20"/>
          <w:color w:val="auto"/>
        </w:rPr>
      </w:pPr>
    </w:p>
    <w:p>
      <w:pPr>
        <w:ind w:right="140" w:firstLine="351"/>
        <w:spacing w:after="0" w:line="259" w:lineRule="auto"/>
        <w:rPr>
          <w:sz w:val="20"/>
          <w:szCs w:val="20"/>
          <w:color w:val="auto"/>
        </w:rPr>
      </w:pPr>
      <w:r>
        <w:rPr>
          <w:rFonts w:ascii="Arial" w:cs="Arial" w:eastAsia="Arial" w:hAnsi="Arial"/>
          <w:sz w:val="18"/>
          <w:szCs w:val="18"/>
          <w:color w:val="auto"/>
        </w:rPr>
        <w:t>Our amended and restated certificate of incorporation contains provisions that limit the liability of our directors for monetary damages for breach of fiduciary duty as a director to the fullest extent permitted by Delaware law. Consequently, our directors will not be personally liable to us or our stockholders for monetary damages for any breach of fiduciary duties as directors, except liability for:</w:t>
      </w:r>
    </w:p>
    <w:p>
      <w:pPr>
        <w:spacing w:after="0" w:line="208"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as provided in Section 174 of the Delaware General Corporation Law;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we are required to indemnify our directors and officers, in each case to the fullest extent permitted by Delaware law. Our amended and restated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Delaware law. We have entered and expect to continue to enter into agreements to indemnify our directors, executive officers and other employees as determined by our board of directors.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w:t>
      </w:r>
    </w:p>
    <w:p>
      <w:pPr>
        <w:spacing w:after="0" w:line="174"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amended and restated bylaws may discourage stockholders from bringing a lawsuit against our directors and officers for breach of their fiduciary duty. They may also reduce the likelihood of derivative litigation against our directors and officers, even though an action, if successful, might benefit us and our stockholders. Further, a stockholder's investment may be adversely affected to the extent that we pay the costs of settlement and damage.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NASDAQ Global Market Listing</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NASDAQ Global Market under the symbol "ARDX."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New York 11219.</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DEBT SECURITIES</w:t>
      </w:r>
    </w:p>
    <w:p>
      <w:pPr>
        <w:spacing w:after="0" w:line="231" w:lineRule="exact"/>
        <w:rPr>
          <w:sz w:val="20"/>
          <w:szCs w:val="20"/>
          <w:color w:val="auto"/>
        </w:rPr>
      </w:pPr>
    </w:p>
    <w:p>
      <w:pPr>
        <w:ind w:right="180" w:firstLine="348"/>
        <w:spacing w:after="0" w:line="256"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97"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6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debt securities will be issued under an indenture between us and a third party to be identified therein.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380" w:firstLine="348"/>
        <w:spacing w:after="0" w:line="306" w:lineRule="auto"/>
        <w:rPr>
          <w:sz w:val="20"/>
          <w:szCs w:val="20"/>
          <w:color w:val="auto"/>
        </w:rPr>
      </w:pPr>
      <w:r>
        <w:rPr>
          <w:rFonts w:ascii="Arial" w:cs="Arial" w:eastAsia="Arial" w:hAnsi="Arial"/>
          <w:sz w:val="16"/>
          <w:szCs w:val="16"/>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(Section 2.2) The particular terms of each series of debt securities will be described in a prospectus supplement relating to such series (including any pricing supplement or term sheet).</w:t>
      </w:r>
    </w:p>
    <w:p>
      <w:pPr>
        <w:spacing w:after="0" w:line="161" w:lineRule="exact"/>
        <w:rPr>
          <w:sz w:val="20"/>
          <w:szCs w:val="20"/>
          <w:color w:val="auto"/>
        </w:rPr>
      </w:pPr>
    </w:p>
    <w:p>
      <w:pPr>
        <w:jc w:val="both"/>
        <w:ind w:right="280" w:firstLine="348"/>
        <w:spacing w:after="0" w:line="306" w:lineRule="auto"/>
        <w:rPr>
          <w:sz w:val="20"/>
          <w:szCs w:val="20"/>
          <w:color w:val="auto"/>
        </w:rPr>
      </w:pPr>
      <w:r>
        <w:rPr>
          <w:rFonts w:ascii="Arial" w:cs="Arial" w:eastAsia="Arial" w:hAnsi="Arial"/>
          <w:sz w:val="16"/>
          <w:szCs w:val="16"/>
          <w:color w:val="auto"/>
        </w:rPr>
        <w:t>We can issue an unlimited amount of debt securities under the indenture that may be in one or more series with the same or various maturities, at par, at a premium, or at a discount. (Section 2.1) We will set forth in a prospectus supplement (including any pricing supplement or term sheet) relating to any series of debt securities being offered, the aggregate principal amount and the following terms of the debt securities, if applicable:</w:t>
      </w:r>
    </w:p>
    <w:p>
      <w:pPr>
        <w:spacing w:after="0" w:line="174"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title and ranking of the debt securities (including the terms of any subordination provisions);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price or prices (expressed as a percentage of the principal amount) at which we will sell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limit on the aggregate principal amount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252"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210" w:lineRule="exact"/>
        <w:rPr>
          <w:rFonts w:ascii="Arial" w:cs="Arial" w:eastAsia="Arial" w:hAnsi="Arial"/>
          <w:sz w:val="18"/>
          <w:szCs w:val="18"/>
          <w:color w:val="auto"/>
        </w:rPr>
      </w:pPr>
    </w:p>
    <w:p>
      <w:pPr>
        <w:ind w:left="1080" w:right="260" w:hanging="532"/>
        <w:spacing w:after="0" w:line="259"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period or periods within which, the price or prices at which and the terms and conditions upon which we may redeem the debt securities;</w:t>
      </w:r>
    </w:p>
    <w:p>
      <w:pPr>
        <w:spacing w:after="0" w:line="275" w:lineRule="exact"/>
        <w:rPr>
          <w:rFonts w:ascii="Arial" w:cs="Arial" w:eastAsia="Arial" w:hAnsi="Arial"/>
          <w:sz w:val="16"/>
          <w:szCs w:val="16"/>
          <w:color w:val="auto"/>
        </w:rPr>
      </w:pPr>
    </w:p>
    <w:p>
      <w:pPr>
        <w:jc w:val="both"/>
        <w:ind w:left="1080" w:right="4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207"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denominations in which the debt securities will be issued, if other than denominations of $1,000 and any integral multiple thereof;</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debt securities will be issued in the form of certificated debt securities or global debt securities;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portion of principal amount of the debt securities payable upon declaration of acceleration of the maturity date, if other than the principal amount;</w:t>
      </w:r>
    </w:p>
    <w:p>
      <w:pPr>
        <w:spacing w:after="0" w:line="199" w:lineRule="exact"/>
        <w:rPr>
          <w:rFonts w:ascii="Arial" w:cs="Arial" w:eastAsia="Arial" w:hAnsi="Arial"/>
          <w:sz w:val="18"/>
          <w:szCs w:val="18"/>
          <w:color w:val="auto"/>
        </w:rPr>
      </w:pPr>
    </w:p>
    <w:p>
      <w:pPr>
        <w:ind w:left="1080" w:right="6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166"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designation of the currency, currencies or currency units in which payment of principal of, premium and interest on the debt securities will be made;</w:t>
      </w:r>
    </w:p>
    <w:p>
      <w:pPr>
        <w:spacing w:after="0" w:line="199"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152"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provisions relating to any security provided for the debt securities;</w:t>
      </w:r>
    </w:p>
    <w:p>
      <w:pPr>
        <w:spacing w:after="0" w:line="238"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addition to, deletion of or change in the covenants described in this prospectus or in the indenture with respect to the debt securities;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depositaries, interest rate calculation agents, exchange rate calculation agents or other agents with respect to the debt securities;</w:t>
      </w:r>
    </w:p>
    <w:p>
      <w:pPr>
        <w:spacing w:after="0" w:line="261"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221" w:lineRule="exact"/>
        <w:rPr>
          <w:rFonts w:ascii="Arial" w:cs="Arial" w:eastAsia="Arial" w:hAnsi="Arial"/>
          <w:sz w:val="18"/>
          <w:szCs w:val="18"/>
          <w:color w:val="auto"/>
        </w:rPr>
      </w:pPr>
    </w:p>
    <w:p>
      <w:pPr>
        <w:ind w:left="10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any of our direct or indirect subsidiaries will guarantee the debt securities of that series, including the terms of subordination, if any, of such guarantees. (Section 2.2)</w:t>
      </w:r>
    </w:p>
    <w:p>
      <w:pPr>
        <w:spacing w:after="0" w:line="186"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61"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i w:val="1"/>
          <w:iCs w:val="1"/>
          <w:color w:val="auto"/>
        </w:rPr>
        <w:t xml:space="preserve">Certificated Debt Securities. </w:t>
      </w:r>
      <w:r>
        <w:rPr>
          <w:rFonts w:ascii="Arial" w:cs="Arial" w:eastAsia="Arial" w:hAnsi="Arial"/>
          <w:sz w:val="16"/>
          <w:szCs w:val="16"/>
          <w:color w:val="auto"/>
        </w:rPr>
        <w:t>You may transfer or exchange certificated debt securities at any office we maintain for this purpose in accordance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terms of the indenture. (Section 2.4) No service charge will be made for any transfer or exchange of certificated debt securities, but we may require payment of a sum sufficient to cover any tax or other governmental charge payable in connection with a transfer or exchange. (Section 2.7)</w:t>
      </w:r>
    </w:p>
    <w:p>
      <w:pPr>
        <w:spacing w:after="0" w:line="161" w:lineRule="exact"/>
        <w:rPr>
          <w:sz w:val="20"/>
          <w:szCs w:val="20"/>
          <w:color w:val="auto"/>
        </w:rPr>
      </w:pPr>
    </w:p>
    <w:p>
      <w:pPr>
        <w:ind w:right="20" w:firstLine="345"/>
        <w:spacing w:after="0" w:line="259" w:lineRule="auto"/>
        <w:rPr>
          <w:sz w:val="20"/>
          <w:szCs w:val="20"/>
          <w:color w:val="auto"/>
        </w:rPr>
      </w:pPr>
      <w:r>
        <w:rPr>
          <w:rFonts w:ascii="Arial" w:cs="Arial" w:eastAsia="Arial" w:hAnsi="Arial"/>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94"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Global Debt Securities and Book-Entry System. </w:t>
      </w:r>
      <w:r>
        <w:rPr>
          <w:rFonts w:ascii="Arial" w:cs="Arial" w:eastAsia="Arial" w:hAnsi="Arial"/>
          <w:sz w:val="18"/>
          <w:szCs w:val="18"/>
          <w:color w:val="auto"/>
        </w:rPr>
        <w:t>Each global debt security representing book-entry debt securities will be deposited with, or on behalf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Depositary, and registered in the name of the Depositary or a nominee of the Depositary. Please see "Global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set forth in the applicable prospectus supplement any restrictive covenants applicable to any issue of debt securities. (Article IV)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Protection in the Event of a Change of Control</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and Sale of Assets</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may not consolidate with or merge with or into, or convey, transfer or lease all or substantially all of our properties and assets to any person (a "successor person") unless:</w:t>
      </w:r>
    </w:p>
    <w:p>
      <w:pPr>
        <w:spacing w:after="0" w:line="199" w:lineRule="exact"/>
        <w:rPr>
          <w:sz w:val="20"/>
          <w:szCs w:val="20"/>
          <w:color w:val="auto"/>
        </w:rPr>
      </w:pPr>
    </w:p>
    <w:p>
      <w:pPr>
        <w:ind w:left="1080" w:right="180" w:hanging="532"/>
        <w:spacing w:after="0" w:line="33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are the surviving corporation or the successor person (if other than Ardelyx) is a corporation organized and validly existing under the laws of any U.S. domestic jurisdiction and expressly assumes our obligations on the debt securities and under the indenture; and</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Notwithstanding the above, any of our subsidiaries may consolidate with, merge into or transfer all or part of its properties to us. (Section 5.1)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"Event of Default" means with respect to any series of debt securities, any of the following:</w:t>
      </w:r>
    </w:p>
    <w:p>
      <w:pPr>
        <w:spacing w:after="0" w:line="239" w:lineRule="exact"/>
        <w:rPr>
          <w:sz w:val="20"/>
          <w:szCs w:val="20"/>
          <w:color w:val="auto"/>
        </w:rPr>
      </w:pPr>
    </w:p>
    <w:p>
      <w:pPr>
        <w:ind w:left="1080" w:right="2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default in the payment of principal of any security of that series at its maturity;</w:t>
      </w:r>
    </w:p>
    <w:p>
      <w:pPr>
        <w:spacing w:after="0" w:line="252" w:lineRule="exact"/>
        <w:rPr>
          <w:rFonts w:ascii="Arial" w:cs="Arial" w:eastAsia="Arial" w:hAnsi="Arial"/>
          <w:sz w:val="18"/>
          <w:szCs w:val="18"/>
          <w:color w:val="auto"/>
        </w:rPr>
      </w:pPr>
    </w:p>
    <w:p>
      <w:pPr>
        <w:ind w:left="1080" w:right="100" w:hanging="532"/>
        <w:spacing w:after="0" w:line="298"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Ardelyx and the trustee receive written notice from the holders of not less than 25% in principal amount of the outstanding debt securities of that series as provided in the indenture;</w:t>
      </w:r>
    </w:p>
    <w:p>
      <w:pPr>
        <w:spacing w:after="0" w:line="180"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voluntary or involuntary events of bankruptcy, insolvency or reorganization of Ardelyx; and</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debt securities of that series that is described in the applicable prospectus supplement. (Section 6.1)</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(Section 6.1) The occurrence of certain Events of Default or an acceleration under the indenture may constitute an event of default under certain indebtedness of ours or our subsidiaries outstanding from time to time.</w:t>
      </w:r>
    </w:p>
    <w:p>
      <w:pPr>
        <w:spacing w:after="0" w:line="16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 (Section 6.1)</w:t>
      </w:r>
    </w:p>
    <w:p>
      <w:pPr>
        <w:spacing w:after="0" w:line="194"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(Section 6.2)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(Section 7.1(e))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(Section 6.12)</w:t>
      </w:r>
    </w:p>
    <w:p>
      <w:pPr>
        <w:spacing w:after="0" w:line="170"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that holder has previously given to the trustee written notice of a continuing Event of Default with respect to debt securities of that series; and</w:t>
      </w:r>
    </w:p>
    <w:p>
      <w:pPr>
        <w:spacing w:after="0" w:line="275" w:lineRule="exact"/>
        <w:rPr>
          <w:rFonts w:ascii="Arial" w:cs="Arial" w:eastAsia="Arial" w:hAnsi="Arial"/>
          <w:sz w:val="16"/>
          <w:szCs w:val="16"/>
          <w:color w:val="auto"/>
        </w:rPr>
      </w:pPr>
    </w:p>
    <w:p>
      <w:pPr>
        <w:ind w:left="1080" w:right="40" w:hanging="532"/>
        <w:spacing w:after="0" w:line="25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 (Section 6.7)</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 (Section 6.8)</w:t>
      </w:r>
    </w:p>
    <w:p>
      <w:pPr>
        <w:spacing w:after="0" w:line="194"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The indenture requires us, within 120 days after the end of our fiscal year, to furnish to the trustee a statement as to compliance with the indenture. (Section 4.3)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 (Section 7.5)</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and Waiver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We and the trustee may modify, amend or supplement the indenture or the debt securities of any series without the consent of any holder of any debt security:</w:t>
      </w:r>
    </w:p>
    <w:p>
      <w:pPr>
        <w:spacing w:after="0" w:line="273"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cure any ambiguity, defect or inconsistency;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covenants in the indenture described above under the heading "Consolidation, Merger and Sale of Assets";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guarantees with respect to debt securities of any series or secure debt securities of any series;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surrender any of our rights or powers under the indenture;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add covenants or events of default for the benefit of the holders of debt securities of any series;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the applicable procedures of the applicable depositary;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to provide for the issuance of and establish the form and terms and conditions of debt securities of any series as permitted by the indenture;</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212" w:lineRule="exact"/>
        <w:rPr>
          <w:rFonts w:ascii="Arial" w:cs="Arial" w:eastAsia="Arial" w:hAnsi="Arial"/>
          <w:sz w:val="18"/>
          <w:szCs w:val="18"/>
          <w:color w:val="auto"/>
        </w:rPr>
      </w:pPr>
    </w:p>
    <w:p>
      <w:pPr>
        <w:ind w:left="1080" w:right="9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comply with requirements of the SEC in order to effect or maintain the qualification of the indenture under the Trust Indenture Act. (Section 9.1)</w:t>
      </w:r>
    </w:p>
    <w:p>
      <w:pPr>
        <w:spacing w:after="0" w:line="186" w:lineRule="exact"/>
        <w:rPr>
          <w:sz w:val="20"/>
          <w:szCs w:val="20"/>
          <w:color w:val="auto"/>
        </w:rPr>
      </w:pPr>
    </w:p>
    <w:p>
      <w:pPr>
        <w:jc w:val="both"/>
        <w:ind w:right="160" w:firstLine="348"/>
        <w:spacing w:after="0" w:line="259" w:lineRule="auto"/>
        <w:rPr>
          <w:sz w:val="20"/>
          <w:szCs w:val="20"/>
          <w:color w:val="auto"/>
        </w:rPr>
      </w:pPr>
      <w:r>
        <w:rPr>
          <w:rFonts w:ascii="Arial" w:cs="Arial" w:eastAsia="Arial" w:hAnsi="Arial"/>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208"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rate of or extend the time for payment of interest (including default interest) on any debt security;</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reduce the principal amount of discount securities payable upon acceleration of maturity;</w:t>
      </w:r>
    </w:p>
    <w:p>
      <w:pPr>
        <w:spacing w:after="0" w:line="25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the principal of or premium or interest on any debt security payable in currency other than that stated in the debt security;</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make any change to certain provisions of the indenture relating to, among other things, the right of holders of debt securities to receive payment of the principal of, premium and interest 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those debt securities and to institute suit for the enforcement of any such payment and to waivers or amendments; or</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waive a redemption payment with respect to any debt security. (Section 9.3)</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(Section 9.2)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 (Section 6.13)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of Debt Securities and Certain Covenants in Certain Circumstances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i w:val="1"/>
          <w:iCs w:val="1"/>
          <w:color w:val="auto"/>
        </w:rPr>
        <w:t xml:space="preserve">Legal Defeasance. </w:t>
      </w:r>
      <w:r>
        <w:rPr>
          <w:rFonts w:ascii="Arial" w:cs="Arial" w:eastAsia="Arial" w:hAnsi="Arial"/>
          <w:sz w:val="16"/>
          <w:szCs w:val="16"/>
          <w:color w:val="auto"/>
        </w:rPr>
        <w:t>The indenture provides that, unless otherwise provided by the terms of the applicable series of debt securities, we may be discharged</w:t>
      </w:r>
      <w:r>
        <w:rPr>
          <w:rFonts w:ascii="Arial" w:cs="Arial" w:eastAsia="Arial" w:hAnsi="Arial"/>
          <w:sz w:val="16"/>
          <w:szCs w:val="16"/>
          <w:i w:val="1"/>
          <w:iCs w:val="1"/>
          <w:color w:val="auto"/>
        </w:rPr>
        <w:t xml:space="preserve"> </w:t>
      </w:r>
      <w:r>
        <w:rPr>
          <w:rFonts w:ascii="Arial" w:cs="Arial" w:eastAsia="Arial" w:hAnsi="Arial"/>
          <w:sz w:val="16"/>
          <w:szCs w:val="16"/>
          <w:color w:val="auto"/>
        </w:rPr>
        <w:t>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72"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 (Section 8.3)</w:t>
      </w:r>
    </w:p>
    <w:p>
      <w:pPr>
        <w:spacing w:after="0" w:line="174"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i w:val="1"/>
          <w:iCs w:val="1"/>
          <w:color w:val="auto"/>
        </w:rPr>
        <w:t xml:space="preserve">Defeasance of Certain Covenants. </w:t>
      </w:r>
      <w:r>
        <w:rPr>
          <w:rFonts w:ascii="Arial" w:cs="Arial" w:eastAsia="Arial" w:hAnsi="Arial"/>
          <w:sz w:val="18"/>
          <w:szCs w:val="18"/>
          <w:color w:val="auto"/>
        </w:rPr>
        <w:t>The indenture provides that, unless otherwise provided by the terms of the applicable series of debt securities, upon</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certain conditions:</w:t>
      </w:r>
    </w:p>
    <w:p>
      <w:pPr>
        <w:spacing w:after="0" w:line="213" w:lineRule="exact"/>
        <w:rPr>
          <w:sz w:val="20"/>
          <w:szCs w:val="20"/>
          <w:color w:val="auto"/>
        </w:rPr>
      </w:pPr>
    </w:p>
    <w:p>
      <w:pPr>
        <w:ind w:left="1080" w:right="20" w:hanging="532"/>
        <w:spacing w:after="0" w:line="332" w:lineRule="auto"/>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152" w:lineRule="exact"/>
        <w:rPr>
          <w:rFonts w:ascii="Arial" w:cs="Arial" w:eastAsia="Arial" w:hAnsi="Arial"/>
          <w:sz w:val="16"/>
          <w:szCs w:val="16"/>
          <w:color w:val="auto"/>
        </w:rPr>
      </w:pPr>
    </w:p>
    <w:p>
      <w:pPr>
        <w:ind w:left="1080" w:right="160" w:hanging="532"/>
        <w:spacing w:after="0" w:line="268"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omission to comply with those covenants will not constitute a Default or an Event of Default with respect to the debt securities of that series ("covenant defeasance").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conditions include:</w:t>
      </w:r>
    </w:p>
    <w:p>
      <w:pPr>
        <w:spacing w:after="0" w:line="239" w:lineRule="exact"/>
        <w:rPr>
          <w:sz w:val="20"/>
          <w:szCs w:val="20"/>
          <w:color w:val="auto"/>
        </w:rPr>
      </w:pPr>
    </w:p>
    <w:p>
      <w:pPr>
        <w:jc w:val="both"/>
        <w:ind w:left="1080" w:hanging="532"/>
        <w:spacing w:after="0" w:line="259"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40"/>
        <w:spacing w:after="0" w:line="306" w:lineRule="auto"/>
        <w:rPr>
          <w:sz w:val="20"/>
          <w:szCs w:val="20"/>
          <w:color w:val="auto"/>
        </w:rPr>
      </w:pPr>
      <w:r>
        <w:rPr>
          <w:rFonts w:ascii="Arial" w:cs="Arial" w:eastAsia="Arial" w:hAnsi="Arial"/>
          <w:sz w:val="16"/>
          <w:szCs w:val="16"/>
          <w:color w:val="auto"/>
        </w:rPr>
        <w:t>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174" w:lineRule="exact"/>
        <w:rPr>
          <w:sz w:val="20"/>
          <w:szCs w:val="20"/>
          <w:color w:val="auto"/>
        </w:rPr>
      </w:pPr>
    </w:p>
    <w:p>
      <w:pPr>
        <w:ind w:left="1080" w:hanging="532"/>
        <w:spacing w:after="0" w:line="29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delivering to the trustee an opinion of counsel to the effect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beneficial owners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 (Section 8.4)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or Stockholders</w:t>
      </w:r>
    </w:p>
    <w:p>
      <w:pPr>
        <w:spacing w:after="0" w:line="231"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None of our past, present or future directors, officers, employees or stockholders,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3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indenture and the debt securities, including any claim or controversy arising out of or relating to the indenture or the securities, will be governed by the laws of the State of New York. (Section 10.10)</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WARRANTS</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particular terms of any issue of warrants will be described in the prospectus supplement relating to the issue. Those terms may include:</w:t>
      </w:r>
    </w:p>
    <w:p>
      <w:pPr>
        <w:spacing w:after="0" w:line="262" w:lineRule="exact"/>
        <w:rPr>
          <w:sz w:val="20"/>
          <w:szCs w:val="20"/>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principal amount of debt securities that may be purchased upon exercise of a debt warrant and the exercise price for the warrants, which may be payable in cash, securities or other property;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if any, on and after which the warrants and the related debt securities, preferred stock or common stock will be separately transferable;</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terms of any rights to redeem or call the 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commence and the date on which the right will expire;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United States Federal income tax consequences applicable to the warrants; and</w:t>
      </w:r>
    </w:p>
    <w:p>
      <w:pPr>
        <w:spacing w:after="0" w:line="252" w:lineRule="exact"/>
        <w:rPr>
          <w:rFonts w:ascii="Arial" w:cs="Arial" w:eastAsia="Arial" w:hAnsi="Arial"/>
          <w:sz w:val="18"/>
          <w:szCs w:val="18"/>
          <w:color w:val="auto"/>
        </w:rPr>
      </w:pPr>
    </w:p>
    <w:p>
      <w:pPr>
        <w:ind w:left="360" w:firstLine="188"/>
        <w:spacing w:after="0" w:line="501" w:lineRule="auto"/>
        <w:tabs>
          <w:tab w:leader="none" w:pos="1089"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additional terms of the warrants, including terms, procedures, and limitations relating to the exchange, exercise and settlement of the warrants. Holders of equity warrants will not be entitled to:</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vote, consent or receive dividends;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receive notice as stockholders with respect to any meeting of stockholders for the election of our directors or any other matter;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exercise any rights as stockholders of Ardelyx.</w:t>
      </w:r>
    </w:p>
    <w:p>
      <w:pPr>
        <w:spacing w:after="0" w:line="225" w:lineRule="exact"/>
        <w:rPr>
          <w:sz w:val="20"/>
          <w:szCs w:val="20"/>
          <w:color w:val="auto"/>
        </w:rPr>
      </w:pPr>
    </w:p>
    <w:p>
      <w:pPr>
        <w:ind w:right="340" w:firstLine="351"/>
        <w:spacing w:after="0" w:line="298" w:lineRule="auto"/>
        <w:rPr>
          <w:sz w:val="20"/>
          <w:szCs w:val="20"/>
          <w:color w:val="auto"/>
        </w:rPr>
      </w:pPr>
      <w:r>
        <w:rPr>
          <w:rFonts w:ascii="Arial" w:cs="Arial" w:eastAsia="Arial" w:hAnsi="Arial"/>
          <w:sz w:val="16"/>
          <w:szCs w:val="16"/>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67"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 holder of warrant certificates may exchange them for new warrant certificates of different denominations, present them for registration of transfer and exercise them at the corporate trust office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of the warrant agent or any other office indicated in the applicable prospectus supplement. Until any warrants to purchase debt securities are 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DESCRIPTION OF PURCHASE CONTRACTS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may issue purchase contracts for the purchase or sale of:</w:t>
      </w:r>
    </w:p>
    <w:p>
      <w:pPr>
        <w:spacing w:after="0" w:line="239" w:lineRule="exact"/>
        <w:rPr>
          <w:sz w:val="20"/>
          <w:szCs w:val="20"/>
          <w:color w:val="auto"/>
        </w:rPr>
      </w:pPr>
    </w:p>
    <w:p>
      <w:pPr>
        <w:ind w:left="1080" w:right="6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debt or equity securities issued by us or securities of third parties, a basket of such securities, an index or indices of such securities or any combination of the above as specified in the applicable prospectus supplement;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currencies;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commodities.</w:t>
      </w:r>
    </w:p>
    <w:p>
      <w:pPr>
        <w:spacing w:after="0" w:line="225"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w:t>
      </w:r>
    </w:p>
    <w:p>
      <w:pPr>
        <w:spacing w:after="0" w:line="174"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the applicable indenture.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UNITS</w:t>
      </w:r>
    </w:p>
    <w:p>
      <w:pPr>
        <w:spacing w:after="0" w:line="231"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97"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70"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If we offer any units, certain terms of that series of units will be described in the applicable prospectus supplement, including, without limitation, the following, as applicable:</w:t>
      </w:r>
    </w:p>
    <w:p>
      <w:pPr>
        <w:spacing w:after="0" w:line="19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title of the series of units;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identification and description of the separate constituent securities comprising the units;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price or prices at which the units will be issued;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date, if any, on and after which the constituent securities comprising the units will be separately transferable;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discussion of certain United States federal income tax considerations applicable to the units;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other terms of the units and their constituent securities.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GLOBAL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Unless we indicate differently in a prospectus supplement,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that it is:</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limited-purpose trust company organized under the New York Banking Law;</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"banking organization" within the meaning of the New York Banking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member of the Federal Reserve System;</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corporation" within the meaning of the New York Uniform Commercial Code;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"clearing agency" registered pursuant to the provisions of Section 17A of the Exchange Act.</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72"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72" w:lineRule="exact"/>
        <w:rPr>
          <w:sz w:val="20"/>
          <w:szCs w:val="20"/>
          <w:color w:val="auto"/>
        </w:rPr>
      </w:pPr>
    </w:p>
    <w:p>
      <w:pPr>
        <w:ind w:right="80" w:firstLine="348"/>
        <w:spacing w:after="0" w:line="298" w:lineRule="auto"/>
        <w:rPr>
          <w:sz w:val="20"/>
          <w:szCs w:val="20"/>
          <w:color w:val="auto"/>
        </w:rPr>
      </w:pPr>
      <w:r>
        <w:rPr>
          <w:rFonts w:ascii="Arial" w:cs="Arial" w:eastAsia="Arial" w:hAnsi="Arial"/>
          <w:sz w:val="16"/>
          <w:szCs w:val="16"/>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which may or may not be the beneficial owners. The participants are responsible for keeping account of their holdings on behalf of their customers.</w:t>
      </w:r>
    </w:p>
    <w:p>
      <w:pPr>
        <w:spacing w:after="0" w:line="248"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97"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39"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86"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6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70"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72"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94"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139" w:lineRule="exact"/>
        <w:rPr>
          <w:sz w:val="20"/>
          <w:szCs w:val="20"/>
          <w:color w:val="auto"/>
        </w:rPr>
      </w:pPr>
    </w:p>
    <w:p>
      <w:pPr>
        <w:ind w:right="340" w:firstLine="341"/>
        <w:spacing w:after="0" w:line="268" w:lineRule="auto"/>
        <w:rPr>
          <w:sz w:val="20"/>
          <w:szCs w:val="20"/>
          <w:color w:val="auto"/>
        </w:rPr>
      </w:pPr>
      <w:r>
        <w:rPr>
          <w:rFonts w:ascii="Arial" w:cs="Arial" w:eastAsia="Arial" w:hAnsi="Arial"/>
          <w:sz w:val="18"/>
          <w:szCs w:val="18"/>
          <w:color w:val="auto"/>
        </w:rPr>
        <w:t>As noted above, beneficial owners of a particular series of securities generally will not receive certificates representing their ownership interests in those securities. However, if:</w:t>
      </w:r>
    </w:p>
    <w:p>
      <w:pPr>
        <w:spacing w:after="0" w:line="199" w:lineRule="exact"/>
        <w:rPr>
          <w:sz w:val="20"/>
          <w:szCs w:val="20"/>
          <w:color w:val="auto"/>
        </w:rPr>
      </w:pPr>
    </w:p>
    <w:p>
      <w:pPr>
        <w:ind w:left="1080" w:right="40" w:hanging="532"/>
        <w:spacing w:after="0" w:line="256"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224"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determine, in our sole discretion, not to have such securities represented by one or more global securities;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 Event of Default has occurred and is continuing with respect to such series of securities,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97" w:lineRule="exact"/>
        <w:rPr>
          <w:sz w:val="20"/>
          <w:szCs w:val="20"/>
          <w:color w:val="auto"/>
        </w:rPr>
      </w:pPr>
    </w:p>
    <w:p>
      <w:pPr>
        <w:ind w:right="440" w:firstLine="348"/>
        <w:spacing w:after="0" w:line="268" w:lineRule="auto"/>
        <w:rPr>
          <w:sz w:val="20"/>
          <w:szCs w:val="20"/>
          <w:color w:val="auto"/>
        </w:rPr>
      </w:pPr>
      <w:r>
        <w:rPr>
          <w:rFonts w:ascii="Arial" w:cs="Arial" w:eastAsia="Arial" w:hAnsi="Arial"/>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may sell the securities from time to time pursuant to underwritten public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208"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a fixed price or prices, which may be changed;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market prices prevailing at the time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jc w:val="both"/>
        <w:ind w:right="540" w:firstLine="351"/>
        <w:spacing w:after="0" w:line="259" w:lineRule="auto"/>
        <w:rPr>
          <w:sz w:val="20"/>
          <w:szCs w:val="20"/>
          <w:color w:val="auto"/>
        </w:rPr>
      </w:pPr>
      <w:r>
        <w:rPr>
          <w:rFonts w:ascii="Arial" w:cs="Arial" w:eastAsia="Arial" w:hAnsi="Arial"/>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94"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39"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86"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74" w:lineRule="exact"/>
        <w:rPr>
          <w:sz w:val="20"/>
          <w:szCs w:val="20"/>
          <w:color w:val="auto"/>
        </w:rPr>
      </w:pPr>
    </w:p>
    <w:p>
      <w:pPr>
        <w:ind w:right="80" w:firstLine="341"/>
        <w:spacing w:after="0" w:line="298" w:lineRule="auto"/>
        <w:rPr>
          <w:sz w:val="20"/>
          <w:szCs w:val="20"/>
          <w:color w:val="auto"/>
        </w:rPr>
      </w:pPr>
      <w:r>
        <w:rPr>
          <w:rFonts w:ascii="Arial" w:cs="Arial" w:eastAsia="Arial" w:hAnsi="Arial"/>
          <w:sz w:val="16"/>
          <w:szCs w:val="16"/>
          <w:color w:val="auto"/>
        </w:rPr>
        <w:t>Any common stock or preferred stock will be listed on The NASDAQ Global Market, but any other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97"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201"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may engage in at the 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underwriters, dealers and agents may engage in transactions with us, or perform services for us, in the ordinary course of business for which they receive compensation.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Latham &amp; Watkins LLP will pass upon certain legal matters relating to the issuance and sale of the securities offered hereby on behalf of Ardelyx, Inc.</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Additional legal matters may be passed upon for us or any underwriters, dealers or agents by counsel that we will name in the applicable prospectus supplement.</w:t>
      </w: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Ernst &amp; Young LLP, independent registered public accounting firm, has audited our financial statements included in our Annual Report on Form 10-K for the year ended December 31, 2014,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660"/>
        <w:spacing w:after="0"/>
        <w:rPr>
          <w:sz w:val="20"/>
          <w:szCs w:val="20"/>
          <w:color w:val="auto"/>
        </w:rPr>
      </w:pPr>
      <w:r>
        <w:rPr>
          <w:rFonts w:ascii="Arial" w:cs="Arial" w:eastAsia="Arial" w:hAnsi="Arial"/>
          <w:sz w:val="24"/>
          <w:szCs w:val="24"/>
          <w:b w:val="1"/>
          <w:bCs w:val="1"/>
          <w:color w:val="auto"/>
        </w:rPr>
        <w:t>12,500,000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163830</wp:posOffset>
            </wp:positionV>
            <wp:extent cx="2778760" cy="4718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7876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760"/>
        <w:spacing w:after="0"/>
        <w:rPr>
          <w:sz w:val="20"/>
          <w:szCs w:val="20"/>
          <w:color w:val="auto"/>
        </w:rPr>
      </w:pPr>
      <w:r>
        <w:rPr>
          <w:rFonts w:ascii="Arial" w:cs="Arial" w:eastAsia="Arial" w:hAnsi="Arial"/>
          <w:sz w:val="32"/>
          <w:szCs w:val="32"/>
          <w:b w:val="1"/>
          <w:bCs w:val="1"/>
          <w:color w:val="auto"/>
        </w:rPr>
        <w:t>Ardelyx, Inc.</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163830</wp:posOffset>
            </wp:positionV>
            <wp:extent cx="20497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48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151765</wp:posOffset>
            </wp:positionV>
            <wp:extent cx="20497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Joint Book-Running Managers</w:t>
      </w:r>
    </w:p>
    <w:p>
      <w:pPr>
        <w:spacing w:after="0" w:line="193" w:lineRule="exact"/>
        <w:rPr>
          <w:sz w:val="20"/>
          <w:szCs w:val="20"/>
          <w:color w:val="auto"/>
        </w:rPr>
      </w:pPr>
    </w:p>
    <w:p>
      <w:pPr>
        <w:jc w:val="both"/>
        <w:ind w:left="2240"/>
        <w:spacing w:after="0"/>
        <w:tabs>
          <w:tab w:leader="none" w:pos="7700" w:val="left"/>
        </w:tabs>
        <w:rPr>
          <w:sz w:val="20"/>
          <w:szCs w:val="20"/>
          <w:color w:val="auto"/>
        </w:rPr>
      </w:pPr>
      <w:r>
        <w:rPr>
          <w:rFonts w:ascii="Arial" w:cs="Arial" w:eastAsia="Arial" w:hAnsi="Arial"/>
          <w:sz w:val="24"/>
          <w:szCs w:val="24"/>
          <w:b w:val="1"/>
          <w:bCs w:val="1"/>
          <w:color w:val="auto"/>
        </w:rPr>
        <w:t>Jefferies</w:t>
      </w:r>
      <w:r>
        <w:rPr>
          <w:sz w:val="20"/>
          <w:szCs w:val="20"/>
          <w:color w:val="auto"/>
        </w:rPr>
        <w:tab/>
      </w:r>
      <w:r>
        <w:rPr>
          <w:rFonts w:ascii="Arial" w:cs="Arial" w:eastAsia="Arial" w:hAnsi="Arial"/>
          <w:sz w:val="24"/>
          <w:szCs w:val="24"/>
          <w:b w:val="1"/>
          <w:bCs w:val="1"/>
          <w:color w:val="auto"/>
        </w:rPr>
        <w:t>Leerink Partners</w:t>
      </w:r>
    </w:p>
    <w:p>
      <w:pPr>
        <w:spacing w:after="0" w:line="261"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May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312420</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329565</wp:posOffset>
            </wp:positionV>
            <wp:extent cx="7246620" cy="342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499110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43" w:right="1440" w:bottom="1440" w:gutter="0" w:footer="0" w:header="0"/>
        </w:sectPr>
      </w:pPr>
    </w:p>
    <w:bookmarkStart w:id="66" w:name="page67"/>
    <w:bookmarkEnd w:id="6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Letter"/>
      <w:start w:val="2"/>
    </w:lvl>
  </w:abstractNum>
  <w:abstractNum w:abstractNumId="14">
    <w:nsid w:val="1E7FF521"/>
    <w:multiLevelType w:val="hybridMultilevel"/>
    <w:lvl w:ilvl="0">
      <w:lvlJc w:val="left"/>
      <w:lvlText w:val="(%1)"/>
      <w:numFmt w:val="lowerLetter"/>
      <w:start w:val="4"/>
    </w:lvl>
  </w:abstractNum>
  <w:abstractNum w:abstractNumId="15">
    <w:nsid w:val="7C3DBD3D"/>
    <w:multiLevelType w:val="hybridMultilevel"/>
    <w:lvl w:ilvl="0">
      <w:lvlJc w:val="left"/>
      <w:lvlText w:val="(%1)"/>
      <w:numFmt w:val="lowerLetter"/>
      <w:start w:val="6"/>
    </w:lvl>
  </w:abstractNum>
  <w:abstractNum w:abstractNumId="16">
    <w:nsid w:val="737B8DDC"/>
    <w:multiLevelType w:val="hybridMultilevel"/>
    <w:lvl w:ilvl="0">
      <w:lvlJc w:val="left"/>
      <w:lvlText w:val="%1."/>
      <w:numFmt w:val="upperLetter"/>
      <w:start w:val="1"/>
    </w:lvl>
  </w:abstractNum>
  <w:abstractNum w:abstractNumId="17">
    <w:nsid w:val="6CEAF087"/>
    <w:multiLevelType w:val="hybridMultilevel"/>
    <w:lvl w:ilvl="0">
      <w:lvlJc w:val="left"/>
      <w:lvlText w:val="(%1)"/>
      <w:numFmt w:val="lowerLetter"/>
      <w:start w:val="4"/>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1)"/>
      <w:numFmt w:val="lowerRoman"/>
      <w:start w:val="2"/>
    </w:lvl>
  </w:abstractNum>
  <w:abstractNum w:abstractNumId="20">
    <w:nsid w:val="3006C83E"/>
    <w:multiLevelType w:val="hybridMultilevel"/>
    <w:lvl w:ilvl="0">
      <w:lvlJc w:val="left"/>
      <w:lvlText w:val="(%1)"/>
      <w:numFmt w:val="lowerLetter"/>
      <w:start w:val="1"/>
    </w:lvl>
  </w:abstractNum>
  <w:abstractNum w:abstractNumId="21">
    <w:nsid w:val="614FD4A1"/>
    <w:multiLevelType w:val="hybridMultilevel"/>
    <w:lvl w:ilvl="0">
      <w:lvlJc w:val="left"/>
      <w:lvlText w:val="(%1)"/>
      <w:numFmt w:val="lowerLetter"/>
      <w:start w:val="3"/>
    </w:lvl>
  </w:abstractNum>
  <w:abstractNum w:abstractNumId="22">
    <w:nsid w:val="419AC241"/>
    <w:multiLevelType w:val="hybridMultilevel"/>
    <w:lvl w:ilvl="0">
      <w:lvlJc w:val="left"/>
      <w:lvlText w:val="(%1)"/>
      <w:numFmt w:val="lowerLetter"/>
      <w:start w:val="5"/>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510"/>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2019-12-07T13:31:01Z</dcterms:created>
  <dcterms:modified xsi:type="dcterms:W3CDTF">2019-12-07T13:31:01Z</dcterms:modified>
</cp:coreProperties>
</file>