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8944.xml.htm"/>
      <w:bookmarkStart w:id="1" w:name="kswkform4_17843189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1,720,034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5.062</w:t>
            </w:r>
            <w:r>
              <w:rPr>
                <w:rFonts w:ascii="Times;serif" w:hAnsi="Times;serif"/>
                <w:color w:val="008000"/>
                <w:position w:val="7"/>
                <w:sz w:val="16"/>
                <w:sz w:val="20"/>
                <w:shd w:fill="FFFFFF" w:val="clear"/>
              </w:rPr>
              <w:t>(2)</w:t>
            </w:r>
            <w:r>
              <w:rPr/>
              <w:t xml:space="preserve"> </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1,678,366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r>
              <w:rPr/>
              <w:t xml:space="preserve"> </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(4)</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20,834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290,834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the Reporting Person on November 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Transaction was executed in multiple trades in prices ranging from $5.03 to $5.12,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directly by trusts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4191</Characters>
  <CharactersWithSpaces>4888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