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081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081010"/>
                    </a:xfrm>
                    <a:prstGeom prst="rect">
                      <a:avLst/>
                    </a:prstGeom>
                    <a:noFill/>
                  </pic:spPr>
                </pic:pic>
              </a:graphicData>
            </a:graphic>
          </wp:anchor>
        </w:drawing>
      </w:r>
    </w:p>
    <w:p>
      <w:pPr>
        <w:spacing w:after="0" w:line="38" w:lineRule="exact"/>
        <w:rPr>
          <w:sz w:val="24"/>
          <w:szCs w:val="24"/>
          <w:color w:val="auto"/>
        </w:rPr>
      </w:pPr>
    </w:p>
    <w:p>
      <w:pPr>
        <w:sectPr>
          <w:pgSz w:w="11900" w:h="16942"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SANDELL SCOTT 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Arial" w:cs="Arial" w:eastAsia="Arial" w:hAnsi="Arial"/>
                <w:sz w:val="17"/>
                <w:szCs w:val="17"/>
                <w:color w:val="0000FF"/>
              </w:rPr>
              <w:t>12/09/2021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5"/>
          </w:tcPr>
          <w:p>
            <w:pPr>
              <w:jc w:val="center"/>
              <w:ind w:left="42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12/09/2021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397,124</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1.5129</w:t>
            </w:r>
            <w:r>
              <w:rPr>
                <w:rFonts w:ascii="Arial" w:cs="Arial" w:eastAsia="Arial" w:hAnsi="Arial"/>
                <w:sz w:val="22"/>
                <w:szCs w:val="22"/>
                <w:color w:val="008000"/>
                <w:w w:val="88"/>
                <w:vertAlign w:val="superscript"/>
              </w:rPr>
              <w:t>(1)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7,689,277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12/09/2021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127,826</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1.5129</w:t>
            </w:r>
            <w:r>
              <w:rPr>
                <w:rFonts w:ascii="Arial" w:cs="Arial" w:eastAsia="Arial" w:hAnsi="Arial"/>
                <w:sz w:val="22"/>
                <w:szCs w:val="22"/>
                <w:color w:val="008000"/>
                <w:w w:val="88"/>
                <w:vertAlign w:val="superscript"/>
              </w:rPr>
              <w:t>(1)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2,476,756</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3</w:t>
            </w:r>
            <w:r>
              <w:rPr>
                <w:rFonts w:ascii="Arial" w:cs="Arial" w:eastAsia="Arial" w:hAnsi="Arial"/>
                <w:sz w:val="22"/>
                <w:szCs w:val="22"/>
                <w:color w:val="008000"/>
                <w:w w:val="99"/>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12/09/2021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144,533</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1.5129</w:t>
            </w:r>
            <w:r>
              <w:rPr>
                <w:rFonts w:ascii="Arial" w:cs="Arial" w:eastAsia="Arial" w:hAnsi="Arial"/>
                <w:sz w:val="22"/>
                <w:szCs w:val="22"/>
                <w:color w:val="008000"/>
                <w:w w:val="88"/>
                <w:vertAlign w:val="superscript"/>
              </w:rPr>
              <w:t>(1)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2,798,066</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12/14/2021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593,612</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1.2441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7,095,665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12/14/2021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191,074</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1.2441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2,285,682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3</w:t>
            </w:r>
            <w:r>
              <w:rPr>
                <w:rFonts w:ascii="Arial" w:cs="Arial" w:eastAsia="Arial" w:hAnsi="Arial"/>
                <w:sz w:val="22"/>
                <w:szCs w:val="22"/>
                <w:color w:val="008000"/>
                <w:w w:val="99"/>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12/14/2021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216,049</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1.2441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2,582,017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12/15/2021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888,185</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1.1431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6,207,480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vMerge w:val="restart"/>
          </w:tcPr>
          <w:p>
            <w:pPr>
              <w:jc w:val="center"/>
              <w:ind w:left="424"/>
              <w:spacing w:after="0"/>
              <w:rPr>
                <w:sz w:val="20"/>
                <w:szCs w:val="20"/>
                <w:color w:val="auto"/>
              </w:rPr>
            </w:pPr>
            <w:r>
              <w:rPr>
                <w:rFonts w:ascii="Arial" w:cs="Arial" w:eastAsia="Arial" w:hAnsi="Arial"/>
                <w:sz w:val="17"/>
                <w:szCs w:val="17"/>
                <w:color w:val="0000FF"/>
                <w:w w:val="91"/>
              </w:rPr>
              <w:t>12/15/2021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64"/>
              <w:spacing w:after="0"/>
              <w:rPr>
                <w:sz w:val="20"/>
                <w:szCs w:val="20"/>
                <w:color w:val="auto"/>
              </w:rPr>
            </w:pPr>
            <w:r>
              <w:rPr>
                <w:rFonts w:ascii="Arial" w:cs="Arial" w:eastAsia="Arial" w:hAnsi="Arial"/>
                <w:sz w:val="17"/>
                <w:szCs w:val="17"/>
                <w:color w:val="0000FF"/>
              </w:rPr>
              <w:t>323,167</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1.1431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2,258,850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vMerge w:val="restart"/>
          </w:tcPr>
          <w:p>
            <w:pPr>
              <w:jc w:val="center"/>
              <w:ind w:right="415"/>
              <w:spacing w:after="0"/>
              <w:rPr>
                <w:sz w:val="20"/>
                <w:szCs w:val="20"/>
                <w:color w:val="auto"/>
              </w:rPr>
            </w:pPr>
            <w:r>
              <w:rPr>
                <w:rFonts w:ascii="Arial" w:cs="Arial" w:eastAsia="Arial" w:hAnsi="Arial"/>
                <w:sz w:val="17"/>
                <w:szCs w:val="17"/>
                <w:color w:val="0000FF"/>
                <w:w w:val="94"/>
              </w:rPr>
              <w:t>47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5</w:t>
            </w:r>
            <w:r>
              <w:rPr>
                <w:rFonts w:ascii="Arial" w:cs="Arial" w:eastAsia="Arial" w:hAnsi="Arial"/>
                <w:sz w:val="22"/>
                <w:szCs w:val="22"/>
                <w:color w:val="008000"/>
                <w:w w:val="9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vMerge w:val="restart"/>
          </w:tcPr>
          <w:p>
            <w:pPr>
              <w:jc w:val="center"/>
              <w:ind w:right="415"/>
              <w:spacing w:after="0"/>
              <w:rPr>
                <w:sz w:val="20"/>
                <w:szCs w:val="20"/>
                <w:color w:val="auto"/>
              </w:rPr>
            </w:pPr>
            <w:r>
              <w:rPr>
                <w:rFonts w:ascii="Arial" w:cs="Arial" w:eastAsia="Arial" w:hAnsi="Arial"/>
                <w:sz w:val="17"/>
                <w:szCs w:val="17"/>
                <w:color w:val="0000FF"/>
                <w:w w:val="94"/>
              </w:rPr>
              <w:t>47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 6</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jc w:val="right"/>
              <w:ind w:right="284"/>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$1.50 to $1.58,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5" w:lineRule="exact"/>
        <w:rPr>
          <w:rFonts w:ascii="Arial" w:cs="Arial" w:eastAsia="Arial" w:hAnsi="Arial"/>
          <w:sz w:val="13"/>
          <w:szCs w:val="13"/>
          <w:color w:val="008000"/>
        </w:rPr>
      </w:pPr>
    </w:p>
    <w:p>
      <w:pPr>
        <w:jc w:val="both"/>
        <w:ind w:left="40" w:right="18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which is the sole general partner of NEA Partners 12, Limited Partnership ("NEA Partners 12"). NEA Partners 12 is the sole general partner of New Enterprise Associates 12, Limited Partnership ("NEA 12"), which is the direct beneficial owner of the securities. The Reporting Person disclaims beneficial ownership, within the meaning of Section</w:t>
      </w:r>
    </w:p>
    <w:p>
      <w:pPr>
        <w:ind w:left="220" w:hanging="173"/>
        <w:spacing w:after="0"/>
        <w:tabs>
          <w:tab w:leader="none" w:pos="2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of the Securities Exchange Act of 1934, as amended, or otherwise of such portion of the NEA 12 securities in which the Reporting Person has no pecuniary interest.</w:t>
      </w:r>
    </w:p>
    <w:p>
      <w:pPr>
        <w:spacing w:after="0" w:line="4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L.P. ("NEA 15"), the direct beneficial owner of the securities. The Reporting Person disclaims beneficial ownership within the meaning of Section 16 of the Securities Exchange Act of 1934, as amended, or otherwise of such portion of the NEA 15 securities in which the Reporting Person has no pecuniary interest.</w:t>
      </w:r>
    </w:p>
    <w:p>
      <w:pPr>
        <w:spacing w:after="0" w:line="25" w:lineRule="exact"/>
        <w:rPr>
          <w:rFonts w:ascii="Arial" w:cs="Arial" w:eastAsia="Arial" w:hAnsi="Arial"/>
          <w:sz w:val="13"/>
          <w:szCs w:val="13"/>
          <w:color w:val="008000"/>
        </w:rPr>
      </w:pPr>
    </w:p>
    <w:p>
      <w:pPr>
        <w:ind w:left="40" w:right="280" w:firstLine="7"/>
        <w:spacing w:after="0" w:line="308" w:lineRule="auto"/>
        <w:tabs>
          <w:tab w:leader="none" w:pos="173"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L.P. ("NEA 15-OF"), the direct beneficial owner of the securities. The Reporting Person disclaims beneficial ownership within the meaning of Section 16 of the Securities Exchange</w:t>
      </w:r>
    </w:p>
    <w:p>
      <w:pPr>
        <w:sectPr>
          <w:pgSz w:w="11900" w:h="1694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Act of 1934, as amended, or otherwise of such portion of the NEA 15-OF securities in which the Reporting Person has no pecuniary interest.</w:t>
      </w:r>
    </w:p>
    <w:p>
      <w:pPr>
        <w:spacing w:after="0" w:line="50" w:lineRule="exact"/>
        <w:rPr>
          <w:sz w:val="20"/>
          <w:szCs w:val="20"/>
          <w:color w:val="auto"/>
        </w:rPr>
      </w:pPr>
    </w:p>
    <w:p>
      <w:pPr>
        <w:ind w:right="120" w:firstLine="7"/>
        <w:spacing w:after="0" w:line="250" w:lineRule="auto"/>
        <w:tabs>
          <w:tab w:leader="none" w:pos="133"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securities are directly held by Genevieve P. Hardigg, as trustee of the Jennifer Ayer Sandell Rising River Trust, dated December 20, 2012 (the "Jennifer Ayer Sandell Rising River Trust"). The Reporting Person disclaims beneficial ownership within the meaning of Section 16 of the 1934 Act, as amended, or otherwise of such portion of the Jennifer Ayer Sandell Rising River Trust securities in which the Reporting Person has no pecuniary interest.</w:t>
      </w:r>
    </w:p>
    <w:p>
      <w:pPr>
        <w:spacing w:after="0" w:line="25" w:lineRule="exact"/>
        <w:rPr>
          <w:rFonts w:ascii="Arial" w:cs="Arial" w:eastAsia="Arial" w:hAnsi="Arial"/>
          <w:sz w:val="13"/>
          <w:szCs w:val="13"/>
          <w:color w:val="008000"/>
        </w:rPr>
      </w:pPr>
    </w:p>
    <w:p>
      <w:pPr>
        <w:ind w:firstLine="7"/>
        <w:spacing w:after="0" w:line="250" w:lineRule="auto"/>
        <w:tabs>
          <w:tab w:leader="none" w:pos="133"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securities are directly held by Genevieve P. Hardigg, as trustee of the Scott Sandell Rising River Trust, dated December 20, 2012 (the "Scott Sandell Rising River Trust"). The Reporting Person disclaims beneficial ownership within the meaning of Section 16 of the 1934 Act, as amended, or otherwise of such portion of the Scott Sandell Rising River Trust securities in which the Reporting Person has no pecuniary interest.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6"/>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728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2021-12-27T16:42:35Z</dcterms:created>
  <dcterms:modified xsi:type="dcterms:W3CDTF">2021-12-27T16:42:35Z</dcterms:modified>
</cp:coreProperties>
</file>