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-606425</wp:posOffset>
            </wp:positionV>
            <wp:extent cx="825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-582295</wp:posOffset>
            </wp:positionV>
            <wp:extent cx="1270635" cy="55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588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72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402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3"/>
            <w:vMerge w:val="restart"/>
          </w:tcPr>
          <w:p>
            <w:pPr>
              <w:ind w:left="20"/>
              <w:spacing w:after="0"/>
              <w:rPr>
                <w:rFonts w:ascii="Arial" w:cs="Arial" w:eastAsia="Arial" w:hAnsi="Arial"/>
                <w:sz w:val="20"/>
                <w:szCs w:val="20"/>
                <w:u w:val="single" w:color="auto"/>
                <w:color w:val="0000EE"/>
                <w:w w:val="94"/>
              </w:rPr>
            </w:pPr>
            <w:hyperlink r:id="rId13">
              <w:r>
                <w:rPr>
                  <w:rFonts w:ascii="Arial" w:cs="Arial" w:eastAsia="Arial" w:hAnsi="Arial"/>
                  <w:sz w:val="20"/>
                  <w:szCs w:val="20"/>
                  <w:u w:val="single" w:color="auto"/>
                  <w:color w:val="0000EE"/>
                  <w:w w:val="94"/>
                </w:rPr>
                <w:t>Lundberg Jan M</w:t>
              </w:r>
            </w:hyperlink>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tcPr>
          <w:p>
            <w:pPr>
              <w:ind w:left="60"/>
              <w:spacing w:after="0" w:line="102"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ARDELYX,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8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48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6"/>
            <w:vMerge w:val="continue"/>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ARDELYX, INC.</w:t>
            </w:r>
          </w:p>
        </w:tc>
        <w:tc>
          <w:tcPr>
            <w:tcW w:w="1060" w:type="dxa"/>
            <w:vAlign w:val="bottom"/>
          </w:tcPr>
          <w:p>
            <w:pPr>
              <w:spacing w:after="0"/>
              <w:rPr>
                <w:sz w:val="18"/>
                <w:szCs w:val="18"/>
                <w:color w:val="auto"/>
              </w:rPr>
            </w:pPr>
          </w:p>
        </w:tc>
        <w:tc>
          <w:tcPr>
            <w:tcW w:w="1480" w:type="dxa"/>
            <w:vAlign w:val="bottom"/>
            <w:gridSpan w:val="4"/>
          </w:tcPr>
          <w:p>
            <w:pPr>
              <w:ind w:left="300"/>
              <w:spacing w:after="0"/>
              <w:rPr>
                <w:sz w:val="20"/>
                <w:szCs w:val="20"/>
                <w:color w:val="auto"/>
              </w:rPr>
            </w:pPr>
            <w:r>
              <w:rPr>
                <w:rFonts w:ascii="Arial" w:cs="Arial" w:eastAsia="Arial" w:hAnsi="Arial"/>
                <w:sz w:val="17"/>
                <w:szCs w:val="17"/>
                <w:color w:val="0000FF"/>
              </w:rPr>
              <w:t>06/09/2020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5"/>
            <w:vMerge w:val="restart"/>
          </w:tcPr>
          <w:p>
            <w:pPr>
              <w:ind w:left="20"/>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18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FREMONT</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60" w:type="dxa"/>
            <w:vAlign w:val="bottom"/>
          </w:tcPr>
          <w:p>
            <w:pPr>
              <w:ind w:left="2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140"/>
              <w:spacing w:after="0" w:line="128"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7240" w:type="dxa"/>
            <w:vAlign w:val="bottom"/>
            <w:tcBorders>
              <w:top w:val="single" w:sz="8" w:color="2C2C2C"/>
            </w:tcBorders>
            <w:gridSpan w:val="16"/>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4"/>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06/09/2020</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3"/>
              </w:rPr>
              <w:t>6,497</w:t>
            </w:r>
            <w:r>
              <w:rPr>
                <w:rFonts w:ascii="Arial" w:cs="Arial" w:eastAsia="Arial" w:hAnsi="Arial"/>
                <w:sz w:val="21"/>
                <w:szCs w:val="21"/>
                <w:color w:val="008000"/>
                <w:w w:val="83"/>
                <w:vertAlign w:val="superscript"/>
              </w:rPr>
              <w:t>(1)</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0.00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35,618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7.31</w:t>
            </w:r>
          </w:p>
        </w:tc>
        <w:tc>
          <w:tcPr>
            <w:tcW w:w="180" w:type="dxa"/>
            <w:vAlign w:val="bottom"/>
          </w:tcPr>
          <w:p>
            <w:pPr>
              <w:spacing w:after="0"/>
              <w:rPr>
                <w:sz w:val="17"/>
                <w:szCs w:val="17"/>
                <w:color w:val="auto"/>
              </w:rPr>
            </w:pPr>
          </w:p>
        </w:tc>
        <w:tc>
          <w:tcPr>
            <w:tcW w:w="1040" w:type="dxa"/>
            <w:vAlign w:val="bottom"/>
          </w:tcPr>
          <w:p>
            <w:pPr>
              <w:ind w:left="220"/>
              <w:spacing w:after="0"/>
              <w:rPr>
                <w:sz w:val="20"/>
                <w:szCs w:val="20"/>
                <w:color w:val="auto"/>
              </w:rPr>
            </w:pPr>
            <w:r>
              <w:rPr>
                <w:rFonts w:ascii="Arial" w:cs="Arial" w:eastAsia="Arial" w:hAnsi="Arial"/>
                <w:sz w:val="13"/>
                <w:szCs w:val="13"/>
                <w:color w:val="0000FF"/>
              </w:rPr>
              <w:t>06/09/2020</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4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23,500</w:t>
            </w:r>
            <w:r>
              <w:rPr>
                <w:rFonts w:ascii="Arial" w:cs="Arial" w:eastAsia="Arial" w:hAnsi="Arial"/>
                <w:sz w:val="21"/>
                <w:szCs w:val="21"/>
                <w:color w:val="008000"/>
                <w:vertAlign w:val="superscript"/>
              </w:rPr>
              <w:t>(2)</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20" w:type="dxa"/>
            <w:vAlign w:val="bottom"/>
          </w:tcPr>
          <w:p>
            <w:pPr>
              <w:ind w:left="20"/>
              <w:spacing w:after="0"/>
              <w:rPr>
                <w:sz w:val="20"/>
                <w:szCs w:val="20"/>
                <w:color w:val="auto"/>
              </w:rPr>
            </w:pPr>
            <w:r>
              <w:rPr>
                <w:rFonts w:ascii="Arial" w:cs="Arial" w:eastAsia="Arial" w:hAnsi="Arial"/>
                <w:sz w:val="13"/>
                <w:szCs w:val="13"/>
                <w:color w:val="0000FF"/>
              </w:rPr>
              <w:t>06/09/2030</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23,500</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23,500</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20"/>
              <w:spacing w:after="0" w:line="91"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-2849245</wp:posOffset>
            </wp:positionV>
            <wp:extent cx="7034530" cy="2987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98704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were issued pursuant to the Issuer's Non-Employee Director Compensation Program. The Reporting Person elected to receive stock in lieu of cash as permitted under the program.</w:t>
      </w:r>
    </w:p>
    <w:p>
      <w:pPr>
        <w:spacing w:after="0" w:line="53" w:lineRule="exact"/>
        <w:rPr>
          <w:rFonts w:ascii="Arial" w:cs="Arial" w:eastAsia="Arial" w:hAnsi="Arial"/>
          <w:sz w:val="12"/>
          <w:szCs w:val="12"/>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1" w:lineRule="exact"/>
        <w:rPr>
          <w:rFonts w:ascii="Arial" w:cs="Arial" w:eastAsia="Arial" w:hAnsi="Arial"/>
          <w:sz w:val="13"/>
          <w:szCs w:val="13"/>
          <w:color w:val="008000"/>
        </w:rPr>
      </w:pPr>
    </w:p>
    <w:p>
      <w:pPr>
        <w:ind w:left="40" w:right="22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53"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Jan M.</w:t>
      </w:r>
      <w:r>
        <w:rPr>
          <w:sz w:val="20"/>
          <w:szCs w:val="20"/>
          <w:color w:val="auto"/>
        </w:rPr>
        <w:tab/>
      </w:r>
      <w:r>
        <w:rPr>
          <w:rFonts w:ascii="Arial" w:cs="Arial" w:eastAsia="Arial" w:hAnsi="Arial"/>
          <w:sz w:val="13"/>
          <w:szCs w:val="13"/>
          <w:color w:val="0000FF"/>
        </w:rPr>
        <w:t>06/11/2020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5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Lundberg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407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7035" cy="8255"/>
                    </a:xfrm>
                    <a:prstGeom prst="rect">
                      <a:avLst/>
                    </a:prstGeom>
                    <a:noFill/>
                  </pic:spPr>
                </pic:pic>
              </a:graphicData>
            </a:graphic>
          </wp:anchor>
        </w:drawing>
      </w:r>
    </w:p>
    <w:p>
      <w:pPr>
        <w:spacing w:after="0" w:line="4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80120"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2020-06-11T17:28:48Z</dcterms:created>
  <dcterms:modified xsi:type="dcterms:W3CDTF">2020-06-11T17:28:48Z</dcterms:modified>
</cp:coreProperties>
</file>