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MOTT DAVID 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400"/>
        <w:spacing w:after="0" w:line="299" w:lineRule="auto"/>
        <w:rPr>
          <w:sz w:val="20"/>
          <w:szCs w:val="20"/>
          <w:color w:val="auto"/>
        </w:rPr>
      </w:pPr>
      <w:r>
        <w:rPr>
          <w:rFonts w:ascii="Times New Roman" w:cs="Times New Roman" w:eastAsia="Times New Roman" w:hAnsi="Times New Roman"/>
          <w:sz w:val="17"/>
          <w:szCs w:val="17"/>
          <w:color w:val="0000FF"/>
        </w:rPr>
        <w:t>C/O ARDELYX, INC. 34175 ARDENWOOD BLVD</w:t>
      </w:r>
    </w:p>
    <w:p>
      <w:pPr>
        <w:spacing w:after="0" w:line="27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0"/>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0"/>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7"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12/10/2020</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269240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8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12/10/2020</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170,000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5.8873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417,284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$5.86 to $5.89, inclusive. The price reported in Column 4 above reflects the weighted average purchase price. The Reporting Person hereby undertakes to provide to the Securities and Exchange Commission staff, the Issuer, or a security holder of the Issuer, upon request, full information regarding the number of shares purchased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12/10/2020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Mott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2020-12-10T17:23:39Z</dcterms:created>
  <dcterms:modified xsi:type="dcterms:W3CDTF">2020-12-10T17:23:39Z</dcterms:modified>
</cp:coreProperties>
</file>