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92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9209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74"/>
        <w:spacing w:after="0"/>
        <w:rPr>
          <w:sz w:val="20"/>
          <w:szCs w:val="20"/>
          <w:color w:val="auto"/>
        </w:rPr>
      </w:pPr>
      <w:r>
        <w:rPr>
          <w:rFonts w:ascii="Times New Roman" w:cs="Times New Roman" w:eastAsia="Times New Roman" w:hAnsi="Times New Roman"/>
          <w:sz w:val="17"/>
          <w:szCs w:val="17"/>
          <w:color w:val="0000FF"/>
        </w:rPr>
        <w:t>Chief Patient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02451</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01/08/2026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50,000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4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409,896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01/08/2026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50,000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6.978</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rPr>
              <w:t>361,563</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01/08/2026</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780" w:type="dxa"/>
            <w:vAlign w:val="bottom"/>
          </w:tcPr>
          <w:p>
            <w:pPr>
              <w:ind w:left="520"/>
              <w:spacing w:after="0"/>
              <w:rPr>
                <w:sz w:val="20"/>
                <w:szCs w:val="20"/>
                <w:color w:val="auto"/>
              </w:rPr>
            </w:pPr>
            <w:r>
              <w:rPr>
                <w:rFonts w:ascii="Times New Roman" w:cs="Times New Roman" w:eastAsia="Times New Roman" w:hAnsi="Times New Roman"/>
                <w:sz w:val="13"/>
                <w:szCs w:val="13"/>
                <w:color w:val="0000FF"/>
              </w:rPr>
              <w:t>0</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01/06/2032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62,000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$6.97 to $7.00,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1,667 shares under the Ardelyx Employee Stock Purchase Plan in August 2025.</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93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Laura A.</w:t>
      </w:r>
      <w:r>
        <w:rPr>
          <w:sz w:val="20"/>
          <w:szCs w:val="20"/>
          <w:color w:val="auto"/>
        </w:rPr>
        <w:tab/>
      </w:r>
      <w:r>
        <w:rPr>
          <w:rFonts w:ascii="Times New Roman" w:cs="Times New Roman" w:eastAsia="Times New Roman" w:hAnsi="Times New Roman"/>
          <w:sz w:val="16"/>
          <w:szCs w:val="16"/>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89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25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2026-01-09T18:02:24Z</dcterms:created>
  <dcterms:modified xsi:type="dcterms:W3CDTF">2026-01-09T18:02:24Z</dcterms:modified>
</cp:coreProperties>
</file>