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Development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it vests and the shares subject to the option vest with respect to 1/48 of the shares subject thereto on each monthly anniversary of January 21, 2020, subject to the Reporting Person's continued employment or service relationship with the Issuer on each such vesting date.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522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2020-02-20T16:39:15Z</dcterms:created>
  <dcterms:modified xsi:type="dcterms:W3CDTF">2020-02-20T16:39:15Z</dcterms:modified>
</cp:coreProperties>
</file>