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039697107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8"/>
          <w:szCs w:val="18"/>
          <w:color w:val="auto"/>
        </w:rPr>
        <w:t>Rule 13d-1(b)</w:t>
      </w:r>
    </w:p>
    <w:p>
      <w:pPr>
        <w:spacing w:after="0" w:line="40" w:lineRule="exact"/>
        <w:rPr>
          <w:sz w:val="24"/>
          <w:szCs w:val="24"/>
          <w:color w:val="auto"/>
        </w:rPr>
      </w:pPr>
    </w:p>
    <w:p>
      <w:pPr>
        <w:jc w:val="both"/>
        <w:ind w:left="660" w:right="9520" w:hanging="4"/>
        <w:spacing w:after="0" w:line="259" w:lineRule="auto"/>
        <w:tabs>
          <w:tab w:leader="none" w:pos="89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Rule 13d-1(c) </w:t>
      </w:r>
      <w:r>
        <w:rPr>
          <w:rFonts w:ascii="Times New Roman" w:cs="Times New Roman" w:eastAsia="Times New Roman" w:hAnsi="Times New Roman"/>
          <w:sz w:val="21"/>
          <w:szCs w:val="21"/>
          <w:color w:val="auto"/>
        </w:rPr>
        <w:t xml:space="preserve">o </w:t>
      </w: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1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Management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2</w:t>
            </w:r>
          </w:p>
        </w:tc>
        <w:tc>
          <w:tcPr>
            <w:tcW w:w="300" w:type="dxa"/>
            <w:vAlign w:val="bottom"/>
            <w:tcBorders>
              <w:right w:val="single" w:sz="8" w:color="auto"/>
            </w:tcBorders>
          </w:tcPr>
          <w:p>
            <w:pPr>
              <w:spacing w:after="0"/>
              <w:rPr>
                <w:sz w:val="20"/>
                <w:szCs w:val="20"/>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2,415,744</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48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2,415,744</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2,415,744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Times New Roman" w:cs="Times New Roman" w:eastAsia="Times New Roman" w:hAnsi="Times New Roman"/>
                <w:sz w:val="25"/>
                <w:szCs w:val="25"/>
                <w:color w:val="auto"/>
                <w:w w:val="95"/>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2</w:t>
            </w:r>
          </w:p>
        </w:tc>
        <w:tc>
          <w:tcPr>
            <w:tcW w:w="300" w:type="dxa"/>
            <w:vAlign w:val="bottom"/>
            <w:tcBorders>
              <w:right w:val="single" w:sz="8" w:color="auto"/>
            </w:tcBorders>
          </w:tcPr>
          <w:p>
            <w:pPr>
              <w:spacing w:after="0"/>
              <w:rPr>
                <w:sz w:val="20"/>
                <w:szCs w:val="20"/>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2,415,744</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48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2,415,744</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2,415,744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Times New Roman" w:cs="Times New Roman" w:eastAsia="Times New Roman" w:hAnsi="Times New Roman"/>
                <w:sz w:val="25"/>
                <w:szCs w:val="25"/>
                <w:color w:val="auto"/>
                <w:w w:val="95"/>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Master Fund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2</w:t>
            </w:r>
          </w:p>
        </w:tc>
        <w:tc>
          <w:tcPr>
            <w:tcW w:w="300" w:type="dxa"/>
            <w:vAlign w:val="bottom"/>
            <w:tcBorders>
              <w:right w:val="single" w:sz="8" w:color="auto"/>
            </w:tcBorders>
          </w:tcPr>
          <w:p>
            <w:pPr>
              <w:spacing w:after="0"/>
              <w:rPr>
                <w:sz w:val="20"/>
                <w:szCs w:val="20"/>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2,415,744</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48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2,415,744</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2,415,744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Times New Roman" w:cs="Times New Roman" w:eastAsia="Times New Roman" w:hAnsi="Times New Roman"/>
                <w:sz w:val="25"/>
                <w:szCs w:val="25"/>
                <w:color w:val="auto"/>
                <w:w w:val="95"/>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Ardelyx, Inc. (the “Issuer”)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34175 Ardenwood Blvd., Suite 200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Fremont, CA 94555</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 Rock Springs Capital Management LP (“RSCM”);</w:t>
      </w:r>
    </w:p>
    <w:p>
      <w:pPr>
        <w:spacing w:after="0" w:line="27" w:lineRule="exact"/>
        <w:rPr>
          <w:sz w:val="20"/>
          <w:szCs w:val="20"/>
          <w:color w:val="auto"/>
        </w:rPr>
      </w:pPr>
    </w:p>
    <w:p>
      <w:pPr>
        <w:ind w:left="1000" w:hanging="200"/>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LLC (“RSC”); and</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Master Fund LP (“Master Fund”).</w:t>
      </w:r>
    </w:p>
    <w:p>
      <w:pPr>
        <w:spacing w:after="0" w:line="99" w:lineRule="exact"/>
        <w:rPr>
          <w:sz w:val="20"/>
          <w:szCs w:val="20"/>
          <w:color w:val="auto"/>
        </w:rPr>
      </w:pPr>
    </w:p>
    <w:p>
      <w:pPr>
        <w:jc w:val="both"/>
        <w:ind w:left="400" w:firstLine="396"/>
        <w:spacing w:after="0" w:line="266" w:lineRule="auto"/>
        <w:rPr>
          <w:sz w:val="20"/>
          <w:szCs w:val="20"/>
          <w:color w:val="auto"/>
        </w:rPr>
      </w:pPr>
      <w:r>
        <w:rPr>
          <w:rFonts w:ascii="Times New Roman" w:cs="Times New Roman" w:eastAsia="Times New Roman" w:hAnsi="Times New Roman"/>
          <w:sz w:val="18"/>
          <w:szCs w:val="18"/>
          <w:color w:val="auto"/>
        </w:rPr>
        <w:t>This Statement relates to Shares (as defined herein) held directly by the Master Fund, which is a Cayman Island exempted limited partnership, and indirectly held by RSCM, a Delaware limited partnership, and RSC, a Delaware limited liability company. RSCM serves as the investment manager to the Master Fund. RSC is the general partner of RSCM.</w:t>
      </w:r>
    </w:p>
    <w:p>
      <w:pPr>
        <w:spacing w:after="0" w:line="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Management LP and Rock Springs Capital LLC</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3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Master Fund LP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Cayman Corporate Centre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27 Hospital Road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George Town, Grand Cayman, KY1-9008, Cayman Islands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Management LP - Delaware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Master Fund LP - Cayman Islands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$0.0001 per share (the “Shares”)</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039697107</w:t>
      </w:r>
    </w:p>
    <w:p>
      <w:pPr>
        <w:sectPr>
          <w:pgSz w:w="11900" w:h="16838" w:orient="portrait"/>
          <w:cols w:equalWidth="0" w:num="1">
            <w:col w:w="11420"/>
          </w:cols>
          <w:pgMar w:left="240" w:top="690"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 investment adviser in accordance with §240.13d-1(b)(1)(ii)(E);</w:t>
      </w:r>
    </w:p>
    <w:p>
      <w:pPr>
        <w:spacing w:after="0" w:line="10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80" w:hanging="595"/>
        <w:spacing w:after="0" w:line="237"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80" w:hanging="595"/>
        <w:spacing w:after="0" w:line="237"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jc w:val="both"/>
        <w:ind w:firstLine="792"/>
        <w:spacing w:after="0" w:line="261" w:lineRule="auto"/>
        <w:rPr>
          <w:sz w:val="20"/>
          <w:szCs w:val="20"/>
          <w:color w:val="auto"/>
        </w:rPr>
      </w:pPr>
      <w:r>
        <w:rPr>
          <w:rFonts w:ascii="Times New Roman" w:cs="Times New Roman" w:eastAsia="Times New Roman" w:hAnsi="Times New Roman"/>
          <w:sz w:val="18"/>
          <w:szCs w:val="18"/>
          <w:color w:val="auto"/>
        </w:rPr>
        <w:t>As of the date of this filing, the Reporting Persons may be deemed beneficial owners of 2,415,744 shares of Common Stock. The Reporting Persons hold 2,275,557 shares of Common Stock and 140,187 warrants to purchase Common Stock. The percent of class is based on a total of 47,675,166 shares of Common Stock outstanding, which is the sum of: (1) 47,534,979 shares outstanding as of November 1, 2017; and (ii) 140,187 shares of Common Stock that the Reporting Persons have the right to acquire upon exercise of the warrants.</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Management LP: 2,415,744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LLC: 2,415,744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Master Fund LP: 2,415,744</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Management LP: 5.07%</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LLC: 5.07%</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Master Fund LP: 5.07%</w:t>
      </w:r>
    </w:p>
    <w:p>
      <w:pPr>
        <w:spacing w:after="0" w:line="203"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25" w:lineRule="exact"/>
        <w:rPr>
          <w:rFonts w:ascii="Times New Roman" w:cs="Times New Roman" w:eastAsia="Times New Roman" w:hAnsi="Times New Roman"/>
          <w:sz w:val="18"/>
          <w:szCs w:val="18"/>
          <w:b w:val="1"/>
          <w:bCs w:val="1"/>
          <w:color w:val="auto"/>
        </w:rPr>
      </w:pPr>
    </w:p>
    <w:p>
      <w:pPr>
        <w:ind w:left="1800" w:right="6600" w:hanging="207"/>
        <w:spacing w:after="0" w:line="259" w:lineRule="auto"/>
        <w:tabs>
          <w:tab w:leader="none" w:pos="181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Rock Springs Capital Management LP: 0 Rock Springs Capital LLC: 0</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00" w:right="6040" w:hanging="207"/>
        <w:spacing w:after="0" w:line="259" w:lineRule="auto"/>
        <w:tabs>
          <w:tab w:leader="none" w:pos="186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Rock Springs Capital Management LP: 2,415,744 Rock Springs Capital LLC: 2,415,744</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2,415,744</w:t>
      </w:r>
    </w:p>
    <w:p>
      <w:pPr>
        <w:spacing w:after="0" w:line="202" w:lineRule="exact"/>
        <w:rPr>
          <w:rFonts w:ascii="Times New Roman" w:cs="Times New Roman" w:eastAsia="Times New Roman" w:hAnsi="Times New Roman"/>
          <w:sz w:val="18"/>
          <w:szCs w:val="18"/>
          <w:b w:val="1"/>
          <w:bCs w:val="1"/>
          <w:color w:val="auto"/>
        </w:rPr>
      </w:pPr>
    </w:p>
    <w:p>
      <w:pPr>
        <w:ind w:left="1800" w:right="5560" w:hanging="207"/>
        <w:spacing w:after="0" w:line="263" w:lineRule="auto"/>
        <w:tabs>
          <w:tab w:leader="none" w:pos="191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Rock Springs Capital Management LP: 0</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LLC: 0</w:t>
      </w:r>
    </w:p>
    <w:p>
      <w:pPr>
        <w:spacing w:after="0" w:line="9" w:lineRule="exact"/>
        <w:rPr>
          <w:rFonts w:ascii="Times New Roman" w:cs="Times New Roman" w:eastAsia="Times New Roman" w:hAnsi="Times New Roman"/>
          <w:sz w:val="18"/>
          <w:szCs w:val="18"/>
          <w:b w:val="1"/>
          <w:bCs w:val="1"/>
          <w:color w:val="auto"/>
        </w:rPr>
      </w:pP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00" w:right="5340" w:hanging="207"/>
        <w:spacing w:after="0" w:line="263" w:lineRule="auto"/>
        <w:tabs>
          <w:tab w:leader="none" w:pos="190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Rock Springs Capital Management LP: 2,415,744</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LLC: 2,415,744</w:t>
      </w:r>
    </w:p>
    <w:p>
      <w:pPr>
        <w:spacing w:after="0" w:line="9" w:lineRule="exact"/>
        <w:rPr>
          <w:rFonts w:ascii="Times New Roman" w:cs="Times New Roman" w:eastAsia="Times New Roman" w:hAnsi="Times New Roman"/>
          <w:sz w:val="18"/>
          <w:szCs w:val="18"/>
          <w:b w:val="1"/>
          <w:bCs w:val="1"/>
          <w:color w:val="auto"/>
        </w:rPr>
      </w:pP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2,415,744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Times New Roman" w:cs="Times New Roman" w:eastAsia="Times New Roman" w:hAnsi="Times New Roman"/>
          <w:sz w:val="17"/>
          <w:szCs w:val="17"/>
          <w:color w:val="auto"/>
        </w:rPr>
        <w: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6"/>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8"/>
          <w:szCs w:val="18"/>
          <w:color w:val="auto"/>
        </w:rPr>
        <w:t>Not Applicable. Please see response to Item 2.</w:t>
      </w:r>
    </w:p>
    <w:p>
      <w:pPr>
        <w:spacing w:after="0" w:line="113"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17"/>
          <w:szCs w:val="17"/>
          <w:b w:val="1"/>
          <w:bCs w:val="1"/>
          <w:color w:val="auto"/>
        </w:rPr>
        <w:t>Item 8. Identification and Classification of Members of the Group</w:t>
      </w: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59" w:gutter="0" w:footer="0" w:header="0"/>
        </w:sectPr>
      </w:pPr>
    </w:p>
    <w:bookmarkStart w:id="7" w:name="page8"/>
    <w:bookmarkEnd w:id="7"/>
    <w:p>
      <w:pPr>
        <w:jc w:val="both"/>
        <w:spacing w:after="0" w:line="255" w:lineRule="auto"/>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8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2018</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Rock Springs Capital Management LP</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Rock Springs Capital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Management LP</w:t>
      </w:r>
    </w:p>
    <w:p>
      <w:pPr>
        <w:spacing w:after="0" w:line="207"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Rock Springs Capital Master Fund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Management LP</w:t>
      </w:r>
    </w:p>
    <w:p>
      <w:pPr>
        <w:spacing w:after="0" w:line="207"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ectPr>
          <w:pgSz w:w="11900" w:h="16838" w:orient="portrait"/>
          <w:cols w:equalWidth="0" w:num="1">
            <w:col w:w="11420"/>
          </w:cols>
          <w:pgMar w:left="240" w:top="474" w:right="23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8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2018</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Rock Springs Capital Management LP</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Rock Springs Capital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Management LP</w:t>
      </w:r>
    </w:p>
    <w:p>
      <w:pPr>
        <w:spacing w:after="0" w:line="207"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Rock Springs Capital Master Fund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Management LP</w:t>
      </w:r>
    </w:p>
    <w:p>
      <w:pPr>
        <w:spacing w:after="0" w:line="207"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2019-12-07T13:23:32Z</dcterms:created>
  <dcterms:modified xsi:type="dcterms:W3CDTF">2019-12-07T13:23:32Z</dcterms:modified>
</cp:coreProperties>
</file>