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Rodriguez Susan</w:t>
              </w:r>
            </w:hyperlink>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920" w:type="dxa"/>
            <w:vAlign w:val="bottom"/>
            <w:gridSpan w:val="3"/>
            <w:vMerge w:val="restart"/>
          </w:tcPr>
          <w:p>
            <w:pPr>
              <w:ind w:left="140"/>
              <w:spacing w:after="0" w:line="167" w:lineRule="exact"/>
              <w:rPr>
                <w:sz w:val="20"/>
                <w:szCs w:val="20"/>
                <w:color w:val="auto"/>
              </w:rPr>
            </w:pPr>
            <w:r>
              <w:rPr>
                <w:rFonts w:ascii="Arial" w:cs="Arial" w:eastAsia="Arial" w:hAnsi="Arial"/>
                <w:sz w:val="17"/>
                <w:szCs w:val="17"/>
                <w:color w:val="0000FF"/>
              </w:rPr>
              <w:t>05/18/2020</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05"/>
        <w:spacing w:after="0"/>
        <w:rPr>
          <w:sz w:val="20"/>
          <w:szCs w:val="20"/>
          <w:color w:val="auto"/>
        </w:rPr>
      </w:pPr>
      <w:r>
        <w:rPr>
          <w:rFonts w:ascii="Arial" w:cs="Arial" w:eastAsia="Arial" w:hAnsi="Arial"/>
          <w:sz w:val="17"/>
          <w:szCs w:val="17"/>
          <w:color w:val="0000FF"/>
        </w:rPr>
        <w:t>Chief Commercial Officer</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147955</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05/18/2020</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20,000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20,000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7.7</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05/18/2020</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232,750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05/18/2030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232,750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232,750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 of Common Stock for each one (1) RSU upon the vesting thereof.</w:t>
      </w:r>
    </w:p>
    <w:p>
      <w:pPr>
        <w:spacing w:after="0" w:line="41" w:lineRule="exact"/>
        <w:rPr>
          <w:rFonts w:ascii="Arial" w:cs="Arial" w:eastAsia="Arial" w:hAnsi="Arial"/>
          <w:sz w:val="13"/>
          <w:szCs w:val="13"/>
          <w:color w:val="008000"/>
        </w:rPr>
      </w:pPr>
    </w:p>
    <w:p>
      <w:pPr>
        <w:ind w:left="40" w:right="4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Twenty Five Percent (25%) of the shares subject to the option vest on May 18, 2021 and the remaining shares subject to the option vest in 36 successive, equal monthly installments thereafter, subject to the Reporting Person's continued employment or service relationship with the Issuer on each such vesting date.</w:t>
      </w:r>
    </w:p>
    <w:p>
      <w:pPr>
        <w:spacing w:after="0" w:line="54"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4"/>
          <w:szCs w:val="14"/>
          <w:color w:val="0000FF"/>
        </w:rPr>
        <w:t>05/20/2020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37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25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2020-05-20T16:48:21Z</dcterms:created>
  <dcterms:modified xsi:type="dcterms:W3CDTF">2020-05-20T16:48:21Z</dcterms:modified>
</cp:coreProperties>
</file>